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D510FB">
      <w:pPr>
        <w:spacing w:line="360" w:lineRule="auto"/>
        <w:jc w:val="center"/>
        <w:outlineLvl w:val="0"/>
        <w:rPr>
          <w:b/>
          <w:sz w:val="36"/>
          <w:szCs w:val="36"/>
        </w:rPr>
      </w:pPr>
      <w:bookmarkStart w:id="0" w:name="_Toc99301424"/>
      <w:bookmarkStart w:id="1" w:name="_Toc150480793"/>
      <w:bookmarkStart w:id="2" w:name="_Toc305158823"/>
      <w:bookmarkStart w:id="3" w:name="_Toc150774760"/>
      <w:bookmarkStart w:id="4" w:name="_Toc226337251"/>
      <w:bookmarkStart w:id="5" w:name="_Toc353873935"/>
      <w:bookmarkStart w:id="6" w:name="_Toc353873665"/>
      <w:bookmarkStart w:id="7" w:name="_Toc127151555"/>
      <w:bookmarkStart w:id="8" w:name="_Toc264969245"/>
      <w:bookmarkStart w:id="9" w:name="_Toc195842920"/>
      <w:bookmarkStart w:id="10" w:name="_Toc226965828"/>
      <w:bookmarkStart w:id="11" w:name="_Toc353825545"/>
      <w:bookmarkStart w:id="12" w:name="_Toc265228393"/>
      <w:bookmarkStart w:id="13" w:name="_Toc305158897"/>
      <w:bookmarkStart w:id="14" w:name="_Toc142311057"/>
      <w:r>
        <w:rPr>
          <w:b/>
          <w:sz w:val="36"/>
          <w:szCs w:val="36"/>
        </w:rPr>
        <w:t>采购需求</w:t>
      </w:r>
      <w:bookmarkEnd w:id="0"/>
    </w:p>
    <w:p w14:paraId="4B729901">
      <w:pPr>
        <w:spacing w:line="360" w:lineRule="auto"/>
        <w:contextualSpacing/>
        <w:outlineLvl w:val="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1包：首都医科大学附属首都儿童医学中心通州院区信息化配套建设项目-第一包</w:t>
      </w:r>
    </w:p>
    <w:p w14:paraId="732EB950">
      <w:pPr>
        <w:pStyle w:val="23"/>
        <w:numPr>
          <w:ilvl w:val="0"/>
          <w:numId w:val="1"/>
        </w:numPr>
        <w:spacing w:line="360" w:lineRule="auto"/>
        <w:ind w:firstLineChars="0"/>
        <w:contextualSpacing/>
        <w:outlineLvl w:val="1"/>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采购标的</w:t>
      </w:r>
    </w:p>
    <w:p w14:paraId="7A35889E">
      <w:pPr>
        <w:spacing w:line="360" w:lineRule="auto"/>
        <w:contextualSpacing/>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1. 采购标的</w:t>
      </w:r>
    </w:p>
    <w:tbl>
      <w:tblPr>
        <w:tblStyle w:val="15"/>
        <w:tblpPr w:leftFromText="180" w:rightFromText="180" w:vertAnchor="text" w:tblpXSpec="center" w:tblpY="1"/>
        <w:tblOverlap w:val="never"/>
        <w:tblW w:w="94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147"/>
        <w:gridCol w:w="762"/>
        <w:gridCol w:w="1194"/>
        <w:gridCol w:w="709"/>
        <w:gridCol w:w="1134"/>
        <w:gridCol w:w="1670"/>
      </w:tblGrid>
      <w:tr w14:paraId="62A72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7" w:type="dxa"/>
            <w:tcBorders>
              <w:top w:val="single" w:color="auto" w:sz="4" w:space="0"/>
              <w:left w:val="single" w:color="auto" w:sz="4" w:space="0"/>
              <w:bottom w:val="single" w:color="auto" w:sz="4" w:space="0"/>
              <w:right w:val="single" w:color="auto" w:sz="4" w:space="0"/>
            </w:tcBorders>
            <w:vAlign w:val="center"/>
          </w:tcPr>
          <w:p w14:paraId="7E8011DE">
            <w:pPr>
              <w:spacing w:line="360" w:lineRule="auto"/>
              <w:contextualSpacing/>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序号</w:t>
            </w:r>
          </w:p>
        </w:tc>
        <w:tc>
          <w:tcPr>
            <w:tcW w:w="3147" w:type="dxa"/>
            <w:tcBorders>
              <w:top w:val="single" w:color="auto" w:sz="4" w:space="0"/>
              <w:left w:val="single" w:color="auto" w:sz="4" w:space="0"/>
              <w:bottom w:val="single" w:color="auto" w:sz="4" w:space="0"/>
              <w:right w:val="single" w:color="auto" w:sz="4" w:space="0"/>
            </w:tcBorders>
            <w:vAlign w:val="center"/>
          </w:tcPr>
          <w:p w14:paraId="12247FA7">
            <w:pPr>
              <w:spacing w:line="360" w:lineRule="auto"/>
              <w:contextualSpacing/>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标的名称</w:t>
            </w:r>
          </w:p>
        </w:tc>
        <w:tc>
          <w:tcPr>
            <w:tcW w:w="762" w:type="dxa"/>
            <w:tcBorders>
              <w:top w:val="single" w:color="auto" w:sz="4" w:space="0"/>
              <w:left w:val="single" w:color="auto" w:sz="4" w:space="0"/>
              <w:bottom w:val="single" w:color="auto" w:sz="4" w:space="0"/>
              <w:right w:val="single" w:color="auto" w:sz="4" w:space="0"/>
            </w:tcBorders>
            <w:vAlign w:val="center"/>
          </w:tcPr>
          <w:p w14:paraId="55E4BCAF">
            <w:pPr>
              <w:spacing w:line="360" w:lineRule="auto"/>
              <w:contextualSpacing/>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数量</w:t>
            </w:r>
          </w:p>
        </w:tc>
        <w:tc>
          <w:tcPr>
            <w:tcW w:w="1194" w:type="dxa"/>
            <w:tcBorders>
              <w:top w:val="single" w:color="auto" w:sz="4" w:space="0"/>
              <w:left w:val="single" w:color="auto" w:sz="4" w:space="0"/>
              <w:bottom w:val="single" w:color="auto" w:sz="4" w:space="0"/>
              <w:right w:val="single" w:color="auto" w:sz="4" w:space="0"/>
            </w:tcBorders>
            <w:vAlign w:val="center"/>
          </w:tcPr>
          <w:p w14:paraId="18EE2315">
            <w:pPr>
              <w:spacing w:line="360" w:lineRule="auto"/>
              <w:contextualSpacing/>
              <w:jc w:val="center"/>
              <w:rPr>
                <w:rFonts w:asciiTheme="minorEastAsia" w:hAnsiTheme="minorEastAsia" w:eastAsiaTheme="minorEastAsia" w:cstheme="minorEastAsia"/>
                <w:b/>
                <w:bCs/>
                <w:sz w:val="24"/>
              </w:rPr>
            </w:pPr>
            <w:r>
              <w:rPr>
                <w:rFonts w:hint="eastAsia"/>
                <w:b/>
                <w:bCs/>
                <w:sz w:val="24"/>
              </w:rPr>
              <w:t>单价限价（元）</w:t>
            </w:r>
          </w:p>
        </w:tc>
        <w:tc>
          <w:tcPr>
            <w:tcW w:w="709" w:type="dxa"/>
            <w:tcBorders>
              <w:top w:val="single" w:color="auto" w:sz="4" w:space="0"/>
              <w:left w:val="single" w:color="auto" w:sz="4" w:space="0"/>
              <w:bottom w:val="single" w:color="auto" w:sz="4" w:space="0"/>
              <w:right w:val="single" w:color="auto" w:sz="4" w:space="0"/>
            </w:tcBorders>
            <w:vAlign w:val="center"/>
          </w:tcPr>
          <w:p w14:paraId="19F446C6">
            <w:pPr>
              <w:spacing w:line="360" w:lineRule="auto"/>
              <w:contextualSpacing/>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单位</w:t>
            </w:r>
          </w:p>
        </w:tc>
        <w:tc>
          <w:tcPr>
            <w:tcW w:w="1134" w:type="dxa"/>
            <w:tcBorders>
              <w:top w:val="single" w:color="auto" w:sz="4" w:space="0"/>
              <w:left w:val="single" w:color="auto" w:sz="4" w:space="0"/>
              <w:bottom w:val="single" w:color="auto" w:sz="4" w:space="0"/>
              <w:right w:val="single" w:color="auto" w:sz="4" w:space="0"/>
            </w:tcBorders>
            <w:vAlign w:val="center"/>
          </w:tcPr>
          <w:p w14:paraId="360FE4EF">
            <w:pPr>
              <w:contextualSpacing/>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是否接受进口产品</w:t>
            </w:r>
          </w:p>
        </w:tc>
        <w:tc>
          <w:tcPr>
            <w:tcW w:w="1670" w:type="dxa"/>
            <w:tcBorders>
              <w:top w:val="single" w:color="auto" w:sz="4" w:space="0"/>
              <w:left w:val="single" w:color="auto" w:sz="4" w:space="0"/>
              <w:bottom w:val="single" w:color="auto" w:sz="4" w:space="0"/>
              <w:right w:val="single" w:color="auto" w:sz="4" w:space="0"/>
            </w:tcBorders>
            <w:vAlign w:val="center"/>
          </w:tcPr>
          <w:p w14:paraId="34AA4BA0">
            <w:pPr>
              <w:spacing w:line="360" w:lineRule="auto"/>
              <w:contextualSpacing/>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备注</w:t>
            </w:r>
          </w:p>
          <w:p w14:paraId="6C7EC61A">
            <w:pPr>
              <w:spacing w:line="360" w:lineRule="auto"/>
              <w:contextualSpacing/>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（核心产品）</w:t>
            </w:r>
          </w:p>
        </w:tc>
      </w:tr>
      <w:tr w14:paraId="0D10B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017B4807">
            <w:pPr>
              <w:spacing w:line="360" w:lineRule="auto"/>
              <w:contextualSpacing/>
              <w:jc w:val="center"/>
              <w:rPr>
                <w:rFonts w:asciiTheme="minorEastAsia" w:hAnsiTheme="minorEastAsia" w:eastAsiaTheme="minorEastAsia" w:cstheme="minorEastAsia"/>
                <w:bCs/>
                <w:sz w:val="24"/>
              </w:rPr>
            </w:pPr>
            <w:bookmarkStart w:id="15" w:name="_Hlk210919889"/>
            <w:bookmarkStart w:id="16" w:name="_Hlk199025006" w:colFirst="1" w:colLast="5"/>
            <w:r>
              <w:rPr>
                <w:rFonts w:hint="eastAsia" w:asciiTheme="minorEastAsia" w:hAnsiTheme="minorEastAsia" w:eastAsiaTheme="minorEastAsia" w:cstheme="minorEastAsia"/>
                <w:bCs/>
                <w:sz w:val="24"/>
              </w:rPr>
              <w:t>1</w:t>
            </w:r>
          </w:p>
        </w:tc>
        <w:tc>
          <w:tcPr>
            <w:tcW w:w="3147" w:type="dxa"/>
            <w:shd w:val="clear" w:color="auto" w:fill="FFFFFF"/>
            <w:vAlign w:val="center"/>
          </w:tcPr>
          <w:p w14:paraId="6F1950F2">
            <w:pPr>
              <w:spacing w:line="360" w:lineRule="auto"/>
              <w:contextualSpacing/>
              <w:jc w:val="center"/>
              <w:rPr>
                <w:rFonts w:asciiTheme="minorEastAsia" w:hAnsiTheme="minorEastAsia" w:eastAsiaTheme="minorEastAsia" w:cstheme="minorEastAsia"/>
                <w:b/>
                <w:bCs/>
                <w:sz w:val="24"/>
              </w:rPr>
            </w:pPr>
            <w:bookmarkStart w:id="17" w:name="OLE_LINK1"/>
            <w:bookmarkStart w:id="18" w:name="OLE_LINK2"/>
            <w:r>
              <w:rPr>
                <w:rFonts w:hint="eastAsia" w:asciiTheme="minorEastAsia" w:hAnsiTheme="minorEastAsia" w:eastAsiaTheme="minorEastAsia" w:cstheme="minorEastAsia"/>
                <w:b/>
                <w:bCs/>
                <w:sz w:val="24"/>
              </w:rPr>
              <w:t>HIS核心数据库服务器</w:t>
            </w:r>
            <w:bookmarkEnd w:id="17"/>
            <w:bookmarkEnd w:id="18"/>
          </w:p>
        </w:tc>
        <w:tc>
          <w:tcPr>
            <w:tcW w:w="762" w:type="dxa"/>
            <w:shd w:val="clear" w:color="000000" w:fill="FFFFFF"/>
            <w:vAlign w:val="center"/>
          </w:tcPr>
          <w:p w14:paraId="1A41E83C">
            <w:pPr>
              <w:spacing w:line="360" w:lineRule="auto"/>
              <w:contextualSpacing/>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 xml:space="preserve">2 </w:t>
            </w:r>
          </w:p>
        </w:tc>
        <w:tc>
          <w:tcPr>
            <w:tcW w:w="1194" w:type="dxa"/>
            <w:tcBorders>
              <w:top w:val="single" w:color="auto" w:sz="4" w:space="0"/>
              <w:left w:val="single" w:color="auto" w:sz="4" w:space="0"/>
              <w:bottom w:val="single" w:color="auto" w:sz="4" w:space="0"/>
              <w:right w:val="single" w:color="auto" w:sz="4" w:space="0"/>
            </w:tcBorders>
            <w:vAlign w:val="center"/>
          </w:tcPr>
          <w:p w14:paraId="547980CD">
            <w:pPr>
              <w:spacing w:line="360" w:lineRule="auto"/>
              <w:contextualSpacing/>
              <w:jc w:val="center"/>
              <w:rPr>
                <w:rFonts w:asciiTheme="minorEastAsia" w:hAnsiTheme="minorEastAsia" w:eastAsiaTheme="minorEastAsia" w:cstheme="minorEastAsia"/>
                <w:b/>
                <w:bCs/>
                <w:sz w:val="24"/>
              </w:rPr>
            </w:pPr>
            <w:r>
              <w:rPr>
                <w:rFonts w:hint="eastAsia" w:asciiTheme="minorEastAsia" w:hAnsiTheme="minorEastAsia" w:eastAsiaTheme="minorEastAsia"/>
                <w:b/>
                <w:bCs/>
                <w:sz w:val="24"/>
              </w:rPr>
              <w:t>200000</w:t>
            </w:r>
          </w:p>
        </w:tc>
        <w:tc>
          <w:tcPr>
            <w:tcW w:w="709" w:type="dxa"/>
            <w:tcBorders>
              <w:top w:val="single" w:color="auto" w:sz="4" w:space="0"/>
              <w:left w:val="single" w:color="auto" w:sz="4" w:space="0"/>
              <w:bottom w:val="single" w:color="auto" w:sz="4" w:space="0"/>
              <w:right w:val="single" w:color="auto" w:sz="4" w:space="0"/>
            </w:tcBorders>
            <w:vAlign w:val="center"/>
          </w:tcPr>
          <w:p w14:paraId="672F3072">
            <w:pPr>
              <w:spacing w:line="360" w:lineRule="auto"/>
              <w:contextualSpacing/>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台</w:t>
            </w:r>
          </w:p>
        </w:tc>
        <w:tc>
          <w:tcPr>
            <w:tcW w:w="1134" w:type="dxa"/>
            <w:tcBorders>
              <w:top w:val="single" w:color="auto" w:sz="4" w:space="0"/>
              <w:left w:val="single" w:color="auto" w:sz="4" w:space="0"/>
              <w:bottom w:val="single" w:color="auto" w:sz="4" w:space="0"/>
              <w:right w:val="single" w:color="auto" w:sz="4" w:space="0"/>
            </w:tcBorders>
            <w:vAlign w:val="center"/>
          </w:tcPr>
          <w:p w14:paraId="48C08CF8">
            <w:pPr>
              <w:spacing w:line="360" w:lineRule="auto"/>
              <w:contextualSpacing/>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否</w:t>
            </w:r>
          </w:p>
        </w:tc>
        <w:tc>
          <w:tcPr>
            <w:tcW w:w="1670" w:type="dxa"/>
            <w:tcBorders>
              <w:top w:val="single" w:color="auto" w:sz="4" w:space="0"/>
              <w:left w:val="single" w:color="auto" w:sz="4" w:space="0"/>
              <w:bottom w:val="single" w:color="auto" w:sz="4" w:space="0"/>
              <w:right w:val="single" w:color="auto" w:sz="4" w:space="0"/>
            </w:tcBorders>
            <w:vAlign w:val="center"/>
          </w:tcPr>
          <w:p w14:paraId="451B53E8">
            <w:pPr>
              <w:spacing w:line="360" w:lineRule="auto"/>
              <w:contextualSpacing/>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是</w:t>
            </w:r>
          </w:p>
        </w:tc>
      </w:tr>
      <w:tr w14:paraId="65D0C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7197CFDB">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2</w:t>
            </w:r>
          </w:p>
        </w:tc>
        <w:tc>
          <w:tcPr>
            <w:tcW w:w="3147" w:type="dxa"/>
            <w:shd w:val="clear" w:color="auto" w:fill="FFFFFF"/>
            <w:vAlign w:val="center"/>
          </w:tcPr>
          <w:p w14:paraId="2BDB66A5">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HIS核心数据库灾备服务器</w:t>
            </w:r>
          </w:p>
        </w:tc>
        <w:tc>
          <w:tcPr>
            <w:tcW w:w="762" w:type="dxa"/>
            <w:shd w:val="clear" w:color="000000" w:fill="FFFFFF"/>
            <w:vAlign w:val="center"/>
          </w:tcPr>
          <w:p w14:paraId="1CAA7870">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 xml:space="preserve">1 </w:t>
            </w:r>
          </w:p>
        </w:tc>
        <w:tc>
          <w:tcPr>
            <w:tcW w:w="1194" w:type="dxa"/>
            <w:tcBorders>
              <w:top w:val="single" w:color="auto" w:sz="4" w:space="0"/>
              <w:left w:val="single" w:color="auto" w:sz="4" w:space="0"/>
              <w:bottom w:val="single" w:color="auto" w:sz="4" w:space="0"/>
              <w:right w:val="single" w:color="auto" w:sz="4" w:space="0"/>
            </w:tcBorders>
            <w:vAlign w:val="center"/>
          </w:tcPr>
          <w:p w14:paraId="5CA794CB">
            <w:pPr>
              <w:spacing w:line="360" w:lineRule="auto"/>
              <w:contextualSpacing/>
              <w:jc w:val="center"/>
              <w:rPr>
                <w:rFonts w:asciiTheme="minorEastAsia" w:hAnsiTheme="minorEastAsia" w:eastAsiaTheme="minorEastAsia" w:cstheme="minorEastAsia"/>
                <w:sz w:val="24"/>
              </w:rPr>
            </w:pPr>
            <w:r>
              <w:rPr>
                <w:rFonts w:hint="eastAsia" w:asciiTheme="minorEastAsia" w:hAnsiTheme="minorEastAsia" w:eastAsiaTheme="minorEastAsia"/>
                <w:sz w:val="24"/>
              </w:rPr>
              <w:t>225000</w:t>
            </w:r>
          </w:p>
        </w:tc>
        <w:tc>
          <w:tcPr>
            <w:tcW w:w="709" w:type="dxa"/>
            <w:tcBorders>
              <w:top w:val="single" w:color="auto" w:sz="4" w:space="0"/>
              <w:left w:val="single" w:color="auto" w:sz="4" w:space="0"/>
              <w:bottom w:val="single" w:color="auto" w:sz="4" w:space="0"/>
              <w:right w:val="single" w:color="auto" w:sz="4" w:space="0"/>
            </w:tcBorders>
            <w:vAlign w:val="center"/>
          </w:tcPr>
          <w:p w14:paraId="145546AF">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台</w:t>
            </w:r>
          </w:p>
        </w:tc>
        <w:tc>
          <w:tcPr>
            <w:tcW w:w="1134" w:type="dxa"/>
            <w:tcBorders>
              <w:top w:val="single" w:color="auto" w:sz="4" w:space="0"/>
              <w:left w:val="single" w:color="auto" w:sz="4" w:space="0"/>
              <w:bottom w:val="single" w:color="auto" w:sz="4" w:space="0"/>
              <w:right w:val="single" w:color="auto" w:sz="4" w:space="0"/>
            </w:tcBorders>
            <w:vAlign w:val="center"/>
          </w:tcPr>
          <w:p w14:paraId="63FA8CC7">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c>
          <w:tcPr>
            <w:tcW w:w="1670" w:type="dxa"/>
            <w:tcBorders>
              <w:top w:val="single" w:color="auto" w:sz="4" w:space="0"/>
              <w:left w:val="single" w:color="auto" w:sz="4" w:space="0"/>
              <w:bottom w:val="single" w:color="auto" w:sz="4" w:space="0"/>
              <w:right w:val="single" w:color="auto" w:sz="4" w:space="0"/>
            </w:tcBorders>
            <w:vAlign w:val="center"/>
          </w:tcPr>
          <w:p w14:paraId="73FC56DC">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r>
      <w:tr w14:paraId="622F0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25B1B960">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3</w:t>
            </w:r>
          </w:p>
        </w:tc>
        <w:tc>
          <w:tcPr>
            <w:tcW w:w="3147" w:type="dxa"/>
            <w:shd w:val="clear" w:color="auto" w:fill="FFFFFF"/>
            <w:vAlign w:val="center"/>
          </w:tcPr>
          <w:p w14:paraId="312A0CF6">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PACS/HIS/EMR应用服务器超融合集群</w:t>
            </w:r>
          </w:p>
        </w:tc>
        <w:tc>
          <w:tcPr>
            <w:tcW w:w="762" w:type="dxa"/>
            <w:shd w:val="clear" w:color="000000" w:fill="FFFFFF"/>
            <w:vAlign w:val="center"/>
          </w:tcPr>
          <w:p w14:paraId="3937C2AA">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 xml:space="preserve">15 </w:t>
            </w:r>
          </w:p>
        </w:tc>
        <w:tc>
          <w:tcPr>
            <w:tcW w:w="1194" w:type="dxa"/>
            <w:tcBorders>
              <w:top w:val="single" w:color="auto" w:sz="4" w:space="0"/>
              <w:left w:val="single" w:color="auto" w:sz="4" w:space="0"/>
              <w:bottom w:val="single" w:color="auto" w:sz="4" w:space="0"/>
              <w:right w:val="single" w:color="auto" w:sz="4" w:space="0"/>
            </w:tcBorders>
            <w:vAlign w:val="center"/>
          </w:tcPr>
          <w:p w14:paraId="44C00B39">
            <w:pPr>
              <w:spacing w:line="360" w:lineRule="auto"/>
              <w:contextualSpacing/>
              <w:jc w:val="center"/>
              <w:rPr>
                <w:rFonts w:asciiTheme="minorEastAsia" w:hAnsiTheme="minorEastAsia" w:eastAsiaTheme="minorEastAsia" w:cstheme="minorEastAsia"/>
                <w:sz w:val="24"/>
              </w:rPr>
            </w:pPr>
            <w:r>
              <w:rPr>
                <w:rFonts w:hint="eastAsia" w:asciiTheme="minorEastAsia" w:hAnsiTheme="minorEastAsia" w:eastAsiaTheme="minorEastAsia"/>
                <w:sz w:val="24"/>
              </w:rPr>
              <w:t>215000</w:t>
            </w:r>
          </w:p>
        </w:tc>
        <w:tc>
          <w:tcPr>
            <w:tcW w:w="709" w:type="dxa"/>
            <w:tcBorders>
              <w:top w:val="single" w:color="auto" w:sz="4" w:space="0"/>
              <w:left w:val="single" w:color="auto" w:sz="4" w:space="0"/>
              <w:bottom w:val="single" w:color="auto" w:sz="4" w:space="0"/>
              <w:right w:val="single" w:color="auto" w:sz="4" w:space="0"/>
            </w:tcBorders>
            <w:vAlign w:val="center"/>
          </w:tcPr>
          <w:p w14:paraId="448C786A">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套</w:t>
            </w:r>
          </w:p>
        </w:tc>
        <w:tc>
          <w:tcPr>
            <w:tcW w:w="1134" w:type="dxa"/>
            <w:tcBorders>
              <w:top w:val="single" w:color="auto" w:sz="4" w:space="0"/>
              <w:left w:val="single" w:color="auto" w:sz="4" w:space="0"/>
              <w:bottom w:val="single" w:color="auto" w:sz="4" w:space="0"/>
              <w:right w:val="single" w:color="auto" w:sz="4" w:space="0"/>
            </w:tcBorders>
            <w:vAlign w:val="center"/>
          </w:tcPr>
          <w:p w14:paraId="0A373AB7">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c>
          <w:tcPr>
            <w:tcW w:w="1670" w:type="dxa"/>
            <w:tcBorders>
              <w:top w:val="single" w:color="auto" w:sz="4" w:space="0"/>
              <w:left w:val="single" w:color="auto" w:sz="4" w:space="0"/>
              <w:bottom w:val="single" w:color="auto" w:sz="4" w:space="0"/>
              <w:right w:val="single" w:color="auto" w:sz="4" w:space="0"/>
            </w:tcBorders>
            <w:vAlign w:val="center"/>
          </w:tcPr>
          <w:p w14:paraId="69A4EB60">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r>
      <w:bookmarkEnd w:id="15"/>
      <w:tr w14:paraId="2FCB6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6EA75187">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4</w:t>
            </w:r>
          </w:p>
        </w:tc>
        <w:tc>
          <w:tcPr>
            <w:tcW w:w="3147" w:type="dxa"/>
            <w:shd w:val="clear" w:color="auto" w:fill="FFFFFF"/>
            <w:vAlign w:val="center"/>
          </w:tcPr>
          <w:p w14:paraId="12508211">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临床数据中心hadoop集群</w:t>
            </w:r>
          </w:p>
        </w:tc>
        <w:tc>
          <w:tcPr>
            <w:tcW w:w="762" w:type="dxa"/>
            <w:shd w:val="clear" w:color="000000" w:fill="FFFFFF"/>
            <w:vAlign w:val="center"/>
          </w:tcPr>
          <w:p w14:paraId="30BDBD61">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 xml:space="preserve">12 </w:t>
            </w:r>
          </w:p>
        </w:tc>
        <w:tc>
          <w:tcPr>
            <w:tcW w:w="1194" w:type="dxa"/>
            <w:tcBorders>
              <w:top w:val="single" w:color="auto" w:sz="4" w:space="0"/>
              <w:left w:val="single" w:color="auto" w:sz="4" w:space="0"/>
              <w:bottom w:val="single" w:color="auto" w:sz="4" w:space="0"/>
              <w:right w:val="single" w:color="auto" w:sz="4" w:space="0"/>
            </w:tcBorders>
            <w:vAlign w:val="center"/>
          </w:tcPr>
          <w:p w14:paraId="70B2BC3D">
            <w:pPr>
              <w:spacing w:line="360" w:lineRule="auto"/>
              <w:contextualSpacing/>
              <w:jc w:val="center"/>
              <w:rPr>
                <w:rFonts w:asciiTheme="minorEastAsia" w:hAnsiTheme="minorEastAsia" w:eastAsiaTheme="minorEastAsia" w:cstheme="minorEastAsia"/>
                <w:sz w:val="24"/>
              </w:rPr>
            </w:pPr>
            <w:r>
              <w:rPr>
                <w:rFonts w:hint="eastAsia" w:asciiTheme="minorEastAsia" w:hAnsiTheme="minorEastAsia" w:eastAsiaTheme="minorEastAsia"/>
                <w:sz w:val="24"/>
              </w:rPr>
              <w:t>140000</w:t>
            </w:r>
          </w:p>
        </w:tc>
        <w:tc>
          <w:tcPr>
            <w:tcW w:w="709" w:type="dxa"/>
            <w:tcBorders>
              <w:top w:val="single" w:color="auto" w:sz="4" w:space="0"/>
              <w:left w:val="single" w:color="auto" w:sz="4" w:space="0"/>
              <w:bottom w:val="single" w:color="auto" w:sz="4" w:space="0"/>
              <w:right w:val="single" w:color="auto" w:sz="4" w:space="0"/>
            </w:tcBorders>
            <w:vAlign w:val="center"/>
          </w:tcPr>
          <w:p w14:paraId="47692DA4">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套</w:t>
            </w:r>
          </w:p>
        </w:tc>
        <w:tc>
          <w:tcPr>
            <w:tcW w:w="1134" w:type="dxa"/>
            <w:tcBorders>
              <w:top w:val="single" w:color="auto" w:sz="4" w:space="0"/>
              <w:left w:val="single" w:color="auto" w:sz="4" w:space="0"/>
              <w:bottom w:val="single" w:color="auto" w:sz="4" w:space="0"/>
              <w:right w:val="single" w:color="auto" w:sz="4" w:space="0"/>
            </w:tcBorders>
            <w:vAlign w:val="center"/>
          </w:tcPr>
          <w:p w14:paraId="131E42CF">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c>
          <w:tcPr>
            <w:tcW w:w="1670" w:type="dxa"/>
            <w:tcBorders>
              <w:top w:val="single" w:color="auto" w:sz="4" w:space="0"/>
              <w:left w:val="single" w:color="auto" w:sz="4" w:space="0"/>
              <w:bottom w:val="single" w:color="auto" w:sz="4" w:space="0"/>
              <w:right w:val="single" w:color="auto" w:sz="4" w:space="0"/>
            </w:tcBorders>
          </w:tcPr>
          <w:p w14:paraId="5EFBE172">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r>
      <w:tr w14:paraId="6ED95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54F3FCF2">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5</w:t>
            </w:r>
          </w:p>
        </w:tc>
        <w:tc>
          <w:tcPr>
            <w:tcW w:w="3147" w:type="dxa"/>
            <w:shd w:val="clear" w:color="auto" w:fill="FFFFFF"/>
            <w:vAlign w:val="center"/>
          </w:tcPr>
          <w:p w14:paraId="2A258577">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其他业务数据库虚拟化服务器</w:t>
            </w:r>
          </w:p>
        </w:tc>
        <w:tc>
          <w:tcPr>
            <w:tcW w:w="762" w:type="dxa"/>
            <w:shd w:val="clear" w:color="000000" w:fill="FFFFFF"/>
            <w:vAlign w:val="center"/>
          </w:tcPr>
          <w:p w14:paraId="2533A0C4">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 xml:space="preserve">9 </w:t>
            </w:r>
          </w:p>
        </w:tc>
        <w:tc>
          <w:tcPr>
            <w:tcW w:w="1194" w:type="dxa"/>
            <w:tcBorders>
              <w:top w:val="single" w:color="auto" w:sz="4" w:space="0"/>
              <w:left w:val="single" w:color="auto" w:sz="4" w:space="0"/>
              <w:bottom w:val="single" w:color="auto" w:sz="4" w:space="0"/>
              <w:right w:val="single" w:color="auto" w:sz="4" w:space="0"/>
            </w:tcBorders>
            <w:vAlign w:val="center"/>
          </w:tcPr>
          <w:p w14:paraId="4B3DFE96">
            <w:pPr>
              <w:spacing w:line="360" w:lineRule="auto"/>
              <w:contextualSpacing/>
              <w:jc w:val="center"/>
              <w:rPr>
                <w:rFonts w:asciiTheme="minorEastAsia" w:hAnsiTheme="minorEastAsia" w:eastAsiaTheme="minorEastAsia" w:cstheme="minorEastAsia"/>
                <w:sz w:val="24"/>
              </w:rPr>
            </w:pPr>
            <w:r>
              <w:rPr>
                <w:rFonts w:hint="eastAsia" w:asciiTheme="minorEastAsia" w:hAnsiTheme="minorEastAsia" w:eastAsiaTheme="minorEastAsia"/>
                <w:sz w:val="24"/>
              </w:rPr>
              <w:t>210000</w:t>
            </w:r>
          </w:p>
        </w:tc>
        <w:tc>
          <w:tcPr>
            <w:tcW w:w="709" w:type="dxa"/>
            <w:tcBorders>
              <w:top w:val="single" w:color="auto" w:sz="4" w:space="0"/>
              <w:left w:val="single" w:color="auto" w:sz="4" w:space="0"/>
              <w:bottom w:val="single" w:color="auto" w:sz="4" w:space="0"/>
              <w:right w:val="single" w:color="auto" w:sz="4" w:space="0"/>
            </w:tcBorders>
            <w:vAlign w:val="center"/>
          </w:tcPr>
          <w:p w14:paraId="74B93B8C">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台</w:t>
            </w:r>
          </w:p>
        </w:tc>
        <w:tc>
          <w:tcPr>
            <w:tcW w:w="1134" w:type="dxa"/>
            <w:tcBorders>
              <w:top w:val="single" w:color="auto" w:sz="4" w:space="0"/>
              <w:left w:val="single" w:color="auto" w:sz="4" w:space="0"/>
              <w:bottom w:val="single" w:color="auto" w:sz="4" w:space="0"/>
              <w:right w:val="single" w:color="auto" w:sz="4" w:space="0"/>
            </w:tcBorders>
            <w:vAlign w:val="center"/>
          </w:tcPr>
          <w:p w14:paraId="1C0CD455">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c>
          <w:tcPr>
            <w:tcW w:w="1670" w:type="dxa"/>
            <w:tcBorders>
              <w:top w:val="single" w:color="auto" w:sz="4" w:space="0"/>
              <w:left w:val="single" w:color="auto" w:sz="4" w:space="0"/>
              <w:bottom w:val="single" w:color="auto" w:sz="4" w:space="0"/>
              <w:right w:val="single" w:color="auto" w:sz="4" w:space="0"/>
            </w:tcBorders>
          </w:tcPr>
          <w:p w14:paraId="698E2AAF">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r>
      <w:tr w14:paraId="24745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66A918B3">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6</w:t>
            </w:r>
          </w:p>
        </w:tc>
        <w:tc>
          <w:tcPr>
            <w:tcW w:w="3147" w:type="dxa"/>
            <w:shd w:val="clear" w:color="auto" w:fill="FFFFFF"/>
            <w:vAlign w:val="center"/>
          </w:tcPr>
          <w:p w14:paraId="02C1919B">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其他业务超融合集群</w:t>
            </w:r>
          </w:p>
        </w:tc>
        <w:tc>
          <w:tcPr>
            <w:tcW w:w="762" w:type="dxa"/>
            <w:shd w:val="clear" w:color="000000" w:fill="FFFFFF"/>
            <w:vAlign w:val="center"/>
          </w:tcPr>
          <w:p w14:paraId="52A71FFB">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 xml:space="preserve">9 </w:t>
            </w:r>
          </w:p>
        </w:tc>
        <w:tc>
          <w:tcPr>
            <w:tcW w:w="1194" w:type="dxa"/>
            <w:tcBorders>
              <w:top w:val="single" w:color="auto" w:sz="4" w:space="0"/>
              <w:left w:val="single" w:color="auto" w:sz="4" w:space="0"/>
              <w:bottom w:val="single" w:color="auto" w:sz="4" w:space="0"/>
              <w:right w:val="single" w:color="auto" w:sz="4" w:space="0"/>
            </w:tcBorders>
            <w:vAlign w:val="center"/>
          </w:tcPr>
          <w:p w14:paraId="5FDB0819">
            <w:pPr>
              <w:spacing w:line="360" w:lineRule="auto"/>
              <w:contextualSpacing/>
              <w:jc w:val="center"/>
              <w:rPr>
                <w:rFonts w:asciiTheme="minorEastAsia" w:hAnsiTheme="minorEastAsia" w:eastAsiaTheme="minorEastAsia" w:cstheme="minorEastAsia"/>
                <w:sz w:val="24"/>
              </w:rPr>
            </w:pPr>
            <w:r>
              <w:rPr>
                <w:rFonts w:hint="eastAsia" w:asciiTheme="minorEastAsia" w:hAnsiTheme="minorEastAsia" w:eastAsiaTheme="minorEastAsia"/>
                <w:sz w:val="24"/>
              </w:rPr>
              <w:t>215000</w:t>
            </w:r>
          </w:p>
        </w:tc>
        <w:tc>
          <w:tcPr>
            <w:tcW w:w="709" w:type="dxa"/>
            <w:tcBorders>
              <w:top w:val="single" w:color="auto" w:sz="4" w:space="0"/>
              <w:left w:val="single" w:color="auto" w:sz="4" w:space="0"/>
              <w:bottom w:val="single" w:color="auto" w:sz="4" w:space="0"/>
              <w:right w:val="single" w:color="auto" w:sz="4" w:space="0"/>
            </w:tcBorders>
            <w:vAlign w:val="center"/>
          </w:tcPr>
          <w:p w14:paraId="11579431">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套</w:t>
            </w:r>
          </w:p>
        </w:tc>
        <w:tc>
          <w:tcPr>
            <w:tcW w:w="1134" w:type="dxa"/>
            <w:tcBorders>
              <w:top w:val="single" w:color="auto" w:sz="4" w:space="0"/>
              <w:left w:val="single" w:color="auto" w:sz="4" w:space="0"/>
              <w:bottom w:val="single" w:color="auto" w:sz="4" w:space="0"/>
              <w:right w:val="single" w:color="auto" w:sz="4" w:space="0"/>
            </w:tcBorders>
            <w:vAlign w:val="center"/>
          </w:tcPr>
          <w:p w14:paraId="4A768209">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c>
          <w:tcPr>
            <w:tcW w:w="1670" w:type="dxa"/>
            <w:tcBorders>
              <w:top w:val="single" w:color="auto" w:sz="4" w:space="0"/>
              <w:left w:val="single" w:color="auto" w:sz="4" w:space="0"/>
              <w:bottom w:val="single" w:color="auto" w:sz="4" w:space="0"/>
              <w:right w:val="single" w:color="auto" w:sz="4" w:space="0"/>
            </w:tcBorders>
          </w:tcPr>
          <w:p w14:paraId="3ACCC65A">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r>
      <w:tr w14:paraId="136BD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41B08411">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7</w:t>
            </w:r>
          </w:p>
        </w:tc>
        <w:tc>
          <w:tcPr>
            <w:tcW w:w="3147" w:type="dxa"/>
            <w:shd w:val="clear" w:color="auto" w:fill="FFFFFF"/>
            <w:vAlign w:val="center"/>
          </w:tcPr>
          <w:p w14:paraId="78DAFF05">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外网DMZ超融合集群</w:t>
            </w:r>
          </w:p>
        </w:tc>
        <w:tc>
          <w:tcPr>
            <w:tcW w:w="762" w:type="dxa"/>
            <w:shd w:val="clear" w:color="000000" w:fill="FFFFFF"/>
            <w:vAlign w:val="center"/>
          </w:tcPr>
          <w:p w14:paraId="75767932">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 xml:space="preserve">5 </w:t>
            </w:r>
          </w:p>
        </w:tc>
        <w:tc>
          <w:tcPr>
            <w:tcW w:w="1194" w:type="dxa"/>
            <w:tcBorders>
              <w:top w:val="single" w:color="auto" w:sz="4" w:space="0"/>
              <w:left w:val="single" w:color="auto" w:sz="4" w:space="0"/>
              <w:bottom w:val="single" w:color="auto" w:sz="4" w:space="0"/>
              <w:right w:val="single" w:color="auto" w:sz="4" w:space="0"/>
            </w:tcBorders>
            <w:vAlign w:val="center"/>
          </w:tcPr>
          <w:p w14:paraId="2B821F91">
            <w:pPr>
              <w:spacing w:line="360" w:lineRule="auto"/>
              <w:contextualSpacing/>
              <w:jc w:val="center"/>
              <w:rPr>
                <w:rFonts w:asciiTheme="minorEastAsia" w:hAnsiTheme="minorEastAsia" w:eastAsiaTheme="minorEastAsia" w:cstheme="minorEastAsia"/>
                <w:sz w:val="24"/>
              </w:rPr>
            </w:pPr>
            <w:r>
              <w:rPr>
                <w:rFonts w:hint="eastAsia" w:asciiTheme="minorEastAsia" w:hAnsiTheme="minorEastAsia" w:eastAsiaTheme="minorEastAsia"/>
                <w:sz w:val="24"/>
              </w:rPr>
              <w:t>200000</w:t>
            </w:r>
          </w:p>
        </w:tc>
        <w:tc>
          <w:tcPr>
            <w:tcW w:w="709" w:type="dxa"/>
            <w:tcBorders>
              <w:top w:val="single" w:color="auto" w:sz="4" w:space="0"/>
              <w:left w:val="single" w:color="auto" w:sz="4" w:space="0"/>
              <w:bottom w:val="single" w:color="auto" w:sz="4" w:space="0"/>
              <w:right w:val="single" w:color="auto" w:sz="4" w:space="0"/>
            </w:tcBorders>
            <w:vAlign w:val="center"/>
          </w:tcPr>
          <w:p w14:paraId="1A006C50">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套</w:t>
            </w:r>
          </w:p>
        </w:tc>
        <w:tc>
          <w:tcPr>
            <w:tcW w:w="1134" w:type="dxa"/>
            <w:tcBorders>
              <w:top w:val="single" w:color="auto" w:sz="4" w:space="0"/>
              <w:left w:val="single" w:color="auto" w:sz="4" w:space="0"/>
              <w:bottom w:val="single" w:color="auto" w:sz="4" w:space="0"/>
              <w:right w:val="single" w:color="auto" w:sz="4" w:space="0"/>
            </w:tcBorders>
            <w:vAlign w:val="center"/>
          </w:tcPr>
          <w:p w14:paraId="618A1BEE">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c>
          <w:tcPr>
            <w:tcW w:w="1670" w:type="dxa"/>
            <w:tcBorders>
              <w:top w:val="single" w:color="auto" w:sz="4" w:space="0"/>
              <w:left w:val="single" w:color="auto" w:sz="4" w:space="0"/>
              <w:bottom w:val="single" w:color="auto" w:sz="4" w:space="0"/>
              <w:right w:val="single" w:color="auto" w:sz="4" w:space="0"/>
            </w:tcBorders>
          </w:tcPr>
          <w:p w14:paraId="08A84D98">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r>
      <w:tr w14:paraId="1AA7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103BE9C5">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8</w:t>
            </w:r>
          </w:p>
        </w:tc>
        <w:tc>
          <w:tcPr>
            <w:tcW w:w="3147" w:type="dxa"/>
            <w:shd w:val="clear" w:color="auto" w:fill="FFFFFF"/>
            <w:vAlign w:val="center"/>
          </w:tcPr>
          <w:p w14:paraId="3425D07F">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外网业务超融合集群</w:t>
            </w:r>
          </w:p>
        </w:tc>
        <w:tc>
          <w:tcPr>
            <w:tcW w:w="762" w:type="dxa"/>
            <w:shd w:val="clear" w:color="000000" w:fill="FFFFFF"/>
            <w:vAlign w:val="center"/>
          </w:tcPr>
          <w:p w14:paraId="09A0D96E">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 xml:space="preserve">5 </w:t>
            </w:r>
          </w:p>
        </w:tc>
        <w:tc>
          <w:tcPr>
            <w:tcW w:w="1194" w:type="dxa"/>
            <w:tcBorders>
              <w:top w:val="single" w:color="auto" w:sz="4" w:space="0"/>
              <w:left w:val="single" w:color="auto" w:sz="4" w:space="0"/>
              <w:bottom w:val="single" w:color="auto" w:sz="4" w:space="0"/>
              <w:right w:val="single" w:color="auto" w:sz="4" w:space="0"/>
            </w:tcBorders>
            <w:vAlign w:val="center"/>
          </w:tcPr>
          <w:p w14:paraId="3F760EFD">
            <w:pPr>
              <w:spacing w:line="360" w:lineRule="auto"/>
              <w:contextualSpacing/>
              <w:jc w:val="center"/>
              <w:rPr>
                <w:rFonts w:asciiTheme="minorEastAsia" w:hAnsiTheme="minorEastAsia" w:eastAsiaTheme="minorEastAsia" w:cstheme="minorEastAsia"/>
                <w:sz w:val="24"/>
              </w:rPr>
            </w:pPr>
            <w:r>
              <w:rPr>
                <w:rFonts w:hint="eastAsia" w:asciiTheme="minorEastAsia" w:hAnsiTheme="minorEastAsia" w:eastAsiaTheme="minorEastAsia"/>
                <w:sz w:val="24"/>
              </w:rPr>
              <w:t>200000</w:t>
            </w:r>
          </w:p>
        </w:tc>
        <w:tc>
          <w:tcPr>
            <w:tcW w:w="709" w:type="dxa"/>
            <w:tcBorders>
              <w:top w:val="single" w:color="auto" w:sz="4" w:space="0"/>
              <w:left w:val="single" w:color="auto" w:sz="4" w:space="0"/>
              <w:bottom w:val="single" w:color="auto" w:sz="4" w:space="0"/>
              <w:right w:val="single" w:color="auto" w:sz="4" w:space="0"/>
            </w:tcBorders>
            <w:vAlign w:val="center"/>
          </w:tcPr>
          <w:p w14:paraId="7A3FE317">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套</w:t>
            </w:r>
          </w:p>
        </w:tc>
        <w:tc>
          <w:tcPr>
            <w:tcW w:w="1134" w:type="dxa"/>
            <w:tcBorders>
              <w:top w:val="single" w:color="auto" w:sz="4" w:space="0"/>
              <w:left w:val="single" w:color="auto" w:sz="4" w:space="0"/>
              <w:bottom w:val="single" w:color="auto" w:sz="4" w:space="0"/>
              <w:right w:val="single" w:color="auto" w:sz="4" w:space="0"/>
            </w:tcBorders>
            <w:vAlign w:val="center"/>
          </w:tcPr>
          <w:p w14:paraId="371643EB">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c>
          <w:tcPr>
            <w:tcW w:w="1670" w:type="dxa"/>
            <w:tcBorders>
              <w:top w:val="single" w:color="auto" w:sz="4" w:space="0"/>
              <w:left w:val="single" w:color="auto" w:sz="4" w:space="0"/>
              <w:bottom w:val="single" w:color="auto" w:sz="4" w:space="0"/>
              <w:right w:val="single" w:color="auto" w:sz="4" w:space="0"/>
            </w:tcBorders>
          </w:tcPr>
          <w:p w14:paraId="7F9FCE3D">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r>
      <w:tr w14:paraId="4283A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2C3FBB27">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9</w:t>
            </w:r>
          </w:p>
        </w:tc>
        <w:tc>
          <w:tcPr>
            <w:tcW w:w="3147" w:type="dxa"/>
            <w:shd w:val="clear" w:color="auto" w:fill="FFFFFF"/>
            <w:vAlign w:val="center"/>
          </w:tcPr>
          <w:p w14:paraId="7B1EBCB0">
            <w:pPr>
              <w:spacing w:line="360" w:lineRule="auto"/>
              <w:contextualSpacing/>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内外网交互区超融合集群</w:t>
            </w:r>
          </w:p>
        </w:tc>
        <w:tc>
          <w:tcPr>
            <w:tcW w:w="762" w:type="dxa"/>
            <w:shd w:val="clear" w:color="000000" w:fill="FFFFFF"/>
            <w:vAlign w:val="center"/>
          </w:tcPr>
          <w:p w14:paraId="617B63B2">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 xml:space="preserve">4 </w:t>
            </w:r>
          </w:p>
        </w:tc>
        <w:tc>
          <w:tcPr>
            <w:tcW w:w="1194" w:type="dxa"/>
            <w:tcBorders>
              <w:top w:val="single" w:color="auto" w:sz="4" w:space="0"/>
              <w:left w:val="single" w:color="auto" w:sz="4" w:space="0"/>
              <w:bottom w:val="single" w:color="auto" w:sz="4" w:space="0"/>
              <w:right w:val="single" w:color="auto" w:sz="4" w:space="0"/>
            </w:tcBorders>
            <w:vAlign w:val="center"/>
          </w:tcPr>
          <w:p w14:paraId="29658AF9">
            <w:pPr>
              <w:spacing w:line="360" w:lineRule="auto"/>
              <w:contextualSpacing/>
              <w:jc w:val="center"/>
              <w:rPr>
                <w:rFonts w:asciiTheme="minorEastAsia" w:hAnsiTheme="minorEastAsia" w:eastAsiaTheme="minorEastAsia" w:cstheme="minorEastAsia"/>
                <w:sz w:val="24"/>
              </w:rPr>
            </w:pPr>
            <w:r>
              <w:rPr>
                <w:rFonts w:hint="eastAsia" w:asciiTheme="minorEastAsia" w:hAnsiTheme="minorEastAsia" w:eastAsiaTheme="minorEastAsia"/>
                <w:sz w:val="24"/>
              </w:rPr>
              <w:t>185000</w:t>
            </w:r>
          </w:p>
        </w:tc>
        <w:tc>
          <w:tcPr>
            <w:tcW w:w="709" w:type="dxa"/>
            <w:tcBorders>
              <w:top w:val="single" w:color="auto" w:sz="4" w:space="0"/>
              <w:left w:val="single" w:color="auto" w:sz="4" w:space="0"/>
              <w:bottom w:val="single" w:color="auto" w:sz="4" w:space="0"/>
              <w:right w:val="single" w:color="auto" w:sz="4" w:space="0"/>
            </w:tcBorders>
            <w:vAlign w:val="center"/>
          </w:tcPr>
          <w:p w14:paraId="6DFBC3B4">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套</w:t>
            </w:r>
          </w:p>
        </w:tc>
        <w:tc>
          <w:tcPr>
            <w:tcW w:w="1134" w:type="dxa"/>
            <w:tcBorders>
              <w:top w:val="single" w:color="auto" w:sz="4" w:space="0"/>
              <w:left w:val="single" w:color="auto" w:sz="4" w:space="0"/>
              <w:bottom w:val="single" w:color="auto" w:sz="4" w:space="0"/>
              <w:right w:val="single" w:color="auto" w:sz="4" w:space="0"/>
            </w:tcBorders>
            <w:vAlign w:val="center"/>
          </w:tcPr>
          <w:p w14:paraId="354927EE">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c>
          <w:tcPr>
            <w:tcW w:w="1670" w:type="dxa"/>
            <w:tcBorders>
              <w:top w:val="single" w:color="auto" w:sz="4" w:space="0"/>
              <w:left w:val="single" w:color="auto" w:sz="4" w:space="0"/>
              <w:bottom w:val="single" w:color="auto" w:sz="4" w:space="0"/>
              <w:right w:val="single" w:color="auto" w:sz="4" w:space="0"/>
            </w:tcBorders>
          </w:tcPr>
          <w:p w14:paraId="4AEE6C90">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r>
      <w:tr w14:paraId="4B675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0B0077DC">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10</w:t>
            </w:r>
          </w:p>
        </w:tc>
        <w:tc>
          <w:tcPr>
            <w:tcW w:w="3147" w:type="dxa"/>
            <w:shd w:val="clear" w:color="auto" w:fill="FFFFFF"/>
            <w:vAlign w:val="center"/>
          </w:tcPr>
          <w:p w14:paraId="233FBF46">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医保超融合集群</w:t>
            </w:r>
          </w:p>
        </w:tc>
        <w:tc>
          <w:tcPr>
            <w:tcW w:w="762" w:type="dxa"/>
            <w:shd w:val="clear" w:color="000000" w:fill="FFFFFF"/>
            <w:vAlign w:val="center"/>
          </w:tcPr>
          <w:p w14:paraId="26476421">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 xml:space="preserve">4 </w:t>
            </w:r>
          </w:p>
        </w:tc>
        <w:tc>
          <w:tcPr>
            <w:tcW w:w="1194" w:type="dxa"/>
            <w:tcBorders>
              <w:top w:val="single" w:color="auto" w:sz="4" w:space="0"/>
              <w:left w:val="single" w:color="auto" w:sz="4" w:space="0"/>
              <w:bottom w:val="single" w:color="auto" w:sz="4" w:space="0"/>
              <w:right w:val="single" w:color="auto" w:sz="4" w:space="0"/>
            </w:tcBorders>
            <w:vAlign w:val="center"/>
          </w:tcPr>
          <w:p w14:paraId="744C6134">
            <w:pPr>
              <w:spacing w:line="360" w:lineRule="auto"/>
              <w:contextualSpacing/>
              <w:jc w:val="center"/>
              <w:rPr>
                <w:rFonts w:asciiTheme="minorEastAsia" w:hAnsiTheme="minorEastAsia" w:eastAsiaTheme="minorEastAsia" w:cstheme="minorEastAsia"/>
                <w:sz w:val="24"/>
              </w:rPr>
            </w:pPr>
            <w:r>
              <w:rPr>
                <w:rFonts w:hint="eastAsia" w:asciiTheme="minorEastAsia" w:hAnsiTheme="minorEastAsia" w:eastAsiaTheme="minorEastAsia"/>
                <w:sz w:val="24"/>
              </w:rPr>
              <w:t>185000</w:t>
            </w:r>
          </w:p>
        </w:tc>
        <w:tc>
          <w:tcPr>
            <w:tcW w:w="709" w:type="dxa"/>
            <w:tcBorders>
              <w:top w:val="single" w:color="auto" w:sz="4" w:space="0"/>
              <w:left w:val="single" w:color="auto" w:sz="4" w:space="0"/>
              <w:bottom w:val="single" w:color="auto" w:sz="4" w:space="0"/>
              <w:right w:val="single" w:color="auto" w:sz="4" w:space="0"/>
            </w:tcBorders>
            <w:vAlign w:val="center"/>
          </w:tcPr>
          <w:p w14:paraId="62DE8742">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套</w:t>
            </w:r>
          </w:p>
        </w:tc>
        <w:tc>
          <w:tcPr>
            <w:tcW w:w="1134" w:type="dxa"/>
            <w:tcBorders>
              <w:top w:val="single" w:color="auto" w:sz="4" w:space="0"/>
              <w:left w:val="single" w:color="auto" w:sz="4" w:space="0"/>
              <w:bottom w:val="single" w:color="auto" w:sz="4" w:space="0"/>
              <w:right w:val="single" w:color="auto" w:sz="4" w:space="0"/>
            </w:tcBorders>
            <w:vAlign w:val="center"/>
          </w:tcPr>
          <w:p w14:paraId="3CC57F33">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c>
          <w:tcPr>
            <w:tcW w:w="1670" w:type="dxa"/>
            <w:tcBorders>
              <w:top w:val="single" w:color="auto" w:sz="4" w:space="0"/>
              <w:left w:val="single" w:color="auto" w:sz="4" w:space="0"/>
              <w:bottom w:val="single" w:color="auto" w:sz="4" w:space="0"/>
              <w:right w:val="single" w:color="auto" w:sz="4" w:space="0"/>
            </w:tcBorders>
          </w:tcPr>
          <w:p w14:paraId="0FD2093D">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r>
      <w:tr w14:paraId="08AAA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170EB8E0">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11</w:t>
            </w:r>
          </w:p>
        </w:tc>
        <w:tc>
          <w:tcPr>
            <w:tcW w:w="3147" w:type="dxa"/>
            <w:shd w:val="clear" w:color="auto" w:fill="FFFFFF"/>
            <w:vAlign w:val="center"/>
          </w:tcPr>
          <w:p w14:paraId="64B046EB">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应用负载均衡</w:t>
            </w:r>
          </w:p>
        </w:tc>
        <w:tc>
          <w:tcPr>
            <w:tcW w:w="762" w:type="dxa"/>
            <w:shd w:val="clear" w:color="auto" w:fill="FFFFFF"/>
            <w:vAlign w:val="center"/>
          </w:tcPr>
          <w:p w14:paraId="0B655877">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 xml:space="preserve">2 </w:t>
            </w:r>
          </w:p>
        </w:tc>
        <w:tc>
          <w:tcPr>
            <w:tcW w:w="1194" w:type="dxa"/>
            <w:tcBorders>
              <w:top w:val="single" w:color="auto" w:sz="4" w:space="0"/>
              <w:left w:val="single" w:color="auto" w:sz="4" w:space="0"/>
              <w:bottom w:val="single" w:color="auto" w:sz="4" w:space="0"/>
              <w:right w:val="single" w:color="auto" w:sz="4" w:space="0"/>
            </w:tcBorders>
            <w:vAlign w:val="center"/>
          </w:tcPr>
          <w:p w14:paraId="5BE04ED8">
            <w:pPr>
              <w:spacing w:line="360" w:lineRule="auto"/>
              <w:contextualSpacing/>
              <w:jc w:val="center"/>
              <w:rPr>
                <w:rFonts w:asciiTheme="minorEastAsia" w:hAnsiTheme="minorEastAsia" w:eastAsiaTheme="minorEastAsia" w:cstheme="minorEastAsia"/>
                <w:sz w:val="24"/>
              </w:rPr>
            </w:pPr>
            <w:r>
              <w:rPr>
                <w:rFonts w:hint="eastAsia" w:asciiTheme="minorEastAsia" w:hAnsiTheme="minorEastAsia" w:eastAsiaTheme="minorEastAsia"/>
                <w:sz w:val="24"/>
              </w:rPr>
              <w:t>286000</w:t>
            </w:r>
          </w:p>
        </w:tc>
        <w:tc>
          <w:tcPr>
            <w:tcW w:w="709" w:type="dxa"/>
            <w:tcBorders>
              <w:top w:val="single" w:color="auto" w:sz="4" w:space="0"/>
              <w:left w:val="single" w:color="auto" w:sz="4" w:space="0"/>
              <w:bottom w:val="single" w:color="auto" w:sz="4" w:space="0"/>
              <w:right w:val="single" w:color="auto" w:sz="4" w:space="0"/>
            </w:tcBorders>
            <w:vAlign w:val="center"/>
          </w:tcPr>
          <w:p w14:paraId="42B3FC74">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台</w:t>
            </w:r>
          </w:p>
        </w:tc>
        <w:tc>
          <w:tcPr>
            <w:tcW w:w="1134" w:type="dxa"/>
            <w:tcBorders>
              <w:top w:val="single" w:color="auto" w:sz="4" w:space="0"/>
              <w:left w:val="single" w:color="auto" w:sz="4" w:space="0"/>
              <w:bottom w:val="single" w:color="auto" w:sz="4" w:space="0"/>
              <w:right w:val="single" w:color="auto" w:sz="4" w:space="0"/>
            </w:tcBorders>
            <w:vAlign w:val="center"/>
          </w:tcPr>
          <w:p w14:paraId="15E0C98E">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c>
          <w:tcPr>
            <w:tcW w:w="1670" w:type="dxa"/>
            <w:tcBorders>
              <w:top w:val="single" w:color="auto" w:sz="4" w:space="0"/>
              <w:left w:val="single" w:color="auto" w:sz="4" w:space="0"/>
              <w:bottom w:val="single" w:color="auto" w:sz="4" w:space="0"/>
              <w:right w:val="single" w:color="auto" w:sz="4" w:space="0"/>
            </w:tcBorders>
          </w:tcPr>
          <w:p w14:paraId="0B170AC1">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r>
      <w:tr w14:paraId="17E8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008C1CB2">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12</w:t>
            </w:r>
          </w:p>
        </w:tc>
        <w:tc>
          <w:tcPr>
            <w:tcW w:w="3147" w:type="dxa"/>
            <w:shd w:val="clear" w:color="auto" w:fill="FFFFFF"/>
            <w:vAlign w:val="center"/>
          </w:tcPr>
          <w:p w14:paraId="5717E08D">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存储管理服务器</w:t>
            </w:r>
          </w:p>
        </w:tc>
        <w:tc>
          <w:tcPr>
            <w:tcW w:w="762" w:type="dxa"/>
            <w:shd w:val="clear" w:color="auto" w:fill="FFFFFF"/>
            <w:vAlign w:val="center"/>
          </w:tcPr>
          <w:p w14:paraId="53C2AB56">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 xml:space="preserve">3 </w:t>
            </w:r>
          </w:p>
        </w:tc>
        <w:tc>
          <w:tcPr>
            <w:tcW w:w="1194" w:type="dxa"/>
            <w:tcBorders>
              <w:top w:val="single" w:color="auto" w:sz="4" w:space="0"/>
              <w:left w:val="single" w:color="auto" w:sz="4" w:space="0"/>
              <w:bottom w:val="single" w:color="auto" w:sz="4" w:space="0"/>
              <w:right w:val="single" w:color="auto" w:sz="4" w:space="0"/>
            </w:tcBorders>
            <w:vAlign w:val="center"/>
          </w:tcPr>
          <w:p w14:paraId="73CED4A6">
            <w:pPr>
              <w:spacing w:line="360" w:lineRule="auto"/>
              <w:contextualSpacing/>
              <w:jc w:val="center"/>
              <w:rPr>
                <w:rFonts w:asciiTheme="minorEastAsia" w:hAnsiTheme="minorEastAsia" w:eastAsiaTheme="minorEastAsia" w:cstheme="minorEastAsia"/>
                <w:sz w:val="24"/>
              </w:rPr>
            </w:pPr>
            <w:r>
              <w:rPr>
                <w:rFonts w:hint="eastAsia" w:asciiTheme="minorEastAsia" w:hAnsiTheme="minorEastAsia" w:eastAsiaTheme="minorEastAsia"/>
                <w:sz w:val="24"/>
              </w:rPr>
              <w:t>90000</w:t>
            </w:r>
          </w:p>
        </w:tc>
        <w:tc>
          <w:tcPr>
            <w:tcW w:w="709" w:type="dxa"/>
            <w:tcBorders>
              <w:top w:val="single" w:color="auto" w:sz="4" w:space="0"/>
              <w:left w:val="single" w:color="auto" w:sz="4" w:space="0"/>
              <w:bottom w:val="single" w:color="auto" w:sz="4" w:space="0"/>
              <w:right w:val="single" w:color="auto" w:sz="4" w:space="0"/>
            </w:tcBorders>
            <w:vAlign w:val="center"/>
          </w:tcPr>
          <w:p w14:paraId="1CDE62F4">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台</w:t>
            </w:r>
          </w:p>
        </w:tc>
        <w:tc>
          <w:tcPr>
            <w:tcW w:w="1134" w:type="dxa"/>
            <w:tcBorders>
              <w:top w:val="single" w:color="auto" w:sz="4" w:space="0"/>
              <w:left w:val="single" w:color="auto" w:sz="4" w:space="0"/>
              <w:bottom w:val="single" w:color="auto" w:sz="4" w:space="0"/>
              <w:right w:val="single" w:color="auto" w:sz="4" w:space="0"/>
            </w:tcBorders>
            <w:vAlign w:val="center"/>
          </w:tcPr>
          <w:p w14:paraId="1CCE47E6">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c>
          <w:tcPr>
            <w:tcW w:w="1670" w:type="dxa"/>
            <w:tcBorders>
              <w:top w:val="single" w:color="auto" w:sz="4" w:space="0"/>
              <w:left w:val="single" w:color="auto" w:sz="4" w:space="0"/>
              <w:bottom w:val="single" w:color="auto" w:sz="4" w:space="0"/>
              <w:right w:val="single" w:color="auto" w:sz="4" w:space="0"/>
            </w:tcBorders>
          </w:tcPr>
          <w:p w14:paraId="560DD6C6">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r>
      <w:tr w14:paraId="36ECF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70BB7D93">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13</w:t>
            </w:r>
          </w:p>
        </w:tc>
        <w:tc>
          <w:tcPr>
            <w:tcW w:w="3147" w:type="dxa"/>
            <w:shd w:val="clear" w:color="auto" w:fill="FFFFFF"/>
            <w:vAlign w:val="center"/>
          </w:tcPr>
          <w:p w14:paraId="57EED8A9">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安全管理服务器</w:t>
            </w:r>
          </w:p>
        </w:tc>
        <w:tc>
          <w:tcPr>
            <w:tcW w:w="762" w:type="dxa"/>
            <w:shd w:val="clear" w:color="auto" w:fill="FFFFFF"/>
            <w:vAlign w:val="center"/>
          </w:tcPr>
          <w:p w14:paraId="472F3A36">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 xml:space="preserve">4 </w:t>
            </w:r>
          </w:p>
        </w:tc>
        <w:tc>
          <w:tcPr>
            <w:tcW w:w="1194" w:type="dxa"/>
            <w:tcBorders>
              <w:top w:val="single" w:color="auto" w:sz="4" w:space="0"/>
              <w:left w:val="single" w:color="auto" w:sz="4" w:space="0"/>
              <w:bottom w:val="single" w:color="auto" w:sz="4" w:space="0"/>
              <w:right w:val="single" w:color="auto" w:sz="4" w:space="0"/>
            </w:tcBorders>
            <w:vAlign w:val="center"/>
          </w:tcPr>
          <w:p w14:paraId="3466CC33">
            <w:pPr>
              <w:spacing w:line="360" w:lineRule="auto"/>
              <w:contextualSpacing/>
              <w:jc w:val="center"/>
              <w:rPr>
                <w:rFonts w:asciiTheme="minorEastAsia" w:hAnsiTheme="minorEastAsia" w:eastAsiaTheme="minorEastAsia" w:cstheme="minorEastAsia"/>
                <w:sz w:val="24"/>
              </w:rPr>
            </w:pPr>
            <w:r>
              <w:rPr>
                <w:rFonts w:hint="eastAsia" w:asciiTheme="minorEastAsia" w:hAnsiTheme="minorEastAsia" w:eastAsiaTheme="minorEastAsia"/>
                <w:sz w:val="24"/>
              </w:rPr>
              <w:t>79000</w:t>
            </w:r>
          </w:p>
        </w:tc>
        <w:tc>
          <w:tcPr>
            <w:tcW w:w="709" w:type="dxa"/>
            <w:tcBorders>
              <w:top w:val="single" w:color="auto" w:sz="4" w:space="0"/>
              <w:left w:val="single" w:color="auto" w:sz="4" w:space="0"/>
              <w:bottom w:val="single" w:color="auto" w:sz="4" w:space="0"/>
              <w:right w:val="single" w:color="auto" w:sz="4" w:space="0"/>
            </w:tcBorders>
            <w:vAlign w:val="center"/>
          </w:tcPr>
          <w:p w14:paraId="2B191118">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台</w:t>
            </w:r>
          </w:p>
        </w:tc>
        <w:tc>
          <w:tcPr>
            <w:tcW w:w="1134" w:type="dxa"/>
            <w:tcBorders>
              <w:top w:val="single" w:color="auto" w:sz="4" w:space="0"/>
              <w:left w:val="single" w:color="auto" w:sz="4" w:space="0"/>
              <w:bottom w:val="single" w:color="auto" w:sz="4" w:space="0"/>
              <w:right w:val="single" w:color="auto" w:sz="4" w:space="0"/>
            </w:tcBorders>
            <w:vAlign w:val="center"/>
          </w:tcPr>
          <w:p w14:paraId="618AC1CC">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c>
          <w:tcPr>
            <w:tcW w:w="1670" w:type="dxa"/>
            <w:tcBorders>
              <w:top w:val="single" w:color="auto" w:sz="4" w:space="0"/>
              <w:left w:val="single" w:color="auto" w:sz="4" w:space="0"/>
              <w:bottom w:val="single" w:color="auto" w:sz="4" w:space="0"/>
              <w:right w:val="single" w:color="auto" w:sz="4" w:space="0"/>
            </w:tcBorders>
          </w:tcPr>
          <w:p w14:paraId="2D88C822">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r>
      <w:tr w14:paraId="0AA23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22652406">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14</w:t>
            </w:r>
          </w:p>
        </w:tc>
        <w:tc>
          <w:tcPr>
            <w:tcW w:w="3147" w:type="dxa"/>
            <w:shd w:val="clear" w:color="auto" w:fill="FFFFFF"/>
            <w:vAlign w:val="center"/>
          </w:tcPr>
          <w:p w14:paraId="082CB194">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临床科研基础数据库与儿科专科专病数据库服务器1</w:t>
            </w:r>
          </w:p>
        </w:tc>
        <w:tc>
          <w:tcPr>
            <w:tcW w:w="762" w:type="dxa"/>
            <w:shd w:val="clear" w:color="auto" w:fill="FFFFFF"/>
            <w:vAlign w:val="center"/>
          </w:tcPr>
          <w:p w14:paraId="7B02E37D">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 xml:space="preserve">5 </w:t>
            </w:r>
          </w:p>
        </w:tc>
        <w:tc>
          <w:tcPr>
            <w:tcW w:w="1194" w:type="dxa"/>
            <w:tcBorders>
              <w:top w:val="single" w:color="auto" w:sz="4" w:space="0"/>
              <w:left w:val="single" w:color="auto" w:sz="4" w:space="0"/>
              <w:bottom w:val="single" w:color="auto" w:sz="4" w:space="0"/>
              <w:right w:val="single" w:color="auto" w:sz="4" w:space="0"/>
            </w:tcBorders>
            <w:vAlign w:val="center"/>
          </w:tcPr>
          <w:p w14:paraId="25231445">
            <w:pPr>
              <w:spacing w:line="360" w:lineRule="auto"/>
              <w:contextualSpacing/>
              <w:jc w:val="center"/>
              <w:rPr>
                <w:rFonts w:asciiTheme="minorEastAsia" w:hAnsiTheme="minorEastAsia" w:eastAsiaTheme="minorEastAsia" w:cstheme="minorEastAsia"/>
                <w:sz w:val="24"/>
              </w:rPr>
            </w:pPr>
            <w:r>
              <w:rPr>
                <w:rFonts w:hint="eastAsia" w:asciiTheme="minorEastAsia" w:hAnsiTheme="minorEastAsia" w:eastAsiaTheme="minorEastAsia"/>
                <w:sz w:val="24"/>
              </w:rPr>
              <w:t>136000</w:t>
            </w:r>
          </w:p>
        </w:tc>
        <w:tc>
          <w:tcPr>
            <w:tcW w:w="709" w:type="dxa"/>
            <w:tcBorders>
              <w:top w:val="single" w:color="auto" w:sz="4" w:space="0"/>
              <w:left w:val="single" w:color="auto" w:sz="4" w:space="0"/>
              <w:bottom w:val="single" w:color="auto" w:sz="4" w:space="0"/>
              <w:right w:val="single" w:color="auto" w:sz="4" w:space="0"/>
            </w:tcBorders>
            <w:vAlign w:val="center"/>
          </w:tcPr>
          <w:p w14:paraId="64422FBB">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台</w:t>
            </w:r>
          </w:p>
        </w:tc>
        <w:tc>
          <w:tcPr>
            <w:tcW w:w="1134" w:type="dxa"/>
            <w:tcBorders>
              <w:top w:val="single" w:color="auto" w:sz="4" w:space="0"/>
              <w:left w:val="single" w:color="auto" w:sz="4" w:space="0"/>
              <w:bottom w:val="single" w:color="auto" w:sz="4" w:space="0"/>
              <w:right w:val="single" w:color="auto" w:sz="4" w:space="0"/>
            </w:tcBorders>
            <w:vAlign w:val="center"/>
          </w:tcPr>
          <w:p w14:paraId="0FCF42C1">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c>
          <w:tcPr>
            <w:tcW w:w="1670" w:type="dxa"/>
            <w:tcBorders>
              <w:top w:val="single" w:color="auto" w:sz="4" w:space="0"/>
              <w:left w:val="single" w:color="auto" w:sz="4" w:space="0"/>
              <w:bottom w:val="single" w:color="auto" w:sz="4" w:space="0"/>
              <w:right w:val="single" w:color="auto" w:sz="4" w:space="0"/>
            </w:tcBorders>
            <w:vAlign w:val="center"/>
          </w:tcPr>
          <w:p w14:paraId="6BBB6163">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r>
      <w:tr w14:paraId="0E39D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016D35BA">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15</w:t>
            </w:r>
          </w:p>
        </w:tc>
        <w:tc>
          <w:tcPr>
            <w:tcW w:w="3147" w:type="dxa"/>
            <w:shd w:val="clear" w:color="auto" w:fill="FFFFFF"/>
            <w:vAlign w:val="center"/>
          </w:tcPr>
          <w:p w14:paraId="235736DD">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临床科研基础数据库与儿科专科专病数据库服务器2</w:t>
            </w:r>
          </w:p>
        </w:tc>
        <w:tc>
          <w:tcPr>
            <w:tcW w:w="762" w:type="dxa"/>
            <w:shd w:val="clear" w:color="auto" w:fill="FFFFFF"/>
            <w:vAlign w:val="center"/>
          </w:tcPr>
          <w:p w14:paraId="1A360690">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 xml:space="preserve">11 </w:t>
            </w:r>
          </w:p>
        </w:tc>
        <w:tc>
          <w:tcPr>
            <w:tcW w:w="1194" w:type="dxa"/>
            <w:tcBorders>
              <w:top w:val="single" w:color="auto" w:sz="4" w:space="0"/>
              <w:left w:val="single" w:color="auto" w:sz="4" w:space="0"/>
              <w:bottom w:val="single" w:color="auto" w:sz="4" w:space="0"/>
              <w:right w:val="single" w:color="auto" w:sz="4" w:space="0"/>
            </w:tcBorders>
            <w:vAlign w:val="center"/>
          </w:tcPr>
          <w:p w14:paraId="63B6B259">
            <w:pPr>
              <w:spacing w:line="360" w:lineRule="auto"/>
              <w:contextualSpacing/>
              <w:jc w:val="center"/>
              <w:rPr>
                <w:rFonts w:asciiTheme="minorEastAsia" w:hAnsiTheme="minorEastAsia" w:eastAsiaTheme="minorEastAsia" w:cstheme="minorEastAsia"/>
                <w:sz w:val="24"/>
              </w:rPr>
            </w:pPr>
            <w:r>
              <w:rPr>
                <w:rFonts w:hint="eastAsia" w:asciiTheme="minorEastAsia" w:hAnsiTheme="minorEastAsia" w:eastAsiaTheme="minorEastAsia"/>
                <w:sz w:val="24"/>
              </w:rPr>
              <w:t>128000</w:t>
            </w:r>
          </w:p>
        </w:tc>
        <w:tc>
          <w:tcPr>
            <w:tcW w:w="709" w:type="dxa"/>
            <w:tcBorders>
              <w:top w:val="single" w:color="auto" w:sz="4" w:space="0"/>
              <w:left w:val="single" w:color="auto" w:sz="4" w:space="0"/>
              <w:bottom w:val="single" w:color="auto" w:sz="4" w:space="0"/>
              <w:right w:val="single" w:color="auto" w:sz="4" w:space="0"/>
            </w:tcBorders>
            <w:vAlign w:val="center"/>
          </w:tcPr>
          <w:p w14:paraId="0F0CDE89">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台</w:t>
            </w:r>
          </w:p>
        </w:tc>
        <w:tc>
          <w:tcPr>
            <w:tcW w:w="1134" w:type="dxa"/>
            <w:tcBorders>
              <w:top w:val="single" w:color="auto" w:sz="4" w:space="0"/>
              <w:left w:val="single" w:color="auto" w:sz="4" w:space="0"/>
              <w:bottom w:val="single" w:color="auto" w:sz="4" w:space="0"/>
              <w:right w:val="single" w:color="auto" w:sz="4" w:space="0"/>
            </w:tcBorders>
            <w:vAlign w:val="center"/>
          </w:tcPr>
          <w:p w14:paraId="0EBAC7F9">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c>
          <w:tcPr>
            <w:tcW w:w="1670" w:type="dxa"/>
            <w:tcBorders>
              <w:top w:val="single" w:color="auto" w:sz="4" w:space="0"/>
              <w:left w:val="single" w:color="auto" w:sz="4" w:space="0"/>
              <w:bottom w:val="single" w:color="auto" w:sz="4" w:space="0"/>
              <w:right w:val="single" w:color="auto" w:sz="4" w:space="0"/>
            </w:tcBorders>
            <w:vAlign w:val="center"/>
          </w:tcPr>
          <w:p w14:paraId="2526575E">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r>
      <w:tr w14:paraId="7BE4D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7D964A92">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16</w:t>
            </w:r>
          </w:p>
        </w:tc>
        <w:tc>
          <w:tcPr>
            <w:tcW w:w="3147" w:type="dxa"/>
            <w:shd w:val="clear" w:color="auto" w:fill="FFFFFF"/>
            <w:vAlign w:val="center"/>
          </w:tcPr>
          <w:p w14:paraId="38454293">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其他应用物理服务器</w:t>
            </w:r>
          </w:p>
        </w:tc>
        <w:tc>
          <w:tcPr>
            <w:tcW w:w="762" w:type="dxa"/>
            <w:shd w:val="clear" w:color="auto" w:fill="FFFFFF"/>
            <w:vAlign w:val="center"/>
          </w:tcPr>
          <w:p w14:paraId="6F4223C1">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 xml:space="preserve">6 </w:t>
            </w:r>
          </w:p>
        </w:tc>
        <w:tc>
          <w:tcPr>
            <w:tcW w:w="1194" w:type="dxa"/>
            <w:tcBorders>
              <w:top w:val="single" w:color="auto" w:sz="4" w:space="0"/>
              <w:left w:val="single" w:color="auto" w:sz="4" w:space="0"/>
              <w:bottom w:val="single" w:color="auto" w:sz="4" w:space="0"/>
              <w:right w:val="single" w:color="auto" w:sz="4" w:space="0"/>
            </w:tcBorders>
            <w:vAlign w:val="center"/>
          </w:tcPr>
          <w:p w14:paraId="39005A53">
            <w:pPr>
              <w:spacing w:line="360" w:lineRule="auto"/>
              <w:contextualSpacing/>
              <w:jc w:val="center"/>
              <w:rPr>
                <w:rFonts w:asciiTheme="minorEastAsia" w:hAnsiTheme="minorEastAsia" w:eastAsiaTheme="minorEastAsia" w:cstheme="minorEastAsia"/>
                <w:sz w:val="24"/>
              </w:rPr>
            </w:pPr>
            <w:r>
              <w:rPr>
                <w:rFonts w:hint="eastAsia" w:asciiTheme="minorEastAsia" w:hAnsiTheme="minorEastAsia" w:eastAsiaTheme="minorEastAsia"/>
                <w:sz w:val="24"/>
              </w:rPr>
              <w:t>115000</w:t>
            </w:r>
          </w:p>
        </w:tc>
        <w:tc>
          <w:tcPr>
            <w:tcW w:w="709" w:type="dxa"/>
            <w:tcBorders>
              <w:top w:val="single" w:color="auto" w:sz="4" w:space="0"/>
              <w:left w:val="single" w:color="auto" w:sz="4" w:space="0"/>
              <w:bottom w:val="single" w:color="auto" w:sz="4" w:space="0"/>
              <w:right w:val="single" w:color="auto" w:sz="4" w:space="0"/>
            </w:tcBorders>
            <w:vAlign w:val="center"/>
          </w:tcPr>
          <w:p w14:paraId="41F0B7E3">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台</w:t>
            </w:r>
          </w:p>
        </w:tc>
        <w:tc>
          <w:tcPr>
            <w:tcW w:w="1134" w:type="dxa"/>
            <w:tcBorders>
              <w:top w:val="single" w:color="auto" w:sz="4" w:space="0"/>
              <w:left w:val="single" w:color="auto" w:sz="4" w:space="0"/>
              <w:bottom w:val="single" w:color="auto" w:sz="4" w:space="0"/>
              <w:right w:val="single" w:color="auto" w:sz="4" w:space="0"/>
            </w:tcBorders>
            <w:vAlign w:val="center"/>
          </w:tcPr>
          <w:p w14:paraId="46DE7FF7">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c>
          <w:tcPr>
            <w:tcW w:w="1670" w:type="dxa"/>
            <w:tcBorders>
              <w:top w:val="single" w:color="auto" w:sz="4" w:space="0"/>
              <w:left w:val="single" w:color="auto" w:sz="4" w:space="0"/>
              <w:bottom w:val="single" w:color="auto" w:sz="4" w:space="0"/>
              <w:right w:val="single" w:color="auto" w:sz="4" w:space="0"/>
            </w:tcBorders>
          </w:tcPr>
          <w:p w14:paraId="07AF88E5">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r>
      <w:tr w14:paraId="06970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5EC63412">
            <w:pPr>
              <w:spacing w:line="360" w:lineRule="auto"/>
              <w:contextualSpacing/>
              <w:jc w:val="center"/>
              <w:rPr>
                <w:rFonts w:asciiTheme="minorEastAsia" w:hAnsiTheme="minorEastAsia" w:eastAsiaTheme="minorEastAsia" w:cstheme="minorEastAsia"/>
                <w:bCs/>
                <w:sz w:val="24"/>
              </w:rPr>
            </w:pPr>
            <w:bookmarkStart w:id="19" w:name="_Hlk204005711"/>
            <w:r>
              <w:rPr>
                <w:rFonts w:hint="eastAsia" w:asciiTheme="minorEastAsia" w:hAnsiTheme="minorEastAsia" w:eastAsiaTheme="minorEastAsia" w:cstheme="minorEastAsia"/>
                <w:bCs/>
                <w:sz w:val="24"/>
              </w:rPr>
              <w:t>17</w:t>
            </w:r>
          </w:p>
        </w:tc>
        <w:tc>
          <w:tcPr>
            <w:tcW w:w="3147" w:type="dxa"/>
            <w:shd w:val="clear" w:color="auto" w:fill="FFFFFF"/>
            <w:vAlign w:val="center"/>
          </w:tcPr>
          <w:p w14:paraId="6DED3425">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模块化UPS（400KVA)</w:t>
            </w:r>
          </w:p>
        </w:tc>
        <w:tc>
          <w:tcPr>
            <w:tcW w:w="762" w:type="dxa"/>
            <w:shd w:val="clear" w:color="auto" w:fill="FFFFFF"/>
            <w:vAlign w:val="center"/>
          </w:tcPr>
          <w:p w14:paraId="488457BC">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 xml:space="preserve">2 </w:t>
            </w:r>
          </w:p>
        </w:tc>
        <w:tc>
          <w:tcPr>
            <w:tcW w:w="1194" w:type="dxa"/>
            <w:tcBorders>
              <w:top w:val="single" w:color="auto" w:sz="4" w:space="0"/>
              <w:left w:val="single" w:color="auto" w:sz="4" w:space="0"/>
              <w:bottom w:val="single" w:color="auto" w:sz="4" w:space="0"/>
              <w:right w:val="single" w:color="auto" w:sz="4" w:space="0"/>
            </w:tcBorders>
            <w:vAlign w:val="center"/>
          </w:tcPr>
          <w:p w14:paraId="68B09B73">
            <w:pPr>
              <w:spacing w:line="360" w:lineRule="auto"/>
              <w:contextualSpacing/>
              <w:jc w:val="center"/>
              <w:rPr>
                <w:rFonts w:asciiTheme="minorEastAsia" w:hAnsiTheme="minorEastAsia" w:eastAsiaTheme="minorEastAsia" w:cstheme="minorEastAsia"/>
                <w:sz w:val="24"/>
              </w:rPr>
            </w:pPr>
            <w:r>
              <w:rPr>
                <w:rFonts w:hint="eastAsia" w:asciiTheme="minorEastAsia" w:hAnsiTheme="minorEastAsia" w:eastAsiaTheme="minorEastAsia"/>
                <w:sz w:val="24"/>
              </w:rPr>
              <w:t>412100</w:t>
            </w:r>
          </w:p>
        </w:tc>
        <w:tc>
          <w:tcPr>
            <w:tcW w:w="709" w:type="dxa"/>
            <w:tcBorders>
              <w:top w:val="single" w:color="auto" w:sz="4" w:space="0"/>
              <w:left w:val="single" w:color="auto" w:sz="4" w:space="0"/>
              <w:bottom w:val="single" w:color="auto" w:sz="4" w:space="0"/>
              <w:right w:val="single" w:color="auto" w:sz="4" w:space="0"/>
            </w:tcBorders>
            <w:vAlign w:val="center"/>
          </w:tcPr>
          <w:p w14:paraId="4FE50A6A">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台</w:t>
            </w:r>
          </w:p>
        </w:tc>
        <w:tc>
          <w:tcPr>
            <w:tcW w:w="1134" w:type="dxa"/>
            <w:tcBorders>
              <w:top w:val="single" w:color="auto" w:sz="4" w:space="0"/>
              <w:left w:val="single" w:color="auto" w:sz="4" w:space="0"/>
              <w:bottom w:val="single" w:color="auto" w:sz="4" w:space="0"/>
              <w:right w:val="single" w:color="auto" w:sz="4" w:space="0"/>
            </w:tcBorders>
            <w:vAlign w:val="center"/>
          </w:tcPr>
          <w:p w14:paraId="26EA247B">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c>
          <w:tcPr>
            <w:tcW w:w="1670" w:type="dxa"/>
            <w:tcBorders>
              <w:top w:val="single" w:color="auto" w:sz="4" w:space="0"/>
              <w:left w:val="single" w:color="auto" w:sz="4" w:space="0"/>
              <w:bottom w:val="single" w:color="auto" w:sz="4" w:space="0"/>
              <w:right w:val="single" w:color="auto" w:sz="4" w:space="0"/>
            </w:tcBorders>
          </w:tcPr>
          <w:p w14:paraId="03279ED1">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bookmarkEnd w:id="19"/>
        </w:tc>
      </w:tr>
      <w:tr w14:paraId="374CF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08CDE5A6">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18</w:t>
            </w:r>
          </w:p>
        </w:tc>
        <w:tc>
          <w:tcPr>
            <w:tcW w:w="3147" w:type="dxa"/>
            <w:shd w:val="clear" w:color="auto" w:fill="FFFFFF"/>
            <w:vAlign w:val="center"/>
          </w:tcPr>
          <w:p w14:paraId="70FE163F">
            <w:pPr>
              <w:spacing w:line="360" w:lineRule="auto"/>
              <w:contextualSpacing/>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UPS主机（60KVA)</w:t>
            </w:r>
          </w:p>
        </w:tc>
        <w:tc>
          <w:tcPr>
            <w:tcW w:w="762" w:type="dxa"/>
            <w:shd w:val="clear" w:color="auto" w:fill="FFFFFF"/>
            <w:vAlign w:val="center"/>
          </w:tcPr>
          <w:p w14:paraId="4A5FAF0D">
            <w:pPr>
              <w:spacing w:line="360" w:lineRule="auto"/>
              <w:contextualSpacing/>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1 </w:t>
            </w:r>
          </w:p>
        </w:tc>
        <w:tc>
          <w:tcPr>
            <w:tcW w:w="1194" w:type="dxa"/>
            <w:tcBorders>
              <w:top w:val="single" w:color="auto" w:sz="4" w:space="0"/>
              <w:left w:val="single" w:color="auto" w:sz="4" w:space="0"/>
              <w:bottom w:val="single" w:color="auto" w:sz="4" w:space="0"/>
              <w:right w:val="single" w:color="auto" w:sz="4" w:space="0"/>
            </w:tcBorders>
            <w:vAlign w:val="center"/>
          </w:tcPr>
          <w:p w14:paraId="3C58BC30">
            <w:pPr>
              <w:spacing w:line="360" w:lineRule="auto"/>
              <w:contextualSpacing/>
              <w:jc w:val="center"/>
              <w:rPr>
                <w:rFonts w:asciiTheme="minorEastAsia" w:hAnsiTheme="minorEastAsia" w:eastAsiaTheme="minorEastAsia" w:cstheme="minorEastAsia"/>
                <w:sz w:val="24"/>
              </w:rPr>
            </w:pPr>
            <w:r>
              <w:rPr>
                <w:rFonts w:hint="eastAsia" w:asciiTheme="minorEastAsia" w:hAnsiTheme="minorEastAsia" w:eastAsiaTheme="minorEastAsia"/>
                <w:sz w:val="24"/>
              </w:rPr>
              <w:t>54000</w:t>
            </w:r>
          </w:p>
        </w:tc>
        <w:tc>
          <w:tcPr>
            <w:tcW w:w="709" w:type="dxa"/>
            <w:tcBorders>
              <w:top w:val="single" w:color="auto" w:sz="4" w:space="0"/>
              <w:left w:val="single" w:color="auto" w:sz="4" w:space="0"/>
              <w:bottom w:val="single" w:color="auto" w:sz="4" w:space="0"/>
              <w:right w:val="single" w:color="auto" w:sz="4" w:space="0"/>
            </w:tcBorders>
            <w:vAlign w:val="center"/>
          </w:tcPr>
          <w:p w14:paraId="31A06A6A">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台</w:t>
            </w:r>
          </w:p>
        </w:tc>
        <w:tc>
          <w:tcPr>
            <w:tcW w:w="1134" w:type="dxa"/>
            <w:tcBorders>
              <w:top w:val="single" w:color="auto" w:sz="4" w:space="0"/>
              <w:left w:val="single" w:color="auto" w:sz="4" w:space="0"/>
              <w:bottom w:val="single" w:color="auto" w:sz="4" w:space="0"/>
              <w:right w:val="single" w:color="auto" w:sz="4" w:space="0"/>
            </w:tcBorders>
          </w:tcPr>
          <w:p w14:paraId="35F85C4F">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c>
          <w:tcPr>
            <w:tcW w:w="1670" w:type="dxa"/>
            <w:tcBorders>
              <w:top w:val="single" w:color="auto" w:sz="4" w:space="0"/>
              <w:left w:val="single" w:color="auto" w:sz="4" w:space="0"/>
              <w:bottom w:val="single" w:color="auto" w:sz="4" w:space="0"/>
              <w:right w:val="single" w:color="auto" w:sz="4" w:space="0"/>
            </w:tcBorders>
          </w:tcPr>
          <w:p w14:paraId="126A3F2B">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r>
      <w:tr w14:paraId="705D8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6C56585A">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19</w:t>
            </w:r>
          </w:p>
        </w:tc>
        <w:tc>
          <w:tcPr>
            <w:tcW w:w="3147" w:type="dxa"/>
            <w:shd w:val="clear" w:color="auto" w:fill="FFFFFF"/>
            <w:vAlign w:val="center"/>
          </w:tcPr>
          <w:p w14:paraId="34B1C56A">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UPS主机（120KVA)</w:t>
            </w:r>
          </w:p>
        </w:tc>
        <w:tc>
          <w:tcPr>
            <w:tcW w:w="762" w:type="dxa"/>
            <w:shd w:val="clear" w:color="auto" w:fill="FFFFFF"/>
            <w:vAlign w:val="center"/>
          </w:tcPr>
          <w:p w14:paraId="0BCAA82A">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 xml:space="preserve">1 </w:t>
            </w:r>
          </w:p>
        </w:tc>
        <w:tc>
          <w:tcPr>
            <w:tcW w:w="1194" w:type="dxa"/>
            <w:tcBorders>
              <w:top w:val="single" w:color="auto" w:sz="4" w:space="0"/>
              <w:left w:val="single" w:color="auto" w:sz="4" w:space="0"/>
              <w:bottom w:val="single" w:color="auto" w:sz="4" w:space="0"/>
              <w:right w:val="single" w:color="auto" w:sz="4" w:space="0"/>
            </w:tcBorders>
            <w:vAlign w:val="center"/>
          </w:tcPr>
          <w:p w14:paraId="5DD98804">
            <w:pPr>
              <w:spacing w:line="360" w:lineRule="auto"/>
              <w:contextualSpacing/>
              <w:jc w:val="center"/>
              <w:rPr>
                <w:rFonts w:asciiTheme="minorEastAsia" w:hAnsiTheme="minorEastAsia" w:eastAsiaTheme="minorEastAsia" w:cstheme="minorEastAsia"/>
                <w:sz w:val="24"/>
              </w:rPr>
            </w:pPr>
            <w:r>
              <w:rPr>
                <w:rFonts w:hint="eastAsia" w:asciiTheme="minorEastAsia" w:hAnsiTheme="minorEastAsia" w:eastAsiaTheme="minorEastAsia"/>
                <w:sz w:val="24"/>
              </w:rPr>
              <w:t>62000</w:t>
            </w:r>
          </w:p>
        </w:tc>
        <w:tc>
          <w:tcPr>
            <w:tcW w:w="709" w:type="dxa"/>
            <w:tcBorders>
              <w:top w:val="single" w:color="auto" w:sz="4" w:space="0"/>
              <w:left w:val="single" w:color="auto" w:sz="4" w:space="0"/>
              <w:bottom w:val="single" w:color="auto" w:sz="4" w:space="0"/>
              <w:right w:val="single" w:color="auto" w:sz="4" w:space="0"/>
            </w:tcBorders>
            <w:vAlign w:val="center"/>
          </w:tcPr>
          <w:p w14:paraId="5681EE76">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台</w:t>
            </w:r>
          </w:p>
        </w:tc>
        <w:tc>
          <w:tcPr>
            <w:tcW w:w="1134" w:type="dxa"/>
            <w:tcBorders>
              <w:top w:val="single" w:color="auto" w:sz="4" w:space="0"/>
              <w:left w:val="single" w:color="auto" w:sz="4" w:space="0"/>
              <w:bottom w:val="single" w:color="auto" w:sz="4" w:space="0"/>
              <w:right w:val="single" w:color="auto" w:sz="4" w:space="0"/>
            </w:tcBorders>
          </w:tcPr>
          <w:p w14:paraId="2AC51F84">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c>
          <w:tcPr>
            <w:tcW w:w="1670" w:type="dxa"/>
            <w:tcBorders>
              <w:top w:val="single" w:color="auto" w:sz="4" w:space="0"/>
              <w:left w:val="single" w:color="auto" w:sz="4" w:space="0"/>
              <w:bottom w:val="single" w:color="auto" w:sz="4" w:space="0"/>
              <w:right w:val="single" w:color="auto" w:sz="4" w:space="0"/>
            </w:tcBorders>
          </w:tcPr>
          <w:p w14:paraId="1FDB8408">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r>
      <w:tr w14:paraId="53E9C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08619381">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20</w:t>
            </w:r>
          </w:p>
        </w:tc>
        <w:tc>
          <w:tcPr>
            <w:tcW w:w="3147" w:type="dxa"/>
            <w:shd w:val="clear" w:color="auto" w:fill="FFFFFF"/>
            <w:vAlign w:val="center"/>
          </w:tcPr>
          <w:p w14:paraId="3B61DA3A">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UPS主机(150KVA）</w:t>
            </w:r>
          </w:p>
        </w:tc>
        <w:tc>
          <w:tcPr>
            <w:tcW w:w="762" w:type="dxa"/>
            <w:vAlign w:val="center"/>
          </w:tcPr>
          <w:p w14:paraId="4AE5C4CD">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 xml:space="preserve">1 </w:t>
            </w:r>
          </w:p>
        </w:tc>
        <w:tc>
          <w:tcPr>
            <w:tcW w:w="1194" w:type="dxa"/>
            <w:tcBorders>
              <w:top w:val="single" w:color="auto" w:sz="4" w:space="0"/>
              <w:left w:val="single" w:color="auto" w:sz="4" w:space="0"/>
              <w:bottom w:val="single" w:color="auto" w:sz="4" w:space="0"/>
              <w:right w:val="single" w:color="auto" w:sz="4" w:space="0"/>
            </w:tcBorders>
            <w:vAlign w:val="center"/>
          </w:tcPr>
          <w:p w14:paraId="542A22B1">
            <w:pPr>
              <w:spacing w:line="360" w:lineRule="auto"/>
              <w:contextualSpacing/>
              <w:jc w:val="center"/>
              <w:rPr>
                <w:rFonts w:asciiTheme="minorEastAsia" w:hAnsiTheme="minorEastAsia" w:eastAsiaTheme="minorEastAsia" w:cstheme="minorEastAsia"/>
                <w:sz w:val="24"/>
              </w:rPr>
            </w:pPr>
            <w:r>
              <w:rPr>
                <w:rFonts w:hint="eastAsia" w:asciiTheme="minorEastAsia" w:hAnsiTheme="minorEastAsia" w:eastAsiaTheme="minorEastAsia"/>
                <w:sz w:val="24"/>
              </w:rPr>
              <w:t>85000</w:t>
            </w:r>
          </w:p>
        </w:tc>
        <w:tc>
          <w:tcPr>
            <w:tcW w:w="709" w:type="dxa"/>
            <w:tcBorders>
              <w:top w:val="single" w:color="auto" w:sz="4" w:space="0"/>
              <w:left w:val="single" w:color="auto" w:sz="4" w:space="0"/>
              <w:bottom w:val="single" w:color="auto" w:sz="4" w:space="0"/>
              <w:right w:val="single" w:color="auto" w:sz="4" w:space="0"/>
            </w:tcBorders>
            <w:vAlign w:val="center"/>
          </w:tcPr>
          <w:p w14:paraId="288CA25D">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台</w:t>
            </w:r>
          </w:p>
        </w:tc>
        <w:tc>
          <w:tcPr>
            <w:tcW w:w="1134" w:type="dxa"/>
            <w:tcBorders>
              <w:top w:val="single" w:color="auto" w:sz="4" w:space="0"/>
              <w:left w:val="single" w:color="auto" w:sz="4" w:space="0"/>
              <w:bottom w:val="single" w:color="auto" w:sz="4" w:space="0"/>
              <w:right w:val="single" w:color="auto" w:sz="4" w:space="0"/>
            </w:tcBorders>
          </w:tcPr>
          <w:p w14:paraId="1D5AB7FF">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c>
          <w:tcPr>
            <w:tcW w:w="1670" w:type="dxa"/>
            <w:tcBorders>
              <w:top w:val="single" w:color="auto" w:sz="4" w:space="0"/>
              <w:left w:val="single" w:color="auto" w:sz="4" w:space="0"/>
              <w:bottom w:val="single" w:color="auto" w:sz="4" w:space="0"/>
              <w:right w:val="single" w:color="auto" w:sz="4" w:space="0"/>
            </w:tcBorders>
          </w:tcPr>
          <w:p w14:paraId="318FBBC1">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r>
      <w:tr w14:paraId="2B4E1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74C18D56">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21</w:t>
            </w:r>
          </w:p>
        </w:tc>
        <w:tc>
          <w:tcPr>
            <w:tcW w:w="3147" w:type="dxa"/>
            <w:shd w:val="clear" w:color="auto" w:fill="FFFFFF"/>
            <w:vAlign w:val="center"/>
          </w:tcPr>
          <w:p w14:paraId="623A2BB6">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UPS主机（200KVA)</w:t>
            </w:r>
          </w:p>
        </w:tc>
        <w:tc>
          <w:tcPr>
            <w:tcW w:w="762" w:type="dxa"/>
            <w:vAlign w:val="center"/>
          </w:tcPr>
          <w:p w14:paraId="3EE047FD">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2</w:t>
            </w:r>
          </w:p>
        </w:tc>
        <w:tc>
          <w:tcPr>
            <w:tcW w:w="1194" w:type="dxa"/>
            <w:tcBorders>
              <w:top w:val="single" w:color="auto" w:sz="4" w:space="0"/>
              <w:left w:val="single" w:color="auto" w:sz="4" w:space="0"/>
              <w:bottom w:val="single" w:color="auto" w:sz="4" w:space="0"/>
              <w:right w:val="single" w:color="auto" w:sz="4" w:space="0"/>
            </w:tcBorders>
            <w:vAlign w:val="center"/>
          </w:tcPr>
          <w:p w14:paraId="680E59E5">
            <w:pPr>
              <w:spacing w:line="360" w:lineRule="auto"/>
              <w:contextualSpacing/>
              <w:jc w:val="center"/>
              <w:rPr>
                <w:rFonts w:asciiTheme="minorEastAsia" w:hAnsiTheme="minorEastAsia" w:eastAsiaTheme="minorEastAsia" w:cstheme="minorEastAsia"/>
                <w:sz w:val="24"/>
              </w:rPr>
            </w:pPr>
            <w:r>
              <w:rPr>
                <w:rFonts w:hint="eastAsia" w:asciiTheme="minorEastAsia" w:hAnsiTheme="minorEastAsia" w:eastAsiaTheme="minorEastAsia"/>
                <w:sz w:val="24"/>
              </w:rPr>
              <w:t>130000</w:t>
            </w:r>
          </w:p>
        </w:tc>
        <w:tc>
          <w:tcPr>
            <w:tcW w:w="709" w:type="dxa"/>
            <w:tcBorders>
              <w:top w:val="single" w:color="auto" w:sz="4" w:space="0"/>
              <w:left w:val="single" w:color="auto" w:sz="4" w:space="0"/>
              <w:bottom w:val="single" w:color="auto" w:sz="4" w:space="0"/>
              <w:right w:val="single" w:color="auto" w:sz="4" w:space="0"/>
            </w:tcBorders>
            <w:vAlign w:val="center"/>
          </w:tcPr>
          <w:p w14:paraId="2190536D">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台</w:t>
            </w:r>
          </w:p>
        </w:tc>
        <w:tc>
          <w:tcPr>
            <w:tcW w:w="1134" w:type="dxa"/>
            <w:tcBorders>
              <w:top w:val="single" w:color="auto" w:sz="4" w:space="0"/>
              <w:left w:val="single" w:color="auto" w:sz="4" w:space="0"/>
              <w:bottom w:val="single" w:color="auto" w:sz="4" w:space="0"/>
              <w:right w:val="single" w:color="auto" w:sz="4" w:space="0"/>
            </w:tcBorders>
          </w:tcPr>
          <w:p w14:paraId="636B3CFA">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c>
          <w:tcPr>
            <w:tcW w:w="1670" w:type="dxa"/>
            <w:tcBorders>
              <w:top w:val="single" w:color="auto" w:sz="4" w:space="0"/>
              <w:left w:val="single" w:color="auto" w:sz="4" w:space="0"/>
              <w:bottom w:val="single" w:color="auto" w:sz="4" w:space="0"/>
              <w:right w:val="single" w:color="auto" w:sz="4" w:space="0"/>
            </w:tcBorders>
          </w:tcPr>
          <w:p w14:paraId="389AF446">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r>
      <w:tr w14:paraId="17C63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14:paraId="3629D8D4">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22</w:t>
            </w:r>
          </w:p>
        </w:tc>
        <w:tc>
          <w:tcPr>
            <w:tcW w:w="3147" w:type="dxa"/>
            <w:shd w:val="clear" w:color="auto" w:fill="FFFFFF"/>
            <w:vAlign w:val="center"/>
          </w:tcPr>
          <w:p w14:paraId="2CF5DAE6">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UPS主机（250KVA）</w:t>
            </w:r>
          </w:p>
        </w:tc>
        <w:tc>
          <w:tcPr>
            <w:tcW w:w="762" w:type="dxa"/>
            <w:vAlign w:val="center"/>
          </w:tcPr>
          <w:p w14:paraId="00DEF139">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1</w:t>
            </w:r>
          </w:p>
        </w:tc>
        <w:tc>
          <w:tcPr>
            <w:tcW w:w="1194" w:type="dxa"/>
            <w:tcBorders>
              <w:top w:val="single" w:color="auto" w:sz="4" w:space="0"/>
              <w:left w:val="single" w:color="auto" w:sz="4" w:space="0"/>
              <w:bottom w:val="single" w:color="auto" w:sz="4" w:space="0"/>
              <w:right w:val="single" w:color="auto" w:sz="4" w:space="0"/>
            </w:tcBorders>
            <w:vAlign w:val="center"/>
          </w:tcPr>
          <w:p w14:paraId="4B889D6F">
            <w:pPr>
              <w:spacing w:line="360" w:lineRule="auto"/>
              <w:contextualSpacing/>
              <w:jc w:val="center"/>
              <w:rPr>
                <w:rFonts w:asciiTheme="minorEastAsia" w:hAnsiTheme="minorEastAsia" w:eastAsiaTheme="minorEastAsia" w:cstheme="minorEastAsia"/>
                <w:sz w:val="24"/>
              </w:rPr>
            </w:pPr>
            <w:r>
              <w:rPr>
                <w:rFonts w:hint="eastAsia" w:asciiTheme="minorEastAsia" w:hAnsiTheme="minorEastAsia" w:eastAsiaTheme="minorEastAsia"/>
                <w:sz w:val="24"/>
              </w:rPr>
              <w:t>130000</w:t>
            </w:r>
          </w:p>
        </w:tc>
        <w:tc>
          <w:tcPr>
            <w:tcW w:w="709" w:type="dxa"/>
            <w:tcBorders>
              <w:top w:val="single" w:color="auto" w:sz="4" w:space="0"/>
              <w:left w:val="single" w:color="auto" w:sz="4" w:space="0"/>
              <w:bottom w:val="single" w:color="auto" w:sz="4" w:space="0"/>
              <w:right w:val="single" w:color="auto" w:sz="4" w:space="0"/>
            </w:tcBorders>
          </w:tcPr>
          <w:p w14:paraId="1602F3E7">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台</w:t>
            </w:r>
          </w:p>
        </w:tc>
        <w:tc>
          <w:tcPr>
            <w:tcW w:w="1134" w:type="dxa"/>
            <w:tcBorders>
              <w:top w:val="single" w:color="auto" w:sz="4" w:space="0"/>
              <w:left w:val="single" w:color="auto" w:sz="4" w:space="0"/>
              <w:bottom w:val="single" w:color="auto" w:sz="4" w:space="0"/>
              <w:right w:val="single" w:color="auto" w:sz="4" w:space="0"/>
            </w:tcBorders>
          </w:tcPr>
          <w:p w14:paraId="7FA0DF62">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c>
          <w:tcPr>
            <w:tcW w:w="1670" w:type="dxa"/>
            <w:tcBorders>
              <w:top w:val="single" w:color="auto" w:sz="4" w:space="0"/>
              <w:left w:val="single" w:color="auto" w:sz="4" w:space="0"/>
              <w:bottom w:val="single" w:color="auto" w:sz="4" w:space="0"/>
              <w:right w:val="single" w:color="auto" w:sz="4" w:space="0"/>
            </w:tcBorders>
          </w:tcPr>
          <w:p w14:paraId="62266442">
            <w:pPr>
              <w:spacing w:line="360" w:lineRule="auto"/>
              <w:contextualSpacing/>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否</w:t>
            </w:r>
          </w:p>
        </w:tc>
      </w:tr>
      <w:bookmarkEnd w:id="16"/>
    </w:tbl>
    <w:p w14:paraId="2A0E3A4C">
      <w:pPr>
        <w:spacing w:line="360" w:lineRule="auto"/>
        <w:contextualSpacing/>
        <w:rPr>
          <w:rFonts w:asciiTheme="minorEastAsia" w:hAnsiTheme="minorEastAsia" w:eastAsiaTheme="minorEastAsia" w:cstheme="minorEastAsia"/>
          <w:bCs/>
          <w:sz w:val="24"/>
        </w:rPr>
      </w:pPr>
    </w:p>
    <w:p w14:paraId="1201C9DA">
      <w:pPr>
        <w:spacing w:line="360" w:lineRule="auto"/>
        <w:contextualSpacing/>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2. 项目背景/项目概述</w:t>
      </w:r>
    </w:p>
    <w:p w14:paraId="21D875A4">
      <w:pPr>
        <w:pStyle w:val="7"/>
        <w:spacing w:before="1" w:line="360" w:lineRule="auto"/>
        <w:ind w:firstLine="48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目前，朝阳院区开放门诊诊位194个，病床400张。2024年门诊量275万余人次，住院病人4.9万余人次，住院手术量1.3万余人次，日均门诊量7550余人次，现有信息系统长期处于超负荷运行状态。</w:t>
      </w:r>
    </w:p>
    <w:p w14:paraId="384C5D9C">
      <w:pPr>
        <w:pStyle w:val="7"/>
        <w:spacing w:before="1" w:line="360" w:lineRule="auto"/>
        <w:ind w:firstLine="48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通州新院区投入使用后，两院区总计门诊诊位数将增加到450个，床位数将增加到1100张。医疗服务能力的提升带来信息系统处理事务量和数据量的急剧增加，需要更多的计算、存储等资源建设信息系统基础设施，满足业务急剧增长的需求。</w:t>
      </w:r>
    </w:p>
    <w:p w14:paraId="55C2FB73">
      <w:pPr>
        <w:pStyle w:val="7"/>
        <w:spacing w:before="1" w:line="360" w:lineRule="auto"/>
        <w:ind w:firstLine="48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随着社会发展程度提升，医院服务于社会和病人的要求也在不断提高，医院目前在用的信息系统建设时间长，架构老旧，不能很好的承接剧增的信息系统处理压力，需要配合必要的软件部署结构调整、优化或升级更新。同时上级管理部门的管理要求的增加、信息系统智能化发展的趋势，也对信息基础算力、存储资源提出了更高的要求。</w:t>
      </w:r>
    </w:p>
    <w:p w14:paraId="62B60935">
      <w:pPr>
        <w:pStyle w:val="7"/>
        <w:spacing w:before="1" w:line="360" w:lineRule="auto"/>
        <w:ind w:firstLine="48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医院对于服务器要求安全性能好、稳定性高，硬件设备服务保证7*24。按照服务器系统设计思路和原则，服务器系统采用虚拟机和物理机混合的方式。针对HIS、PACS、数据中心等系统的不同特点，分区部署服务集群或超融合服集群，按照系统业务类型、数据结构特点等分别进行数据库服务器、存储设备。</w:t>
      </w:r>
    </w:p>
    <w:p w14:paraId="59AEAA98">
      <w:pPr>
        <w:pStyle w:val="7"/>
        <w:spacing w:before="1" w:line="360" w:lineRule="auto"/>
        <w:ind w:firstLine="48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服务器系统需要提供计算处理服务、网络应用服务、应用支撑服务和其他服务。服务器是提供网络、数据服务的核心部件，应当实用、先进、可靠、高效、易用、安全、可扩展的要求。需要提供每周7*24小时不间断的访问服务。因此，必须具有强大的处理能力、快速的磁盘访问和高可靠性、高可用性的特点；同时服务器的体系结构应符合开放的标准，具有扩充的余地，最大范围地支持业界各种优秀的操作系统和服务软件，充分满足持续快速的业务发展需要。服务器设备应具有高扩展性，当业务量增加或增加新业务时，服务器能以增加节点、处理器、内存等方式提供更高的性能来满足新的需求，并应能支持节点的平滑扩充。服务器的设计处理能力要求满足所有相关应用和规模的需求，并应考虑全部系统的开销及应用切换时性能余量，且必须考虑性能冗余。</w:t>
      </w:r>
    </w:p>
    <w:p w14:paraId="6E3D4F45">
      <w:pPr>
        <w:pStyle w:val="7"/>
        <w:spacing w:before="1" w:line="360" w:lineRule="auto"/>
        <w:ind w:firstLine="480" w:firstLineChars="200"/>
        <w:rPr>
          <w:rFonts w:asciiTheme="minorEastAsia" w:hAnsiTheme="minorEastAsia" w:eastAsiaTheme="minorEastAsia" w:cstheme="minorEastAsia"/>
        </w:rPr>
      </w:pPr>
    </w:p>
    <w:p w14:paraId="7CB54B7E">
      <w:pPr>
        <w:pStyle w:val="23"/>
        <w:numPr>
          <w:ilvl w:val="0"/>
          <w:numId w:val="1"/>
        </w:numPr>
        <w:spacing w:line="360" w:lineRule="auto"/>
        <w:ind w:firstLineChars="0"/>
        <w:contextualSpacing/>
        <w:outlineLvl w:val="1"/>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商务要求</w:t>
      </w:r>
    </w:p>
    <w:p w14:paraId="4CA5D301">
      <w:pPr>
        <w:spacing w:line="360" w:lineRule="auto"/>
        <w:contextualSpacing/>
        <w:rPr>
          <w:rFonts w:asciiTheme="minorEastAsia" w:hAnsiTheme="minorEastAsia" w:eastAsiaTheme="minorEastAsia" w:cstheme="minorEastAsia"/>
          <w:i/>
          <w:sz w:val="24"/>
        </w:rPr>
      </w:pPr>
      <w:r>
        <w:rPr>
          <w:rFonts w:hint="eastAsia" w:asciiTheme="minorEastAsia" w:hAnsiTheme="minorEastAsia" w:eastAsiaTheme="minorEastAsia" w:cstheme="minorEastAsia"/>
          <w:sz w:val="24"/>
        </w:rPr>
        <w:t>1. 交付（实施）的时间（期限）和地点（范围）</w:t>
      </w:r>
    </w:p>
    <w:p w14:paraId="2C7DEEB0">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项目建设周期：合同签订之日起，本项目建设周期为18个月。合同签订后30个日历日内完成所有设备到货，到货后30个日历日内安装、调试。</w:t>
      </w:r>
    </w:p>
    <w:p w14:paraId="69231EAB">
      <w:pPr>
        <w:spacing w:line="360" w:lineRule="auto"/>
        <w:ind w:firstLine="240" w:firstLineChars="1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交货地点： 首都医科大学附属首都儿童医学中心通州院区</w:t>
      </w:r>
    </w:p>
    <w:p w14:paraId="64115D0C">
      <w:pPr>
        <w:spacing w:line="360" w:lineRule="auto"/>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 付款条件（进度和方式）</w:t>
      </w:r>
    </w:p>
    <w:p w14:paraId="3CE09692">
      <w:pPr>
        <w:pStyle w:val="7"/>
        <w:spacing w:before="1" w:line="360" w:lineRule="auto"/>
        <w:ind w:firstLine="48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1.采购人中标人双方约定本合同付款方式为□支票□汇款□财政直接支付□公务卡。</w:t>
      </w:r>
    </w:p>
    <w:p w14:paraId="52BE10A1">
      <w:pPr>
        <w:pStyle w:val="7"/>
        <w:spacing w:before="1" w:line="360" w:lineRule="auto"/>
        <w:ind w:firstLine="48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2.合同签订后，在项目财政批复资金到账后30个工作日内，采购人向中标人支付合同总金额的30%作为首付款，即人民币  元整（小写：¥  元）。</w:t>
      </w:r>
    </w:p>
    <w:p w14:paraId="60E711DF">
      <w:pPr>
        <w:pStyle w:val="7"/>
        <w:spacing w:before="1" w:line="360" w:lineRule="auto"/>
        <w:ind w:firstLine="48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3.在合同规定之日内，货物到达采购人指定地点并经采购人到货验收合格后15个工作日内，中标人向采购人提供合同总金额的10%，即人民币      元整（小写：¥  元）的履约保函，履约保函期限要求不低于1年。采购人在收到中标人从银行开具的履约保函后，在财政批复资金到账后30个工作日内，采购人向中标人支付合同总金额的60%，即人民币  元整（小写：¥  元）。</w:t>
      </w:r>
    </w:p>
    <w:p w14:paraId="142C037F">
      <w:pPr>
        <w:pStyle w:val="7"/>
        <w:spacing w:before="1" w:line="360" w:lineRule="auto"/>
        <w:ind w:firstLine="48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4.合同终验完成后，在财政批复资金到账后30个工作日内，采购人向中标人支付合同总金额的10%，即人民币  元整（小写：¥  元）。</w:t>
      </w:r>
    </w:p>
    <w:p w14:paraId="34A7058B">
      <w:pPr>
        <w:pStyle w:val="7"/>
        <w:spacing w:before="1" w:line="360" w:lineRule="auto"/>
        <w:ind w:firstLine="48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5.若合同终验完成前，履约保函已到期并需要续期，中标人需在保函到期前15个工作日内按采购人要求的期限重新提供保函。</w:t>
      </w:r>
    </w:p>
    <w:p w14:paraId="4938E8A9">
      <w:pPr>
        <w:pStyle w:val="14"/>
        <w:spacing w:line="360" w:lineRule="auto"/>
        <w:ind w:firstLine="480"/>
        <w:contextualSpacing/>
        <w:rPr>
          <w:rFonts w:asciiTheme="minorEastAsia" w:hAnsiTheme="minorEastAsia" w:eastAsiaTheme="minorEastAsia" w:cstheme="minorEastAsia"/>
          <w:szCs w:val="24"/>
        </w:rPr>
      </w:pPr>
    </w:p>
    <w:p w14:paraId="5DAA7BD6">
      <w:pPr>
        <w:spacing w:line="360" w:lineRule="auto"/>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 包装和运输须满足《关于印发〈商品包装政府采购需求标准（试行）〉、〈快递包装政府采购需求标准（试行）〉的通知》（财办库﹝2020﹞123号））</w:t>
      </w:r>
    </w:p>
    <w:p w14:paraId="5BDAA307">
      <w:pPr>
        <w:pStyle w:val="7"/>
        <w:spacing w:before="1" w:line="360" w:lineRule="auto"/>
        <w:ind w:firstLine="48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中标人应确保所有货物均按照相关标准（《关于印发〈商品包装政府采购需求标准（试行）〉、〈快递包装政府采购需求标准（试行）〉的通知》（财办库﹝2020﹞123号））进行妥善包装，以防止在运输和存储过程中受到损坏。包装材料需环保、可回收，并符合国家对包装物的环保要求。运输过程中，中标人应负责货物的安全，确保按时、无损地送达指定地点</w:t>
      </w:r>
    </w:p>
    <w:p w14:paraId="445EC63F">
      <w:pPr>
        <w:spacing w:line="360" w:lineRule="auto"/>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 售后服务（质保期）</w:t>
      </w:r>
    </w:p>
    <w:p w14:paraId="10F59CED">
      <w:pPr>
        <w:spacing w:line="360" w:lineRule="auto"/>
        <w:ind w:firstLine="424" w:firstLineChars="177"/>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提供≥</w:t>
      </w:r>
      <w:r>
        <w:rPr>
          <w:rFonts w:hint="eastAsia" w:asciiTheme="minorEastAsia" w:hAnsiTheme="minorEastAsia" w:eastAsiaTheme="minorEastAsia" w:cstheme="minorEastAsia"/>
          <w:b/>
          <w:bCs/>
          <w:sz w:val="24"/>
        </w:rPr>
        <w:t>六年</w:t>
      </w:r>
      <w:r>
        <w:rPr>
          <w:rFonts w:hint="eastAsia" w:asciiTheme="minorEastAsia" w:hAnsiTheme="minorEastAsia" w:eastAsiaTheme="minorEastAsia" w:cstheme="minorEastAsia"/>
          <w:bCs/>
          <w:sz w:val="24"/>
        </w:rPr>
        <w:t>的质保服务的货物：HIS核心数据库服务器、HIS核心数据库灾备服务器、PACS/HIS/EMR应用服务器超融合集群、临床数据中心hadoop集群、其他业务数据库虚拟化服务器、其他业务超融合集群、外网DMZ超融合集群、外网业务超融合集群、内外网交互区超融合集群、医保超融合集群、应用负载均衡、存储管理服务器、安全管理服务器、临床科研基础数据库与儿科专科专病数据库服务器1、临床科研基础数据库与儿科专科专病数据库服务器2、其他应用物理服务器；</w:t>
      </w:r>
    </w:p>
    <w:p w14:paraId="258DEF84">
      <w:pPr>
        <w:spacing w:line="360" w:lineRule="auto"/>
        <w:ind w:firstLine="424" w:firstLineChars="177"/>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提供≥原厂</w:t>
      </w:r>
      <w:r>
        <w:rPr>
          <w:rFonts w:hint="eastAsia" w:asciiTheme="minorEastAsia" w:hAnsiTheme="minorEastAsia" w:eastAsiaTheme="minorEastAsia" w:cstheme="minorEastAsia"/>
          <w:b/>
          <w:bCs/>
          <w:sz w:val="24"/>
        </w:rPr>
        <w:t>五年</w:t>
      </w:r>
      <w:r>
        <w:rPr>
          <w:rFonts w:hint="eastAsia" w:asciiTheme="minorEastAsia" w:hAnsiTheme="minorEastAsia" w:eastAsiaTheme="minorEastAsia" w:cstheme="minorEastAsia"/>
          <w:bCs/>
          <w:sz w:val="24"/>
        </w:rPr>
        <w:t>的质保服务：模块化UPS（400KVA)、UPS主机（60KVA)、UPS主机(120KVA）、UPS主机（150KVA)、UPS主机（200KVA）、UPS主机（250KVA)。</w:t>
      </w:r>
    </w:p>
    <w:p w14:paraId="19129C2B">
      <w:pPr>
        <w:spacing w:line="360" w:lineRule="auto"/>
        <w:ind w:firstLine="424" w:firstLineChars="177"/>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中标人负责对采购人操作人员进行设备使用等方面的知识和方法培训，提供5人不少于2天的培训，提供原厂工程师培训，直至采购人的操作人员能独立熟练操作为止，场地、交通等培训相关费用均由投标人承担。</w:t>
      </w:r>
    </w:p>
    <w:p w14:paraId="39AE8F2D">
      <w:pPr>
        <w:spacing w:line="360" w:lineRule="auto"/>
        <w:ind w:firstLine="426" w:firstLineChars="177"/>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★投标人针对此项目，须提供1名技术人员自验收之日起3年驻场服务，负责服务器等设备现场巡检、运维等服务，所涉及费用包含在投标报价中，采购人不再提供额外费用。投标人提供承诺函加盖公章。</w:t>
      </w:r>
    </w:p>
    <w:p w14:paraId="6C1FC661">
      <w:pPr>
        <w:spacing w:line="360" w:lineRule="auto"/>
        <w:contextualSpacing/>
        <w:rPr>
          <w:rFonts w:asciiTheme="minorEastAsia" w:hAnsiTheme="minorEastAsia" w:eastAsiaTheme="minorEastAsia" w:cstheme="minorEastAsia"/>
          <w:bCs/>
          <w:iCs/>
          <w:sz w:val="24"/>
        </w:rPr>
      </w:pPr>
    </w:p>
    <w:p w14:paraId="622CF1AA">
      <w:pPr>
        <w:pStyle w:val="23"/>
        <w:numPr>
          <w:ilvl w:val="0"/>
          <w:numId w:val="1"/>
        </w:numPr>
        <w:spacing w:line="360" w:lineRule="auto"/>
        <w:ind w:firstLineChars="0"/>
        <w:contextualSpacing/>
        <w:outlineLvl w:val="1"/>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技术要求</w:t>
      </w:r>
    </w:p>
    <w:p w14:paraId="13E19AF2">
      <w:pPr>
        <w:spacing w:line="360" w:lineRule="auto"/>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 基本要求</w:t>
      </w:r>
    </w:p>
    <w:p w14:paraId="6F6AD164">
      <w:pPr>
        <w:spacing w:line="360" w:lineRule="auto"/>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1.1 采购标的需实现的功能或者目标</w:t>
      </w:r>
    </w:p>
    <w:p w14:paraId="72FF7257">
      <w:pPr>
        <w:spacing w:line="360" w:lineRule="auto"/>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1.2 需执行的国家相关标准、行业标准、地方标准或者其他标准、规范</w:t>
      </w:r>
    </w:p>
    <w:p w14:paraId="7F6F03F9">
      <w:pPr>
        <w:spacing w:line="360" w:lineRule="auto"/>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参照《国家信息化发展战略纲要》、《“十三五”国家信息化规划》和《国家标准化体系建设发展规划（2016—2020年）》中相关要求执行。</w:t>
      </w:r>
    </w:p>
    <w:p w14:paraId="1943BA58">
      <w:pPr>
        <w:spacing w:line="360" w:lineRule="auto"/>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 服务内容及要求/货物技术要求</w:t>
      </w:r>
    </w:p>
    <w:p w14:paraId="3EDF873F">
      <w:pPr>
        <w:widowControl/>
        <w:spacing w:line="360" w:lineRule="auto"/>
        <w:ind w:firstLine="480" w:firstLineChars="200"/>
        <w:contextualSpacing/>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2.1采购标的需满足的性能、材料、结构、外观、质量、安全、技术规格、物理特性等要求</w:t>
      </w:r>
    </w:p>
    <w:p w14:paraId="13EC24D4">
      <w:pPr>
        <w:pStyle w:val="23"/>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技术指标按重要性分为 “★”、“#”两种标示方式。★代表关键指标，#代表重要指标。标示“★”的关键指标有1项不满足即按无效投标处理。</w:t>
      </w:r>
    </w:p>
    <w:p w14:paraId="13D21269">
      <w:pPr>
        <w:pStyle w:val="23"/>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除明确要求外，“#”投标人需提供包含相关指标项的证明材料，证明材料可以使用生产厂家官方网站截图或产品功能截图或产品手册等相关证明材料，未提供有效证明材料或证明材料中内容与所填报指标不一致的，该指标按照不满足处理。</w:t>
      </w:r>
    </w:p>
    <w:p w14:paraId="7BAEA74E">
      <w:pPr>
        <w:spacing w:line="360" w:lineRule="auto"/>
        <w:ind w:firstLine="420"/>
        <w:rPr>
          <w:rFonts w:asciiTheme="minorEastAsia" w:hAnsiTheme="minorEastAsia" w:eastAsiaTheme="minorEastAsia" w:cstheme="minorEastAsia"/>
          <w:b/>
          <w:bCs/>
          <w:sz w:val="28"/>
          <w:szCs w:val="28"/>
          <w:lang w:bidi="ar"/>
        </w:rPr>
      </w:pPr>
      <w:r>
        <w:rPr>
          <w:rFonts w:hint="eastAsia" w:asciiTheme="minorEastAsia" w:hAnsiTheme="minorEastAsia" w:eastAsiaTheme="minorEastAsia" w:cstheme="minorEastAsia"/>
          <w:b/>
          <w:bCs/>
          <w:sz w:val="28"/>
          <w:szCs w:val="28"/>
          <w:lang w:bidi="ar"/>
        </w:rPr>
        <w:t>指标要求中如有“投标人/供应商给出......”等表述要求的，请投标人明确提供响应具体内容</w:t>
      </w:r>
    </w:p>
    <w:p w14:paraId="364611D2">
      <w:pPr>
        <w:pStyle w:val="2"/>
        <w:numPr>
          <w:ilvl w:val="0"/>
          <w:numId w:val="2"/>
        </w:numPr>
        <w:ind w:left="442" w:hanging="442"/>
        <w:jc w:val="left"/>
        <w:rPr>
          <w:rFonts w:asciiTheme="minorEastAsia" w:hAnsiTheme="minorEastAsia" w:eastAsiaTheme="minorEastAsia" w:cstheme="minorEastAsia"/>
          <w:sz w:val="24"/>
          <w:szCs w:val="24"/>
        </w:rPr>
      </w:pPr>
      <w:bookmarkStart w:id="20" w:name="_Hlk213787088"/>
      <w:r>
        <w:rPr>
          <w:rFonts w:hint="eastAsia" w:asciiTheme="minorEastAsia" w:hAnsiTheme="minorEastAsia" w:eastAsiaTheme="minorEastAsia" w:cstheme="minorEastAsia"/>
          <w:sz w:val="24"/>
          <w:szCs w:val="24"/>
        </w:rPr>
        <w:t>HIS核心数据库服务器</w:t>
      </w:r>
    </w:p>
    <w:tbl>
      <w:tblPr>
        <w:tblStyle w:val="15"/>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576"/>
        <w:gridCol w:w="1035"/>
        <w:gridCol w:w="1020"/>
        <w:gridCol w:w="1490"/>
        <w:gridCol w:w="4026"/>
        <w:gridCol w:w="1279"/>
      </w:tblGrid>
      <w:tr w14:paraId="5B420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2" w:hRule="atLeast"/>
          <w:jc w:val="center"/>
        </w:trPr>
        <w:tc>
          <w:tcPr>
            <w:tcW w:w="576" w:type="dxa"/>
            <w:shd w:val="clear" w:color="auto" w:fill="FFFFFF"/>
            <w:vAlign w:val="center"/>
          </w:tcPr>
          <w:p w14:paraId="4B1A994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序号</w:t>
            </w:r>
          </w:p>
        </w:tc>
        <w:tc>
          <w:tcPr>
            <w:tcW w:w="1035" w:type="dxa"/>
            <w:shd w:val="clear" w:color="auto" w:fill="FFFFFF"/>
            <w:vAlign w:val="center"/>
          </w:tcPr>
          <w:p w14:paraId="40E39D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指标分类</w:t>
            </w:r>
          </w:p>
        </w:tc>
        <w:tc>
          <w:tcPr>
            <w:tcW w:w="1020" w:type="dxa"/>
            <w:shd w:val="clear" w:color="auto" w:fill="FFFFFF"/>
            <w:vAlign w:val="center"/>
          </w:tcPr>
          <w:p w14:paraId="74826D6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一级指标</w:t>
            </w:r>
          </w:p>
        </w:tc>
        <w:tc>
          <w:tcPr>
            <w:tcW w:w="1490" w:type="dxa"/>
            <w:shd w:val="clear" w:color="auto" w:fill="FFFFFF"/>
            <w:vAlign w:val="center"/>
          </w:tcPr>
          <w:p w14:paraId="431C335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二级指标</w:t>
            </w:r>
          </w:p>
        </w:tc>
        <w:tc>
          <w:tcPr>
            <w:tcW w:w="4026" w:type="dxa"/>
            <w:shd w:val="clear" w:color="auto" w:fill="FFFFFF"/>
            <w:vAlign w:val="center"/>
          </w:tcPr>
          <w:p w14:paraId="267ED05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指标要求</w:t>
            </w:r>
          </w:p>
        </w:tc>
        <w:tc>
          <w:tcPr>
            <w:tcW w:w="1279" w:type="dxa"/>
            <w:shd w:val="clear" w:color="auto" w:fill="FFFFFF"/>
            <w:vAlign w:val="center"/>
          </w:tcPr>
          <w:p w14:paraId="17B156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是否提供证明材料</w:t>
            </w:r>
          </w:p>
        </w:tc>
      </w:tr>
      <w:tr w14:paraId="16AAA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576" w:type="dxa"/>
            <w:shd w:val="clear" w:color="auto" w:fill="FFFFFF"/>
            <w:vAlign w:val="center"/>
          </w:tcPr>
          <w:p w14:paraId="206F89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w:t>
            </w:r>
          </w:p>
        </w:tc>
        <w:tc>
          <w:tcPr>
            <w:tcW w:w="1035" w:type="dxa"/>
            <w:shd w:val="clear" w:color="auto" w:fill="FFFFFF"/>
            <w:vAlign w:val="center"/>
          </w:tcPr>
          <w:p w14:paraId="533C108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shd w:val="clear" w:color="auto" w:fill="FFFFFF"/>
            <w:vAlign w:val="center"/>
          </w:tcPr>
          <w:p w14:paraId="00CCCCE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CPU规格</w:t>
            </w:r>
          </w:p>
        </w:tc>
        <w:tc>
          <w:tcPr>
            <w:tcW w:w="1490" w:type="dxa"/>
            <w:shd w:val="clear" w:color="auto" w:fill="FFFFFF"/>
            <w:vAlign w:val="center"/>
          </w:tcPr>
          <w:p w14:paraId="3B36154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kern w:val="0"/>
                <w:sz w:val="24"/>
              </w:rPr>
              <w:t>CPU信息</w:t>
            </w:r>
          </w:p>
        </w:tc>
        <w:tc>
          <w:tcPr>
            <w:tcW w:w="4026" w:type="dxa"/>
            <w:shd w:val="clear" w:color="auto" w:fill="FFFFFF"/>
            <w:vAlign w:val="center"/>
          </w:tcPr>
          <w:p w14:paraId="543610A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供应商应给出CPU信息，包含CPU型号、物理核心数、主频、末级缓存容量、线程数、热设计功耗及支持内存的最高速率、通道数和位宽</w:t>
            </w:r>
          </w:p>
        </w:tc>
        <w:tc>
          <w:tcPr>
            <w:tcW w:w="1279" w:type="dxa"/>
            <w:shd w:val="clear" w:color="auto" w:fill="FFFFFF"/>
            <w:vAlign w:val="center"/>
          </w:tcPr>
          <w:p w14:paraId="3C9C9CA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FCA4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03D85B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1035" w:type="dxa"/>
            <w:shd w:val="clear" w:color="auto" w:fill="FFFFFF"/>
            <w:vAlign w:val="center"/>
          </w:tcPr>
          <w:p w14:paraId="44A1D43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restart"/>
            <w:shd w:val="clear" w:color="auto" w:fill="FFFFFF"/>
            <w:vAlign w:val="center"/>
          </w:tcPr>
          <w:p w14:paraId="4F14055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主板规格</w:t>
            </w:r>
          </w:p>
        </w:tc>
        <w:tc>
          <w:tcPr>
            <w:tcW w:w="1490" w:type="dxa"/>
            <w:shd w:val="clear" w:color="auto" w:fill="FFFFFF"/>
            <w:vAlign w:val="center"/>
          </w:tcPr>
          <w:p w14:paraId="1697CA2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★主板支持的CPU和内存情况</w:t>
            </w:r>
          </w:p>
        </w:tc>
        <w:tc>
          <w:tcPr>
            <w:tcW w:w="4026" w:type="dxa"/>
            <w:shd w:val="clear" w:color="auto" w:fill="FFFFFF"/>
            <w:vAlign w:val="center"/>
          </w:tcPr>
          <w:p w14:paraId="1C79E4E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供应商给出主板支持的CPU和内存的型号数量</w:t>
            </w:r>
          </w:p>
        </w:tc>
        <w:tc>
          <w:tcPr>
            <w:tcW w:w="1279" w:type="dxa"/>
            <w:shd w:val="clear" w:color="auto" w:fill="FFFFFF"/>
            <w:vAlign w:val="center"/>
          </w:tcPr>
          <w:p w14:paraId="3DF132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22CD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426BC1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w:t>
            </w:r>
          </w:p>
        </w:tc>
        <w:tc>
          <w:tcPr>
            <w:tcW w:w="1035" w:type="dxa"/>
            <w:shd w:val="clear" w:color="auto" w:fill="FFFFFF"/>
            <w:vAlign w:val="center"/>
          </w:tcPr>
          <w:p w14:paraId="4A89D90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0E877900">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79EB38F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★主板内存槽数量</w:t>
            </w:r>
          </w:p>
        </w:tc>
        <w:tc>
          <w:tcPr>
            <w:tcW w:w="4026" w:type="dxa"/>
            <w:shd w:val="clear" w:color="auto" w:fill="FFFFFF"/>
            <w:vAlign w:val="center"/>
          </w:tcPr>
          <w:p w14:paraId="7B3BACE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非板载内存的可扩展插槽数量应≥4个</w:t>
            </w:r>
          </w:p>
        </w:tc>
        <w:tc>
          <w:tcPr>
            <w:tcW w:w="1279" w:type="dxa"/>
            <w:shd w:val="clear" w:color="auto" w:fill="FFFFFF"/>
            <w:vAlign w:val="center"/>
          </w:tcPr>
          <w:p w14:paraId="44B778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7CB4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2C23495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w:t>
            </w:r>
          </w:p>
        </w:tc>
        <w:tc>
          <w:tcPr>
            <w:tcW w:w="1035" w:type="dxa"/>
            <w:shd w:val="clear" w:color="auto" w:fill="FFFFFF"/>
            <w:vAlign w:val="center"/>
          </w:tcPr>
          <w:p w14:paraId="1F1F5EC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2B897734">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02A88DF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★主板存储接口</w:t>
            </w:r>
          </w:p>
        </w:tc>
        <w:tc>
          <w:tcPr>
            <w:tcW w:w="4026" w:type="dxa"/>
            <w:shd w:val="clear" w:color="auto" w:fill="FFFFFF"/>
            <w:vAlign w:val="center"/>
          </w:tcPr>
          <w:p w14:paraId="6F3D747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至少支持SATA、SAS、M.2、U.2等存储接口中的1种</w:t>
            </w:r>
          </w:p>
        </w:tc>
        <w:tc>
          <w:tcPr>
            <w:tcW w:w="1279" w:type="dxa"/>
            <w:shd w:val="clear" w:color="auto" w:fill="FFFFFF"/>
            <w:vAlign w:val="center"/>
          </w:tcPr>
          <w:p w14:paraId="294AA90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43A1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1E82E75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w:t>
            </w:r>
          </w:p>
        </w:tc>
        <w:tc>
          <w:tcPr>
            <w:tcW w:w="1035" w:type="dxa"/>
            <w:shd w:val="clear" w:color="auto" w:fill="FFFFFF"/>
            <w:vAlign w:val="center"/>
          </w:tcPr>
          <w:p w14:paraId="5531C6A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12074B38">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436E407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★PCIe插槽接口</w:t>
            </w:r>
          </w:p>
        </w:tc>
        <w:tc>
          <w:tcPr>
            <w:tcW w:w="4026" w:type="dxa"/>
            <w:shd w:val="clear" w:color="auto" w:fill="FFFFFF"/>
            <w:vAlign w:val="center"/>
          </w:tcPr>
          <w:p w14:paraId="1D71EA8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符合PCIe3.0或以上的高速串行计算机扩展总线标准，PCIe的接口速率与位宽需保证向下兼容</w:t>
            </w:r>
          </w:p>
        </w:tc>
        <w:tc>
          <w:tcPr>
            <w:tcW w:w="1279" w:type="dxa"/>
            <w:shd w:val="clear" w:color="auto" w:fill="FFFFFF"/>
            <w:vAlign w:val="center"/>
          </w:tcPr>
          <w:p w14:paraId="3BAB506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17B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6375AD8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w:t>
            </w:r>
          </w:p>
        </w:tc>
        <w:tc>
          <w:tcPr>
            <w:tcW w:w="1035" w:type="dxa"/>
            <w:shd w:val="clear" w:color="auto" w:fill="FFFFFF"/>
            <w:vAlign w:val="center"/>
          </w:tcPr>
          <w:p w14:paraId="7DC77B6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2DA63842">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04C9997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★主板PCIe插槽数量及规格</w:t>
            </w:r>
          </w:p>
        </w:tc>
        <w:tc>
          <w:tcPr>
            <w:tcW w:w="4026" w:type="dxa"/>
            <w:shd w:val="clear" w:color="auto" w:fill="FFFFFF"/>
            <w:vAlign w:val="center"/>
          </w:tcPr>
          <w:p w14:paraId="0EC3D2A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a）高度大于44.45mm双路或以上服务器PCIe插槽或接口应≥5个；</w:t>
            </w:r>
          </w:p>
          <w:p w14:paraId="0D242FF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b）单路服务器PCIe插槽或接口应≥4个，可通过扩展卡进行插槽扩展</w:t>
            </w:r>
          </w:p>
        </w:tc>
        <w:tc>
          <w:tcPr>
            <w:tcW w:w="1279" w:type="dxa"/>
            <w:shd w:val="clear" w:color="auto" w:fill="FFFFFF"/>
            <w:vAlign w:val="center"/>
          </w:tcPr>
          <w:p w14:paraId="249022B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E1AC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576" w:type="dxa"/>
            <w:shd w:val="clear" w:color="auto" w:fill="FFFFFF"/>
            <w:vAlign w:val="center"/>
          </w:tcPr>
          <w:p w14:paraId="6CEDE97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w:t>
            </w:r>
          </w:p>
        </w:tc>
        <w:tc>
          <w:tcPr>
            <w:tcW w:w="1035" w:type="dxa"/>
            <w:shd w:val="clear" w:color="auto" w:fill="FFFFFF"/>
            <w:vAlign w:val="center"/>
          </w:tcPr>
          <w:p w14:paraId="0F8CA58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08A2B1B7">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3943822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特殊孔位及接口</w:t>
            </w:r>
          </w:p>
        </w:tc>
        <w:tc>
          <w:tcPr>
            <w:tcW w:w="4026" w:type="dxa"/>
            <w:shd w:val="clear" w:color="auto" w:fill="FFFFFF"/>
            <w:vAlign w:val="center"/>
          </w:tcPr>
          <w:p w14:paraId="633A5A9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a）服务器机箱内主板可根据用户实际使用需求支持安装多功能导入装置板卡，机箱内需预留多功能导入装置板卡安装位置，容量不小于55mm×45mm×15mm（长×宽×高，单位毫米）；</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b）服务器主板可根据用户实际使用需求预留满足USB2.0或USB3.0数据传输规范的接口，工作电压5V，采用USB2.0时，最大过电流应不小于0.5A，采用USB3.0时，最大过电流应不小于1A</w:t>
            </w:r>
          </w:p>
        </w:tc>
        <w:tc>
          <w:tcPr>
            <w:tcW w:w="1279" w:type="dxa"/>
            <w:shd w:val="clear" w:color="auto" w:fill="FFFFFF"/>
            <w:vAlign w:val="center"/>
          </w:tcPr>
          <w:p w14:paraId="3B8EA5F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EAFF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375C8EF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1035" w:type="dxa"/>
            <w:shd w:val="clear" w:color="auto" w:fill="FFFFFF"/>
            <w:vAlign w:val="center"/>
          </w:tcPr>
          <w:p w14:paraId="666857C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1AE2DF6D">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4A0A84C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板载网络接口</w:t>
            </w:r>
          </w:p>
        </w:tc>
        <w:tc>
          <w:tcPr>
            <w:tcW w:w="4026" w:type="dxa"/>
            <w:shd w:val="clear" w:color="auto" w:fill="FFFFFF"/>
            <w:vAlign w:val="center"/>
          </w:tcPr>
          <w:p w14:paraId="2C8887B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若支持板载网络接口应≥1个1GE网口</w:t>
            </w:r>
          </w:p>
        </w:tc>
        <w:tc>
          <w:tcPr>
            <w:tcW w:w="1279" w:type="dxa"/>
            <w:shd w:val="clear" w:color="auto" w:fill="FFFFFF"/>
            <w:vAlign w:val="center"/>
          </w:tcPr>
          <w:p w14:paraId="5797CE0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CDFC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5200CE6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w:t>
            </w:r>
          </w:p>
        </w:tc>
        <w:tc>
          <w:tcPr>
            <w:tcW w:w="1035" w:type="dxa"/>
            <w:shd w:val="clear" w:color="auto" w:fill="FFFFFF"/>
            <w:vAlign w:val="center"/>
          </w:tcPr>
          <w:p w14:paraId="0F21E8C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6FC3C3EE">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4D6E558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主板OCP插槽数量</w:t>
            </w:r>
          </w:p>
        </w:tc>
        <w:tc>
          <w:tcPr>
            <w:tcW w:w="4026" w:type="dxa"/>
            <w:shd w:val="clear" w:color="auto" w:fill="FFFFFF"/>
            <w:vAlign w:val="center"/>
          </w:tcPr>
          <w:p w14:paraId="6373141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支持OCP2.0及以上插槽的数量≥1个</w:t>
            </w:r>
          </w:p>
        </w:tc>
        <w:tc>
          <w:tcPr>
            <w:tcW w:w="1279" w:type="dxa"/>
            <w:shd w:val="clear" w:color="auto" w:fill="FFFFFF"/>
            <w:vAlign w:val="center"/>
          </w:tcPr>
          <w:p w14:paraId="16740E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98A4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068A76C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w:t>
            </w:r>
          </w:p>
        </w:tc>
        <w:tc>
          <w:tcPr>
            <w:tcW w:w="1035" w:type="dxa"/>
            <w:shd w:val="clear" w:color="auto" w:fill="FFFFFF"/>
            <w:vAlign w:val="center"/>
          </w:tcPr>
          <w:p w14:paraId="05EF37F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restart"/>
            <w:shd w:val="clear" w:color="auto" w:fill="FFFFFF"/>
            <w:vAlign w:val="center"/>
          </w:tcPr>
          <w:p w14:paraId="6D7FA97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内存规格</w:t>
            </w:r>
          </w:p>
        </w:tc>
        <w:tc>
          <w:tcPr>
            <w:tcW w:w="1490" w:type="dxa"/>
            <w:shd w:val="clear" w:color="auto" w:fill="FFFFFF"/>
            <w:vAlign w:val="center"/>
          </w:tcPr>
          <w:p w14:paraId="6924708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★内存数量</w:t>
            </w:r>
          </w:p>
        </w:tc>
        <w:tc>
          <w:tcPr>
            <w:tcW w:w="4026" w:type="dxa"/>
            <w:shd w:val="clear" w:color="auto" w:fill="FFFFFF"/>
            <w:vAlign w:val="center"/>
          </w:tcPr>
          <w:p w14:paraId="6164832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w:t>
            </w:r>
          </w:p>
        </w:tc>
        <w:tc>
          <w:tcPr>
            <w:tcW w:w="1279" w:type="dxa"/>
            <w:shd w:val="clear" w:color="auto" w:fill="FFFFFF"/>
            <w:vAlign w:val="center"/>
          </w:tcPr>
          <w:p w14:paraId="4B62323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311D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3D35FF0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w:t>
            </w:r>
          </w:p>
        </w:tc>
        <w:tc>
          <w:tcPr>
            <w:tcW w:w="1035" w:type="dxa"/>
            <w:shd w:val="clear" w:color="auto" w:fill="FFFFFF"/>
            <w:vAlign w:val="center"/>
          </w:tcPr>
          <w:p w14:paraId="6C29DD0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419AA1BC">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2C30815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★内存规格</w:t>
            </w:r>
          </w:p>
        </w:tc>
        <w:tc>
          <w:tcPr>
            <w:tcW w:w="4026" w:type="dxa"/>
            <w:shd w:val="clear" w:color="auto" w:fill="FFFFFF"/>
            <w:vAlign w:val="center"/>
          </w:tcPr>
          <w:p w14:paraId="6C45C71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≥DDR5</w:t>
            </w:r>
          </w:p>
        </w:tc>
        <w:tc>
          <w:tcPr>
            <w:tcW w:w="1279" w:type="dxa"/>
            <w:shd w:val="clear" w:color="auto" w:fill="FFFFFF"/>
            <w:vAlign w:val="center"/>
          </w:tcPr>
          <w:p w14:paraId="1D8D53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4A7B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576" w:type="dxa"/>
            <w:shd w:val="clear" w:color="auto" w:fill="FFFFFF"/>
            <w:vAlign w:val="center"/>
          </w:tcPr>
          <w:p w14:paraId="67C7341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w:t>
            </w:r>
          </w:p>
        </w:tc>
        <w:tc>
          <w:tcPr>
            <w:tcW w:w="1035" w:type="dxa"/>
            <w:shd w:val="clear" w:color="auto" w:fill="FFFFFF"/>
            <w:vAlign w:val="center"/>
          </w:tcPr>
          <w:p w14:paraId="50CCA83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38ADBEA7">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7853E7D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★内存通道</w:t>
            </w:r>
          </w:p>
        </w:tc>
        <w:tc>
          <w:tcPr>
            <w:tcW w:w="4026" w:type="dxa"/>
            <w:shd w:val="clear" w:color="auto" w:fill="FFFFFF"/>
            <w:vAlign w:val="center"/>
          </w:tcPr>
          <w:p w14:paraId="559E256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支持多个内存接口通道，每个通道可支持1DPC或2DPC，当支持2DPC时，印制电路板上应具备插槽的序号标识，具体通道数应在随机文件中明确</w:t>
            </w:r>
          </w:p>
        </w:tc>
        <w:tc>
          <w:tcPr>
            <w:tcW w:w="1279" w:type="dxa"/>
            <w:shd w:val="clear" w:color="auto" w:fill="FFFFFF"/>
            <w:vAlign w:val="center"/>
          </w:tcPr>
          <w:p w14:paraId="0CF8BEC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5E9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68BBDD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w:t>
            </w:r>
          </w:p>
        </w:tc>
        <w:tc>
          <w:tcPr>
            <w:tcW w:w="1035" w:type="dxa"/>
            <w:shd w:val="clear" w:color="auto" w:fill="FFFFFF"/>
            <w:vAlign w:val="center"/>
          </w:tcPr>
          <w:p w14:paraId="5D37E70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restart"/>
            <w:shd w:val="clear" w:color="auto" w:fill="FFFFFF"/>
            <w:vAlign w:val="center"/>
          </w:tcPr>
          <w:p w14:paraId="525A111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存储规格</w:t>
            </w:r>
          </w:p>
        </w:tc>
        <w:tc>
          <w:tcPr>
            <w:tcW w:w="1490" w:type="dxa"/>
            <w:shd w:val="clear" w:color="auto" w:fill="FFFFFF"/>
            <w:vAlign w:val="center"/>
          </w:tcPr>
          <w:p w14:paraId="4F9F8EF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硬盘类型</w:t>
            </w:r>
          </w:p>
        </w:tc>
        <w:tc>
          <w:tcPr>
            <w:tcW w:w="4026" w:type="dxa"/>
            <w:shd w:val="clear" w:color="auto" w:fill="FFFFFF"/>
            <w:vAlign w:val="center"/>
          </w:tcPr>
          <w:p w14:paraId="66F72AB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供应商给出服务器支持硬磁盘和固态盘类型及规格</w:t>
            </w:r>
          </w:p>
        </w:tc>
        <w:tc>
          <w:tcPr>
            <w:tcW w:w="1279" w:type="dxa"/>
            <w:shd w:val="clear" w:color="auto" w:fill="FFFFFF"/>
            <w:vAlign w:val="center"/>
          </w:tcPr>
          <w:p w14:paraId="0140F1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3802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09E8DF8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w:t>
            </w:r>
          </w:p>
        </w:tc>
        <w:tc>
          <w:tcPr>
            <w:tcW w:w="1035" w:type="dxa"/>
            <w:shd w:val="clear" w:color="auto" w:fill="FFFFFF"/>
            <w:vAlign w:val="center"/>
          </w:tcPr>
          <w:p w14:paraId="14D3469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18665CDF">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2744225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★硬盘实配容量</w:t>
            </w:r>
          </w:p>
        </w:tc>
        <w:tc>
          <w:tcPr>
            <w:tcW w:w="4026" w:type="dxa"/>
            <w:shd w:val="clear" w:color="auto" w:fill="FFFFFF"/>
            <w:vAlign w:val="center"/>
          </w:tcPr>
          <w:p w14:paraId="5952223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硬盘1：≥1.92T SATA SSD</w:t>
            </w:r>
          </w:p>
        </w:tc>
        <w:tc>
          <w:tcPr>
            <w:tcW w:w="1279" w:type="dxa"/>
            <w:shd w:val="clear" w:color="auto" w:fill="FFFFFF"/>
            <w:vAlign w:val="center"/>
          </w:tcPr>
          <w:p w14:paraId="00F79B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5A9B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576" w:type="dxa"/>
            <w:shd w:val="clear" w:color="auto" w:fill="FFFFFF"/>
            <w:vAlign w:val="center"/>
          </w:tcPr>
          <w:p w14:paraId="7AD375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w:t>
            </w:r>
          </w:p>
        </w:tc>
        <w:tc>
          <w:tcPr>
            <w:tcW w:w="1035" w:type="dxa"/>
            <w:shd w:val="clear" w:color="auto" w:fill="FFFFFF"/>
            <w:vAlign w:val="center"/>
          </w:tcPr>
          <w:p w14:paraId="03DC620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726EC693">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6242DD6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硬盘接口类型</w:t>
            </w:r>
          </w:p>
        </w:tc>
        <w:tc>
          <w:tcPr>
            <w:tcW w:w="4026" w:type="dxa"/>
            <w:shd w:val="clear" w:color="auto" w:fill="FFFFFF"/>
            <w:vAlign w:val="center"/>
          </w:tcPr>
          <w:p w14:paraId="54257EA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a）若配备硬磁盘，应提供SAS3.0或SATA3.0及以上接口；b）若配备固态盘，应提供至少1种类型固态盘接口，如UFS、SATA、PCIe等</w:t>
            </w:r>
          </w:p>
        </w:tc>
        <w:tc>
          <w:tcPr>
            <w:tcW w:w="1279" w:type="dxa"/>
            <w:shd w:val="clear" w:color="auto" w:fill="FFFFFF"/>
            <w:vAlign w:val="center"/>
          </w:tcPr>
          <w:p w14:paraId="7AACF40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C697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0B62F89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w:t>
            </w:r>
          </w:p>
        </w:tc>
        <w:tc>
          <w:tcPr>
            <w:tcW w:w="1035" w:type="dxa"/>
            <w:shd w:val="clear" w:color="auto" w:fill="FFFFFF"/>
            <w:vAlign w:val="center"/>
          </w:tcPr>
          <w:p w14:paraId="5226983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38F8B8F4">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3E446BB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★硬盘实配数量</w:t>
            </w:r>
          </w:p>
        </w:tc>
        <w:tc>
          <w:tcPr>
            <w:tcW w:w="4026" w:type="dxa"/>
            <w:shd w:val="clear" w:color="auto" w:fill="FFFFFF"/>
            <w:vAlign w:val="center"/>
          </w:tcPr>
          <w:p w14:paraId="0ACFFFD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硬盘1：配置≥2块1.92T SATA SSD</w:t>
            </w:r>
          </w:p>
        </w:tc>
        <w:tc>
          <w:tcPr>
            <w:tcW w:w="1279" w:type="dxa"/>
            <w:shd w:val="clear" w:color="auto" w:fill="FFFFFF"/>
            <w:vAlign w:val="center"/>
          </w:tcPr>
          <w:p w14:paraId="295203E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B533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547E139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17</w:t>
            </w:r>
          </w:p>
        </w:tc>
        <w:tc>
          <w:tcPr>
            <w:tcW w:w="1035" w:type="dxa"/>
            <w:shd w:val="clear" w:color="auto" w:fill="FFFFFF"/>
            <w:vAlign w:val="center"/>
          </w:tcPr>
          <w:p w14:paraId="36C77C4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741A91C5">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0CFC3E7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★硬盘插槽数量及规格</w:t>
            </w:r>
          </w:p>
        </w:tc>
        <w:tc>
          <w:tcPr>
            <w:tcW w:w="4026" w:type="dxa"/>
            <w:shd w:val="clear" w:color="auto" w:fill="FFFFFF"/>
            <w:vAlign w:val="center"/>
          </w:tcPr>
          <w:p w14:paraId="7E7C523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a）供应商应给出配置的硬盘尺寸，如2.5英寸、3.5英寸硬磁盘；</w:t>
            </w:r>
          </w:p>
          <w:p w14:paraId="02F1D0A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b）机箱高度为88.9mm的服务器可支持的硬盘数量应≥8块，机箱高度为44.45mm的服务器可支持的硬盘数量应≥4块。</w:t>
            </w:r>
          </w:p>
          <w:p w14:paraId="6D3B4F5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c）存储型服务器可支持硬盘数量应≥24块</w:t>
            </w:r>
          </w:p>
        </w:tc>
        <w:tc>
          <w:tcPr>
            <w:tcW w:w="1279" w:type="dxa"/>
            <w:shd w:val="clear" w:color="auto" w:fill="FFFFFF"/>
            <w:vAlign w:val="center"/>
          </w:tcPr>
          <w:p w14:paraId="6EF131F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E4E9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576" w:type="dxa"/>
            <w:shd w:val="clear" w:color="auto" w:fill="FFFFFF"/>
            <w:vAlign w:val="center"/>
          </w:tcPr>
          <w:p w14:paraId="7B18FF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18</w:t>
            </w:r>
          </w:p>
        </w:tc>
        <w:tc>
          <w:tcPr>
            <w:tcW w:w="1035" w:type="dxa"/>
            <w:shd w:val="clear" w:color="auto" w:fill="FFFFFF"/>
            <w:vAlign w:val="center"/>
          </w:tcPr>
          <w:p w14:paraId="4575871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4E62D0F4">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75295BE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硬盘其他参数要求</w:t>
            </w:r>
          </w:p>
        </w:tc>
        <w:tc>
          <w:tcPr>
            <w:tcW w:w="4026" w:type="dxa"/>
            <w:shd w:val="clear" w:color="auto" w:fill="FFFFFF"/>
            <w:vAlign w:val="center"/>
          </w:tcPr>
          <w:p w14:paraId="7161F03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a）机械硬盘准备时间应≤30s；侧面固定螺丝孔数量可为4孔或6孔；工作状态环境温度应满足5℃~55℃,其他参数应符合GB/T12628的相关规定；</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b）若服务器支持固态盘，固态盘符合SJ/T11654相关规定</w:t>
            </w:r>
          </w:p>
        </w:tc>
        <w:tc>
          <w:tcPr>
            <w:tcW w:w="1279" w:type="dxa"/>
            <w:shd w:val="clear" w:color="auto" w:fill="FFFFFF"/>
            <w:vAlign w:val="center"/>
          </w:tcPr>
          <w:p w14:paraId="38FCE29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A9E1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576" w:type="dxa"/>
            <w:shd w:val="clear" w:color="auto" w:fill="FFFFFF"/>
            <w:vAlign w:val="center"/>
          </w:tcPr>
          <w:p w14:paraId="4C6705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19</w:t>
            </w:r>
          </w:p>
        </w:tc>
        <w:tc>
          <w:tcPr>
            <w:tcW w:w="1035" w:type="dxa"/>
            <w:shd w:val="clear" w:color="auto" w:fill="FFFFFF"/>
            <w:vAlign w:val="center"/>
          </w:tcPr>
          <w:p w14:paraId="500BCD5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shd w:val="clear" w:color="auto" w:fill="FFFFFF"/>
            <w:vAlign w:val="center"/>
          </w:tcPr>
          <w:p w14:paraId="50BBB4D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RAID卡规格（若支持RAID卡）</w:t>
            </w:r>
          </w:p>
        </w:tc>
        <w:tc>
          <w:tcPr>
            <w:tcW w:w="1490" w:type="dxa"/>
            <w:shd w:val="clear" w:color="auto" w:fill="FFFFFF"/>
            <w:vAlign w:val="center"/>
          </w:tcPr>
          <w:p w14:paraId="609758A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RAID卡支持的SAS接口数</w:t>
            </w:r>
          </w:p>
        </w:tc>
        <w:tc>
          <w:tcPr>
            <w:tcW w:w="4026" w:type="dxa"/>
            <w:shd w:val="clear" w:color="auto" w:fill="FFFFFF"/>
            <w:vAlign w:val="center"/>
          </w:tcPr>
          <w:p w14:paraId="0A2F682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1279" w:type="dxa"/>
            <w:shd w:val="clear" w:color="auto" w:fill="FFFFFF"/>
            <w:vAlign w:val="center"/>
          </w:tcPr>
          <w:p w14:paraId="2D9043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4ADB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76" w:type="dxa"/>
            <w:shd w:val="clear" w:color="auto" w:fill="FFFFFF"/>
            <w:vAlign w:val="center"/>
          </w:tcPr>
          <w:p w14:paraId="6F06E98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20</w:t>
            </w:r>
          </w:p>
        </w:tc>
        <w:tc>
          <w:tcPr>
            <w:tcW w:w="1035" w:type="dxa"/>
            <w:shd w:val="clear" w:color="auto" w:fill="FFFFFF"/>
            <w:vAlign w:val="center"/>
          </w:tcPr>
          <w:p w14:paraId="374075C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shd w:val="clear" w:color="auto" w:fill="FFFFFF"/>
            <w:vAlign w:val="center"/>
          </w:tcPr>
          <w:p w14:paraId="3485DC9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SAS直通卡规格（若支持SAS直通卡）</w:t>
            </w:r>
          </w:p>
        </w:tc>
        <w:tc>
          <w:tcPr>
            <w:tcW w:w="1490" w:type="dxa"/>
            <w:shd w:val="clear" w:color="auto" w:fill="FFFFFF"/>
            <w:vAlign w:val="center"/>
          </w:tcPr>
          <w:p w14:paraId="59C0556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SAS直通卡SAS接口数量</w:t>
            </w:r>
          </w:p>
        </w:tc>
        <w:tc>
          <w:tcPr>
            <w:tcW w:w="4026" w:type="dxa"/>
            <w:shd w:val="clear" w:color="auto" w:fill="FFFFFF"/>
            <w:vAlign w:val="center"/>
          </w:tcPr>
          <w:p w14:paraId="60A5D6C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≥0</w:t>
            </w:r>
          </w:p>
        </w:tc>
        <w:tc>
          <w:tcPr>
            <w:tcW w:w="1279" w:type="dxa"/>
            <w:shd w:val="clear" w:color="auto" w:fill="FFFFFF"/>
            <w:vAlign w:val="center"/>
          </w:tcPr>
          <w:p w14:paraId="7CFAC9B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37B9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jc w:val="center"/>
        </w:trPr>
        <w:tc>
          <w:tcPr>
            <w:tcW w:w="576" w:type="dxa"/>
            <w:shd w:val="clear" w:color="auto" w:fill="FFFFFF"/>
            <w:vAlign w:val="center"/>
          </w:tcPr>
          <w:p w14:paraId="149F20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21</w:t>
            </w:r>
          </w:p>
        </w:tc>
        <w:tc>
          <w:tcPr>
            <w:tcW w:w="1035" w:type="dxa"/>
            <w:shd w:val="clear" w:color="auto" w:fill="FFFFFF"/>
            <w:vAlign w:val="center"/>
          </w:tcPr>
          <w:p w14:paraId="67CC340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shd w:val="clear" w:color="auto" w:fill="FFFFFF"/>
            <w:vAlign w:val="center"/>
          </w:tcPr>
          <w:p w14:paraId="2DEC55B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HBA卡规格（若支HBA直通卡）</w:t>
            </w:r>
          </w:p>
        </w:tc>
        <w:tc>
          <w:tcPr>
            <w:tcW w:w="1490" w:type="dxa"/>
            <w:shd w:val="clear" w:color="auto" w:fill="FFFFFF"/>
            <w:vAlign w:val="center"/>
          </w:tcPr>
          <w:p w14:paraId="79D63B3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HBA卡端口数量</w:t>
            </w:r>
          </w:p>
        </w:tc>
        <w:tc>
          <w:tcPr>
            <w:tcW w:w="4026" w:type="dxa"/>
            <w:shd w:val="clear" w:color="auto" w:fill="FFFFFF"/>
            <w:vAlign w:val="center"/>
          </w:tcPr>
          <w:p w14:paraId="29A1E9A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≥2个双口</w:t>
            </w:r>
          </w:p>
        </w:tc>
        <w:tc>
          <w:tcPr>
            <w:tcW w:w="1279" w:type="dxa"/>
            <w:shd w:val="clear" w:color="auto" w:fill="FFFFFF"/>
            <w:vAlign w:val="center"/>
          </w:tcPr>
          <w:p w14:paraId="791BF6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2855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4A8B139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22</w:t>
            </w:r>
          </w:p>
        </w:tc>
        <w:tc>
          <w:tcPr>
            <w:tcW w:w="1035" w:type="dxa"/>
            <w:shd w:val="clear" w:color="auto" w:fill="FFFFFF"/>
            <w:vAlign w:val="center"/>
          </w:tcPr>
          <w:p w14:paraId="66C0473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restart"/>
            <w:shd w:val="clear" w:color="auto" w:fill="FFFFFF"/>
            <w:vAlign w:val="center"/>
          </w:tcPr>
          <w:p w14:paraId="0D3E8E0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网络规格</w:t>
            </w:r>
          </w:p>
        </w:tc>
        <w:tc>
          <w:tcPr>
            <w:tcW w:w="1490" w:type="dxa"/>
            <w:shd w:val="clear" w:color="auto" w:fill="FFFFFF"/>
            <w:vAlign w:val="center"/>
          </w:tcPr>
          <w:p w14:paraId="5F5C9A6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★网口速率和数量</w:t>
            </w:r>
          </w:p>
        </w:tc>
        <w:tc>
          <w:tcPr>
            <w:tcW w:w="4026" w:type="dxa"/>
            <w:shd w:val="clear" w:color="auto" w:fill="FFFFFF"/>
            <w:vAlign w:val="center"/>
          </w:tcPr>
          <w:p w14:paraId="05A9076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配置10GE光口≥4个（满配10GE多模光模块）</w:t>
            </w:r>
          </w:p>
          <w:p w14:paraId="3AC5057E">
            <w:pPr>
              <w:widowControl/>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配置1GE电口≥4个</w:t>
            </w:r>
          </w:p>
        </w:tc>
        <w:tc>
          <w:tcPr>
            <w:tcW w:w="1279" w:type="dxa"/>
            <w:shd w:val="clear" w:color="auto" w:fill="FFFFFF"/>
            <w:vAlign w:val="center"/>
          </w:tcPr>
          <w:p w14:paraId="42A71442">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0FC7A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151EC7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23</w:t>
            </w:r>
          </w:p>
        </w:tc>
        <w:tc>
          <w:tcPr>
            <w:tcW w:w="1035" w:type="dxa"/>
            <w:shd w:val="clear" w:color="auto" w:fill="FFFFFF"/>
            <w:vAlign w:val="center"/>
          </w:tcPr>
          <w:p w14:paraId="755EBA9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5C43BE82">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77FA299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存储型服务器网口速率和数量</w:t>
            </w:r>
          </w:p>
        </w:tc>
        <w:tc>
          <w:tcPr>
            <w:tcW w:w="4026" w:type="dxa"/>
            <w:shd w:val="clear" w:color="auto" w:fill="FFFFFF"/>
            <w:vAlign w:val="center"/>
          </w:tcPr>
          <w:p w14:paraId="3DA3A6E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存储型服务器1GE 网口数量≥2个，10GE 以上网口数量≥2个（不涉及）</w:t>
            </w:r>
          </w:p>
        </w:tc>
        <w:tc>
          <w:tcPr>
            <w:tcW w:w="1279" w:type="dxa"/>
            <w:shd w:val="clear" w:color="auto" w:fill="FFFFFF"/>
            <w:vAlign w:val="center"/>
          </w:tcPr>
          <w:p w14:paraId="5AC5637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42AA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1E1898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24</w:t>
            </w:r>
          </w:p>
        </w:tc>
        <w:tc>
          <w:tcPr>
            <w:tcW w:w="1035" w:type="dxa"/>
            <w:shd w:val="clear" w:color="auto" w:fill="FFFFFF"/>
            <w:vAlign w:val="center"/>
          </w:tcPr>
          <w:p w14:paraId="2795DA1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4ECB71E3">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30DC049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独立网卡网口数量</w:t>
            </w:r>
          </w:p>
        </w:tc>
        <w:tc>
          <w:tcPr>
            <w:tcW w:w="4026" w:type="dxa"/>
            <w:shd w:val="clear" w:color="auto" w:fill="FFFFFF"/>
            <w:vAlign w:val="center"/>
          </w:tcPr>
          <w:p w14:paraId="396A887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配备10GE光口独立网卡，独立网卡网口数量≥2</w:t>
            </w:r>
          </w:p>
          <w:p w14:paraId="56A47DBD">
            <w:pPr>
              <w:widowControl/>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配备1GE电口独立网卡，独立网卡网口数量≥4</w:t>
            </w:r>
          </w:p>
        </w:tc>
        <w:tc>
          <w:tcPr>
            <w:tcW w:w="1279" w:type="dxa"/>
            <w:shd w:val="clear" w:color="auto" w:fill="FFFFFF"/>
            <w:vAlign w:val="center"/>
          </w:tcPr>
          <w:p w14:paraId="1EB775AF">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7A46C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67E4E1A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25</w:t>
            </w:r>
          </w:p>
        </w:tc>
        <w:tc>
          <w:tcPr>
            <w:tcW w:w="1035" w:type="dxa"/>
            <w:shd w:val="clear" w:color="auto" w:fill="FFFFFF"/>
            <w:vAlign w:val="center"/>
          </w:tcPr>
          <w:p w14:paraId="3FE2752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006EF388">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60AA46D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独立网卡接口类型</w:t>
            </w:r>
          </w:p>
        </w:tc>
        <w:tc>
          <w:tcPr>
            <w:tcW w:w="4026" w:type="dxa"/>
            <w:shd w:val="clear" w:color="auto" w:fill="FFFFFF"/>
            <w:vAlign w:val="center"/>
          </w:tcPr>
          <w:p w14:paraId="028E350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支持RJ45/QSFP/SFP等</w:t>
            </w:r>
          </w:p>
        </w:tc>
        <w:tc>
          <w:tcPr>
            <w:tcW w:w="1279" w:type="dxa"/>
            <w:shd w:val="clear" w:color="auto" w:fill="FFFFFF"/>
            <w:vAlign w:val="center"/>
          </w:tcPr>
          <w:p w14:paraId="5C2BD89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CCE9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35837D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26</w:t>
            </w:r>
          </w:p>
        </w:tc>
        <w:tc>
          <w:tcPr>
            <w:tcW w:w="1035" w:type="dxa"/>
            <w:shd w:val="clear" w:color="auto" w:fill="FFFFFF"/>
            <w:vAlign w:val="center"/>
          </w:tcPr>
          <w:p w14:paraId="0633F0B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5ECDF22F">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4126EE8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板载网卡接口类型</w:t>
            </w:r>
          </w:p>
        </w:tc>
        <w:tc>
          <w:tcPr>
            <w:tcW w:w="4026" w:type="dxa"/>
            <w:shd w:val="clear" w:color="auto" w:fill="FFFFFF"/>
            <w:vAlign w:val="center"/>
          </w:tcPr>
          <w:p w14:paraId="5D7BA0F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支持RJ45/QSFP/SFP等</w:t>
            </w:r>
          </w:p>
        </w:tc>
        <w:tc>
          <w:tcPr>
            <w:tcW w:w="1279" w:type="dxa"/>
            <w:shd w:val="clear" w:color="auto" w:fill="FFFFFF"/>
            <w:vAlign w:val="center"/>
          </w:tcPr>
          <w:p w14:paraId="544579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7DCE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38D93CD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27</w:t>
            </w:r>
          </w:p>
        </w:tc>
        <w:tc>
          <w:tcPr>
            <w:tcW w:w="1035" w:type="dxa"/>
            <w:shd w:val="clear" w:color="auto" w:fill="FFFFFF"/>
            <w:vAlign w:val="center"/>
          </w:tcPr>
          <w:p w14:paraId="3183229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restart"/>
            <w:shd w:val="clear" w:color="auto" w:fill="FFFFFF"/>
            <w:vAlign w:val="center"/>
          </w:tcPr>
          <w:p w14:paraId="002A900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外部接口规格</w:t>
            </w:r>
          </w:p>
        </w:tc>
        <w:tc>
          <w:tcPr>
            <w:tcW w:w="1490" w:type="dxa"/>
            <w:shd w:val="clear" w:color="auto" w:fill="FFFFFF"/>
            <w:vAlign w:val="center"/>
          </w:tcPr>
          <w:p w14:paraId="6D58C25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★显示接口</w:t>
            </w:r>
          </w:p>
        </w:tc>
        <w:tc>
          <w:tcPr>
            <w:tcW w:w="4026" w:type="dxa"/>
            <w:shd w:val="clear" w:color="auto" w:fill="FFFFFF"/>
            <w:vAlign w:val="center"/>
          </w:tcPr>
          <w:p w14:paraId="2DC7FEA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显示接口类型应≥1种，如：VGA、DP、HDMI等</w:t>
            </w:r>
          </w:p>
        </w:tc>
        <w:tc>
          <w:tcPr>
            <w:tcW w:w="1279" w:type="dxa"/>
            <w:shd w:val="clear" w:color="auto" w:fill="FFFFFF"/>
            <w:vAlign w:val="center"/>
          </w:tcPr>
          <w:p w14:paraId="1B5B080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886B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4DA9293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28</w:t>
            </w:r>
          </w:p>
        </w:tc>
        <w:tc>
          <w:tcPr>
            <w:tcW w:w="1035" w:type="dxa"/>
            <w:shd w:val="clear" w:color="auto" w:fill="FFFFFF"/>
            <w:vAlign w:val="center"/>
          </w:tcPr>
          <w:p w14:paraId="0B99D68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31BFE815">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7E285FB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★USB接口</w:t>
            </w:r>
          </w:p>
        </w:tc>
        <w:tc>
          <w:tcPr>
            <w:tcW w:w="4026" w:type="dxa"/>
            <w:shd w:val="clear" w:color="auto" w:fill="FFFFFF"/>
            <w:vAlign w:val="center"/>
          </w:tcPr>
          <w:p w14:paraId="08EBE98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配备USB接口，如USB2.0、USB3.0等</w:t>
            </w:r>
          </w:p>
        </w:tc>
        <w:tc>
          <w:tcPr>
            <w:tcW w:w="1279" w:type="dxa"/>
            <w:shd w:val="clear" w:color="auto" w:fill="FFFFFF"/>
            <w:vAlign w:val="center"/>
          </w:tcPr>
          <w:p w14:paraId="7806E0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E0AC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3320BEC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29</w:t>
            </w:r>
          </w:p>
        </w:tc>
        <w:tc>
          <w:tcPr>
            <w:tcW w:w="1035" w:type="dxa"/>
            <w:shd w:val="clear" w:color="auto" w:fill="FFFFFF"/>
            <w:vAlign w:val="center"/>
          </w:tcPr>
          <w:p w14:paraId="79489BC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35CBB12D">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0003D7E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特殊接口及孔位</w:t>
            </w:r>
          </w:p>
        </w:tc>
        <w:tc>
          <w:tcPr>
            <w:tcW w:w="4026" w:type="dxa"/>
            <w:shd w:val="clear" w:color="auto" w:fill="FFFFFF"/>
            <w:vAlign w:val="center"/>
          </w:tcPr>
          <w:p w14:paraId="467CF1D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前面板预留1个专用USB母座接口孔位</w:t>
            </w:r>
          </w:p>
        </w:tc>
        <w:tc>
          <w:tcPr>
            <w:tcW w:w="1279" w:type="dxa"/>
            <w:shd w:val="clear" w:color="auto" w:fill="FFFFFF"/>
            <w:vAlign w:val="center"/>
          </w:tcPr>
          <w:p w14:paraId="4535DA0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ED76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76" w:type="dxa"/>
            <w:shd w:val="clear" w:color="auto" w:fill="FFFFFF"/>
            <w:vAlign w:val="center"/>
          </w:tcPr>
          <w:p w14:paraId="656392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30</w:t>
            </w:r>
          </w:p>
        </w:tc>
        <w:tc>
          <w:tcPr>
            <w:tcW w:w="1035" w:type="dxa"/>
            <w:shd w:val="clear" w:color="auto" w:fill="FFFFFF"/>
            <w:vAlign w:val="center"/>
          </w:tcPr>
          <w:p w14:paraId="16C8099B">
            <w:pPr>
              <w:widowControl/>
              <w:jc w:val="center"/>
              <w:rPr>
                <w:rFonts w:asciiTheme="minorEastAsia" w:hAnsiTheme="minorEastAsia" w:eastAsiaTheme="minorEastAsia" w:cstheme="minorEastAsia"/>
                <w:kern w:val="0"/>
                <w:sz w:val="24"/>
              </w:rPr>
            </w:pPr>
          </w:p>
        </w:tc>
        <w:tc>
          <w:tcPr>
            <w:tcW w:w="1020" w:type="dxa"/>
            <w:vMerge w:val="continue"/>
            <w:shd w:val="clear" w:color="auto" w:fill="FFFFFF"/>
            <w:vAlign w:val="center"/>
          </w:tcPr>
          <w:p w14:paraId="0A9EB131">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29B2A9A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其他接口</w:t>
            </w:r>
          </w:p>
        </w:tc>
        <w:tc>
          <w:tcPr>
            <w:tcW w:w="4026" w:type="dxa"/>
            <w:shd w:val="clear" w:color="auto" w:fill="FFFFFF"/>
            <w:vAlign w:val="center"/>
          </w:tcPr>
          <w:p w14:paraId="4469D76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 串口数量≥1个，并可实现GB/T 6107 或GB/T 26803.2的相关功能；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b) 服务器主机前面板可根据用户实际使用需求预留1个专用USB 母座接口孔位</w:t>
            </w:r>
          </w:p>
        </w:tc>
        <w:tc>
          <w:tcPr>
            <w:tcW w:w="1279" w:type="dxa"/>
            <w:shd w:val="clear" w:color="auto" w:fill="FFFFFF"/>
            <w:vAlign w:val="center"/>
          </w:tcPr>
          <w:p w14:paraId="5BB4E99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320F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462F40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31</w:t>
            </w:r>
          </w:p>
        </w:tc>
        <w:tc>
          <w:tcPr>
            <w:tcW w:w="1035" w:type="dxa"/>
            <w:shd w:val="clear" w:color="auto" w:fill="FFFFFF"/>
            <w:vAlign w:val="center"/>
          </w:tcPr>
          <w:p w14:paraId="43EA78F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restart"/>
            <w:shd w:val="clear" w:color="auto" w:fill="FFFFFF"/>
            <w:vAlign w:val="center"/>
          </w:tcPr>
          <w:p w14:paraId="391AF15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电源规格</w:t>
            </w:r>
          </w:p>
        </w:tc>
        <w:tc>
          <w:tcPr>
            <w:tcW w:w="1490" w:type="dxa"/>
            <w:shd w:val="clear" w:color="auto" w:fill="FFFFFF"/>
            <w:vAlign w:val="center"/>
          </w:tcPr>
          <w:p w14:paraId="044EC88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电源冗余模式</w:t>
            </w:r>
          </w:p>
        </w:tc>
        <w:tc>
          <w:tcPr>
            <w:tcW w:w="4026" w:type="dxa"/>
            <w:shd w:val="clear" w:color="auto" w:fill="FFFFFF"/>
            <w:vAlign w:val="center"/>
          </w:tcPr>
          <w:p w14:paraId="33671A8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整机电源模块按1+1冗余或N+1冗余配置</w:t>
            </w:r>
          </w:p>
        </w:tc>
        <w:tc>
          <w:tcPr>
            <w:tcW w:w="1279" w:type="dxa"/>
            <w:shd w:val="clear" w:color="auto" w:fill="FFFFFF"/>
            <w:vAlign w:val="center"/>
          </w:tcPr>
          <w:p w14:paraId="4059014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8E63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43E008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w:t>
            </w:r>
          </w:p>
        </w:tc>
        <w:tc>
          <w:tcPr>
            <w:tcW w:w="1035" w:type="dxa"/>
            <w:shd w:val="clear" w:color="auto" w:fill="FFFFFF"/>
            <w:vAlign w:val="center"/>
          </w:tcPr>
          <w:p w14:paraId="740CFA7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4E754CE4">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3EEA565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★电源模块数量</w:t>
            </w:r>
          </w:p>
        </w:tc>
        <w:tc>
          <w:tcPr>
            <w:tcW w:w="4026" w:type="dxa"/>
            <w:shd w:val="clear" w:color="auto" w:fill="FFFFFF"/>
            <w:vAlign w:val="center"/>
          </w:tcPr>
          <w:p w14:paraId="4830DA5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1279" w:type="dxa"/>
            <w:shd w:val="clear" w:color="auto" w:fill="FFFFFF"/>
            <w:vAlign w:val="center"/>
          </w:tcPr>
          <w:p w14:paraId="0DE232B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B0D2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1056CDA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33</w:t>
            </w:r>
          </w:p>
        </w:tc>
        <w:tc>
          <w:tcPr>
            <w:tcW w:w="1035" w:type="dxa"/>
            <w:shd w:val="clear" w:color="auto" w:fill="FFFFFF"/>
            <w:vAlign w:val="center"/>
          </w:tcPr>
          <w:p w14:paraId="15EFB73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5EE2AA7A">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1947323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★电源功率</w:t>
            </w:r>
          </w:p>
        </w:tc>
        <w:tc>
          <w:tcPr>
            <w:tcW w:w="4026" w:type="dxa"/>
            <w:shd w:val="clear" w:color="auto" w:fill="FFFFFF"/>
            <w:vAlign w:val="center"/>
          </w:tcPr>
          <w:p w14:paraId="3DF5DDB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电源模块功率应有一定冗余，满足处理器满载时的需求</w:t>
            </w:r>
          </w:p>
        </w:tc>
        <w:tc>
          <w:tcPr>
            <w:tcW w:w="1279" w:type="dxa"/>
            <w:shd w:val="clear" w:color="auto" w:fill="FFFFFF"/>
            <w:vAlign w:val="center"/>
          </w:tcPr>
          <w:p w14:paraId="06461C7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B1F9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09403B6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34</w:t>
            </w:r>
          </w:p>
        </w:tc>
        <w:tc>
          <w:tcPr>
            <w:tcW w:w="1035" w:type="dxa"/>
            <w:shd w:val="clear" w:color="auto" w:fill="FFFFFF"/>
            <w:vAlign w:val="center"/>
          </w:tcPr>
          <w:p w14:paraId="0A7882F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5E31EE4C">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77C655F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电源指示灯</w:t>
            </w:r>
          </w:p>
        </w:tc>
        <w:tc>
          <w:tcPr>
            <w:tcW w:w="4026" w:type="dxa"/>
            <w:shd w:val="clear" w:color="auto" w:fill="FFFFFF"/>
            <w:vAlign w:val="center"/>
          </w:tcPr>
          <w:p w14:paraId="0072E9C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配备电源指示灯，指示待机、工作异常等状态</w:t>
            </w:r>
          </w:p>
        </w:tc>
        <w:tc>
          <w:tcPr>
            <w:tcW w:w="1279" w:type="dxa"/>
            <w:shd w:val="clear" w:color="auto" w:fill="FFFFFF"/>
            <w:vAlign w:val="center"/>
          </w:tcPr>
          <w:p w14:paraId="7B8673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8F3A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6" w:hRule="atLeast"/>
          <w:jc w:val="center"/>
        </w:trPr>
        <w:tc>
          <w:tcPr>
            <w:tcW w:w="576" w:type="dxa"/>
            <w:shd w:val="clear" w:color="auto" w:fill="FFFFFF"/>
            <w:vAlign w:val="center"/>
          </w:tcPr>
          <w:p w14:paraId="2B3F8C6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35</w:t>
            </w:r>
          </w:p>
        </w:tc>
        <w:tc>
          <w:tcPr>
            <w:tcW w:w="1035" w:type="dxa"/>
            <w:shd w:val="clear" w:color="auto" w:fill="FFFFFF"/>
            <w:vAlign w:val="center"/>
          </w:tcPr>
          <w:p w14:paraId="530210D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restart"/>
            <w:shd w:val="clear" w:color="auto" w:fill="FFFFFF"/>
            <w:vAlign w:val="center"/>
          </w:tcPr>
          <w:p w14:paraId="3BC859C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整机规格</w:t>
            </w:r>
          </w:p>
        </w:tc>
        <w:tc>
          <w:tcPr>
            <w:tcW w:w="1490" w:type="dxa"/>
            <w:shd w:val="clear" w:color="auto" w:fill="FFFFFF"/>
            <w:vAlign w:val="center"/>
          </w:tcPr>
          <w:p w14:paraId="38F9461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★外观和结构</w:t>
            </w:r>
          </w:p>
        </w:tc>
        <w:tc>
          <w:tcPr>
            <w:tcW w:w="4026" w:type="dxa"/>
            <w:shd w:val="clear" w:color="auto" w:fill="FFFFFF"/>
            <w:vAlign w:val="center"/>
          </w:tcPr>
          <w:p w14:paraId="74A9516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a）服务器的零部件应紧固无松动，可插拔部件应可靠连接，开关、按钮和其他控制部件应灵活可靠，布局应方便使用；</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b）产品表面不应有明显的凹痕、划伤、裂缝、变形和污染等。表面涂层均匀，不应起泡、龟裂、脱落和磨损，金属零部件无锈蚀及其它机械损伤；</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c）产品表面说明功能的文字、符号和标志应清晰、端正且牢固；</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d）应在服务器的显著位置提供运行状态的指示功能，并在技术文件或者技术白皮书中明确具体含义；</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e）机架、机箱的尺寸应符合通用机柜的安装要求，插入总线插座的电路板接口外形尺寸应符合有关总线标准的规定，将机箱固定在机柜上，机箱底面最大下垂变形不得干涉相邻机体；</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f）高密度服务器应给出CPU个数与机柜高度；（本项目不涉及）</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g）服务器尺寸具体要求在技术文件或者技术白皮书中明确</w:t>
            </w:r>
          </w:p>
        </w:tc>
        <w:tc>
          <w:tcPr>
            <w:tcW w:w="1279" w:type="dxa"/>
            <w:shd w:val="clear" w:color="auto" w:fill="FFFFFF"/>
            <w:vAlign w:val="center"/>
          </w:tcPr>
          <w:p w14:paraId="1EBC541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B03A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576" w:type="dxa"/>
            <w:shd w:val="clear" w:color="auto" w:fill="FFFFFF"/>
            <w:vAlign w:val="center"/>
          </w:tcPr>
          <w:p w14:paraId="0222CE6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36</w:t>
            </w:r>
          </w:p>
        </w:tc>
        <w:tc>
          <w:tcPr>
            <w:tcW w:w="1035" w:type="dxa"/>
            <w:shd w:val="clear" w:color="auto" w:fill="FFFFFF"/>
            <w:vAlign w:val="center"/>
          </w:tcPr>
          <w:p w14:paraId="56A4D45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32CE0871">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673AB3D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★尺寸（高×宽×深）</w:t>
            </w:r>
          </w:p>
        </w:tc>
        <w:tc>
          <w:tcPr>
            <w:tcW w:w="4026" w:type="dxa"/>
            <w:shd w:val="clear" w:color="auto" w:fill="FFFFFF"/>
            <w:vAlign w:val="center"/>
          </w:tcPr>
          <w:p w14:paraId="22E1809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供应商给出产品尺寸；</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设计应遵循标准化、系列化的要求；</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机箱的内部结构符合通用部件的安装需要</w:t>
            </w:r>
          </w:p>
        </w:tc>
        <w:tc>
          <w:tcPr>
            <w:tcW w:w="1279" w:type="dxa"/>
            <w:shd w:val="clear" w:color="auto" w:fill="FFFFFF"/>
            <w:vAlign w:val="center"/>
          </w:tcPr>
          <w:p w14:paraId="62FC48C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6B92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5DC94BC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37</w:t>
            </w:r>
          </w:p>
        </w:tc>
        <w:tc>
          <w:tcPr>
            <w:tcW w:w="1035" w:type="dxa"/>
            <w:shd w:val="clear" w:color="auto" w:fill="FFFFFF"/>
            <w:vAlign w:val="center"/>
          </w:tcPr>
          <w:p w14:paraId="182C5AD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44D3FD5D">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5BB3348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服务器导轨</w:t>
            </w:r>
          </w:p>
        </w:tc>
        <w:tc>
          <w:tcPr>
            <w:tcW w:w="4026" w:type="dxa"/>
            <w:shd w:val="clear" w:color="auto" w:fill="FFFFFF"/>
            <w:vAlign w:val="center"/>
          </w:tcPr>
          <w:p w14:paraId="511D8FA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供应商给出导轨尺寸、安装方式等信息</w:t>
            </w:r>
          </w:p>
        </w:tc>
        <w:tc>
          <w:tcPr>
            <w:tcW w:w="1279" w:type="dxa"/>
            <w:shd w:val="clear" w:color="auto" w:fill="FFFFFF"/>
            <w:vAlign w:val="center"/>
          </w:tcPr>
          <w:p w14:paraId="7FEB70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2E42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106D468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38</w:t>
            </w:r>
          </w:p>
        </w:tc>
        <w:tc>
          <w:tcPr>
            <w:tcW w:w="1035" w:type="dxa"/>
            <w:shd w:val="clear" w:color="auto" w:fill="FFFFFF"/>
            <w:vAlign w:val="center"/>
          </w:tcPr>
          <w:p w14:paraId="348A507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50D2DB7E">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4928156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CPU个数与机柜高度单位（U）比</w:t>
            </w:r>
          </w:p>
        </w:tc>
        <w:tc>
          <w:tcPr>
            <w:tcW w:w="4026" w:type="dxa"/>
            <w:shd w:val="clear" w:color="auto" w:fill="FFFFFF"/>
            <w:vAlign w:val="center"/>
          </w:tcPr>
          <w:p w14:paraId="445731B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供应商给出CPU个数与机柜高度</w:t>
            </w:r>
          </w:p>
        </w:tc>
        <w:tc>
          <w:tcPr>
            <w:tcW w:w="1279" w:type="dxa"/>
            <w:shd w:val="clear" w:color="auto" w:fill="FFFFFF"/>
            <w:vAlign w:val="center"/>
          </w:tcPr>
          <w:p w14:paraId="069FF16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82D1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jc w:val="center"/>
        </w:trPr>
        <w:tc>
          <w:tcPr>
            <w:tcW w:w="576" w:type="dxa"/>
            <w:shd w:val="clear" w:color="auto" w:fill="FFFFFF"/>
            <w:vAlign w:val="center"/>
          </w:tcPr>
          <w:p w14:paraId="296071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39</w:t>
            </w:r>
          </w:p>
        </w:tc>
        <w:tc>
          <w:tcPr>
            <w:tcW w:w="1035" w:type="dxa"/>
            <w:shd w:val="clear" w:color="auto" w:fill="FFFFFF"/>
            <w:vAlign w:val="center"/>
          </w:tcPr>
          <w:p w14:paraId="08EC9AE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22ABE4C1">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66A1CA7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★环境适应性</w:t>
            </w:r>
          </w:p>
        </w:tc>
        <w:tc>
          <w:tcPr>
            <w:tcW w:w="4026" w:type="dxa"/>
            <w:shd w:val="clear" w:color="auto" w:fill="FFFFFF"/>
            <w:vAlign w:val="center"/>
          </w:tcPr>
          <w:p w14:paraId="36681BF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气候环境适应性应符合GB/T9813.3的有关规定，工作温度10~35℃,贮存运输温度-40～55℃;工作相对湿度35%～80%，贮存运输相对湿度20％～93%（40℃）;大气压86～106kPa</w:t>
            </w:r>
          </w:p>
        </w:tc>
        <w:tc>
          <w:tcPr>
            <w:tcW w:w="1279" w:type="dxa"/>
            <w:shd w:val="clear" w:color="auto" w:fill="FFFFFF"/>
            <w:vAlign w:val="center"/>
          </w:tcPr>
          <w:p w14:paraId="22AA571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59D6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jc w:val="center"/>
        </w:trPr>
        <w:tc>
          <w:tcPr>
            <w:tcW w:w="576" w:type="dxa"/>
            <w:shd w:val="clear" w:color="auto" w:fill="FFFFFF"/>
            <w:vAlign w:val="center"/>
          </w:tcPr>
          <w:p w14:paraId="2507C3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40</w:t>
            </w:r>
          </w:p>
        </w:tc>
        <w:tc>
          <w:tcPr>
            <w:tcW w:w="1035" w:type="dxa"/>
            <w:shd w:val="clear" w:color="auto" w:fill="FFFFFF"/>
            <w:vAlign w:val="center"/>
          </w:tcPr>
          <w:p w14:paraId="0CD2345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40A3CDA5">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09BE054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特殊机型环境适应性</w:t>
            </w:r>
          </w:p>
        </w:tc>
        <w:tc>
          <w:tcPr>
            <w:tcW w:w="4026" w:type="dxa"/>
            <w:shd w:val="clear" w:color="auto" w:fill="FFFFFF"/>
            <w:vAlign w:val="center"/>
          </w:tcPr>
          <w:p w14:paraId="3279EAE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边缘应用服务器，工作环境温度宜为0～45℃,短期工作可承受环境温度宜为-5～55℃,液冷服务器贮存运输温度宜为-30～55℃</w:t>
            </w:r>
          </w:p>
        </w:tc>
        <w:tc>
          <w:tcPr>
            <w:tcW w:w="1279" w:type="dxa"/>
            <w:shd w:val="clear" w:color="auto" w:fill="FFFFFF"/>
            <w:vAlign w:val="center"/>
          </w:tcPr>
          <w:p w14:paraId="30D9CC2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BAFB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36C2B34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41</w:t>
            </w:r>
          </w:p>
        </w:tc>
        <w:tc>
          <w:tcPr>
            <w:tcW w:w="1035" w:type="dxa"/>
            <w:shd w:val="clear" w:color="auto" w:fill="FFFFFF"/>
            <w:vAlign w:val="center"/>
          </w:tcPr>
          <w:p w14:paraId="58937CC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75B5E878">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1CE36D5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★机械环境适应性</w:t>
            </w:r>
          </w:p>
        </w:tc>
        <w:tc>
          <w:tcPr>
            <w:tcW w:w="4026" w:type="dxa"/>
            <w:shd w:val="clear" w:color="auto" w:fill="FFFFFF"/>
            <w:vAlign w:val="center"/>
          </w:tcPr>
          <w:p w14:paraId="3BE58D8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机械环境适应性应符合GB/T9813.3的有关规定</w:t>
            </w:r>
          </w:p>
        </w:tc>
        <w:tc>
          <w:tcPr>
            <w:tcW w:w="1279" w:type="dxa"/>
            <w:shd w:val="clear" w:color="auto" w:fill="FFFFFF"/>
            <w:vAlign w:val="center"/>
          </w:tcPr>
          <w:p w14:paraId="0389BB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CF7F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3157837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42</w:t>
            </w:r>
          </w:p>
        </w:tc>
        <w:tc>
          <w:tcPr>
            <w:tcW w:w="1035" w:type="dxa"/>
            <w:shd w:val="clear" w:color="auto" w:fill="FFFFFF"/>
            <w:vAlign w:val="center"/>
          </w:tcPr>
          <w:p w14:paraId="7A5AC39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794BB16A">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1D68622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★噪声</w:t>
            </w:r>
          </w:p>
        </w:tc>
        <w:tc>
          <w:tcPr>
            <w:tcW w:w="4026" w:type="dxa"/>
            <w:shd w:val="clear" w:color="auto" w:fill="FFFFFF"/>
            <w:vAlign w:val="center"/>
          </w:tcPr>
          <w:p w14:paraId="516A845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符合GB/T9813.3的有关规定，在产品说明中给出具体测试值塔式服务器噪声在空闲状态下≤50dB</w:t>
            </w:r>
          </w:p>
        </w:tc>
        <w:tc>
          <w:tcPr>
            <w:tcW w:w="1279" w:type="dxa"/>
            <w:shd w:val="clear" w:color="auto" w:fill="FFFFFF"/>
            <w:vAlign w:val="center"/>
          </w:tcPr>
          <w:p w14:paraId="00525E0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42A7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576" w:type="dxa"/>
            <w:shd w:val="clear" w:color="auto" w:fill="FFFFFF"/>
            <w:vAlign w:val="center"/>
          </w:tcPr>
          <w:p w14:paraId="0A88A4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43</w:t>
            </w:r>
          </w:p>
        </w:tc>
        <w:tc>
          <w:tcPr>
            <w:tcW w:w="1035" w:type="dxa"/>
            <w:shd w:val="clear" w:color="auto" w:fill="FFFFFF"/>
            <w:vAlign w:val="center"/>
          </w:tcPr>
          <w:p w14:paraId="1A6E9CE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restart"/>
            <w:shd w:val="clear" w:color="auto" w:fill="FFFFFF"/>
            <w:vAlign w:val="center"/>
          </w:tcPr>
          <w:p w14:paraId="6B7B75B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AI计算单元规格</w:t>
            </w:r>
          </w:p>
        </w:tc>
        <w:tc>
          <w:tcPr>
            <w:tcW w:w="1490" w:type="dxa"/>
            <w:shd w:val="clear" w:color="auto" w:fill="FFFFFF"/>
            <w:vAlign w:val="center"/>
          </w:tcPr>
          <w:p w14:paraId="2EE7955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AI计算单元</w:t>
            </w:r>
          </w:p>
        </w:tc>
        <w:tc>
          <w:tcPr>
            <w:tcW w:w="4026" w:type="dxa"/>
            <w:shd w:val="clear" w:color="auto" w:fill="FFFFFF"/>
            <w:vAlign w:val="center"/>
          </w:tcPr>
          <w:p w14:paraId="3FCE70C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若配备AI计算单元应符合如下要求：</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a）具备人工智能加速处理器，计算精度至少支持FP16、BF16、FP32、FP64、INT8和INT16等中的1种；</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b）单推理卡或模块，具备视频解析、文本识别、语音分析等推理能力；在视觉场景下配备可直接调用的接口实现视觉计算加速，路数不小于64（1080P 30FPS）</w:t>
            </w:r>
          </w:p>
        </w:tc>
        <w:tc>
          <w:tcPr>
            <w:tcW w:w="1279" w:type="dxa"/>
            <w:shd w:val="clear" w:color="auto" w:fill="FFFFFF"/>
            <w:vAlign w:val="center"/>
          </w:tcPr>
          <w:p w14:paraId="626E78E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2C29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28DA28A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44</w:t>
            </w:r>
          </w:p>
        </w:tc>
        <w:tc>
          <w:tcPr>
            <w:tcW w:w="1035" w:type="dxa"/>
            <w:shd w:val="clear" w:color="auto" w:fill="FFFFFF"/>
            <w:vAlign w:val="center"/>
          </w:tcPr>
          <w:p w14:paraId="6C6EAA5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39236C22">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7296082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一键式迁移</w:t>
            </w:r>
          </w:p>
        </w:tc>
        <w:tc>
          <w:tcPr>
            <w:tcW w:w="4026" w:type="dxa"/>
            <w:shd w:val="clear" w:color="auto" w:fill="FFFFFF"/>
            <w:vAlign w:val="center"/>
          </w:tcPr>
          <w:p w14:paraId="2BA2560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若服务器配备AI计算单元，提供训练脚本迁移工具</w:t>
            </w:r>
          </w:p>
        </w:tc>
        <w:tc>
          <w:tcPr>
            <w:tcW w:w="1279" w:type="dxa"/>
            <w:shd w:val="clear" w:color="auto" w:fill="FFFFFF"/>
            <w:vAlign w:val="center"/>
          </w:tcPr>
          <w:p w14:paraId="49E4A3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1B32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47B7E6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45</w:t>
            </w:r>
          </w:p>
        </w:tc>
        <w:tc>
          <w:tcPr>
            <w:tcW w:w="1035" w:type="dxa"/>
            <w:shd w:val="clear" w:color="auto" w:fill="FFFFFF"/>
            <w:vAlign w:val="center"/>
          </w:tcPr>
          <w:p w14:paraId="316F605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restart"/>
            <w:shd w:val="clear" w:color="auto" w:fill="FFFFFF"/>
            <w:vAlign w:val="center"/>
          </w:tcPr>
          <w:p w14:paraId="5B6E927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机柜规格</w:t>
            </w:r>
          </w:p>
        </w:tc>
        <w:tc>
          <w:tcPr>
            <w:tcW w:w="1490" w:type="dxa"/>
            <w:shd w:val="clear" w:color="auto" w:fill="FFFFFF"/>
            <w:vAlign w:val="center"/>
          </w:tcPr>
          <w:p w14:paraId="4C08FB3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★机柜尺寸</w:t>
            </w:r>
          </w:p>
        </w:tc>
        <w:tc>
          <w:tcPr>
            <w:tcW w:w="4026" w:type="dxa"/>
            <w:shd w:val="clear" w:color="auto" w:fill="FFFFFF"/>
            <w:vAlign w:val="center"/>
          </w:tcPr>
          <w:p w14:paraId="2B231F7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供应商给出长度、高度和深度</w:t>
            </w:r>
          </w:p>
        </w:tc>
        <w:tc>
          <w:tcPr>
            <w:tcW w:w="1279" w:type="dxa"/>
            <w:shd w:val="clear" w:color="auto" w:fill="FFFFFF"/>
            <w:vAlign w:val="center"/>
          </w:tcPr>
          <w:p w14:paraId="2BD4CD4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2CA6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3A7ABF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46</w:t>
            </w:r>
          </w:p>
        </w:tc>
        <w:tc>
          <w:tcPr>
            <w:tcW w:w="1035" w:type="dxa"/>
            <w:shd w:val="clear" w:color="auto" w:fill="FFFFFF"/>
            <w:vAlign w:val="center"/>
          </w:tcPr>
          <w:p w14:paraId="2586448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502B0191">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2C57A85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机柜管理板</w:t>
            </w:r>
          </w:p>
        </w:tc>
        <w:tc>
          <w:tcPr>
            <w:tcW w:w="4026" w:type="dxa"/>
            <w:shd w:val="clear" w:color="auto" w:fill="FFFFFF"/>
            <w:vAlign w:val="center"/>
          </w:tcPr>
          <w:p w14:paraId="30662DF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配备机柜管理板</w:t>
            </w:r>
          </w:p>
        </w:tc>
        <w:tc>
          <w:tcPr>
            <w:tcW w:w="1279" w:type="dxa"/>
            <w:shd w:val="clear" w:color="auto" w:fill="FFFFFF"/>
            <w:vAlign w:val="center"/>
          </w:tcPr>
          <w:p w14:paraId="15F58BF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35C8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76" w:type="dxa"/>
            <w:shd w:val="clear" w:color="auto" w:fill="FFFFFF"/>
            <w:vAlign w:val="center"/>
          </w:tcPr>
          <w:p w14:paraId="1AA970B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47</w:t>
            </w:r>
          </w:p>
        </w:tc>
        <w:tc>
          <w:tcPr>
            <w:tcW w:w="1035" w:type="dxa"/>
            <w:shd w:val="clear" w:color="auto" w:fill="FFFFFF"/>
            <w:vAlign w:val="center"/>
          </w:tcPr>
          <w:p w14:paraId="2264951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20" w:type="dxa"/>
            <w:vMerge w:val="continue"/>
            <w:shd w:val="clear" w:color="auto" w:fill="FFFFFF"/>
            <w:vAlign w:val="center"/>
          </w:tcPr>
          <w:p w14:paraId="68559DED">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5D0AD5A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机柜电源规格</w:t>
            </w:r>
          </w:p>
        </w:tc>
        <w:tc>
          <w:tcPr>
            <w:tcW w:w="4026" w:type="dxa"/>
            <w:shd w:val="clear" w:color="auto" w:fill="FFFFFF"/>
            <w:vAlign w:val="center"/>
          </w:tcPr>
          <w:p w14:paraId="434ABC7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a）机柜电源支持集中供电，电源输入≥2路且支持自动切换；</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b）机柜电源模块支持N+1冗余配置，电源模块可独立更换</w:t>
            </w:r>
          </w:p>
        </w:tc>
        <w:tc>
          <w:tcPr>
            <w:tcW w:w="1279" w:type="dxa"/>
            <w:shd w:val="clear" w:color="auto" w:fill="FFFFFF"/>
            <w:vAlign w:val="center"/>
          </w:tcPr>
          <w:p w14:paraId="4B90A9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10D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3BC04AB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48</w:t>
            </w:r>
          </w:p>
        </w:tc>
        <w:tc>
          <w:tcPr>
            <w:tcW w:w="1035" w:type="dxa"/>
            <w:shd w:val="clear" w:color="auto" w:fill="FFFFFF"/>
            <w:vAlign w:val="center"/>
          </w:tcPr>
          <w:p w14:paraId="113ED57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20" w:type="dxa"/>
            <w:vMerge w:val="restart"/>
            <w:shd w:val="clear" w:color="auto" w:fill="FFFFFF"/>
            <w:vAlign w:val="center"/>
          </w:tcPr>
          <w:p w14:paraId="7C8C435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主板功能</w:t>
            </w:r>
          </w:p>
        </w:tc>
        <w:tc>
          <w:tcPr>
            <w:tcW w:w="1490" w:type="dxa"/>
            <w:shd w:val="clear" w:color="auto" w:fill="FFFFFF"/>
            <w:vAlign w:val="center"/>
          </w:tcPr>
          <w:p w14:paraId="2D3340A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★主板外部接口种类</w:t>
            </w:r>
          </w:p>
        </w:tc>
        <w:tc>
          <w:tcPr>
            <w:tcW w:w="4026" w:type="dxa"/>
            <w:shd w:val="clear" w:color="auto" w:fill="FFFFFF"/>
            <w:vAlign w:val="center"/>
          </w:tcPr>
          <w:p w14:paraId="1972CBE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支持USB、显示、管理等接口，如：VGA、DP、HDMI、USB3.0、PS/2接口、BMC管理端口</w:t>
            </w:r>
          </w:p>
        </w:tc>
        <w:tc>
          <w:tcPr>
            <w:tcW w:w="1279" w:type="dxa"/>
            <w:shd w:val="clear" w:color="auto" w:fill="FFFFFF"/>
            <w:vAlign w:val="center"/>
          </w:tcPr>
          <w:p w14:paraId="430E674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52F2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15CD3BD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49</w:t>
            </w:r>
          </w:p>
        </w:tc>
        <w:tc>
          <w:tcPr>
            <w:tcW w:w="1035" w:type="dxa"/>
            <w:shd w:val="clear" w:color="auto" w:fill="FFFFFF"/>
            <w:vAlign w:val="center"/>
          </w:tcPr>
          <w:p w14:paraId="4E94B4C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20" w:type="dxa"/>
            <w:vMerge w:val="continue"/>
            <w:shd w:val="clear" w:color="auto" w:fill="FFFFFF"/>
            <w:vAlign w:val="center"/>
          </w:tcPr>
          <w:p w14:paraId="64C66499">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5E7D30D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主板防烧板设计</w:t>
            </w:r>
          </w:p>
        </w:tc>
        <w:tc>
          <w:tcPr>
            <w:tcW w:w="4026" w:type="dxa"/>
            <w:shd w:val="clear" w:color="auto" w:fill="FFFFFF"/>
            <w:vAlign w:val="center"/>
          </w:tcPr>
          <w:p w14:paraId="2E436DD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支持主板防烧板设计，保证电源故障后不扩散</w:t>
            </w:r>
          </w:p>
        </w:tc>
        <w:tc>
          <w:tcPr>
            <w:tcW w:w="1279" w:type="dxa"/>
            <w:shd w:val="clear" w:color="auto" w:fill="FFFFFF"/>
            <w:vAlign w:val="center"/>
          </w:tcPr>
          <w:p w14:paraId="7826EE0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7512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0D8FD4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50</w:t>
            </w:r>
          </w:p>
        </w:tc>
        <w:tc>
          <w:tcPr>
            <w:tcW w:w="1035" w:type="dxa"/>
            <w:shd w:val="clear" w:color="auto" w:fill="FFFFFF"/>
            <w:vAlign w:val="center"/>
          </w:tcPr>
          <w:p w14:paraId="58203B9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20" w:type="dxa"/>
            <w:vMerge w:val="continue"/>
            <w:shd w:val="clear" w:color="auto" w:fill="FFFFFF"/>
            <w:vAlign w:val="center"/>
          </w:tcPr>
          <w:p w14:paraId="55A0D183">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177A896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扩展功能</w:t>
            </w:r>
          </w:p>
        </w:tc>
        <w:tc>
          <w:tcPr>
            <w:tcW w:w="4026" w:type="dxa"/>
            <w:shd w:val="clear" w:color="auto" w:fill="FFFFFF"/>
            <w:vAlign w:val="center"/>
          </w:tcPr>
          <w:p w14:paraId="0952DB3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实现至少一种扩展功能，如存储功能卡、显示功能卡、运算加速功能卡及网络功能卡等扩展功能</w:t>
            </w:r>
          </w:p>
        </w:tc>
        <w:tc>
          <w:tcPr>
            <w:tcW w:w="1279" w:type="dxa"/>
            <w:shd w:val="clear" w:color="auto" w:fill="FFFFFF"/>
            <w:vAlign w:val="center"/>
          </w:tcPr>
          <w:p w14:paraId="0AEF9D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F1A9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06CF249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51</w:t>
            </w:r>
          </w:p>
        </w:tc>
        <w:tc>
          <w:tcPr>
            <w:tcW w:w="1035" w:type="dxa"/>
            <w:shd w:val="clear" w:color="auto" w:fill="FFFFFF"/>
            <w:vAlign w:val="center"/>
          </w:tcPr>
          <w:p w14:paraId="3775BCE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20" w:type="dxa"/>
            <w:shd w:val="clear" w:color="auto" w:fill="FFFFFF"/>
            <w:vAlign w:val="center"/>
          </w:tcPr>
          <w:p w14:paraId="3E74CA0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网络功能</w:t>
            </w:r>
          </w:p>
        </w:tc>
        <w:tc>
          <w:tcPr>
            <w:tcW w:w="1490" w:type="dxa"/>
            <w:shd w:val="clear" w:color="auto" w:fill="FFFFFF"/>
            <w:vAlign w:val="center"/>
          </w:tcPr>
          <w:p w14:paraId="64AA37C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★网络功能</w:t>
            </w:r>
          </w:p>
        </w:tc>
        <w:tc>
          <w:tcPr>
            <w:tcW w:w="4026" w:type="dxa"/>
            <w:shd w:val="clear" w:color="auto" w:fill="FFFFFF"/>
            <w:vAlign w:val="center"/>
          </w:tcPr>
          <w:p w14:paraId="214638D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支持网络连接、网络访问、数据交换和网络管控功能</w:t>
            </w:r>
          </w:p>
        </w:tc>
        <w:tc>
          <w:tcPr>
            <w:tcW w:w="1279" w:type="dxa"/>
            <w:shd w:val="clear" w:color="auto" w:fill="FFFFFF"/>
            <w:vAlign w:val="center"/>
          </w:tcPr>
          <w:p w14:paraId="3C6A3EC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BE97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jc w:val="center"/>
        </w:trPr>
        <w:tc>
          <w:tcPr>
            <w:tcW w:w="576" w:type="dxa"/>
            <w:shd w:val="clear" w:color="auto" w:fill="FFFFFF"/>
            <w:vAlign w:val="center"/>
          </w:tcPr>
          <w:p w14:paraId="7A34EED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52</w:t>
            </w:r>
          </w:p>
        </w:tc>
        <w:tc>
          <w:tcPr>
            <w:tcW w:w="1035" w:type="dxa"/>
            <w:shd w:val="clear" w:color="auto" w:fill="FFFFFF"/>
            <w:vAlign w:val="center"/>
          </w:tcPr>
          <w:p w14:paraId="01B275A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20" w:type="dxa"/>
            <w:vMerge w:val="restart"/>
            <w:shd w:val="clear" w:color="auto" w:fill="FFFFFF"/>
            <w:vAlign w:val="center"/>
          </w:tcPr>
          <w:p w14:paraId="4450290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CPU功能</w:t>
            </w:r>
          </w:p>
        </w:tc>
        <w:tc>
          <w:tcPr>
            <w:tcW w:w="1490" w:type="dxa"/>
            <w:shd w:val="clear" w:color="auto" w:fill="FFFFFF"/>
            <w:vAlign w:val="center"/>
          </w:tcPr>
          <w:p w14:paraId="55701BE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★计算处理</w:t>
            </w:r>
          </w:p>
        </w:tc>
        <w:tc>
          <w:tcPr>
            <w:tcW w:w="4026" w:type="dxa"/>
            <w:shd w:val="clear" w:color="auto" w:fill="FFFFFF"/>
            <w:vAlign w:val="center"/>
          </w:tcPr>
          <w:p w14:paraId="6ACD35A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支持通用计算及虚拟化功能。处理器需集成整型计算单元、浮点计算单元、内存控制器、I/O模块等，处理器与存储部件、网络部件、I/O部件等组成计算系统，提供数据处理、网络接入等计算相关功能</w:t>
            </w:r>
          </w:p>
        </w:tc>
        <w:tc>
          <w:tcPr>
            <w:tcW w:w="1279" w:type="dxa"/>
            <w:shd w:val="clear" w:color="auto" w:fill="FFFFFF"/>
            <w:vAlign w:val="center"/>
          </w:tcPr>
          <w:p w14:paraId="7FD1B0C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0B56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36D2C4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53</w:t>
            </w:r>
          </w:p>
        </w:tc>
        <w:tc>
          <w:tcPr>
            <w:tcW w:w="1035" w:type="dxa"/>
            <w:shd w:val="clear" w:color="auto" w:fill="FFFFFF"/>
            <w:vAlign w:val="center"/>
          </w:tcPr>
          <w:p w14:paraId="6A8499F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20" w:type="dxa"/>
            <w:vMerge w:val="continue"/>
            <w:shd w:val="clear" w:color="auto" w:fill="FFFFFF"/>
            <w:vAlign w:val="center"/>
          </w:tcPr>
          <w:p w14:paraId="0A8FE29D">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08C0B29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★密码算法实现</w:t>
            </w:r>
          </w:p>
        </w:tc>
        <w:tc>
          <w:tcPr>
            <w:tcW w:w="4026" w:type="dxa"/>
            <w:shd w:val="clear" w:color="auto" w:fill="FFFFFF"/>
            <w:vAlign w:val="center"/>
          </w:tcPr>
          <w:p w14:paraId="3B38A67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CPU芯片应符合GM/T0008的相关规定，或芯片密码模块应符合GB/T37092或GM/T0028的相关规定；</w:t>
            </w:r>
          </w:p>
        </w:tc>
        <w:tc>
          <w:tcPr>
            <w:tcW w:w="1279" w:type="dxa"/>
            <w:shd w:val="clear" w:color="auto" w:fill="FFFFFF"/>
            <w:vAlign w:val="center"/>
          </w:tcPr>
          <w:p w14:paraId="692823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D2CB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032A70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54</w:t>
            </w:r>
          </w:p>
        </w:tc>
        <w:tc>
          <w:tcPr>
            <w:tcW w:w="1035" w:type="dxa"/>
            <w:shd w:val="clear" w:color="auto" w:fill="FFFFFF"/>
            <w:vAlign w:val="center"/>
          </w:tcPr>
          <w:p w14:paraId="3E9D4BB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20" w:type="dxa"/>
            <w:vMerge w:val="restart"/>
            <w:shd w:val="clear" w:color="auto" w:fill="FFFFFF"/>
            <w:vAlign w:val="center"/>
          </w:tcPr>
          <w:p w14:paraId="2B0CCD0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存储功能</w:t>
            </w:r>
          </w:p>
        </w:tc>
        <w:tc>
          <w:tcPr>
            <w:tcW w:w="1490" w:type="dxa"/>
            <w:shd w:val="clear" w:color="auto" w:fill="FFFFFF"/>
            <w:vAlign w:val="center"/>
          </w:tcPr>
          <w:p w14:paraId="78B7945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内存校验</w:t>
            </w:r>
          </w:p>
        </w:tc>
        <w:tc>
          <w:tcPr>
            <w:tcW w:w="4026" w:type="dxa"/>
            <w:shd w:val="clear" w:color="auto" w:fill="FFFFFF"/>
            <w:vAlign w:val="center"/>
          </w:tcPr>
          <w:p w14:paraId="7F09AE6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支持内存校验或内存增强型纠错功能</w:t>
            </w:r>
          </w:p>
        </w:tc>
        <w:tc>
          <w:tcPr>
            <w:tcW w:w="1279" w:type="dxa"/>
            <w:shd w:val="clear" w:color="auto" w:fill="FFFFFF"/>
            <w:vAlign w:val="center"/>
          </w:tcPr>
          <w:p w14:paraId="555FA5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BBF8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3BE0DE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55</w:t>
            </w:r>
          </w:p>
        </w:tc>
        <w:tc>
          <w:tcPr>
            <w:tcW w:w="1035" w:type="dxa"/>
            <w:shd w:val="clear" w:color="auto" w:fill="FFFFFF"/>
            <w:vAlign w:val="center"/>
          </w:tcPr>
          <w:p w14:paraId="3495960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20" w:type="dxa"/>
            <w:vMerge w:val="continue"/>
            <w:shd w:val="clear" w:color="auto" w:fill="FFFFFF"/>
            <w:vAlign w:val="center"/>
          </w:tcPr>
          <w:p w14:paraId="2E523CA5">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5510270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SATASSDNAND健康状态上报</w:t>
            </w:r>
          </w:p>
        </w:tc>
        <w:tc>
          <w:tcPr>
            <w:tcW w:w="4026" w:type="dxa"/>
            <w:shd w:val="clear" w:color="auto" w:fill="FFFFFF"/>
            <w:vAlign w:val="center"/>
          </w:tcPr>
          <w:p w14:paraId="26A0FD8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支持关键外部存储器（硬磁盘、SSD等）的健康状态上报并进行故障诊断</w:t>
            </w:r>
          </w:p>
        </w:tc>
        <w:tc>
          <w:tcPr>
            <w:tcW w:w="1279" w:type="dxa"/>
            <w:shd w:val="clear" w:color="auto" w:fill="FFFFFF"/>
            <w:vAlign w:val="center"/>
          </w:tcPr>
          <w:p w14:paraId="530279B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DB4D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632742A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56</w:t>
            </w:r>
          </w:p>
        </w:tc>
        <w:tc>
          <w:tcPr>
            <w:tcW w:w="1035" w:type="dxa"/>
            <w:shd w:val="clear" w:color="auto" w:fill="FFFFFF"/>
            <w:vAlign w:val="center"/>
          </w:tcPr>
          <w:p w14:paraId="1344BCE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20" w:type="dxa"/>
            <w:vMerge w:val="continue"/>
            <w:shd w:val="clear" w:color="auto" w:fill="FFFFFF"/>
            <w:vAlign w:val="center"/>
          </w:tcPr>
          <w:p w14:paraId="4488AB35">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49C639C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SATASSD单die故障隔离</w:t>
            </w:r>
          </w:p>
        </w:tc>
        <w:tc>
          <w:tcPr>
            <w:tcW w:w="4026" w:type="dxa"/>
            <w:shd w:val="clear" w:color="auto" w:fill="FFFFFF"/>
            <w:vAlign w:val="center"/>
          </w:tcPr>
          <w:p w14:paraId="7F61A2D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支持SSD关键外部存储器中单存储晶元故障隔离</w:t>
            </w:r>
          </w:p>
        </w:tc>
        <w:tc>
          <w:tcPr>
            <w:tcW w:w="1279" w:type="dxa"/>
            <w:shd w:val="clear" w:color="auto" w:fill="FFFFFF"/>
            <w:vAlign w:val="center"/>
          </w:tcPr>
          <w:p w14:paraId="0D9610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9B7B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4B9E428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57</w:t>
            </w:r>
          </w:p>
        </w:tc>
        <w:tc>
          <w:tcPr>
            <w:tcW w:w="1035" w:type="dxa"/>
            <w:shd w:val="clear" w:color="auto" w:fill="FFFFFF"/>
            <w:vAlign w:val="center"/>
          </w:tcPr>
          <w:p w14:paraId="1B09408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20" w:type="dxa"/>
            <w:vMerge w:val="restart"/>
            <w:shd w:val="clear" w:color="auto" w:fill="FFFFFF"/>
            <w:vAlign w:val="center"/>
          </w:tcPr>
          <w:p w14:paraId="13C882F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RAID卡功能（若支持RAID卡）</w:t>
            </w:r>
          </w:p>
        </w:tc>
        <w:tc>
          <w:tcPr>
            <w:tcW w:w="1490" w:type="dxa"/>
            <w:shd w:val="clear" w:color="auto" w:fill="FFFFFF"/>
            <w:vAlign w:val="center"/>
          </w:tcPr>
          <w:p w14:paraId="78F1DF5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★RAID卡配置及RAID级别支持</w:t>
            </w:r>
          </w:p>
        </w:tc>
        <w:tc>
          <w:tcPr>
            <w:tcW w:w="4026" w:type="dxa"/>
            <w:shd w:val="clear" w:color="auto" w:fill="FFFFFF"/>
            <w:vAlign w:val="center"/>
          </w:tcPr>
          <w:p w14:paraId="4F37A94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RAID模式支持RAID0/1/10/5；</w:t>
            </w:r>
          </w:p>
        </w:tc>
        <w:tc>
          <w:tcPr>
            <w:tcW w:w="1279" w:type="dxa"/>
            <w:shd w:val="clear" w:color="auto" w:fill="FFFFFF"/>
            <w:vAlign w:val="center"/>
          </w:tcPr>
          <w:p w14:paraId="6D9B043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DC41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632C025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58</w:t>
            </w:r>
          </w:p>
        </w:tc>
        <w:tc>
          <w:tcPr>
            <w:tcW w:w="1035" w:type="dxa"/>
            <w:shd w:val="clear" w:color="auto" w:fill="FFFFFF"/>
            <w:vAlign w:val="center"/>
          </w:tcPr>
          <w:p w14:paraId="3539F1F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20" w:type="dxa"/>
            <w:vMerge w:val="continue"/>
            <w:shd w:val="clear" w:color="auto" w:fill="FFFFFF"/>
            <w:vAlign w:val="center"/>
          </w:tcPr>
          <w:p w14:paraId="65BC69D8">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3E570AB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RAID卡BBU单元</w:t>
            </w:r>
          </w:p>
        </w:tc>
        <w:tc>
          <w:tcPr>
            <w:tcW w:w="4026" w:type="dxa"/>
            <w:shd w:val="clear" w:color="auto" w:fill="FFFFFF"/>
            <w:vAlign w:val="center"/>
          </w:tcPr>
          <w:p w14:paraId="0C805F1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RAID卡支持电池或电容备份单元</w:t>
            </w:r>
          </w:p>
        </w:tc>
        <w:tc>
          <w:tcPr>
            <w:tcW w:w="1279" w:type="dxa"/>
            <w:shd w:val="clear" w:color="auto" w:fill="FFFFFF"/>
            <w:vAlign w:val="center"/>
          </w:tcPr>
          <w:p w14:paraId="53984EE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806D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576" w:type="dxa"/>
            <w:shd w:val="clear" w:color="auto" w:fill="FFFFFF"/>
            <w:vAlign w:val="center"/>
          </w:tcPr>
          <w:p w14:paraId="5129AE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59</w:t>
            </w:r>
          </w:p>
        </w:tc>
        <w:tc>
          <w:tcPr>
            <w:tcW w:w="1035" w:type="dxa"/>
            <w:shd w:val="clear" w:color="auto" w:fill="FFFFFF"/>
            <w:vAlign w:val="center"/>
          </w:tcPr>
          <w:p w14:paraId="44F4871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20" w:type="dxa"/>
            <w:shd w:val="clear" w:color="auto" w:fill="FFFFFF"/>
            <w:vAlign w:val="center"/>
          </w:tcPr>
          <w:p w14:paraId="5018B71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光驱功能</w:t>
            </w:r>
          </w:p>
        </w:tc>
        <w:tc>
          <w:tcPr>
            <w:tcW w:w="1490" w:type="dxa"/>
            <w:shd w:val="clear" w:color="auto" w:fill="FFFFFF"/>
            <w:vAlign w:val="center"/>
          </w:tcPr>
          <w:p w14:paraId="6817117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光驱类型（是否支持RW，以及光盘类型CD/DVD）</w:t>
            </w:r>
          </w:p>
        </w:tc>
        <w:tc>
          <w:tcPr>
            <w:tcW w:w="4026" w:type="dxa"/>
            <w:shd w:val="clear" w:color="auto" w:fill="FFFFFF"/>
            <w:vAlign w:val="center"/>
          </w:tcPr>
          <w:p w14:paraId="35C6E19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若配备光驱，应提供光驱的安装形式（如内置、外置）、光驱读写类型（如只读、可刻录等）、光盘类型的兼容列表（如CD-ROM、CD-RW、DVD±RW等）</w:t>
            </w:r>
          </w:p>
        </w:tc>
        <w:tc>
          <w:tcPr>
            <w:tcW w:w="1279" w:type="dxa"/>
            <w:shd w:val="clear" w:color="auto" w:fill="FFFFFF"/>
            <w:vAlign w:val="center"/>
          </w:tcPr>
          <w:p w14:paraId="1DFFC0A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EB7C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6DB7915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60</w:t>
            </w:r>
          </w:p>
        </w:tc>
        <w:tc>
          <w:tcPr>
            <w:tcW w:w="1035" w:type="dxa"/>
            <w:shd w:val="clear" w:color="auto" w:fill="FFFFFF"/>
            <w:vAlign w:val="center"/>
          </w:tcPr>
          <w:p w14:paraId="539F29C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20" w:type="dxa"/>
            <w:vMerge w:val="restart"/>
            <w:shd w:val="clear" w:color="auto" w:fill="FFFFFF"/>
            <w:vAlign w:val="center"/>
          </w:tcPr>
          <w:p w14:paraId="561D85B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电源功能</w:t>
            </w:r>
          </w:p>
        </w:tc>
        <w:tc>
          <w:tcPr>
            <w:tcW w:w="1490" w:type="dxa"/>
            <w:shd w:val="clear" w:color="auto" w:fill="FFFFFF"/>
            <w:vAlign w:val="center"/>
          </w:tcPr>
          <w:p w14:paraId="0331F38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★电源热插拔</w:t>
            </w:r>
          </w:p>
        </w:tc>
        <w:tc>
          <w:tcPr>
            <w:tcW w:w="4026" w:type="dxa"/>
            <w:shd w:val="clear" w:color="auto" w:fill="FFFFFF"/>
            <w:vAlign w:val="center"/>
          </w:tcPr>
          <w:p w14:paraId="3331798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整机电源模块应具备热插拔功能</w:t>
            </w:r>
          </w:p>
        </w:tc>
        <w:tc>
          <w:tcPr>
            <w:tcW w:w="1279" w:type="dxa"/>
            <w:shd w:val="clear" w:color="auto" w:fill="FFFFFF"/>
            <w:vAlign w:val="center"/>
          </w:tcPr>
          <w:p w14:paraId="3AA78F5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219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385376E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61</w:t>
            </w:r>
          </w:p>
        </w:tc>
        <w:tc>
          <w:tcPr>
            <w:tcW w:w="1035" w:type="dxa"/>
            <w:shd w:val="clear" w:color="auto" w:fill="FFFFFF"/>
            <w:vAlign w:val="center"/>
          </w:tcPr>
          <w:p w14:paraId="00789B4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20" w:type="dxa"/>
            <w:vMerge w:val="continue"/>
            <w:shd w:val="clear" w:color="auto" w:fill="FFFFFF"/>
            <w:vAlign w:val="center"/>
          </w:tcPr>
          <w:p w14:paraId="64A71B9B">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723093B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★电源过流保护</w:t>
            </w:r>
          </w:p>
        </w:tc>
        <w:tc>
          <w:tcPr>
            <w:tcW w:w="4026" w:type="dxa"/>
            <w:shd w:val="clear" w:color="auto" w:fill="FFFFFF"/>
            <w:vAlign w:val="center"/>
          </w:tcPr>
          <w:p w14:paraId="639E550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支持过流及短路保护的功能</w:t>
            </w:r>
          </w:p>
        </w:tc>
        <w:tc>
          <w:tcPr>
            <w:tcW w:w="1279" w:type="dxa"/>
            <w:shd w:val="clear" w:color="auto" w:fill="FFFFFF"/>
            <w:vAlign w:val="center"/>
          </w:tcPr>
          <w:p w14:paraId="779B4B0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EBEA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63634C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62</w:t>
            </w:r>
          </w:p>
        </w:tc>
        <w:tc>
          <w:tcPr>
            <w:tcW w:w="1035" w:type="dxa"/>
            <w:shd w:val="clear" w:color="auto" w:fill="FFFFFF"/>
            <w:vAlign w:val="center"/>
          </w:tcPr>
          <w:p w14:paraId="326B0BA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20" w:type="dxa"/>
            <w:vMerge w:val="restart"/>
            <w:shd w:val="clear" w:color="auto" w:fill="FFFFFF"/>
            <w:vAlign w:val="center"/>
          </w:tcPr>
          <w:p w14:paraId="46F9B9E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整机功能</w:t>
            </w:r>
          </w:p>
        </w:tc>
        <w:tc>
          <w:tcPr>
            <w:tcW w:w="1490" w:type="dxa"/>
            <w:shd w:val="clear" w:color="auto" w:fill="FFFFFF"/>
            <w:vAlign w:val="center"/>
          </w:tcPr>
          <w:p w14:paraId="7DD3432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★散热方式</w:t>
            </w:r>
          </w:p>
        </w:tc>
        <w:tc>
          <w:tcPr>
            <w:tcW w:w="4026" w:type="dxa"/>
            <w:shd w:val="clear" w:color="auto" w:fill="FFFFFF"/>
            <w:vAlign w:val="center"/>
          </w:tcPr>
          <w:p w14:paraId="429F9B9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支持风冷或液冷等散热方式</w:t>
            </w:r>
          </w:p>
        </w:tc>
        <w:tc>
          <w:tcPr>
            <w:tcW w:w="1279" w:type="dxa"/>
            <w:shd w:val="clear" w:color="auto" w:fill="FFFFFF"/>
            <w:vAlign w:val="center"/>
          </w:tcPr>
          <w:p w14:paraId="76C26BA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9CB8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4EBD07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63</w:t>
            </w:r>
          </w:p>
        </w:tc>
        <w:tc>
          <w:tcPr>
            <w:tcW w:w="1035" w:type="dxa"/>
            <w:shd w:val="clear" w:color="auto" w:fill="FFFFFF"/>
            <w:vAlign w:val="center"/>
          </w:tcPr>
          <w:p w14:paraId="388D5B7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20" w:type="dxa"/>
            <w:vMerge w:val="continue"/>
            <w:shd w:val="clear" w:color="auto" w:fill="FFFFFF"/>
            <w:vAlign w:val="center"/>
          </w:tcPr>
          <w:p w14:paraId="39CFE5FF">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6DD3E86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其他功能</w:t>
            </w:r>
          </w:p>
        </w:tc>
        <w:tc>
          <w:tcPr>
            <w:tcW w:w="4026" w:type="dxa"/>
            <w:shd w:val="clear" w:color="auto" w:fill="FFFFFF"/>
            <w:vAlign w:val="center"/>
          </w:tcPr>
          <w:p w14:paraId="2D232F2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a）支持关键部件冗余（包括电源、风扇等）；b）支持熔断保护与恢复功能</w:t>
            </w:r>
          </w:p>
        </w:tc>
        <w:tc>
          <w:tcPr>
            <w:tcW w:w="1279" w:type="dxa"/>
            <w:shd w:val="clear" w:color="auto" w:fill="FFFFFF"/>
            <w:vAlign w:val="center"/>
          </w:tcPr>
          <w:p w14:paraId="60B307C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3E72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jc w:val="center"/>
        </w:trPr>
        <w:tc>
          <w:tcPr>
            <w:tcW w:w="576" w:type="dxa"/>
            <w:shd w:val="clear" w:color="auto" w:fill="FFFFFF"/>
            <w:vAlign w:val="center"/>
          </w:tcPr>
          <w:p w14:paraId="29A1BF8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64</w:t>
            </w:r>
          </w:p>
        </w:tc>
        <w:tc>
          <w:tcPr>
            <w:tcW w:w="1035" w:type="dxa"/>
            <w:shd w:val="clear" w:color="auto" w:fill="FFFFFF"/>
            <w:vAlign w:val="center"/>
          </w:tcPr>
          <w:p w14:paraId="6F913B5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20" w:type="dxa"/>
            <w:vMerge w:val="restart"/>
            <w:shd w:val="clear" w:color="auto" w:fill="FFFFFF"/>
            <w:vAlign w:val="center"/>
          </w:tcPr>
          <w:p w14:paraId="064AEAB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管理系统功能</w:t>
            </w:r>
          </w:p>
        </w:tc>
        <w:tc>
          <w:tcPr>
            <w:tcW w:w="1490" w:type="dxa"/>
            <w:shd w:val="clear" w:color="auto" w:fill="FFFFFF"/>
            <w:vAlign w:val="center"/>
          </w:tcPr>
          <w:p w14:paraId="48C332E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★BMC固件基础功能</w:t>
            </w:r>
          </w:p>
        </w:tc>
        <w:tc>
          <w:tcPr>
            <w:tcW w:w="4026" w:type="dxa"/>
            <w:shd w:val="clear" w:color="auto" w:fill="FFFFFF"/>
            <w:vAlign w:val="center"/>
          </w:tcPr>
          <w:p w14:paraId="6E38C71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1）支持DHCP设置网络功能；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2）支持静态IP设置网络功能；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3）支持设备日志记录，包括但不限于登录日志、操作日志和报警日志等功能；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4）支持日志信息导出和记录删除功能；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5）支持通过管理接口向外输出准确的报警信息功能；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6）设备的BMC管理软件应能够按报警的严重程度进行区分；7）支持IPMI2.0、SNMP或Redfish等接口功能；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8）支持键盘、鼠标和视频的重定向、文本控制台的重定向、远程虚拟媒体、高可靠的硬件监控和管理功能；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9）支持基于网络开启、关闭和重启设备的功能，并查询当前设备开机运行状态；</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10）支持故障提示功能，并可通过接口读取服务器故障信息；</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11）支持基于网络的固件更新功能，包括BMC和BIOS等；12）支持基于网络安装操作系统的功能，并可通过网络控制台访问设备；</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13）支持通过本地的硬盘或光驱等存储设备，基于网络完成设备的操作系统安装功能；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14）支持通过浏览器打开管理界面并登录功能；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15）支持设置口令策略功能；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16）支持访问权限设置功能，并通过日志记录访问事件；</w:t>
            </w:r>
          </w:p>
          <w:p w14:paraId="46645BE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17）支持对出厂默认的用户名及口令进行安全保护功能，并提供默认口令修改提示；</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18）支持读取设备主板的工作环境温度功能；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19）支持读取服务器CPU等核心器件的温度功能；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20）支持通过外部管理工具进行BMC参数设置的功能，并可基于网络通过外部管理工具对BMC进行管理；</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21）应支持固件版本查询、固件升级；</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22）支持基于网络实现开关机和复位控制的功能；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23)BMC启动时间应不超过180s，实现功能包括网络、IPMI、散热、传感器服务可用；</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24）支持BMC固件设置的恢复出厂功能</w:t>
            </w:r>
          </w:p>
        </w:tc>
        <w:tc>
          <w:tcPr>
            <w:tcW w:w="1279" w:type="dxa"/>
            <w:shd w:val="clear" w:color="auto" w:fill="FFFFFF"/>
            <w:vAlign w:val="center"/>
          </w:tcPr>
          <w:p w14:paraId="75E2587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D6CB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576" w:type="dxa"/>
            <w:shd w:val="clear" w:color="auto" w:fill="FFFFFF"/>
            <w:vAlign w:val="center"/>
          </w:tcPr>
          <w:p w14:paraId="4AFF080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65</w:t>
            </w:r>
          </w:p>
        </w:tc>
        <w:tc>
          <w:tcPr>
            <w:tcW w:w="1035" w:type="dxa"/>
            <w:shd w:val="clear" w:color="auto" w:fill="FFFFFF"/>
            <w:vAlign w:val="center"/>
          </w:tcPr>
          <w:p w14:paraId="510F5EB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20" w:type="dxa"/>
            <w:vMerge w:val="continue"/>
            <w:shd w:val="clear" w:color="auto" w:fill="FFFFFF"/>
            <w:vAlign w:val="center"/>
          </w:tcPr>
          <w:p w14:paraId="1FE7904B">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38153C5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BMC固件增强功能</w:t>
            </w:r>
          </w:p>
        </w:tc>
        <w:tc>
          <w:tcPr>
            <w:tcW w:w="4026" w:type="dxa"/>
            <w:shd w:val="clear" w:color="auto" w:fill="FFFFFF"/>
            <w:vAlign w:val="center"/>
          </w:tcPr>
          <w:p w14:paraId="7B5D809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a）网络控制、安装提供图形访问界面网络；</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b）设备的BMC管理软件界面显示报警信息，且能够按报警的严重程度进行区分；</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c）WebGUI采用BMC端口直连，平均响应时间为≤1s</w:t>
            </w:r>
          </w:p>
        </w:tc>
        <w:tc>
          <w:tcPr>
            <w:tcW w:w="1279" w:type="dxa"/>
            <w:shd w:val="clear" w:color="auto" w:fill="FFFFFF"/>
            <w:vAlign w:val="center"/>
          </w:tcPr>
          <w:p w14:paraId="3BA0669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57E1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2" w:hRule="atLeast"/>
          <w:jc w:val="center"/>
        </w:trPr>
        <w:tc>
          <w:tcPr>
            <w:tcW w:w="576" w:type="dxa"/>
            <w:shd w:val="clear" w:color="auto" w:fill="FFFFFF"/>
            <w:vAlign w:val="center"/>
          </w:tcPr>
          <w:p w14:paraId="029E4A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66</w:t>
            </w:r>
          </w:p>
        </w:tc>
        <w:tc>
          <w:tcPr>
            <w:tcW w:w="1035" w:type="dxa"/>
            <w:shd w:val="clear" w:color="auto" w:fill="FFFFFF"/>
            <w:vAlign w:val="center"/>
          </w:tcPr>
          <w:p w14:paraId="01ADE23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20" w:type="dxa"/>
            <w:vMerge w:val="continue"/>
            <w:shd w:val="clear" w:color="auto" w:fill="FFFFFF"/>
            <w:vAlign w:val="center"/>
          </w:tcPr>
          <w:p w14:paraId="390E2F2E">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5E7E4CD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★BIOS固件基础功能</w:t>
            </w:r>
          </w:p>
        </w:tc>
        <w:tc>
          <w:tcPr>
            <w:tcW w:w="4026" w:type="dxa"/>
            <w:shd w:val="clear" w:color="auto" w:fill="FFFFFF"/>
            <w:vAlign w:val="center"/>
          </w:tcPr>
          <w:p w14:paraId="112BE12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a）支持查看固件版本、内存信息、主板信息、处理器信息和系统时间信息功能；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b）支持上电初始化界面显示CPU信息、内存信息、固件版本和部分快捷键信息功能；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c）支持设置界面中英文显示切换功能；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d）支持查看PCIe设备信息，SATA设备信息功能；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e）支持操作系统安装和引导功能，应并向操作系统提供计算机主板信息和服务接口；</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f）支持设置启动顺序，并按照设置的启动顺序启动功能；g）支持安全启动功能；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h）支持设置口令、修改口令、验证口令功能；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i）支持板载显示控制或独立显卡的显示控制功能；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j）支持RAID识别和启动功能；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k）支持串口重定向功能；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l）支持固件更新功能；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m）支持BIOS固件设置的恢复出厂功能；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n）支持网络引导启用和关闭功能</w:t>
            </w:r>
          </w:p>
        </w:tc>
        <w:tc>
          <w:tcPr>
            <w:tcW w:w="1279" w:type="dxa"/>
            <w:shd w:val="clear" w:color="auto" w:fill="FFFFFF"/>
            <w:vAlign w:val="center"/>
          </w:tcPr>
          <w:p w14:paraId="41F5FF0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0C02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5E29A14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67</w:t>
            </w:r>
          </w:p>
        </w:tc>
        <w:tc>
          <w:tcPr>
            <w:tcW w:w="1035" w:type="dxa"/>
            <w:shd w:val="clear" w:color="auto" w:fill="FFFFFF"/>
            <w:vAlign w:val="center"/>
          </w:tcPr>
          <w:p w14:paraId="02F90BB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20" w:type="dxa"/>
            <w:vMerge w:val="continue"/>
            <w:shd w:val="clear" w:color="auto" w:fill="FFFFFF"/>
            <w:vAlign w:val="center"/>
          </w:tcPr>
          <w:p w14:paraId="57172943">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08D3D15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★远程控制</w:t>
            </w:r>
          </w:p>
        </w:tc>
        <w:tc>
          <w:tcPr>
            <w:tcW w:w="4026" w:type="dxa"/>
            <w:shd w:val="clear" w:color="auto" w:fill="FFFFFF"/>
            <w:vAlign w:val="center"/>
          </w:tcPr>
          <w:p w14:paraId="0A2AA5F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支持远程关机和重新启动功能</w:t>
            </w:r>
          </w:p>
        </w:tc>
        <w:tc>
          <w:tcPr>
            <w:tcW w:w="1279" w:type="dxa"/>
            <w:shd w:val="clear" w:color="auto" w:fill="FFFFFF"/>
            <w:vAlign w:val="center"/>
          </w:tcPr>
          <w:p w14:paraId="0B9DBE0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5A16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00E29B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68</w:t>
            </w:r>
          </w:p>
        </w:tc>
        <w:tc>
          <w:tcPr>
            <w:tcW w:w="1035" w:type="dxa"/>
            <w:shd w:val="clear" w:color="auto" w:fill="FFFFFF"/>
            <w:vAlign w:val="center"/>
          </w:tcPr>
          <w:p w14:paraId="0EDBA7F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20" w:type="dxa"/>
            <w:vMerge w:val="restart"/>
            <w:shd w:val="clear" w:color="auto" w:fill="FFFFFF"/>
            <w:vAlign w:val="center"/>
          </w:tcPr>
          <w:p w14:paraId="44F3E19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操作系统及驱动功能</w:t>
            </w:r>
          </w:p>
        </w:tc>
        <w:tc>
          <w:tcPr>
            <w:tcW w:w="1490" w:type="dxa"/>
            <w:shd w:val="clear" w:color="auto" w:fill="FFFFFF"/>
            <w:vAlign w:val="center"/>
          </w:tcPr>
          <w:p w14:paraId="7CACEC5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★操作系统及驱动的升级</w:t>
            </w:r>
          </w:p>
        </w:tc>
        <w:tc>
          <w:tcPr>
            <w:tcW w:w="4026" w:type="dxa"/>
            <w:shd w:val="clear" w:color="auto" w:fill="FFFFFF"/>
            <w:vAlign w:val="center"/>
          </w:tcPr>
          <w:p w14:paraId="324C9A1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支持通过网络、闪存盘对操作系统、驱动进行升级</w:t>
            </w:r>
          </w:p>
        </w:tc>
        <w:tc>
          <w:tcPr>
            <w:tcW w:w="1279" w:type="dxa"/>
            <w:shd w:val="clear" w:color="auto" w:fill="FFFFFF"/>
            <w:vAlign w:val="center"/>
          </w:tcPr>
          <w:p w14:paraId="7C10E15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EE69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6DA8B2F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69</w:t>
            </w:r>
          </w:p>
        </w:tc>
        <w:tc>
          <w:tcPr>
            <w:tcW w:w="1035" w:type="dxa"/>
            <w:shd w:val="clear" w:color="auto" w:fill="FFFFFF"/>
            <w:vAlign w:val="center"/>
          </w:tcPr>
          <w:p w14:paraId="163F3F0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20" w:type="dxa"/>
            <w:vMerge w:val="continue"/>
            <w:shd w:val="clear" w:color="auto" w:fill="FFFFFF"/>
            <w:vAlign w:val="center"/>
          </w:tcPr>
          <w:p w14:paraId="26E8C246">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2CCD08A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操作系统及驱动的备份还原</w:t>
            </w:r>
          </w:p>
        </w:tc>
        <w:tc>
          <w:tcPr>
            <w:tcW w:w="4026" w:type="dxa"/>
            <w:shd w:val="clear" w:color="auto" w:fill="FFFFFF"/>
            <w:vAlign w:val="center"/>
          </w:tcPr>
          <w:p w14:paraId="1761B73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支持操作系统备份及还原功能</w:t>
            </w:r>
          </w:p>
        </w:tc>
        <w:tc>
          <w:tcPr>
            <w:tcW w:w="1279" w:type="dxa"/>
            <w:shd w:val="clear" w:color="auto" w:fill="FFFFFF"/>
            <w:vAlign w:val="center"/>
          </w:tcPr>
          <w:p w14:paraId="3B10CF4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15E5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76" w:type="dxa"/>
            <w:shd w:val="clear" w:color="auto" w:fill="FFFFFF"/>
            <w:vAlign w:val="center"/>
          </w:tcPr>
          <w:p w14:paraId="0CD1EBE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70</w:t>
            </w:r>
          </w:p>
        </w:tc>
        <w:tc>
          <w:tcPr>
            <w:tcW w:w="1035" w:type="dxa"/>
            <w:shd w:val="clear" w:color="auto" w:fill="FFFFFF"/>
            <w:vAlign w:val="center"/>
          </w:tcPr>
          <w:p w14:paraId="18FBF2B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20" w:type="dxa"/>
            <w:vMerge w:val="continue"/>
            <w:shd w:val="clear" w:color="auto" w:fill="FFFFFF"/>
            <w:vAlign w:val="center"/>
          </w:tcPr>
          <w:p w14:paraId="05D703ED">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1DEA0C1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★操作系统功能</w:t>
            </w:r>
          </w:p>
        </w:tc>
        <w:tc>
          <w:tcPr>
            <w:tcW w:w="4026" w:type="dxa"/>
            <w:shd w:val="clear" w:color="auto" w:fill="FFFFFF"/>
            <w:vAlign w:val="center"/>
          </w:tcPr>
          <w:p w14:paraId="246CEA8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a）支持访问控制、安全审计、网络接入鉴别等功能；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b）操作系统其他功能应满足操作系统政府采购需求标准中加*的指标要求（不涉及）</w:t>
            </w:r>
          </w:p>
        </w:tc>
        <w:tc>
          <w:tcPr>
            <w:tcW w:w="1279" w:type="dxa"/>
            <w:shd w:val="clear" w:color="auto" w:fill="FFFFFF"/>
            <w:vAlign w:val="center"/>
          </w:tcPr>
          <w:p w14:paraId="7342E30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0F38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769FB0A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71</w:t>
            </w:r>
          </w:p>
        </w:tc>
        <w:tc>
          <w:tcPr>
            <w:tcW w:w="1035" w:type="dxa"/>
            <w:shd w:val="clear" w:color="auto" w:fill="FFFFFF"/>
            <w:vAlign w:val="center"/>
          </w:tcPr>
          <w:p w14:paraId="336FDE4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20" w:type="dxa"/>
            <w:shd w:val="clear" w:color="auto" w:fill="FFFFFF"/>
            <w:vAlign w:val="center"/>
          </w:tcPr>
          <w:p w14:paraId="47DD7AC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中文信息处理功能</w:t>
            </w:r>
          </w:p>
        </w:tc>
        <w:tc>
          <w:tcPr>
            <w:tcW w:w="1490" w:type="dxa"/>
            <w:shd w:val="clear" w:color="auto" w:fill="FFFFFF"/>
            <w:vAlign w:val="center"/>
          </w:tcPr>
          <w:p w14:paraId="1280336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★中文信息处理</w:t>
            </w:r>
          </w:p>
        </w:tc>
        <w:tc>
          <w:tcPr>
            <w:tcW w:w="4026" w:type="dxa"/>
            <w:shd w:val="clear" w:color="auto" w:fill="FFFFFF"/>
            <w:vAlign w:val="center"/>
          </w:tcPr>
          <w:p w14:paraId="289E3CB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符合GB18030的有关规定</w:t>
            </w:r>
          </w:p>
        </w:tc>
        <w:tc>
          <w:tcPr>
            <w:tcW w:w="1279" w:type="dxa"/>
            <w:shd w:val="clear" w:color="auto" w:fill="FFFFFF"/>
            <w:vAlign w:val="center"/>
          </w:tcPr>
          <w:p w14:paraId="65EAB5D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B649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5038ED1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72</w:t>
            </w:r>
          </w:p>
        </w:tc>
        <w:tc>
          <w:tcPr>
            <w:tcW w:w="1035" w:type="dxa"/>
            <w:shd w:val="clear" w:color="auto" w:fill="FFFFFF"/>
            <w:vAlign w:val="center"/>
          </w:tcPr>
          <w:p w14:paraId="2DF4701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20" w:type="dxa"/>
            <w:vMerge w:val="restart"/>
            <w:shd w:val="clear" w:color="auto" w:fill="FFFFFF"/>
            <w:vAlign w:val="center"/>
          </w:tcPr>
          <w:p w14:paraId="09A83B0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机柜功能</w:t>
            </w:r>
          </w:p>
        </w:tc>
        <w:tc>
          <w:tcPr>
            <w:tcW w:w="1490" w:type="dxa"/>
            <w:shd w:val="clear" w:color="auto" w:fill="FFFFFF"/>
            <w:vAlign w:val="center"/>
          </w:tcPr>
          <w:p w14:paraId="1526E7F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机柜管理功能</w:t>
            </w:r>
          </w:p>
        </w:tc>
        <w:tc>
          <w:tcPr>
            <w:tcW w:w="4026" w:type="dxa"/>
            <w:shd w:val="clear" w:color="auto" w:fill="FFFFFF"/>
            <w:vAlign w:val="center"/>
          </w:tcPr>
          <w:p w14:paraId="70AC6A0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机柜管理系统包括服务器节点BMC管理系统、机柜管理系统或交换节点管理系统</w:t>
            </w:r>
          </w:p>
        </w:tc>
        <w:tc>
          <w:tcPr>
            <w:tcW w:w="1279" w:type="dxa"/>
            <w:shd w:val="clear" w:color="auto" w:fill="FFFFFF"/>
            <w:vAlign w:val="center"/>
          </w:tcPr>
          <w:p w14:paraId="3877F4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1BAB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2466449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73</w:t>
            </w:r>
          </w:p>
        </w:tc>
        <w:tc>
          <w:tcPr>
            <w:tcW w:w="1035" w:type="dxa"/>
            <w:shd w:val="clear" w:color="auto" w:fill="FFFFFF"/>
            <w:vAlign w:val="center"/>
          </w:tcPr>
          <w:p w14:paraId="3A485FB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20" w:type="dxa"/>
            <w:vMerge w:val="continue"/>
            <w:shd w:val="clear" w:color="auto" w:fill="FFFFFF"/>
            <w:vAlign w:val="center"/>
          </w:tcPr>
          <w:p w14:paraId="20362CD1">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66549CD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机柜通信方式</w:t>
            </w:r>
          </w:p>
        </w:tc>
        <w:tc>
          <w:tcPr>
            <w:tcW w:w="4026" w:type="dxa"/>
            <w:shd w:val="clear" w:color="auto" w:fill="FFFFFF"/>
            <w:vAlign w:val="center"/>
          </w:tcPr>
          <w:p w14:paraId="4CBF9A9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若配备机柜管理板可实现包括：资产管理、电源模块、功耗管理和液冷漏液检测等功能</w:t>
            </w:r>
          </w:p>
        </w:tc>
        <w:tc>
          <w:tcPr>
            <w:tcW w:w="1279" w:type="dxa"/>
            <w:shd w:val="clear" w:color="auto" w:fill="FFFFFF"/>
            <w:vAlign w:val="center"/>
          </w:tcPr>
          <w:p w14:paraId="597DF15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16F1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21E20A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74</w:t>
            </w:r>
          </w:p>
        </w:tc>
        <w:tc>
          <w:tcPr>
            <w:tcW w:w="1035" w:type="dxa"/>
            <w:shd w:val="clear" w:color="auto" w:fill="FFFFFF"/>
            <w:vAlign w:val="center"/>
          </w:tcPr>
          <w:p w14:paraId="5C42743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20" w:type="dxa"/>
            <w:vMerge w:val="continue"/>
            <w:shd w:val="clear" w:color="auto" w:fill="FFFFFF"/>
            <w:vAlign w:val="center"/>
          </w:tcPr>
          <w:p w14:paraId="755A5FDA">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58A23A3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多集群作业管理</w:t>
            </w:r>
          </w:p>
        </w:tc>
        <w:tc>
          <w:tcPr>
            <w:tcW w:w="4026" w:type="dxa"/>
            <w:shd w:val="clear" w:color="auto" w:fill="FFFFFF"/>
            <w:vAlign w:val="center"/>
          </w:tcPr>
          <w:p w14:paraId="212C4E0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支持多集群作业管理功能</w:t>
            </w:r>
          </w:p>
        </w:tc>
        <w:tc>
          <w:tcPr>
            <w:tcW w:w="1279" w:type="dxa"/>
            <w:shd w:val="clear" w:color="auto" w:fill="FFFFFF"/>
            <w:vAlign w:val="center"/>
          </w:tcPr>
          <w:p w14:paraId="484793A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F052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581400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75</w:t>
            </w:r>
          </w:p>
        </w:tc>
        <w:tc>
          <w:tcPr>
            <w:tcW w:w="1035" w:type="dxa"/>
            <w:shd w:val="clear" w:color="auto" w:fill="FFFFFF"/>
            <w:vAlign w:val="center"/>
          </w:tcPr>
          <w:p w14:paraId="5FBABE2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20" w:type="dxa"/>
            <w:shd w:val="clear" w:color="auto" w:fill="FFFFFF"/>
            <w:vAlign w:val="center"/>
          </w:tcPr>
          <w:p w14:paraId="3C3A520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关键部件安全要求</w:t>
            </w:r>
          </w:p>
        </w:tc>
        <w:tc>
          <w:tcPr>
            <w:tcW w:w="1490" w:type="dxa"/>
            <w:shd w:val="clear" w:color="auto" w:fill="FFFFFF"/>
            <w:vAlign w:val="center"/>
          </w:tcPr>
          <w:p w14:paraId="084D351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★关键部件安全要求</w:t>
            </w:r>
          </w:p>
        </w:tc>
        <w:tc>
          <w:tcPr>
            <w:tcW w:w="4026" w:type="dxa"/>
            <w:shd w:val="clear" w:color="auto" w:fill="FFFFFF"/>
            <w:vAlign w:val="center"/>
          </w:tcPr>
          <w:p w14:paraId="26CD4E6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CPU和操作系统等关键部件应当符合安全可靠测评要求</w:t>
            </w:r>
          </w:p>
        </w:tc>
        <w:tc>
          <w:tcPr>
            <w:tcW w:w="1279" w:type="dxa"/>
            <w:shd w:val="clear" w:color="auto" w:fill="FFFFFF"/>
            <w:vAlign w:val="center"/>
          </w:tcPr>
          <w:p w14:paraId="29472B0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CF18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2E366B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76</w:t>
            </w:r>
          </w:p>
        </w:tc>
        <w:tc>
          <w:tcPr>
            <w:tcW w:w="1035" w:type="dxa"/>
            <w:shd w:val="clear" w:color="auto" w:fill="FFFFFF"/>
            <w:vAlign w:val="center"/>
          </w:tcPr>
          <w:p w14:paraId="625C0D5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20" w:type="dxa"/>
            <w:vMerge w:val="restart"/>
            <w:shd w:val="clear" w:color="auto" w:fill="FFFFFF"/>
            <w:vAlign w:val="center"/>
          </w:tcPr>
          <w:p w14:paraId="7172ABE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固件安全要求</w:t>
            </w:r>
          </w:p>
        </w:tc>
        <w:tc>
          <w:tcPr>
            <w:tcW w:w="1490" w:type="dxa"/>
            <w:shd w:val="clear" w:color="auto" w:fill="FFFFFF"/>
            <w:vAlign w:val="center"/>
          </w:tcPr>
          <w:p w14:paraId="7399DB7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★故障检测</w:t>
            </w:r>
          </w:p>
        </w:tc>
        <w:tc>
          <w:tcPr>
            <w:tcW w:w="4026" w:type="dxa"/>
            <w:shd w:val="clear" w:color="auto" w:fill="FFFFFF"/>
            <w:vAlign w:val="center"/>
          </w:tcPr>
          <w:p w14:paraId="4E9217D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支持故障检测功能，可以检测到具体的FRU（内存、硬盘等）的故障并发出告警</w:t>
            </w:r>
          </w:p>
        </w:tc>
        <w:tc>
          <w:tcPr>
            <w:tcW w:w="1279" w:type="dxa"/>
            <w:shd w:val="clear" w:color="auto" w:fill="FFFFFF"/>
            <w:vAlign w:val="center"/>
          </w:tcPr>
          <w:p w14:paraId="09F8E28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B630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576" w:type="dxa"/>
            <w:shd w:val="clear" w:color="auto" w:fill="FFFFFF"/>
            <w:vAlign w:val="center"/>
          </w:tcPr>
          <w:p w14:paraId="41EDABA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77</w:t>
            </w:r>
          </w:p>
        </w:tc>
        <w:tc>
          <w:tcPr>
            <w:tcW w:w="1035" w:type="dxa"/>
            <w:shd w:val="clear" w:color="auto" w:fill="FFFFFF"/>
            <w:vAlign w:val="center"/>
          </w:tcPr>
          <w:p w14:paraId="598EE04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20" w:type="dxa"/>
            <w:vMerge w:val="continue"/>
            <w:shd w:val="clear" w:color="auto" w:fill="FFFFFF"/>
            <w:vAlign w:val="center"/>
          </w:tcPr>
          <w:p w14:paraId="0C45E7D9">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464C490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内存故障智能预测和自愈修复</w:t>
            </w:r>
          </w:p>
        </w:tc>
        <w:tc>
          <w:tcPr>
            <w:tcW w:w="4026" w:type="dxa"/>
            <w:shd w:val="clear" w:color="auto" w:fill="FFFFFF"/>
            <w:vAlign w:val="center"/>
          </w:tcPr>
          <w:p w14:paraId="78177C9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支持内存故障智能预测和自愈修复，提前自动硬隔离，避免内存故障引起的非预期宕机以及内存寿命的降低</w:t>
            </w:r>
          </w:p>
        </w:tc>
        <w:tc>
          <w:tcPr>
            <w:tcW w:w="1279" w:type="dxa"/>
            <w:shd w:val="clear" w:color="auto" w:fill="FFFFFF"/>
            <w:vAlign w:val="center"/>
          </w:tcPr>
          <w:p w14:paraId="5664030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C5C7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326D51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78</w:t>
            </w:r>
          </w:p>
        </w:tc>
        <w:tc>
          <w:tcPr>
            <w:tcW w:w="1035" w:type="dxa"/>
            <w:shd w:val="clear" w:color="auto" w:fill="FFFFFF"/>
            <w:vAlign w:val="center"/>
          </w:tcPr>
          <w:p w14:paraId="5AF5953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20" w:type="dxa"/>
            <w:vMerge w:val="continue"/>
            <w:shd w:val="clear" w:color="auto" w:fill="FFFFFF"/>
            <w:vAlign w:val="center"/>
          </w:tcPr>
          <w:p w14:paraId="065FC271">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08DE040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硬盘故障智能预测</w:t>
            </w:r>
          </w:p>
        </w:tc>
        <w:tc>
          <w:tcPr>
            <w:tcW w:w="4026" w:type="dxa"/>
            <w:shd w:val="clear" w:color="auto" w:fill="FFFFFF"/>
            <w:vAlign w:val="center"/>
          </w:tcPr>
          <w:p w14:paraId="47CD8A7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支持硬盘故障智能预测，基于故障模型预测出硬盘的故障</w:t>
            </w:r>
          </w:p>
        </w:tc>
        <w:tc>
          <w:tcPr>
            <w:tcW w:w="1279" w:type="dxa"/>
            <w:shd w:val="clear" w:color="auto" w:fill="FFFFFF"/>
            <w:vAlign w:val="center"/>
          </w:tcPr>
          <w:p w14:paraId="7C1E8A6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A31A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7377C5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79</w:t>
            </w:r>
          </w:p>
        </w:tc>
        <w:tc>
          <w:tcPr>
            <w:tcW w:w="1035" w:type="dxa"/>
            <w:shd w:val="clear" w:color="auto" w:fill="FFFFFF"/>
            <w:vAlign w:val="center"/>
          </w:tcPr>
          <w:p w14:paraId="1DFDA05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20" w:type="dxa"/>
            <w:vMerge w:val="continue"/>
            <w:shd w:val="clear" w:color="auto" w:fill="FFFFFF"/>
            <w:vAlign w:val="center"/>
          </w:tcPr>
          <w:p w14:paraId="76725053">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2184E2F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PCIe链路故障智能诊断</w:t>
            </w:r>
          </w:p>
        </w:tc>
        <w:tc>
          <w:tcPr>
            <w:tcW w:w="4026" w:type="dxa"/>
            <w:shd w:val="clear" w:color="auto" w:fill="FFFFFF"/>
            <w:vAlign w:val="center"/>
          </w:tcPr>
          <w:p w14:paraId="084FDD8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支持PCIe链路故障智能诊断，判断出现故障的PCIe链路</w:t>
            </w:r>
          </w:p>
        </w:tc>
        <w:tc>
          <w:tcPr>
            <w:tcW w:w="1279" w:type="dxa"/>
            <w:shd w:val="clear" w:color="auto" w:fill="FFFFFF"/>
            <w:vAlign w:val="center"/>
          </w:tcPr>
          <w:p w14:paraId="6B26CB5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E558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20DA432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80</w:t>
            </w:r>
          </w:p>
        </w:tc>
        <w:tc>
          <w:tcPr>
            <w:tcW w:w="1035" w:type="dxa"/>
            <w:shd w:val="clear" w:color="auto" w:fill="FFFFFF"/>
            <w:vAlign w:val="center"/>
          </w:tcPr>
          <w:p w14:paraId="52E90F6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20" w:type="dxa"/>
            <w:vMerge w:val="continue"/>
            <w:shd w:val="clear" w:color="auto" w:fill="FFFFFF"/>
            <w:vAlign w:val="center"/>
          </w:tcPr>
          <w:p w14:paraId="414A17C8">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2AB9E3B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内存故障隔离</w:t>
            </w:r>
          </w:p>
        </w:tc>
        <w:tc>
          <w:tcPr>
            <w:tcW w:w="4026" w:type="dxa"/>
            <w:shd w:val="clear" w:color="auto" w:fill="FFFFFF"/>
            <w:vAlign w:val="center"/>
          </w:tcPr>
          <w:p w14:paraId="29FC9F5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支持内存故障隔离，在内存产生CE故障时，内存地址被隔离成功，服务器正常运行，业务系统不中断</w:t>
            </w:r>
          </w:p>
        </w:tc>
        <w:tc>
          <w:tcPr>
            <w:tcW w:w="1279" w:type="dxa"/>
            <w:shd w:val="clear" w:color="auto" w:fill="FFFFFF"/>
            <w:vAlign w:val="center"/>
          </w:tcPr>
          <w:p w14:paraId="3F20384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D76A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061FC8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81</w:t>
            </w:r>
          </w:p>
        </w:tc>
        <w:tc>
          <w:tcPr>
            <w:tcW w:w="1035" w:type="dxa"/>
            <w:shd w:val="clear" w:color="auto" w:fill="FFFFFF"/>
            <w:vAlign w:val="center"/>
          </w:tcPr>
          <w:p w14:paraId="381747B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20" w:type="dxa"/>
            <w:vMerge w:val="continue"/>
            <w:shd w:val="clear" w:color="auto" w:fill="FFFFFF"/>
            <w:vAlign w:val="center"/>
          </w:tcPr>
          <w:p w14:paraId="580C6DC2">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7588522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内存、PCIe卡的故障精准告警功能</w:t>
            </w:r>
          </w:p>
        </w:tc>
        <w:tc>
          <w:tcPr>
            <w:tcW w:w="4026" w:type="dxa"/>
            <w:shd w:val="clear" w:color="auto" w:fill="FFFFFF"/>
            <w:vAlign w:val="center"/>
          </w:tcPr>
          <w:p w14:paraId="73E8BE6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支持内存、PCIe卡的故障精准告警功能，触发告警并明确指示具体的故障位置</w:t>
            </w:r>
          </w:p>
        </w:tc>
        <w:tc>
          <w:tcPr>
            <w:tcW w:w="1279" w:type="dxa"/>
            <w:shd w:val="clear" w:color="auto" w:fill="FFFFFF"/>
            <w:vAlign w:val="center"/>
          </w:tcPr>
          <w:p w14:paraId="7BAA6E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97AE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0FFFBB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82</w:t>
            </w:r>
          </w:p>
        </w:tc>
        <w:tc>
          <w:tcPr>
            <w:tcW w:w="1035" w:type="dxa"/>
            <w:shd w:val="clear" w:color="auto" w:fill="FFFFFF"/>
            <w:vAlign w:val="center"/>
          </w:tcPr>
          <w:p w14:paraId="6363875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20" w:type="dxa"/>
            <w:vMerge w:val="continue"/>
            <w:shd w:val="clear" w:color="auto" w:fill="FFFFFF"/>
            <w:vAlign w:val="center"/>
          </w:tcPr>
          <w:p w14:paraId="59B81F1E">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4CB78A3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异常下电关键数据保护</w:t>
            </w:r>
          </w:p>
        </w:tc>
        <w:tc>
          <w:tcPr>
            <w:tcW w:w="4026" w:type="dxa"/>
            <w:shd w:val="clear" w:color="auto" w:fill="FFFFFF"/>
            <w:vAlign w:val="center"/>
          </w:tcPr>
          <w:p w14:paraId="5C20CB9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支持异常掉电关键数据保护，支持数据备份恢复机制，防止系统异常掉电导致的数据文件丢失</w:t>
            </w:r>
          </w:p>
        </w:tc>
        <w:tc>
          <w:tcPr>
            <w:tcW w:w="1279" w:type="dxa"/>
            <w:shd w:val="clear" w:color="auto" w:fill="FFFFFF"/>
            <w:vAlign w:val="center"/>
          </w:tcPr>
          <w:p w14:paraId="016400A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BD9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4C5936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83</w:t>
            </w:r>
          </w:p>
        </w:tc>
        <w:tc>
          <w:tcPr>
            <w:tcW w:w="1035" w:type="dxa"/>
            <w:shd w:val="clear" w:color="auto" w:fill="FFFFFF"/>
            <w:vAlign w:val="center"/>
          </w:tcPr>
          <w:p w14:paraId="2879DA5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20" w:type="dxa"/>
            <w:vMerge w:val="continue"/>
            <w:shd w:val="clear" w:color="auto" w:fill="FFFFFF"/>
            <w:vAlign w:val="center"/>
          </w:tcPr>
          <w:p w14:paraId="526473AD">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559B77A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BMC/BIOS固件双镜像保护</w:t>
            </w:r>
          </w:p>
        </w:tc>
        <w:tc>
          <w:tcPr>
            <w:tcW w:w="4026" w:type="dxa"/>
            <w:shd w:val="clear" w:color="auto" w:fill="FFFFFF"/>
            <w:vAlign w:val="center"/>
          </w:tcPr>
          <w:p w14:paraId="01B19E5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支持BMC/BIOS固件双镜像保护，运行异常时自动切换到备份镜像运行，提升系统稳定性</w:t>
            </w:r>
          </w:p>
        </w:tc>
        <w:tc>
          <w:tcPr>
            <w:tcW w:w="1279" w:type="dxa"/>
            <w:shd w:val="clear" w:color="auto" w:fill="FFFFFF"/>
            <w:vAlign w:val="center"/>
          </w:tcPr>
          <w:p w14:paraId="6B0B7F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9721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jc w:val="center"/>
        </w:trPr>
        <w:tc>
          <w:tcPr>
            <w:tcW w:w="576" w:type="dxa"/>
            <w:shd w:val="clear" w:color="auto" w:fill="FFFFFF"/>
            <w:vAlign w:val="center"/>
          </w:tcPr>
          <w:p w14:paraId="39B1052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84</w:t>
            </w:r>
          </w:p>
        </w:tc>
        <w:tc>
          <w:tcPr>
            <w:tcW w:w="1035" w:type="dxa"/>
            <w:shd w:val="clear" w:color="auto" w:fill="FFFFFF"/>
            <w:vAlign w:val="center"/>
          </w:tcPr>
          <w:p w14:paraId="097A4B1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20" w:type="dxa"/>
            <w:vMerge w:val="continue"/>
            <w:shd w:val="clear" w:color="auto" w:fill="FFFFFF"/>
            <w:vAlign w:val="center"/>
          </w:tcPr>
          <w:p w14:paraId="178B9DBB">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5FD330B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CPU核重启隔离</w:t>
            </w:r>
          </w:p>
        </w:tc>
        <w:tc>
          <w:tcPr>
            <w:tcW w:w="4026" w:type="dxa"/>
            <w:shd w:val="clear" w:color="auto" w:fill="FFFFFF"/>
            <w:vAlign w:val="center"/>
          </w:tcPr>
          <w:p w14:paraId="0E0B866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支持CPU核发生不可纠正故障后，重启后由BIOS隔离该故障核，OS不可见，防止OS再次使用导致系统异常，核0除外</w:t>
            </w:r>
          </w:p>
        </w:tc>
        <w:tc>
          <w:tcPr>
            <w:tcW w:w="1279" w:type="dxa"/>
            <w:shd w:val="clear" w:color="auto" w:fill="FFFFFF"/>
            <w:vAlign w:val="center"/>
          </w:tcPr>
          <w:p w14:paraId="1F948FF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4A9E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33F270B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85</w:t>
            </w:r>
          </w:p>
        </w:tc>
        <w:tc>
          <w:tcPr>
            <w:tcW w:w="1035" w:type="dxa"/>
            <w:shd w:val="clear" w:color="auto" w:fill="FFFFFF"/>
            <w:vAlign w:val="center"/>
          </w:tcPr>
          <w:p w14:paraId="5ECC870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20" w:type="dxa"/>
            <w:vMerge w:val="continue"/>
            <w:shd w:val="clear" w:color="auto" w:fill="FFFFFF"/>
            <w:vAlign w:val="center"/>
          </w:tcPr>
          <w:p w14:paraId="749E8B85">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3F33C85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内存地址隔离</w:t>
            </w:r>
          </w:p>
        </w:tc>
        <w:tc>
          <w:tcPr>
            <w:tcW w:w="4026" w:type="dxa"/>
            <w:shd w:val="clear" w:color="auto" w:fill="FFFFFF"/>
            <w:vAlign w:val="center"/>
          </w:tcPr>
          <w:p w14:paraId="4BF1AA9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在硬件支持的情况下，支持故障内存地址重启后隔离</w:t>
            </w:r>
          </w:p>
        </w:tc>
        <w:tc>
          <w:tcPr>
            <w:tcW w:w="1279" w:type="dxa"/>
            <w:shd w:val="clear" w:color="auto" w:fill="FFFFFF"/>
            <w:vAlign w:val="center"/>
          </w:tcPr>
          <w:p w14:paraId="033FAFB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AF6B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5B627A0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86</w:t>
            </w:r>
          </w:p>
        </w:tc>
        <w:tc>
          <w:tcPr>
            <w:tcW w:w="1035" w:type="dxa"/>
            <w:shd w:val="clear" w:color="auto" w:fill="FFFFFF"/>
            <w:vAlign w:val="center"/>
          </w:tcPr>
          <w:p w14:paraId="751452F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20" w:type="dxa"/>
            <w:vMerge w:val="continue"/>
            <w:shd w:val="clear" w:color="auto" w:fill="FFFFFF"/>
            <w:vAlign w:val="center"/>
          </w:tcPr>
          <w:p w14:paraId="3C8DBBDD">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5788079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内存存储阵列替换</w:t>
            </w:r>
          </w:p>
        </w:tc>
        <w:tc>
          <w:tcPr>
            <w:tcW w:w="4026" w:type="dxa"/>
            <w:shd w:val="clear" w:color="auto" w:fill="FFFFFF"/>
            <w:vAlign w:val="center"/>
          </w:tcPr>
          <w:p w14:paraId="53076E4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在硬件支持的情况下，支持故障内存存储阵列替换</w:t>
            </w:r>
          </w:p>
        </w:tc>
        <w:tc>
          <w:tcPr>
            <w:tcW w:w="1279" w:type="dxa"/>
            <w:shd w:val="clear" w:color="auto" w:fill="FFFFFF"/>
            <w:vAlign w:val="center"/>
          </w:tcPr>
          <w:p w14:paraId="0EEC54B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634F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1FFFD62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87</w:t>
            </w:r>
          </w:p>
        </w:tc>
        <w:tc>
          <w:tcPr>
            <w:tcW w:w="1035" w:type="dxa"/>
            <w:shd w:val="clear" w:color="auto" w:fill="FFFFFF"/>
            <w:vAlign w:val="center"/>
          </w:tcPr>
          <w:p w14:paraId="33DE6D0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20" w:type="dxa"/>
            <w:vMerge w:val="continue"/>
            <w:shd w:val="clear" w:color="auto" w:fill="FFFFFF"/>
            <w:vAlign w:val="center"/>
          </w:tcPr>
          <w:p w14:paraId="4D36E16A">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4D11AD0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安全启动</w:t>
            </w:r>
          </w:p>
        </w:tc>
        <w:tc>
          <w:tcPr>
            <w:tcW w:w="4026" w:type="dxa"/>
            <w:shd w:val="clear" w:color="auto" w:fill="FFFFFF"/>
            <w:vAlign w:val="center"/>
          </w:tcPr>
          <w:p w14:paraId="5A524AF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支持执行环境要求在整个系统启动的过程中，系统应提供一个机制来保护平台的完整性</w:t>
            </w:r>
          </w:p>
        </w:tc>
        <w:tc>
          <w:tcPr>
            <w:tcW w:w="1279" w:type="dxa"/>
            <w:shd w:val="clear" w:color="auto" w:fill="FFFFFF"/>
            <w:vAlign w:val="center"/>
          </w:tcPr>
          <w:p w14:paraId="26EA82A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4D01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57AF3F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88</w:t>
            </w:r>
          </w:p>
        </w:tc>
        <w:tc>
          <w:tcPr>
            <w:tcW w:w="1035" w:type="dxa"/>
            <w:shd w:val="clear" w:color="auto" w:fill="FFFFFF"/>
            <w:vAlign w:val="center"/>
          </w:tcPr>
          <w:p w14:paraId="5E975ED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20" w:type="dxa"/>
            <w:vMerge w:val="restart"/>
            <w:shd w:val="clear" w:color="auto" w:fill="FFFFFF"/>
            <w:vAlign w:val="center"/>
          </w:tcPr>
          <w:p w14:paraId="510F6C9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系统安全要求</w:t>
            </w:r>
          </w:p>
        </w:tc>
        <w:tc>
          <w:tcPr>
            <w:tcW w:w="1490" w:type="dxa"/>
            <w:shd w:val="clear" w:color="auto" w:fill="FFFFFF"/>
            <w:vAlign w:val="center"/>
          </w:tcPr>
          <w:p w14:paraId="26CF632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syslog双向鉴别</w:t>
            </w:r>
          </w:p>
        </w:tc>
        <w:tc>
          <w:tcPr>
            <w:tcW w:w="4026" w:type="dxa"/>
            <w:shd w:val="clear" w:color="auto" w:fill="FFFFFF"/>
            <w:vAlign w:val="center"/>
          </w:tcPr>
          <w:p w14:paraId="3603E1D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支持系统日志双向鉴别，对服务器根证书和客户端根证书进行鉴别</w:t>
            </w:r>
          </w:p>
        </w:tc>
        <w:tc>
          <w:tcPr>
            <w:tcW w:w="1279" w:type="dxa"/>
            <w:shd w:val="clear" w:color="auto" w:fill="FFFFFF"/>
            <w:vAlign w:val="center"/>
          </w:tcPr>
          <w:p w14:paraId="0C63384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1A65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10E7AC0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89</w:t>
            </w:r>
          </w:p>
        </w:tc>
        <w:tc>
          <w:tcPr>
            <w:tcW w:w="1035" w:type="dxa"/>
            <w:shd w:val="clear" w:color="auto" w:fill="FFFFFF"/>
            <w:vAlign w:val="center"/>
          </w:tcPr>
          <w:p w14:paraId="285FB94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20" w:type="dxa"/>
            <w:vMerge w:val="continue"/>
            <w:shd w:val="clear" w:color="auto" w:fill="FFFFFF"/>
            <w:vAlign w:val="center"/>
          </w:tcPr>
          <w:p w14:paraId="25F623FE">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327E417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★弱口令字典检查</w:t>
            </w:r>
          </w:p>
        </w:tc>
        <w:tc>
          <w:tcPr>
            <w:tcW w:w="4026" w:type="dxa"/>
            <w:shd w:val="clear" w:color="auto" w:fill="FFFFFF"/>
            <w:vAlign w:val="center"/>
          </w:tcPr>
          <w:p w14:paraId="515604D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支持弱口令字典检查功能，出现在弱口令字典中的字符串不能被设置为用户口令</w:t>
            </w:r>
          </w:p>
        </w:tc>
        <w:tc>
          <w:tcPr>
            <w:tcW w:w="1279" w:type="dxa"/>
            <w:shd w:val="clear" w:color="auto" w:fill="FFFFFF"/>
            <w:vAlign w:val="center"/>
          </w:tcPr>
          <w:p w14:paraId="01D5111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B25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41C67EF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90</w:t>
            </w:r>
          </w:p>
        </w:tc>
        <w:tc>
          <w:tcPr>
            <w:tcW w:w="1035" w:type="dxa"/>
            <w:shd w:val="clear" w:color="auto" w:fill="FFFFFF"/>
            <w:vAlign w:val="center"/>
          </w:tcPr>
          <w:p w14:paraId="4FDA2EE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20" w:type="dxa"/>
            <w:vMerge w:val="continue"/>
            <w:shd w:val="clear" w:color="auto" w:fill="FFFFFF"/>
            <w:vAlign w:val="center"/>
          </w:tcPr>
          <w:p w14:paraId="23ECE8C2">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54E6C8F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★白名单访问控制</w:t>
            </w:r>
          </w:p>
        </w:tc>
        <w:tc>
          <w:tcPr>
            <w:tcW w:w="4026" w:type="dxa"/>
            <w:shd w:val="clear" w:color="auto" w:fill="FFFFFF"/>
            <w:vAlign w:val="center"/>
          </w:tcPr>
          <w:p w14:paraId="7DECBD1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支持基于时间、IP或MAC白名单访问控制</w:t>
            </w:r>
          </w:p>
        </w:tc>
        <w:tc>
          <w:tcPr>
            <w:tcW w:w="1279" w:type="dxa"/>
            <w:shd w:val="clear" w:color="auto" w:fill="FFFFFF"/>
            <w:vAlign w:val="center"/>
          </w:tcPr>
          <w:p w14:paraId="5D9EADA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47F2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1FBF47B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91</w:t>
            </w:r>
          </w:p>
        </w:tc>
        <w:tc>
          <w:tcPr>
            <w:tcW w:w="1035" w:type="dxa"/>
            <w:shd w:val="clear" w:color="auto" w:fill="FFFFFF"/>
            <w:vAlign w:val="center"/>
          </w:tcPr>
          <w:p w14:paraId="76462F9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20" w:type="dxa"/>
            <w:vMerge w:val="continue"/>
            <w:shd w:val="clear" w:color="auto" w:fill="FFFFFF"/>
            <w:vAlign w:val="center"/>
          </w:tcPr>
          <w:p w14:paraId="673852B1">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49ABA1D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双因素鉴别</w:t>
            </w:r>
          </w:p>
        </w:tc>
        <w:tc>
          <w:tcPr>
            <w:tcW w:w="4026" w:type="dxa"/>
            <w:shd w:val="clear" w:color="auto" w:fill="FFFFFF"/>
            <w:vAlign w:val="center"/>
          </w:tcPr>
          <w:p w14:paraId="3CFA1CF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支持使用客户端证书和证书密码的双因素鉴别方式登录管理系统</w:t>
            </w:r>
          </w:p>
        </w:tc>
        <w:tc>
          <w:tcPr>
            <w:tcW w:w="1279" w:type="dxa"/>
            <w:shd w:val="clear" w:color="auto" w:fill="FFFFFF"/>
            <w:vAlign w:val="center"/>
          </w:tcPr>
          <w:p w14:paraId="506BBA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02C0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jc w:val="center"/>
        </w:trPr>
        <w:tc>
          <w:tcPr>
            <w:tcW w:w="576" w:type="dxa"/>
            <w:shd w:val="clear" w:color="auto" w:fill="FFFFFF"/>
            <w:vAlign w:val="center"/>
          </w:tcPr>
          <w:p w14:paraId="656D4E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92</w:t>
            </w:r>
          </w:p>
        </w:tc>
        <w:tc>
          <w:tcPr>
            <w:tcW w:w="1035" w:type="dxa"/>
            <w:shd w:val="clear" w:color="auto" w:fill="FFFFFF"/>
            <w:vAlign w:val="center"/>
          </w:tcPr>
          <w:p w14:paraId="559B7BB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20" w:type="dxa"/>
            <w:vMerge w:val="continue"/>
            <w:shd w:val="clear" w:color="auto" w:fill="FFFFFF"/>
            <w:vAlign w:val="center"/>
          </w:tcPr>
          <w:p w14:paraId="676669BE">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2B9C3BE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★二次鉴别</w:t>
            </w:r>
          </w:p>
        </w:tc>
        <w:tc>
          <w:tcPr>
            <w:tcW w:w="4026" w:type="dxa"/>
            <w:shd w:val="clear" w:color="auto" w:fill="FFFFFF"/>
            <w:vAlign w:val="center"/>
          </w:tcPr>
          <w:p w14:paraId="0642DAF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支持二次鉴别功能。对于用户配置、权限配置、公钥导入等重要的管理操作，已登录用户应通过二次鉴别后，才能执行操作</w:t>
            </w:r>
          </w:p>
        </w:tc>
        <w:tc>
          <w:tcPr>
            <w:tcW w:w="1279" w:type="dxa"/>
            <w:shd w:val="clear" w:color="auto" w:fill="FFFFFF"/>
            <w:vAlign w:val="center"/>
          </w:tcPr>
          <w:p w14:paraId="586231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DAAC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6312FDD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93</w:t>
            </w:r>
          </w:p>
        </w:tc>
        <w:tc>
          <w:tcPr>
            <w:tcW w:w="1035" w:type="dxa"/>
            <w:shd w:val="clear" w:color="auto" w:fill="FFFFFF"/>
            <w:vAlign w:val="center"/>
          </w:tcPr>
          <w:p w14:paraId="6BA6CA2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20" w:type="dxa"/>
            <w:vMerge w:val="continue"/>
            <w:shd w:val="clear" w:color="auto" w:fill="FFFFFF"/>
            <w:vAlign w:val="center"/>
          </w:tcPr>
          <w:p w14:paraId="15476AE7">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3C557EE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匿名化用户告警接收邮箱</w:t>
            </w:r>
          </w:p>
        </w:tc>
        <w:tc>
          <w:tcPr>
            <w:tcW w:w="4026" w:type="dxa"/>
            <w:shd w:val="clear" w:color="auto" w:fill="FFFFFF"/>
            <w:vAlign w:val="center"/>
          </w:tcPr>
          <w:p w14:paraId="3A8D707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支持带外管理系统中的用户告警接收邮箱进行匿名化处理</w:t>
            </w:r>
          </w:p>
        </w:tc>
        <w:tc>
          <w:tcPr>
            <w:tcW w:w="1279" w:type="dxa"/>
            <w:shd w:val="clear" w:color="auto" w:fill="FFFFFF"/>
            <w:vAlign w:val="center"/>
          </w:tcPr>
          <w:p w14:paraId="269A00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CEB0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576" w:type="dxa"/>
            <w:shd w:val="clear" w:color="auto" w:fill="FFFFFF"/>
            <w:vAlign w:val="center"/>
          </w:tcPr>
          <w:p w14:paraId="2DBAA9F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94</w:t>
            </w:r>
          </w:p>
        </w:tc>
        <w:tc>
          <w:tcPr>
            <w:tcW w:w="1035" w:type="dxa"/>
            <w:shd w:val="clear" w:color="auto" w:fill="FFFFFF"/>
            <w:vAlign w:val="center"/>
          </w:tcPr>
          <w:p w14:paraId="6547545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20" w:type="dxa"/>
            <w:vMerge w:val="continue"/>
            <w:shd w:val="clear" w:color="auto" w:fill="FFFFFF"/>
            <w:vAlign w:val="center"/>
          </w:tcPr>
          <w:p w14:paraId="5AD14C11">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527BBD0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★密码证书安全加密存储</w:t>
            </w:r>
          </w:p>
        </w:tc>
        <w:tc>
          <w:tcPr>
            <w:tcW w:w="4026" w:type="dxa"/>
            <w:shd w:val="clear" w:color="auto" w:fill="FFFFFF"/>
            <w:vAlign w:val="center"/>
          </w:tcPr>
          <w:p w14:paraId="4DB2C95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支持对带外管理系统中的用户口令和证书等敏感信息进行加密存储，</w:t>
            </w:r>
            <w:r>
              <w:rPr>
                <w:rFonts w:hint="eastAsia" w:asciiTheme="minorEastAsia" w:hAnsiTheme="minorEastAsia" w:eastAsiaTheme="minorEastAsia" w:cstheme="minorEastAsia"/>
                <w:kern w:val="0"/>
                <w:sz w:val="24"/>
                <w:shd w:val="clear" w:color="auto" w:fill="FFFFFF"/>
              </w:rPr>
              <w:t>禁止</w:t>
            </w:r>
            <w:r>
              <w:rPr>
                <w:rFonts w:hint="eastAsia" w:asciiTheme="minorEastAsia" w:hAnsiTheme="minorEastAsia" w:eastAsiaTheme="minorEastAsia" w:cstheme="minorEastAsia"/>
                <w:kern w:val="0"/>
                <w:sz w:val="24"/>
              </w:rPr>
              <w:t>使用私有的和业界已知不安全的密码算法</w:t>
            </w:r>
          </w:p>
        </w:tc>
        <w:tc>
          <w:tcPr>
            <w:tcW w:w="1279" w:type="dxa"/>
            <w:shd w:val="clear" w:color="auto" w:fill="FFFFFF"/>
            <w:vAlign w:val="center"/>
          </w:tcPr>
          <w:p w14:paraId="7B5259E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223A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10C671A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95</w:t>
            </w:r>
          </w:p>
        </w:tc>
        <w:tc>
          <w:tcPr>
            <w:tcW w:w="1035" w:type="dxa"/>
            <w:shd w:val="clear" w:color="auto" w:fill="FFFFFF"/>
            <w:vAlign w:val="center"/>
          </w:tcPr>
          <w:p w14:paraId="44A4A22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20" w:type="dxa"/>
            <w:vMerge w:val="continue"/>
            <w:shd w:val="clear" w:color="auto" w:fill="FFFFFF"/>
            <w:vAlign w:val="center"/>
          </w:tcPr>
          <w:p w14:paraId="41550683">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13DF077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★敏感信息安全加密传输</w:t>
            </w:r>
          </w:p>
        </w:tc>
        <w:tc>
          <w:tcPr>
            <w:tcW w:w="4026" w:type="dxa"/>
            <w:shd w:val="clear" w:color="auto" w:fill="FFFFFF"/>
            <w:vAlign w:val="center"/>
          </w:tcPr>
          <w:p w14:paraId="711668F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支持使用安全的传输加密协议（如SSH或HTTPS等）传输用户的敏感信息</w:t>
            </w:r>
          </w:p>
        </w:tc>
        <w:tc>
          <w:tcPr>
            <w:tcW w:w="1279" w:type="dxa"/>
            <w:shd w:val="clear" w:color="auto" w:fill="FFFFFF"/>
            <w:vAlign w:val="center"/>
          </w:tcPr>
          <w:p w14:paraId="7542973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FEF9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jc w:val="center"/>
        </w:trPr>
        <w:tc>
          <w:tcPr>
            <w:tcW w:w="576" w:type="dxa"/>
            <w:shd w:val="clear" w:color="auto" w:fill="FFFFFF"/>
            <w:vAlign w:val="center"/>
          </w:tcPr>
          <w:p w14:paraId="1B82A62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96</w:t>
            </w:r>
          </w:p>
        </w:tc>
        <w:tc>
          <w:tcPr>
            <w:tcW w:w="1035" w:type="dxa"/>
            <w:shd w:val="clear" w:color="auto" w:fill="FFFFFF"/>
            <w:vAlign w:val="center"/>
          </w:tcPr>
          <w:p w14:paraId="0B92304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20" w:type="dxa"/>
            <w:vMerge w:val="restart"/>
            <w:shd w:val="clear" w:color="auto" w:fill="FFFFFF"/>
            <w:vAlign w:val="center"/>
          </w:tcPr>
          <w:p w14:paraId="344F13E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信息安全要求</w:t>
            </w:r>
          </w:p>
        </w:tc>
        <w:tc>
          <w:tcPr>
            <w:tcW w:w="1490" w:type="dxa"/>
            <w:shd w:val="clear" w:color="auto" w:fill="FFFFFF"/>
            <w:vAlign w:val="center"/>
          </w:tcPr>
          <w:p w14:paraId="27531EE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★研发过程安全</w:t>
            </w:r>
          </w:p>
        </w:tc>
        <w:tc>
          <w:tcPr>
            <w:tcW w:w="4026" w:type="dxa"/>
            <w:shd w:val="clear" w:color="auto" w:fill="FFFFFF"/>
            <w:vAlign w:val="center"/>
          </w:tcPr>
          <w:p w14:paraId="07EC2EA8">
            <w:pPr>
              <w:widowControl/>
              <w:rPr>
                <w:rFonts w:hint="eastAsia" w:eastAsia="宋体" w:asciiTheme="minorEastAsia" w:hAnsiTheme="minorEastAsia" w:cstheme="minorEastAsia"/>
                <w:kern w:val="0"/>
                <w:sz w:val="24"/>
                <w:lang w:eastAsia="zh-CN"/>
              </w:rPr>
            </w:pPr>
            <w:r>
              <w:rPr>
                <w:rFonts w:hint="eastAsia" w:asciiTheme="minorEastAsia" w:hAnsiTheme="minorEastAsia" w:eastAsiaTheme="minorEastAsia" w:cstheme="minorEastAsia"/>
                <w:kern w:val="0"/>
                <w:sz w:val="24"/>
              </w:rPr>
              <w:t>供应商承诺，生产商已建立从需求、设计、开发、测试、维护端到端的开发流程管理机制，输出和保存开发流程中每个阶段的产品需求清单、设计文档、开发文档、测试记录等材料，保证各个流程可追溯</w:t>
            </w:r>
            <w:r>
              <w:rPr>
                <w:rFonts w:hint="eastAsia"/>
                <w:b/>
                <w:bCs/>
              </w:rPr>
              <w:t>（需提供加盖投标人公章的承诺书</w:t>
            </w:r>
            <w:r>
              <w:rPr>
                <w:rFonts w:hint="eastAsia"/>
                <w:b/>
                <w:bCs/>
                <w:lang w:eastAsia="zh-CN"/>
              </w:rPr>
              <w:t>）</w:t>
            </w:r>
          </w:p>
        </w:tc>
        <w:tc>
          <w:tcPr>
            <w:tcW w:w="1279" w:type="dxa"/>
            <w:shd w:val="clear" w:color="auto" w:fill="FFFFFF"/>
            <w:vAlign w:val="center"/>
          </w:tcPr>
          <w:p w14:paraId="0FCDA36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56919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jc w:val="center"/>
        </w:trPr>
        <w:tc>
          <w:tcPr>
            <w:tcW w:w="576" w:type="dxa"/>
            <w:shd w:val="clear" w:color="auto" w:fill="FFFFFF"/>
            <w:vAlign w:val="center"/>
          </w:tcPr>
          <w:p w14:paraId="372D236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97</w:t>
            </w:r>
          </w:p>
        </w:tc>
        <w:tc>
          <w:tcPr>
            <w:tcW w:w="1035" w:type="dxa"/>
            <w:shd w:val="clear" w:color="auto" w:fill="FFFFFF"/>
            <w:vAlign w:val="center"/>
          </w:tcPr>
          <w:p w14:paraId="7278CDF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20" w:type="dxa"/>
            <w:vMerge w:val="continue"/>
            <w:shd w:val="clear" w:color="auto" w:fill="FFFFFF"/>
            <w:vAlign w:val="center"/>
          </w:tcPr>
          <w:p w14:paraId="490CE477">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1486F99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漏洞管理</w:t>
            </w:r>
          </w:p>
        </w:tc>
        <w:tc>
          <w:tcPr>
            <w:tcW w:w="4026" w:type="dxa"/>
            <w:shd w:val="clear" w:color="auto" w:fill="FFFFFF"/>
            <w:vAlign w:val="center"/>
          </w:tcPr>
          <w:p w14:paraId="0A24803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供应商承诺，生产商已建立漏洞全量视图，保证产品版本涉及到的所有漏洞（如驱动程序、BMC软件等）都可以查看</w:t>
            </w:r>
            <w:r>
              <w:rPr>
                <w:rFonts w:hint="eastAsia"/>
                <w:b/>
                <w:bCs/>
              </w:rPr>
              <w:t>（需提供加盖投标人公章的承诺书</w:t>
            </w:r>
            <w:r>
              <w:rPr>
                <w:rFonts w:hint="eastAsia"/>
                <w:b/>
                <w:bCs/>
                <w:lang w:eastAsia="zh-CN"/>
              </w:rPr>
              <w:t>）</w:t>
            </w:r>
          </w:p>
        </w:tc>
        <w:tc>
          <w:tcPr>
            <w:tcW w:w="1279" w:type="dxa"/>
            <w:shd w:val="clear" w:color="auto" w:fill="FFFFFF"/>
            <w:vAlign w:val="center"/>
          </w:tcPr>
          <w:p w14:paraId="3929D2A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39E07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4253406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98</w:t>
            </w:r>
          </w:p>
        </w:tc>
        <w:tc>
          <w:tcPr>
            <w:tcW w:w="1035" w:type="dxa"/>
            <w:shd w:val="clear" w:color="auto" w:fill="FFFFFF"/>
            <w:vAlign w:val="center"/>
          </w:tcPr>
          <w:p w14:paraId="42600D0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20" w:type="dxa"/>
            <w:vMerge w:val="continue"/>
            <w:shd w:val="clear" w:color="auto" w:fill="FFFFFF"/>
            <w:vAlign w:val="center"/>
          </w:tcPr>
          <w:p w14:paraId="1D27DEE2">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462D0B7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网络关键设备服务器要求</w:t>
            </w:r>
          </w:p>
        </w:tc>
        <w:tc>
          <w:tcPr>
            <w:tcW w:w="4026" w:type="dxa"/>
            <w:shd w:val="clear" w:color="auto" w:fill="FFFFFF"/>
            <w:vAlign w:val="center"/>
          </w:tcPr>
          <w:p w14:paraId="7259828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作为网络关键设备的服务器应符合GB40050的相关规定</w:t>
            </w:r>
          </w:p>
        </w:tc>
        <w:tc>
          <w:tcPr>
            <w:tcW w:w="1279" w:type="dxa"/>
            <w:shd w:val="clear" w:color="auto" w:fill="FFFFFF"/>
            <w:vAlign w:val="center"/>
          </w:tcPr>
          <w:p w14:paraId="3BC3A57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512B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2" w:hRule="atLeast"/>
          <w:jc w:val="center"/>
        </w:trPr>
        <w:tc>
          <w:tcPr>
            <w:tcW w:w="576" w:type="dxa"/>
            <w:shd w:val="clear" w:color="auto" w:fill="FFFFFF"/>
            <w:vAlign w:val="center"/>
          </w:tcPr>
          <w:p w14:paraId="1F594C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99</w:t>
            </w:r>
          </w:p>
        </w:tc>
        <w:tc>
          <w:tcPr>
            <w:tcW w:w="1035" w:type="dxa"/>
            <w:shd w:val="clear" w:color="auto" w:fill="FFFFFF"/>
            <w:vAlign w:val="center"/>
          </w:tcPr>
          <w:p w14:paraId="70BC408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20" w:type="dxa"/>
            <w:vMerge w:val="continue"/>
            <w:shd w:val="clear" w:color="auto" w:fill="FFFFFF"/>
            <w:vAlign w:val="center"/>
          </w:tcPr>
          <w:p w14:paraId="70B2D2A7">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718E7F3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增强要求</w:t>
            </w:r>
          </w:p>
        </w:tc>
        <w:tc>
          <w:tcPr>
            <w:tcW w:w="4026" w:type="dxa"/>
            <w:shd w:val="clear" w:color="auto" w:fill="FFFFFF"/>
            <w:vAlign w:val="center"/>
          </w:tcPr>
          <w:p w14:paraId="262D036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a）嵌入物理可信根，实现设备的信任链构建；</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b）支持可信平台控制模块（TPCM）；</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c）支持在固件系统（BMC、BIOS）启动前实现对固件度量的功能，支持物理可信根对BMC固件或BIOS固件进行完整性检测、更新和恢复；</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d）支持对CPU、网络控制器等关键处理器进行身份识别与度量的功能；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e）支持基于处理器或可信计算模块度量的功能；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f）所采用的可信密码模块接口应符合GM/T0012的相关规定；</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g）可信安全管理模块、处理器等硬件载体应通过国家相关部门的认证和许可</w:t>
            </w:r>
          </w:p>
        </w:tc>
        <w:tc>
          <w:tcPr>
            <w:tcW w:w="1279" w:type="dxa"/>
            <w:shd w:val="clear" w:color="auto" w:fill="FFFFFF"/>
            <w:vAlign w:val="center"/>
          </w:tcPr>
          <w:p w14:paraId="102FF4A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FEA0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1C62D5C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100</w:t>
            </w:r>
          </w:p>
        </w:tc>
        <w:tc>
          <w:tcPr>
            <w:tcW w:w="1035" w:type="dxa"/>
            <w:shd w:val="clear" w:color="auto" w:fill="FFFFFF"/>
            <w:vAlign w:val="center"/>
          </w:tcPr>
          <w:p w14:paraId="349C38E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20" w:type="dxa"/>
            <w:shd w:val="clear" w:color="auto" w:fill="FFFFFF"/>
            <w:vAlign w:val="center"/>
          </w:tcPr>
          <w:p w14:paraId="31C3D51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物理安全</w:t>
            </w:r>
          </w:p>
        </w:tc>
        <w:tc>
          <w:tcPr>
            <w:tcW w:w="1490" w:type="dxa"/>
            <w:shd w:val="clear" w:color="auto" w:fill="FFFFFF"/>
            <w:vAlign w:val="center"/>
          </w:tcPr>
          <w:p w14:paraId="34855C9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★物理安全</w:t>
            </w:r>
          </w:p>
        </w:tc>
        <w:tc>
          <w:tcPr>
            <w:tcW w:w="4026" w:type="dxa"/>
            <w:shd w:val="clear" w:color="auto" w:fill="FFFFFF"/>
            <w:vAlign w:val="center"/>
          </w:tcPr>
          <w:p w14:paraId="2A8F790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安全要求应符合GB4943.1的规定</w:t>
            </w:r>
          </w:p>
        </w:tc>
        <w:tc>
          <w:tcPr>
            <w:tcW w:w="1279" w:type="dxa"/>
            <w:shd w:val="clear" w:color="auto" w:fill="FFFFFF"/>
            <w:vAlign w:val="center"/>
          </w:tcPr>
          <w:p w14:paraId="3EEDBF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20D1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15AFAB9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101</w:t>
            </w:r>
          </w:p>
        </w:tc>
        <w:tc>
          <w:tcPr>
            <w:tcW w:w="1035" w:type="dxa"/>
            <w:shd w:val="clear" w:color="auto" w:fill="FFFFFF"/>
            <w:vAlign w:val="center"/>
          </w:tcPr>
          <w:p w14:paraId="13EFE87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20" w:type="dxa"/>
            <w:shd w:val="clear" w:color="auto" w:fill="FFFFFF"/>
            <w:vAlign w:val="center"/>
          </w:tcPr>
          <w:p w14:paraId="623C564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限用物质的限量要求</w:t>
            </w:r>
          </w:p>
        </w:tc>
        <w:tc>
          <w:tcPr>
            <w:tcW w:w="1490" w:type="dxa"/>
            <w:shd w:val="clear" w:color="auto" w:fill="FFFFFF"/>
            <w:vAlign w:val="center"/>
          </w:tcPr>
          <w:p w14:paraId="15CDF08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★限用物质的限量要求</w:t>
            </w:r>
          </w:p>
        </w:tc>
        <w:tc>
          <w:tcPr>
            <w:tcW w:w="4026" w:type="dxa"/>
            <w:shd w:val="clear" w:color="auto" w:fill="FFFFFF"/>
            <w:vAlign w:val="center"/>
          </w:tcPr>
          <w:p w14:paraId="0D62F8D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限用物质的限量应符合GB/T26572的要求</w:t>
            </w:r>
          </w:p>
        </w:tc>
        <w:tc>
          <w:tcPr>
            <w:tcW w:w="1279" w:type="dxa"/>
            <w:shd w:val="clear" w:color="auto" w:fill="FFFFFF"/>
            <w:vAlign w:val="center"/>
          </w:tcPr>
          <w:p w14:paraId="5B04049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3DE1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4386E9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102</w:t>
            </w:r>
          </w:p>
        </w:tc>
        <w:tc>
          <w:tcPr>
            <w:tcW w:w="1035" w:type="dxa"/>
            <w:shd w:val="clear" w:color="auto" w:fill="FFFFFF"/>
            <w:vAlign w:val="center"/>
          </w:tcPr>
          <w:p w14:paraId="5E9CFA6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20" w:type="dxa"/>
            <w:vMerge w:val="restart"/>
            <w:shd w:val="clear" w:color="auto" w:fill="FFFFFF"/>
            <w:vAlign w:val="center"/>
          </w:tcPr>
          <w:p w14:paraId="0187DC5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CPU性能</w:t>
            </w:r>
          </w:p>
        </w:tc>
        <w:tc>
          <w:tcPr>
            <w:tcW w:w="1490" w:type="dxa"/>
            <w:shd w:val="clear" w:color="auto" w:fill="FFFFFF"/>
            <w:vAlign w:val="center"/>
          </w:tcPr>
          <w:p w14:paraId="4F452E0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★CPU主频</w:t>
            </w:r>
          </w:p>
        </w:tc>
        <w:tc>
          <w:tcPr>
            <w:tcW w:w="4026" w:type="dxa"/>
            <w:shd w:val="clear" w:color="auto" w:fill="FFFFFF"/>
            <w:vAlign w:val="center"/>
          </w:tcPr>
          <w:p w14:paraId="555E309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≥2.7GHz</w:t>
            </w:r>
          </w:p>
        </w:tc>
        <w:tc>
          <w:tcPr>
            <w:tcW w:w="1279" w:type="dxa"/>
            <w:shd w:val="clear" w:color="auto" w:fill="FFFFFF"/>
            <w:vAlign w:val="center"/>
          </w:tcPr>
          <w:p w14:paraId="09A277A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D85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3744C8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103</w:t>
            </w:r>
          </w:p>
        </w:tc>
        <w:tc>
          <w:tcPr>
            <w:tcW w:w="1035" w:type="dxa"/>
            <w:shd w:val="clear" w:color="auto" w:fill="FFFFFF"/>
            <w:vAlign w:val="center"/>
          </w:tcPr>
          <w:p w14:paraId="732BAC4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20" w:type="dxa"/>
            <w:vMerge w:val="continue"/>
            <w:shd w:val="clear" w:color="auto" w:fill="FFFFFF"/>
            <w:vAlign w:val="center"/>
          </w:tcPr>
          <w:p w14:paraId="0E91DE64">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48BA162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★单CPU核数</w:t>
            </w:r>
          </w:p>
        </w:tc>
        <w:tc>
          <w:tcPr>
            <w:tcW w:w="4026" w:type="dxa"/>
            <w:shd w:val="clear" w:color="auto" w:fill="FFFFFF"/>
            <w:vAlign w:val="center"/>
          </w:tcPr>
          <w:p w14:paraId="38EEB00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≥64核，</w:t>
            </w:r>
            <w:r>
              <w:rPr>
                <w:rFonts w:hint="eastAsia" w:asciiTheme="minorEastAsia" w:hAnsiTheme="minorEastAsia" w:eastAsiaTheme="minorEastAsia" w:cstheme="minorEastAsia"/>
                <w:sz w:val="24"/>
              </w:rPr>
              <w:t>≥2颗</w:t>
            </w:r>
          </w:p>
        </w:tc>
        <w:tc>
          <w:tcPr>
            <w:tcW w:w="1279" w:type="dxa"/>
            <w:shd w:val="clear" w:color="auto" w:fill="FFFFFF"/>
            <w:vAlign w:val="center"/>
          </w:tcPr>
          <w:p w14:paraId="39FB4D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68B0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5429D4D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104</w:t>
            </w:r>
          </w:p>
        </w:tc>
        <w:tc>
          <w:tcPr>
            <w:tcW w:w="1035" w:type="dxa"/>
            <w:shd w:val="clear" w:color="auto" w:fill="FFFFFF"/>
            <w:vAlign w:val="center"/>
          </w:tcPr>
          <w:p w14:paraId="75CB128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20" w:type="dxa"/>
            <w:vMerge w:val="continue"/>
            <w:shd w:val="clear" w:color="auto" w:fill="FFFFFF"/>
            <w:vAlign w:val="center"/>
          </w:tcPr>
          <w:p w14:paraId="0E4217FD">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4593CE3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★单CPU末级缓存容量</w:t>
            </w:r>
          </w:p>
        </w:tc>
        <w:tc>
          <w:tcPr>
            <w:tcW w:w="4026" w:type="dxa"/>
            <w:shd w:val="clear" w:color="auto" w:fill="FFFFFF"/>
            <w:vAlign w:val="center"/>
          </w:tcPr>
          <w:p w14:paraId="00B2B07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≥8MB</w:t>
            </w:r>
          </w:p>
        </w:tc>
        <w:tc>
          <w:tcPr>
            <w:tcW w:w="1279" w:type="dxa"/>
            <w:shd w:val="clear" w:color="auto" w:fill="FFFFFF"/>
            <w:vAlign w:val="center"/>
          </w:tcPr>
          <w:p w14:paraId="2613DD6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EE6A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1ADD300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105</w:t>
            </w:r>
          </w:p>
        </w:tc>
        <w:tc>
          <w:tcPr>
            <w:tcW w:w="1035" w:type="dxa"/>
            <w:shd w:val="clear" w:color="auto" w:fill="FFFFFF"/>
            <w:vAlign w:val="center"/>
          </w:tcPr>
          <w:p w14:paraId="37D2028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20" w:type="dxa"/>
            <w:vMerge w:val="restart"/>
            <w:shd w:val="clear" w:color="auto" w:fill="FFFFFF"/>
            <w:vAlign w:val="center"/>
          </w:tcPr>
          <w:p w14:paraId="73C704E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内存性能</w:t>
            </w:r>
          </w:p>
        </w:tc>
        <w:tc>
          <w:tcPr>
            <w:tcW w:w="1490" w:type="dxa"/>
            <w:shd w:val="clear" w:color="auto" w:fill="FFFFFF"/>
            <w:vAlign w:val="center"/>
          </w:tcPr>
          <w:p w14:paraId="347FDC5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★单内存模块容量</w:t>
            </w:r>
          </w:p>
        </w:tc>
        <w:tc>
          <w:tcPr>
            <w:tcW w:w="4026" w:type="dxa"/>
            <w:shd w:val="clear" w:color="auto" w:fill="FFFFFF"/>
            <w:vAlign w:val="center"/>
          </w:tcPr>
          <w:p w14:paraId="626801E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≥64GB</w:t>
            </w:r>
          </w:p>
        </w:tc>
        <w:tc>
          <w:tcPr>
            <w:tcW w:w="1279" w:type="dxa"/>
            <w:shd w:val="clear" w:color="auto" w:fill="FFFFFF"/>
            <w:vAlign w:val="center"/>
          </w:tcPr>
          <w:p w14:paraId="225221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F116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3A9167B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106</w:t>
            </w:r>
          </w:p>
        </w:tc>
        <w:tc>
          <w:tcPr>
            <w:tcW w:w="1035" w:type="dxa"/>
            <w:shd w:val="clear" w:color="auto" w:fill="FFFFFF"/>
            <w:vAlign w:val="center"/>
          </w:tcPr>
          <w:p w14:paraId="4677ACF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20" w:type="dxa"/>
            <w:vMerge w:val="continue"/>
            <w:shd w:val="clear" w:color="auto" w:fill="FFFFFF"/>
            <w:vAlign w:val="center"/>
          </w:tcPr>
          <w:p w14:paraId="1E6C2DB4">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01B73CE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★内存速率</w:t>
            </w:r>
          </w:p>
        </w:tc>
        <w:tc>
          <w:tcPr>
            <w:tcW w:w="4026" w:type="dxa"/>
            <w:shd w:val="clear" w:color="auto" w:fill="FFFFFF"/>
            <w:vAlign w:val="center"/>
          </w:tcPr>
          <w:p w14:paraId="648488D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≥5600MT/s</w:t>
            </w:r>
          </w:p>
        </w:tc>
        <w:tc>
          <w:tcPr>
            <w:tcW w:w="1279" w:type="dxa"/>
            <w:shd w:val="clear" w:color="auto" w:fill="FFFFFF"/>
            <w:vAlign w:val="center"/>
          </w:tcPr>
          <w:p w14:paraId="50B0314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6B00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630E42B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107</w:t>
            </w:r>
          </w:p>
        </w:tc>
        <w:tc>
          <w:tcPr>
            <w:tcW w:w="1035" w:type="dxa"/>
            <w:shd w:val="clear" w:color="auto" w:fill="FFFFFF"/>
            <w:vAlign w:val="center"/>
          </w:tcPr>
          <w:p w14:paraId="46D2AE4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20" w:type="dxa"/>
            <w:shd w:val="clear" w:color="auto" w:fill="FFFFFF"/>
            <w:vAlign w:val="center"/>
          </w:tcPr>
          <w:p w14:paraId="5EB0AAB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存储性能</w:t>
            </w:r>
          </w:p>
        </w:tc>
        <w:tc>
          <w:tcPr>
            <w:tcW w:w="1490" w:type="dxa"/>
            <w:shd w:val="clear" w:color="auto" w:fill="FFFFFF"/>
            <w:vAlign w:val="center"/>
          </w:tcPr>
          <w:p w14:paraId="538839D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硬盘转速</w:t>
            </w:r>
          </w:p>
        </w:tc>
        <w:tc>
          <w:tcPr>
            <w:tcW w:w="4026" w:type="dxa"/>
            <w:shd w:val="clear" w:color="auto" w:fill="FFFFFF"/>
            <w:vAlign w:val="center"/>
          </w:tcPr>
          <w:p w14:paraId="1951F32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安装的硬磁盘转速不小于7200rpm</w:t>
            </w:r>
          </w:p>
        </w:tc>
        <w:tc>
          <w:tcPr>
            <w:tcW w:w="1279" w:type="dxa"/>
            <w:shd w:val="clear" w:color="auto" w:fill="FFFFFF"/>
            <w:vAlign w:val="center"/>
          </w:tcPr>
          <w:p w14:paraId="712CECA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E363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13F8E27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108</w:t>
            </w:r>
          </w:p>
        </w:tc>
        <w:tc>
          <w:tcPr>
            <w:tcW w:w="1035" w:type="dxa"/>
            <w:shd w:val="clear" w:color="auto" w:fill="FFFFFF"/>
            <w:vAlign w:val="center"/>
          </w:tcPr>
          <w:p w14:paraId="1AE176E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20" w:type="dxa"/>
            <w:shd w:val="clear" w:color="auto" w:fill="FFFFFF"/>
            <w:vAlign w:val="center"/>
          </w:tcPr>
          <w:p w14:paraId="4D178C1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RAID卡性能</w:t>
            </w:r>
          </w:p>
        </w:tc>
        <w:tc>
          <w:tcPr>
            <w:tcW w:w="1490" w:type="dxa"/>
            <w:shd w:val="clear" w:color="auto" w:fill="FFFFFF"/>
            <w:vAlign w:val="center"/>
          </w:tcPr>
          <w:p w14:paraId="196E650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RAID卡缓存容量大小</w:t>
            </w:r>
          </w:p>
        </w:tc>
        <w:tc>
          <w:tcPr>
            <w:tcW w:w="4026" w:type="dxa"/>
            <w:shd w:val="clear" w:color="auto" w:fill="FFFFFF"/>
            <w:vAlign w:val="center"/>
          </w:tcPr>
          <w:p w14:paraId="66DBF02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≥2GB</w:t>
            </w:r>
          </w:p>
        </w:tc>
        <w:tc>
          <w:tcPr>
            <w:tcW w:w="1279" w:type="dxa"/>
            <w:shd w:val="clear" w:color="auto" w:fill="FFFFFF"/>
            <w:vAlign w:val="center"/>
          </w:tcPr>
          <w:p w14:paraId="15E64BA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48CE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1ECFDF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109</w:t>
            </w:r>
          </w:p>
        </w:tc>
        <w:tc>
          <w:tcPr>
            <w:tcW w:w="1035" w:type="dxa"/>
            <w:shd w:val="clear" w:color="auto" w:fill="FFFFFF"/>
            <w:vAlign w:val="center"/>
          </w:tcPr>
          <w:p w14:paraId="4A66757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20" w:type="dxa"/>
            <w:shd w:val="clear" w:color="auto" w:fill="FFFFFF"/>
            <w:vAlign w:val="center"/>
          </w:tcPr>
          <w:p w14:paraId="6DF879A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FCHBA卡性能</w:t>
            </w:r>
          </w:p>
        </w:tc>
        <w:tc>
          <w:tcPr>
            <w:tcW w:w="1490" w:type="dxa"/>
            <w:shd w:val="clear" w:color="auto" w:fill="FFFFFF"/>
            <w:vAlign w:val="center"/>
          </w:tcPr>
          <w:p w14:paraId="520C8DD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FCHBA卡速率</w:t>
            </w:r>
          </w:p>
        </w:tc>
        <w:tc>
          <w:tcPr>
            <w:tcW w:w="4026" w:type="dxa"/>
            <w:shd w:val="clear" w:color="auto" w:fill="FFFFFF"/>
            <w:vAlign w:val="center"/>
          </w:tcPr>
          <w:p w14:paraId="4B5A33D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单端口最大的连接速率≥16Gb/s</w:t>
            </w:r>
          </w:p>
        </w:tc>
        <w:tc>
          <w:tcPr>
            <w:tcW w:w="1279" w:type="dxa"/>
            <w:shd w:val="clear" w:color="auto" w:fill="FFFFFF"/>
            <w:vAlign w:val="center"/>
          </w:tcPr>
          <w:p w14:paraId="453373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55FF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166927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110</w:t>
            </w:r>
          </w:p>
        </w:tc>
        <w:tc>
          <w:tcPr>
            <w:tcW w:w="1035" w:type="dxa"/>
            <w:shd w:val="clear" w:color="auto" w:fill="FFFFFF"/>
            <w:vAlign w:val="center"/>
          </w:tcPr>
          <w:p w14:paraId="43D90B5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20" w:type="dxa"/>
            <w:vMerge w:val="restart"/>
            <w:shd w:val="clear" w:color="auto" w:fill="FFFFFF"/>
            <w:vAlign w:val="center"/>
          </w:tcPr>
          <w:p w14:paraId="66A4807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网络性能</w:t>
            </w:r>
          </w:p>
        </w:tc>
        <w:tc>
          <w:tcPr>
            <w:tcW w:w="1490" w:type="dxa"/>
            <w:shd w:val="clear" w:color="auto" w:fill="FFFFFF"/>
            <w:vAlign w:val="center"/>
          </w:tcPr>
          <w:p w14:paraId="1AEF65F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独立网卡速率</w:t>
            </w:r>
          </w:p>
        </w:tc>
        <w:tc>
          <w:tcPr>
            <w:tcW w:w="4026" w:type="dxa"/>
            <w:shd w:val="clear" w:color="auto" w:fill="FFFFFF"/>
            <w:vAlign w:val="center"/>
          </w:tcPr>
          <w:p w14:paraId="1C28D70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端口速率≥10GE</w:t>
            </w:r>
          </w:p>
        </w:tc>
        <w:tc>
          <w:tcPr>
            <w:tcW w:w="1279" w:type="dxa"/>
            <w:shd w:val="clear" w:color="auto" w:fill="FFFFFF"/>
            <w:vAlign w:val="center"/>
          </w:tcPr>
          <w:p w14:paraId="2934EFB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C59E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57BDE9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111</w:t>
            </w:r>
          </w:p>
        </w:tc>
        <w:tc>
          <w:tcPr>
            <w:tcW w:w="1035" w:type="dxa"/>
            <w:shd w:val="clear" w:color="auto" w:fill="FFFFFF"/>
            <w:vAlign w:val="center"/>
          </w:tcPr>
          <w:p w14:paraId="3D5E8D1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20" w:type="dxa"/>
            <w:vMerge w:val="continue"/>
            <w:shd w:val="clear" w:color="auto" w:fill="FFFFFF"/>
            <w:vAlign w:val="center"/>
          </w:tcPr>
          <w:p w14:paraId="18491A0B">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2FB2296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板载网卡速率</w:t>
            </w:r>
          </w:p>
        </w:tc>
        <w:tc>
          <w:tcPr>
            <w:tcW w:w="4026" w:type="dxa"/>
            <w:shd w:val="clear" w:color="auto" w:fill="FFFFFF"/>
            <w:vAlign w:val="center"/>
          </w:tcPr>
          <w:p w14:paraId="4205FCE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端口速率≥1GE</w:t>
            </w:r>
          </w:p>
        </w:tc>
        <w:tc>
          <w:tcPr>
            <w:tcW w:w="1279" w:type="dxa"/>
            <w:shd w:val="clear" w:color="auto" w:fill="FFFFFF"/>
            <w:vAlign w:val="center"/>
          </w:tcPr>
          <w:p w14:paraId="0A3889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4962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297652B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112</w:t>
            </w:r>
          </w:p>
        </w:tc>
        <w:tc>
          <w:tcPr>
            <w:tcW w:w="1035" w:type="dxa"/>
            <w:shd w:val="clear" w:color="auto" w:fill="FFFFFF"/>
            <w:vAlign w:val="center"/>
          </w:tcPr>
          <w:p w14:paraId="4D0AC6F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20" w:type="dxa"/>
            <w:shd w:val="clear" w:color="auto" w:fill="FFFFFF"/>
            <w:vAlign w:val="center"/>
          </w:tcPr>
          <w:p w14:paraId="33B84A1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电源能耗</w:t>
            </w:r>
          </w:p>
        </w:tc>
        <w:tc>
          <w:tcPr>
            <w:tcW w:w="1490" w:type="dxa"/>
            <w:shd w:val="clear" w:color="auto" w:fill="FFFFFF"/>
            <w:vAlign w:val="center"/>
          </w:tcPr>
          <w:p w14:paraId="7B37AD5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★电源能耗</w:t>
            </w:r>
          </w:p>
        </w:tc>
        <w:tc>
          <w:tcPr>
            <w:tcW w:w="4026" w:type="dxa"/>
            <w:shd w:val="clear" w:color="auto" w:fill="FFFFFF"/>
            <w:vAlign w:val="center"/>
          </w:tcPr>
          <w:p w14:paraId="6B53173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符合GB/T9813.3的有关规定</w:t>
            </w:r>
          </w:p>
        </w:tc>
        <w:tc>
          <w:tcPr>
            <w:tcW w:w="1279" w:type="dxa"/>
            <w:shd w:val="clear" w:color="auto" w:fill="FFFFFF"/>
            <w:vAlign w:val="center"/>
          </w:tcPr>
          <w:p w14:paraId="1AA4C3E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33E1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5F9B459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113</w:t>
            </w:r>
          </w:p>
        </w:tc>
        <w:tc>
          <w:tcPr>
            <w:tcW w:w="1035" w:type="dxa"/>
            <w:shd w:val="clear" w:color="auto" w:fill="FFFFFF"/>
            <w:vAlign w:val="center"/>
          </w:tcPr>
          <w:p w14:paraId="0687777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20" w:type="dxa"/>
            <w:vMerge w:val="restart"/>
            <w:shd w:val="clear" w:color="auto" w:fill="FFFFFF"/>
            <w:vAlign w:val="center"/>
          </w:tcPr>
          <w:p w14:paraId="5883FCC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部件兼容性要求</w:t>
            </w:r>
          </w:p>
        </w:tc>
        <w:tc>
          <w:tcPr>
            <w:tcW w:w="1490" w:type="dxa"/>
            <w:shd w:val="clear" w:color="auto" w:fill="FFFFFF"/>
            <w:noWrap/>
            <w:vAlign w:val="center"/>
          </w:tcPr>
          <w:p w14:paraId="237513C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★内存兼容性</w:t>
            </w:r>
          </w:p>
        </w:tc>
        <w:tc>
          <w:tcPr>
            <w:tcW w:w="4026" w:type="dxa"/>
            <w:shd w:val="clear" w:color="auto" w:fill="FFFFFF"/>
            <w:vAlign w:val="center"/>
          </w:tcPr>
          <w:p w14:paraId="054FC35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适配3种及以上厂商的内存产品，且均不低于产品支持的内存规格</w:t>
            </w:r>
          </w:p>
        </w:tc>
        <w:tc>
          <w:tcPr>
            <w:tcW w:w="1279" w:type="dxa"/>
            <w:shd w:val="clear" w:color="auto" w:fill="FFFFFF"/>
            <w:vAlign w:val="center"/>
          </w:tcPr>
          <w:p w14:paraId="77942C4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A900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00F990A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114</w:t>
            </w:r>
          </w:p>
        </w:tc>
        <w:tc>
          <w:tcPr>
            <w:tcW w:w="1035" w:type="dxa"/>
            <w:shd w:val="clear" w:color="auto" w:fill="FFFFFF"/>
            <w:vAlign w:val="center"/>
          </w:tcPr>
          <w:p w14:paraId="2E670EA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20" w:type="dxa"/>
            <w:vMerge w:val="continue"/>
            <w:shd w:val="clear" w:color="auto" w:fill="FFFFFF"/>
            <w:vAlign w:val="center"/>
          </w:tcPr>
          <w:p w14:paraId="3992B6F0">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04DB2B3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★固态存储兼容性</w:t>
            </w:r>
          </w:p>
        </w:tc>
        <w:tc>
          <w:tcPr>
            <w:tcW w:w="4026" w:type="dxa"/>
            <w:shd w:val="clear" w:color="auto" w:fill="FFFFFF"/>
            <w:vAlign w:val="center"/>
          </w:tcPr>
          <w:p w14:paraId="79F60DA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适配3种或以上厂商的固态存储产品，且均不低于产品支持的固态存储设备规格</w:t>
            </w:r>
          </w:p>
        </w:tc>
        <w:tc>
          <w:tcPr>
            <w:tcW w:w="1279" w:type="dxa"/>
            <w:shd w:val="clear" w:color="auto" w:fill="FFFFFF"/>
            <w:vAlign w:val="center"/>
          </w:tcPr>
          <w:p w14:paraId="00BE0BF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898A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6367FD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115</w:t>
            </w:r>
          </w:p>
        </w:tc>
        <w:tc>
          <w:tcPr>
            <w:tcW w:w="1035" w:type="dxa"/>
            <w:shd w:val="clear" w:color="auto" w:fill="FFFFFF"/>
            <w:vAlign w:val="center"/>
          </w:tcPr>
          <w:p w14:paraId="7E5BF85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20" w:type="dxa"/>
            <w:vMerge w:val="continue"/>
            <w:shd w:val="clear" w:color="auto" w:fill="FFFFFF"/>
            <w:vAlign w:val="center"/>
          </w:tcPr>
          <w:p w14:paraId="49EC077F">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5A979F1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 HBA卡兼容性</w:t>
            </w:r>
          </w:p>
        </w:tc>
        <w:tc>
          <w:tcPr>
            <w:tcW w:w="4026" w:type="dxa"/>
            <w:shd w:val="clear" w:color="auto" w:fill="FFFFFF"/>
            <w:vAlign w:val="center"/>
          </w:tcPr>
          <w:p w14:paraId="2CDD728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 HBA应适配两种或以上厂商产品</w:t>
            </w:r>
          </w:p>
        </w:tc>
        <w:tc>
          <w:tcPr>
            <w:tcW w:w="1279" w:type="dxa"/>
            <w:shd w:val="clear" w:color="auto" w:fill="FFFFFF"/>
            <w:vAlign w:val="center"/>
          </w:tcPr>
          <w:p w14:paraId="02F8E12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0618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0964B71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116</w:t>
            </w:r>
          </w:p>
        </w:tc>
        <w:tc>
          <w:tcPr>
            <w:tcW w:w="1035" w:type="dxa"/>
            <w:shd w:val="clear" w:color="auto" w:fill="FFFFFF"/>
            <w:vAlign w:val="center"/>
          </w:tcPr>
          <w:p w14:paraId="095A363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20" w:type="dxa"/>
            <w:vMerge w:val="continue"/>
            <w:shd w:val="clear" w:color="auto" w:fill="FFFFFF"/>
            <w:vAlign w:val="center"/>
          </w:tcPr>
          <w:p w14:paraId="0AFC9E14">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6394B51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RAID卡兼容性</w:t>
            </w:r>
          </w:p>
        </w:tc>
        <w:tc>
          <w:tcPr>
            <w:tcW w:w="4026" w:type="dxa"/>
            <w:shd w:val="clear" w:color="auto" w:fill="FFFFFF"/>
            <w:vAlign w:val="center"/>
          </w:tcPr>
          <w:p w14:paraId="6AD330B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RAID卡应适配两种或以上厂商产品</w:t>
            </w:r>
          </w:p>
        </w:tc>
        <w:tc>
          <w:tcPr>
            <w:tcW w:w="1279" w:type="dxa"/>
            <w:shd w:val="clear" w:color="auto" w:fill="FFFFFF"/>
            <w:vAlign w:val="center"/>
          </w:tcPr>
          <w:p w14:paraId="433C31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9776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3D47969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117</w:t>
            </w:r>
          </w:p>
        </w:tc>
        <w:tc>
          <w:tcPr>
            <w:tcW w:w="1035" w:type="dxa"/>
            <w:shd w:val="clear" w:color="auto" w:fill="FFFFFF"/>
            <w:vAlign w:val="center"/>
          </w:tcPr>
          <w:p w14:paraId="7A0F72B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20" w:type="dxa"/>
            <w:vMerge w:val="continue"/>
            <w:shd w:val="clear" w:color="auto" w:fill="FFFFFF"/>
            <w:vAlign w:val="center"/>
          </w:tcPr>
          <w:p w14:paraId="17230997">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3F96604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★网卡兼容性</w:t>
            </w:r>
          </w:p>
        </w:tc>
        <w:tc>
          <w:tcPr>
            <w:tcW w:w="4026" w:type="dxa"/>
            <w:shd w:val="clear" w:color="auto" w:fill="FFFFFF"/>
            <w:vAlign w:val="center"/>
          </w:tcPr>
          <w:p w14:paraId="544D894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网卡应适配两种或以上厂商产品</w:t>
            </w:r>
          </w:p>
        </w:tc>
        <w:tc>
          <w:tcPr>
            <w:tcW w:w="1279" w:type="dxa"/>
            <w:shd w:val="clear" w:color="auto" w:fill="FFFFFF"/>
            <w:vAlign w:val="center"/>
          </w:tcPr>
          <w:p w14:paraId="08E0718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A25D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180B17F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118</w:t>
            </w:r>
          </w:p>
        </w:tc>
        <w:tc>
          <w:tcPr>
            <w:tcW w:w="1035" w:type="dxa"/>
            <w:shd w:val="clear" w:color="auto" w:fill="FFFFFF"/>
            <w:vAlign w:val="center"/>
          </w:tcPr>
          <w:p w14:paraId="222FC85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20" w:type="dxa"/>
            <w:vMerge w:val="continue"/>
            <w:shd w:val="clear" w:color="auto" w:fill="FFFFFF"/>
            <w:vAlign w:val="center"/>
          </w:tcPr>
          <w:p w14:paraId="69484D8F">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1B669DC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★功能卡兼容性</w:t>
            </w:r>
          </w:p>
        </w:tc>
        <w:tc>
          <w:tcPr>
            <w:tcW w:w="4026" w:type="dxa"/>
            <w:shd w:val="clear" w:color="auto" w:fill="FFFFFF"/>
            <w:vAlign w:val="center"/>
          </w:tcPr>
          <w:p w14:paraId="1B4A3BF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内置或适配符合PCIe的功能卡，如：网络功能卡、存储功能卡及图形显示功能卡</w:t>
            </w:r>
          </w:p>
        </w:tc>
        <w:tc>
          <w:tcPr>
            <w:tcW w:w="1279" w:type="dxa"/>
            <w:shd w:val="clear" w:color="auto" w:fill="FFFFFF"/>
            <w:vAlign w:val="center"/>
          </w:tcPr>
          <w:p w14:paraId="2E2D80E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D73E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76" w:type="dxa"/>
            <w:shd w:val="clear" w:color="auto" w:fill="FFFFFF"/>
            <w:vAlign w:val="center"/>
          </w:tcPr>
          <w:p w14:paraId="203636B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119</w:t>
            </w:r>
          </w:p>
        </w:tc>
        <w:tc>
          <w:tcPr>
            <w:tcW w:w="1035" w:type="dxa"/>
            <w:shd w:val="clear" w:color="auto" w:fill="FFFFFF"/>
            <w:vAlign w:val="center"/>
          </w:tcPr>
          <w:p w14:paraId="772E59D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20" w:type="dxa"/>
            <w:shd w:val="clear" w:color="auto" w:fill="FFFFFF"/>
            <w:vAlign w:val="center"/>
          </w:tcPr>
          <w:p w14:paraId="41E23E1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外设兼容性</w:t>
            </w:r>
          </w:p>
        </w:tc>
        <w:tc>
          <w:tcPr>
            <w:tcW w:w="1490" w:type="dxa"/>
            <w:shd w:val="clear" w:color="auto" w:fill="FFFFFF"/>
            <w:vAlign w:val="center"/>
          </w:tcPr>
          <w:p w14:paraId="5BF0A1F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★外设兼容性</w:t>
            </w:r>
          </w:p>
        </w:tc>
        <w:tc>
          <w:tcPr>
            <w:tcW w:w="4026" w:type="dxa"/>
            <w:shd w:val="clear" w:color="auto" w:fill="FFFFFF"/>
            <w:vAlign w:val="center"/>
          </w:tcPr>
          <w:p w14:paraId="3C8762A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兼容多种主流生产商的外部设备，包括显示器、键盘、鼠标、闪存盘、移动硬盘、USB光驱及KVM等，要求使用不同厂商的外部设备时，系统均能正常识别和安装驱动</w:t>
            </w:r>
          </w:p>
        </w:tc>
        <w:tc>
          <w:tcPr>
            <w:tcW w:w="1279" w:type="dxa"/>
            <w:shd w:val="clear" w:color="auto" w:fill="FFFFFF"/>
            <w:vAlign w:val="center"/>
          </w:tcPr>
          <w:p w14:paraId="4E2275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D97E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7F9685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120</w:t>
            </w:r>
          </w:p>
        </w:tc>
        <w:tc>
          <w:tcPr>
            <w:tcW w:w="1035" w:type="dxa"/>
            <w:shd w:val="clear" w:color="auto" w:fill="FFFFFF"/>
            <w:vAlign w:val="center"/>
          </w:tcPr>
          <w:p w14:paraId="7F0B60F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20" w:type="dxa"/>
            <w:vMerge w:val="restart"/>
            <w:shd w:val="clear" w:color="auto" w:fill="FFFFFF"/>
            <w:vAlign w:val="center"/>
          </w:tcPr>
          <w:p w14:paraId="0A90A40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软件兼容性</w:t>
            </w:r>
          </w:p>
        </w:tc>
        <w:tc>
          <w:tcPr>
            <w:tcW w:w="1490" w:type="dxa"/>
            <w:shd w:val="clear" w:color="auto" w:fill="FFFFFF"/>
            <w:vAlign w:val="center"/>
          </w:tcPr>
          <w:p w14:paraId="03CF3F7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★数据库兼容</w:t>
            </w:r>
          </w:p>
        </w:tc>
        <w:tc>
          <w:tcPr>
            <w:tcW w:w="4026" w:type="dxa"/>
            <w:shd w:val="clear" w:color="auto" w:fill="FFFFFF"/>
            <w:vAlign w:val="center"/>
          </w:tcPr>
          <w:p w14:paraId="22B132C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兼容3个及以上厂商的数据库产品</w:t>
            </w:r>
          </w:p>
        </w:tc>
        <w:tc>
          <w:tcPr>
            <w:tcW w:w="1279" w:type="dxa"/>
            <w:shd w:val="clear" w:color="auto" w:fill="FFFFFF"/>
            <w:vAlign w:val="center"/>
          </w:tcPr>
          <w:p w14:paraId="5A06A3E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39F9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54384F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121</w:t>
            </w:r>
          </w:p>
        </w:tc>
        <w:tc>
          <w:tcPr>
            <w:tcW w:w="1035" w:type="dxa"/>
            <w:shd w:val="clear" w:color="auto" w:fill="FFFFFF"/>
            <w:vAlign w:val="center"/>
          </w:tcPr>
          <w:p w14:paraId="66FA1F9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20" w:type="dxa"/>
            <w:vMerge w:val="continue"/>
            <w:shd w:val="clear" w:color="auto" w:fill="FFFFFF"/>
            <w:vAlign w:val="center"/>
          </w:tcPr>
          <w:p w14:paraId="624AFB9C">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1413A87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★中间件兼容</w:t>
            </w:r>
          </w:p>
        </w:tc>
        <w:tc>
          <w:tcPr>
            <w:tcW w:w="4026" w:type="dxa"/>
            <w:shd w:val="clear" w:color="auto" w:fill="FFFFFF"/>
            <w:vAlign w:val="center"/>
          </w:tcPr>
          <w:p w14:paraId="675193A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兼容3个及以上厂商的中间件产品</w:t>
            </w:r>
          </w:p>
        </w:tc>
        <w:tc>
          <w:tcPr>
            <w:tcW w:w="1279" w:type="dxa"/>
            <w:shd w:val="clear" w:color="auto" w:fill="FFFFFF"/>
            <w:vAlign w:val="center"/>
          </w:tcPr>
          <w:p w14:paraId="30931D9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05F1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3CA632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122</w:t>
            </w:r>
          </w:p>
        </w:tc>
        <w:tc>
          <w:tcPr>
            <w:tcW w:w="1035" w:type="dxa"/>
            <w:shd w:val="clear" w:color="auto" w:fill="FFFFFF"/>
            <w:vAlign w:val="center"/>
          </w:tcPr>
          <w:p w14:paraId="3CCC921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20" w:type="dxa"/>
            <w:vMerge w:val="continue"/>
            <w:shd w:val="clear" w:color="auto" w:fill="FFFFFF"/>
            <w:vAlign w:val="center"/>
          </w:tcPr>
          <w:p w14:paraId="6F11D6B4">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257E5CC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★平台软件兼容</w:t>
            </w:r>
          </w:p>
        </w:tc>
        <w:tc>
          <w:tcPr>
            <w:tcW w:w="4026" w:type="dxa"/>
            <w:shd w:val="clear" w:color="auto" w:fill="FFFFFF"/>
            <w:vAlign w:val="center"/>
          </w:tcPr>
          <w:p w14:paraId="18A6F4A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兼容3个及以上厂商的大数据平台</w:t>
            </w:r>
          </w:p>
        </w:tc>
        <w:tc>
          <w:tcPr>
            <w:tcW w:w="1279" w:type="dxa"/>
            <w:shd w:val="clear" w:color="auto" w:fill="FFFFFF"/>
            <w:vAlign w:val="center"/>
          </w:tcPr>
          <w:p w14:paraId="5092583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5005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0C7CAE2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123</w:t>
            </w:r>
          </w:p>
        </w:tc>
        <w:tc>
          <w:tcPr>
            <w:tcW w:w="1035" w:type="dxa"/>
            <w:shd w:val="clear" w:color="auto" w:fill="FFFFFF"/>
            <w:vAlign w:val="center"/>
          </w:tcPr>
          <w:p w14:paraId="39FD924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20" w:type="dxa"/>
            <w:vMerge w:val="continue"/>
            <w:shd w:val="clear" w:color="auto" w:fill="FFFFFF"/>
            <w:vAlign w:val="center"/>
          </w:tcPr>
          <w:p w14:paraId="54CC50E0">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0F32D69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虚拟化软件兼容</w:t>
            </w:r>
          </w:p>
        </w:tc>
        <w:tc>
          <w:tcPr>
            <w:tcW w:w="4026" w:type="dxa"/>
            <w:shd w:val="clear" w:color="auto" w:fill="FFFFFF"/>
            <w:vAlign w:val="center"/>
          </w:tcPr>
          <w:p w14:paraId="7C2E628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兼容2款及以上虚拟化软件</w:t>
            </w:r>
          </w:p>
        </w:tc>
        <w:tc>
          <w:tcPr>
            <w:tcW w:w="1279" w:type="dxa"/>
            <w:shd w:val="clear" w:color="auto" w:fill="FFFFFF"/>
            <w:vAlign w:val="center"/>
          </w:tcPr>
          <w:p w14:paraId="777CA1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C42B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7DFB3A1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124</w:t>
            </w:r>
          </w:p>
        </w:tc>
        <w:tc>
          <w:tcPr>
            <w:tcW w:w="1035" w:type="dxa"/>
            <w:shd w:val="clear" w:color="auto" w:fill="FFFFFF"/>
            <w:vAlign w:val="center"/>
          </w:tcPr>
          <w:p w14:paraId="57FF60C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1020" w:type="dxa"/>
            <w:shd w:val="clear" w:color="auto" w:fill="FFFFFF"/>
            <w:vAlign w:val="center"/>
          </w:tcPr>
          <w:p w14:paraId="03ED489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存储可靠性要求</w:t>
            </w:r>
          </w:p>
        </w:tc>
        <w:tc>
          <w:tcPr>
            <w:tcW w:w="1490" w:type="dxa"/>
            <w:shd w:val="clear" w:color="auto" w:fill="FFFFFF"/>
            <w:vAlign w:val="center"/>
          </w:tcPr>
          <w:p w14:paraId="04459AE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 SSD可靠性</w:t>
            </w:r>
          </w:p>
        </w:tc>
        <w:tc>
          <w:tcPr>
            <w:tcW w:w="4026" w:type="dxa"/>
            <w:shd w:val="clear" w:color="auto" w:fill="FFFFFF"/>
            <w:vAlign w:val="center"/>
          </w:tcPr>
          <w:p w14:paraId="2915929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SSD的m1值（MTBF的不可接受值）不低于200000h</w:t>
            </w:r>
          </w:p>
        </w:tc>
        <w:tc>
          <w:tcPr>
            <w:tcW w:w="1279" w:type="dxa"/>
            <w:shd w:val="clear" w:color="auto" w:fill="FFFFFF"/>
            <w:vAlign w:val="center"/>
          </w:tcPr>
          <w:p w14:paraId="61BA28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466F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4B0E14B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125</w:t>
            </w:r>
          </w:p>
        </w:tc>
        <w:tc>
          <w:tcPr>
            <w:tcW w:w="1035" w:type="dxa"/>
            <w:shd w:val="clear" w:color="auto" w:fill="FFFFFF"/>
            <w:vAlign w:val="center"/>
          </w:tcPr>
          <w:p w14:paraId="686F5E4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1020" w:type="dxa"/>
            <w:vMerge w:val="restart"/>
            <w:shd w:val="clear" w:color="auto" w:fill="FFFFFF"/>
            <w:vAlign w:val="center"/>
          </w:tcPr>
          <w:p w14:paraId="5D6D75C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整机可靠性要求</w:t>
            </w:r>
          </w:p>
        </w:tc>
        <w:tc>
          <w:tcPr>
            <w:tcW w:w="1490" w:type="dxa"/>
            <w:shd w:val="clear" w:color="auto" w:fill="FFFFFF"/>
            <w:vAlign w:val="center"/>
          </w:tcPr>
          <w:p w14:paraId="46FAC12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★整机可靠性</w:t>
            </w:r>
          </w:p>
        </w:tc>
        <w:tc>
          <w:tcPr>
            <w:tcW w:w="4026" w:type="dxa"/>
            <w:shd w:val="clear" w:color="auto" w:fill="FFFFFF"/>
            <w:vAlign w:val="center"/>
          </w:tcPr>
          <w:p w14:paraId="5C00DBA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m1值（MTBF的不可接受值）不得低于30000h</w:t>
            </w:r>
          </w:p>
        </w:tc>
        <w:tc>
          <w:tcPr>
            <w:tcW w:w="1279" w:type="dxa"/>
            <w:shd w:val="clear" w:color="auto" w:fill="FFFFFF"/>
            <w:vAlign w:val="center"/>
          </w:tcPr>
          <w:p w14:paraId="6D40D32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FBBF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5FF37D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126</w:t>
            </w:r>
          </w:p>
        </w:tc>
        <w:tc>
          <w:tcPr>
            <w:tcW w:w="1035" w:type="dxa"/>
            <w:shd w:val="clear" w:color="auto" w:fill="FFFFFF"/>
            <w:vAlign w:val="center"/>
          </w:tcPr>
          <w:p w14:paraId="4F53327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1020" w:type="dxa"/>
            <w:vMerge w:val="continue"/>
            <w:shd w:val="clear" w:color="auto" w:fill="FFFFFF"/>
            <w:vAlign w:val="center"/>
          </w:tcPr>
          <w:p w14:paraId="3232638E">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37917FA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★风扇可靠性</w:t>
            </w:r>
          </w:p>
        </w:tc>
        <w:tc>
          <w:tcPr>
            <w:tcW w:w="4026" w:type="dxa"/>
            <w:shd w:val="clear" w:color="auto" w:fill="FFFFFF"/>
            <w:vAlign w:val="center"/>
          </w:tcPr>
          <w:p w14:paraId="5ADD1D7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风扇寿命应不低于40000h</w:t>
            </w:r>
          </w:p>
        </w:tc>
        <w:tc>
          <w:tcPr>
            <w:tcW w:w="1279" w:type="dxa"/>
            <w:shd w:val="clear" w:color="auto" w:fill="FFFFFF"/>
            <w:vAlign w:val="center"/>
          </w:tcPr>
          <w:p w14:paraId="388B42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2697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1CE7828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127</w:t>
            </w:r>
          </w:p>
        </w:tc>
        <w:tc>
          <w:tcPr>
            <w:tcW w:w="1035" w:type="dxa"/>
            <w:shd w:val="clear" w:color="auto" w:fill="FFFFFF"/>
            <w:vAlign w:val="center"/>
          </w:tcPr>
          <w:p w14:paraId="7407A66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1020" w:type="dxa"/>
            <w:vMerge w:val="continue"/>
            <w:shd w:val="clear" w:color="auto" w:fill="FFFFFF"/>
            <w:vAlign w:val="center"/>
          </w:tcPr>
          <w:p w14:paraId="3D14AE56">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6A46287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★部件可靠性</w:t>
            </w:r>
          </w:p>
        </w:tc>
        <w:tc>
          <w:tcPr>
            <w:tcW w:w="4026" w:type="dxa"/>
            <w:shd w:val="clear" w:color="auto" w:fill="FFFFFF"/>
            <w:vAlign w:val="center"/>
          </w:tcPr>
          <w:p w14:paraId="1F4EF55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支持硬盘、电源、风扇热插拔（内置风扇除外）</w:t>
            </w:r>
          </w:p>
        </w:tc>
        <w:tc>
          <w:tcPr>
            <w:tcW w:w="1279" w:type="dxa"/>
            <w:shd w:val="clear" w:color="auto" w:fill="FFFFFF"/>
            <w:vAlign w:val="center"/>
          </w:tcPr>
          <w:p w14:paraId="7599A1E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D3AD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7C28144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128</w:t>
            </w:r>
          </w:p>
        </w:tc>
        <w:tc>
          <w:tcPr>
            <w:tcW w:w="1035" w:type="dxa"/>
            <w:shd w:val="clear" w:color="auto" w:fill="FFFFFF"/>
            <w:vAlign w:val="center"/>
          </w:tcPr>
          <w:p w14:paraId="273ADE8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包装及运输要求</w:t>
            </w:r>
          </w:p>
        </w:tc>
        <w:tc>
          <w:tcPr>
            <w:tcW w:w="1020" w:type="dxa"/>
            <w:shd w:val="clear" w:color="auto" w:fill="FFFFFF"/>
            <w:vAlign w:val="center"/>
          </w:tcPr>
          <w:p w14:paraId="18226EC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包装及运输要求</w:t>
            </w:r>
          </w:p>
        </w:tc>
        <w:tc>
          <w:tcPr>
            <w:tcW w:w="1490" w:type="dxa"/>
            <w:shd w:val="clear" w:color="auto" w:fill="FFFFFF"/>
            <w:vAlign w:val="center"/>
          </w:tcPr>
          <w:p w14:paraId="07E32C6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★标志、包装、运输和贮存</w:t>
            </w:r>
          </w:p>
        </w:tc>
        <w:tc>
          <w:tcPr>
            <w:tcW w:w="4026" w:type="dxa"/>
            <w:shd w:val="clear" w:color="auto" w:fill="FFFFFF"/>
            <w:vAlign w:val="center"/>
          </w:tcPr>
          <w:p w14:paraId="3A50FC2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符合GB/T9813.3和商品包装政府采购需求标准的相关规定</w:t>
            </w:r>
          </w:p>
        </w:tc>
        <w:tc>
          <w:tcPr>
            <w:tcW w:w="1279" w:type="dxa"/>
            <w:shd w:val="clear" w:color="auto" w:fill="FFFFFF"/>
            <w:vAlign w:val="center"/>
          </w:tcPr>
          <w:p w14:paraId="0FAE09B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0EF8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8" w:hRule="atLeast"/>
          <w:jc w:val="center"/>
        </w:trPr>
        <w:tc>
          <w:tcPr>
            <w:tcW w:w="576" w:type="dxa"/>
            <w:shd w:val="clear" w:color="auto" w:fill="FFFFFF"/>
            <w:vAlign w:val="center"/>
          </w:tcPr>
          <w:p w14:paraId="7FCA551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129</w:t>
            </w:r>
          </w:p>
        </w:tc>
        <w:tc>
          <w:tcPr>
            <w:tcW w:w="1035" w:type="dxa"/>
            <w:shd w:val="clear" w:color="auto" w:fill="FFFFFF"/>
            <w:vAlign w:val="center"/>
          </w:tcPr>
          <w:p w14:paraId="6D2EFE0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20" w:type="dxa"/>
            <w:vMerge w:val="restart"/>
            <w:shd w:val="clear" w:color="auto" w:fill="FFFFFF"/>
            <w:vAlign w:val="center"/>
          </w:tcPr>
          <w:p w14:paraId="6CFA3D3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服务响应</w:t>
            </w:r>
          </w:p>
        </w:tc>
        <w:tc>
          <w:tcPr>
            <w:tcW w:w="1490" w:type="dxa"/>
            <w:shd w:val="clear" w:color="auto" w:fill="FFFFFF"/>
            <w:vAlign w:val="center"/>
          </w:tcPr>
          <w:p w14:paraId="5B45D17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★服务响应</w:t>
            </w:r>
          </w:p>
        </w:tc>
        <w:tc>
          <w:tcPr>
            <w:tcW w:w="4026" w:type="dxa"/>
            <w:shd w:val="clear" w:color="auto" w:fill="FFFFFF"/>
            <w:vAlign w:val="center"/>
          </w:tcPr>
          <w:p w14:paraId="1C79253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a）提供电话、电子邮件、远程连接等多种形式服务；</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b）提供同城4h、异地12h技术响应服务，2个工作日解决问题，对于未能解决的问题和故障应提供可行的升级方案，并提供周转设备；</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c）建立全国技术服务体系和服务团体，符合专业服务体系标准要求，提供原厂中文服务；</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d）服务周期内提供产品的维修、换件和升级服务</w:t>
            </w:r>
          </w:p>
        </w:tc>
        <w:tc>
          <w:tcPr>
            <w:tcW w:w="1279" w:type="dxa"/>
            <w:shd w:val="clear" w:color="auto" w:fill="FFFFFF"/>
            <w:vAlign w:val="center"/>
          </w:tcPr>
          <w:p w14:paraId="08B6B8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5A70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7A1C9B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130</w:t>
            </w:r>
          </w:p>
        </w:tc>
        <w:tc>
          <w:tcPr>
            <w:tcW w:w="1035" w:type="dxa"/>
            <w:shd w:val="clear" w:color="auto" w:fill="FFFFFF"/>
            <w:vAlign w:val="center"/>
          </w:tcPr>
          <w:p w14:paraId="58097BF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20" w:type="dxa"/>
            <w:vMerge w:val="continue"/>
            <w:shd w:val="clear" w:color="auto" w:fill="FFFFFF"/>
            <w:vAlign w:val="center"/>
          </w:tcPr>
          <w:p w14:paraId="6B5C147A">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19A6C2F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★培训服务</w:t>
            </w:r>
          </w:p>
        </w:tc>
        <w:tc>
          <w:tcPr>
            <w:tcW w:w="4026" w:type="dxa"/>
            <w:shd w:val="clear" w:color="auto" w:fill="FFFFFF"/>
            <w:vAlign w:val="center"/>
          </w:tcPr>
          <w:p w14:paraId="6E9A177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供应商提供培训材料、产品手册、培训视频等培训相关内容</w:t>
            </w:r>
          </w:p>
        </w:tc>
        <w:tc>
          <w:tcPr>
            <w:tcW w:w="1279" w:type="dxa"/>
            <w:shd w:val="clear" w:color="auto" w:fill="FFFFFF"/>
            <w:vAlign w:val="center"/>
          </w:tcPr>
          <w:p w14:paraId="067133D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8314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jc w:val="center"/>
        </w:trPr>
        <w:tc>
          <w:tcPr>
            <w:tcW w:w="576" w:type="dxa"/>
            <w:shd w:val="clear" w:color="auto" w:fill="FFFFFF"/>
            <w:vAlign w:val="center"/>
          </w:tcPr>
          <w:p w14:paraId="66963A8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131</w:t>
            </w:r>
          </w:p>
        </w:tc>
        <w:tc>
          <w:tcPr>
            <w:tcW w:w="1035" w:type="dxa"/>
            <w:shd w:val="clear" w:color="auto" w:fill="FFFFFF"/>
            <w:vAlign w:val="center"/>
          </w:tcPr>
          <w:p w14:paraId="3C43D76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20" w:type="dxa"/>
            <w:shd w:val="clear" w:color="auto" w:fill="FFFFFF"/>
            <w:vAlign w:val="center"/>
          </w:tcPr>
          <w:p w14:paraId="2595FB2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服务周期</w:t>
            </w:r>
          </w:p>
        </w:tc>
        <w:tc>
          <w:tcPr>
            <w:tcW w:w="1490" w:type="dxa"/>
            <w:shd w:val="clear" w:color="auto" w:fill="FFFFFF"/>
            <w:vAlign w:val="center"/>
          </w:tcPr>
          <w:p w14:paraId="5D40B1A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★服务周期</w:t>
            </w:r>
          </w:p>
        </w:tc>
        <w:tc>
          <w:tcPr>
            <w:tcW w:w="4026" w:type="dxa"/>
            <w:shd w:val="clear" w:color="auto" w:fill="FFFFFF"/>
            <w:vAlign w:val="center"/>
          </w:tcPr>
          <w:p w14:paraId="3778C33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a）产品免费服务周期（含换件和维修）应不小于6年；</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b）设备停产后继续提供质量保障服务（含备品备件），服务终止时间与最后一批设备交付时间间隔不低于6年；</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c）产品停止服务时间应提前1年告知客户；</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d）产品发布日期需在技术文件或者技术白皮书中明确</w:t>
            </w:r>
          </w:p>
        </w:tc>
        <w:tc>
          <w:tcPr>
            <w:tcW w:w="1279" w:type="dxa"/>
            <w:shd w:val="clear" w:color="auto" w:fill="FFFFFF"/>
            <w:vAlign w:val="center"/>
          </w:tcPr>
          <w:p w14:paraId="44FFD9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AAEE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576" w:type="dxa"/>
            <w:shd w:val="clear" w:color="auto" w:fill="FFFFFF"/>
            <w:vAlign w:val="center"/>
          </w:tcPr>
          <w:p w14:paraId="49266EF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132</w:t>
            </w:r>
          </w:p>
        </w:tc>
        <w:tc>
          <w:tcPr>
            <w:tcW w:w="1035" w:type="dxa"/>
            <w:shd w:val="clear" w:color="auto" w:fill="FFFFFF"/>
            <w:vAlign w:val="center"/>
          </w:tcPr>
          <w:p w14:paraId="7C0F1E0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20" w:type="dxa"/>
            <w:vMerge w:val="restart"/>
            <w:shd w:val="clear" w:color="auto" w:fill="FFFFFF"/>
            <w:vAlign w:val="center"/>
          </w:tcPr>
          <w:p w14:paraId="7056EA9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服务工具要求</w:t>
            </w:r>
          </w:p>
        </w:tc>
        <w:tc>
          <w:tcPr>
            <w:tcW w:w="1490" w:type="dxa"/>
            <w:shd w:val="clear" w:color="auto" w:fill="FFFFFF"/>
            <w:vAlign w:val="center"/>
          </w:tcPr>
          <w:p w14:paraId="3F089D2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★工具要求</w:t>
            </w:r>
          </w:p>
        </w:tc>
        <w:tc>
          <w:tcPr>
            <w:tcW w:w="4026" w:type="dxa"/>
            <w:shd w:val="clear" w:color="auto" w:fill="FFFFFF"/>
            <w:vAlign w:val="center"/>
          </w:tcPr>
          <w:p w14:paraId="2A99AA3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供应商提供设置服务器硬件、辅助操作系统安装等功能的辅助工具和管理软件。且随附软件应具有合法授权或版权</w:t>
            </w:r>
          </w:p>
        </w:tc>
        <w:tc>
          <w:tcPr>
            <w:tcW w:w="1279" w:type="dxa"/>
            <w:shd w:val="clear" w:color="auto" w:fill="FFFFFF"/>
            <w:vAlign w:val="center"/>
          </w:tcPr>
          <w:p w14:paraId="3C7B95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7F1B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080" w:hRule="atLeast"/>
          <w:jc w:val="center"/>
        </w:trPr>
        <w:tc>
          <w:tcPr>
            <w:tcW w:w="576" w:type="dxa"/>
            <w:shd w:val="clear" w:color="auto" w:fill="FFFFFF"/>
            <w:vAlign w:val="center"/>
          </w:tcPr>
          <w:p w14:paraId="440F44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133</w:t>
            </w:r>
          </w:p>
        </w:tc>
        <w:tc>
          <w:tcPr>
            <w:tcW w:w="1035" w:type="dxa"/>
            <w:shd w:val="clear" w:color="auto" w:fill="FFFFFF"/>
            <w:vAlign w:val="center"/>
          </w:tcPr>
          <w:p w14:paraId="15F39F6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20" w:type="dxa"/>
            <w:vMerge w:val="continue"/>
            <w:shd w:val="clear" w:color="auto" w:fill="FFFFFF"/>
            <w:vAlign w:val="center"/>
          </w:tcPr>
          <w:p w14:paraId="35572B41">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5054E86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辅助工具</w:t>
            </w:r>
          </w:p>
        </w:tc>
        <w:tc>
          <w:tcPr>
            <w:tcW w:w="4026" w:type="dxa"/>
            <w:shd w:val="clear" w:color="auto" w:fill="FFFFFF"/>
            <w:vAlign w:val="center"/>
          </w:tcPr>
          <w:p w14:paraId="2B4902C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支持如下功能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a）本地的数据备份和还原功能；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b）网络的数据备份和还原功能；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c）服务器操作系统的自动安装功能；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d）服务器所配硬件需要的驱动程序和系统补丁</w:t>
            </w:r>
          </w:p>
        </w:tc>
        <w:tc>
          <w:tcPr>
            <w:tcW w:w="1279" w:type="dxa"/>
            <w:shd w:val="clear" w:color="auto" w:fill="FFFFFF"/>
            <w:vAlign w:val="center"/>
          </w:tcPr>
          <w:p w14:paraId="3FC61B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372E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jc w:val="center"/>
        </w:trPr>
        <w:tc>
          <w:tcPr>
            <w:tcW w:w="576" w:type="dxa"/>
            <w:shd w:val="clear" w:color="auto" w:fill="FFFFFF"/>
            <w:vAlign w:val="center"/>
          </w:tcPr>
          <w:p w14:paraId="26FA08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134</w:t>
            </w:r>
          </w:p>
        </w:tc>
        <w:tc>
          <w:tcPr>
            <w:tcW w:w="1035" w:type="dxa"/>
            <w:shd w:val="clear" w:color="auto" w:fill="FFFFFF"/>
            <w:vAlign w:val="center"/>
          </w:tcPr>
          <w:p w14:paraId="14D5E62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20" w:type="dxa"/>
            <w:vMerge w:val="continue"/>
            <w:shd w:val="clear" w:color="auto" w:fill="FFFFFF"/>
            <w:vAlign w:val="center"/>
          </w:tcPr>
          <w:p w14:paraId="35F664DA">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67E5D9E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★驱动安装升级指引</w:t>
            </w:r>
          </w:p>
        </w:tc>
        <w:tc>
          <w:tcPr>
            <w:tcW w:w="4026" w:type="dxa"/>
            <w:shd w:val="clear" w:color="auto" w:fill="FFFFFF"/>
            <w:vAlign w:val="center"/>
          </w:tcPr>
          <w:p w14:paraId="6B89841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供应商提供出厂安装的配件所需的驱动程序，形式包括但不限于驱动光盘、驱动下载链接等。其他配件应提供指引</w:t>
            </w:r>
          </w:p>
        </w:tc>
        <w:tc>
          <w:tcPr>
            <w:tcW w:w="1279" w:type="dxa"/>
            <w:shd w:val="clear" w:color="auto" w:fill="FFFFFF"/>
            <w:vAlign w:val="center"/>
          </w:tcPr>
          <w:p w14:paraId="6EEA7EC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FDAD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1C03BD9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135</w:t>
            </w:r>
          </w:p>
        </w:tc>
        <w:tc>
          <w:tcPr>
            <w:tcW w:w="1035" w:type="dxa"/>
            <w:shd w:val="clear" w:color="auto" w:fill="FFFFFF"/>
            <w:vAlign w:val="center"/>
          </w:tcPr>
          <w:p w14:paraId="131C5A0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20" w:type="dxa"/>
            <w:vMerge w:val="continue"/>
            <w:shd w:val="clear" w:color="auto" w:fill="FFFFFF"/>
            <w:vAlign w:val="center"/>
          </w:tcPr>
          <w:p w14:paraId="6B340509">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67873AD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随机附开盖工具</w:t>
            </w:r>
          </w:p>
        </w:tc>
        <w:tc>
          <w:tcPr>
            <w:tcW w:w="4026" w:type="dxa"/>
            <w:shd w:val="clear" w:color="auto" w:fill="FFFFFF"/>
            <w:vAlign w:val="center"/>
          </w:tcPr>
          <w:p w14:paraId="52B1FC1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随服务器打包提供开机箱工具</w:t>
            </w:r>
          </w:p>
        </w:tc>
        <w:tc>
          <w:tcPr>
            <w:tcW w:w="1279" w:type="dxa"/>
            <w:shd w:val="clear" w:color="auto" w:fill="FFFFFF"/>
            <w:vAlign w:val="center"/>
          </w:tcPr>
          <w:p w14:paraId="558DB17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330F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jc w:val="center"/>
        </w:trPr>
        <w:tc>
          <w:tcPr>
            <w:tcW w:w="576" w:type="dxa"/>
            <w:shd w:val="clear" w:color="auto" w:fill="FFFFFF"/>
            <w:vAlign w:val="center"/>
          </w:tcPr>
          <w:p w14:paraId="262485B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136</w:t>
            </w:r>
          </w:p>
        </w:tc>
        <w:tc>
          <w:tcPr>
            <w:tcW w:w="1035" w:type="dxa"/>
            <w:shd w:val="clear" w:color="auto" w:fill="FFFFFF"/>
            <w:vAlign w:val="center"/>
          </w:tcPr>
          <w:p w14:paraId="44D7DE7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20" w:type="dxa"/>
            <w:vMerge w:val="continue"/>
            <w:shd w:val="clear" w:color="auto" w:fill="FFFFFF"/>
            <w:vAlign w:val="center"/>
          </w:tcPr>
          <w:p w14:paraId="17BC1F4E">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68C9A20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代码迁移工具</w:t>
            </w:r>
          </w:p>
        </w:tc>
        <w:tc>
          <w:tcPr>
            <w:tcW w:w="4026" w:type="dxa"/>
            <w:shd w:val="clear" w:color="auto" w:fill="FFFFFF"/>
            <w:vAlign w:val="center"/>
          </w:tcPr>
          <w:p w14:paraId="51FDC04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从其他CPU架构到当前服务器CPU架构的软件迁移工具产品，支持软件包迁移评估，对满足产品重构要求的软件包，能重构为当前服务器CPU架构的软件包。提供源码迁移功能，检查分析C/C++/Fortran/Go/解释型语言/汇编等源码文件，基于产品功能给出迁移指导</w:t>
            </w:r>
          </w:p>
        </w:tc>
        <w:tc>
          <w:tcPr>
            <w:tcW w:w="1279" w:type="dxa"/>
            <w:shd w:val="clear" w:color="auto" w:fill="FFFFFF"/>
            <w:vAlign w:val="center"/>
          </w:tcPr>
          <w:p w14:paraId="2D7AE22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E9E8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76" w:type="dxa"/>
            <w:shd w:val="clear" w:color="auto" w:fill="FFFFFF"/>
            <w:vAlign w:val="center"/>
          </w:tcPr>
          <w:p w14:paraId="73585C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137</w:t>
            </w:r>
          </w:p>
        </w:tc>
        <w:tc>
          <w:tcPr>
            <w:tcW w:w="1035" w:type="dxa"/>
            <w:shd w:val="clear" w:color="auto" w:fill="FFFFFF"/>
            <w:vAlign w:val="center"/>
          </w:tcPr>
          <w:p w14:paraId="16DF303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20" w:type="dxa"/>
            <w:vMerge w:val="continue"/>
            <w:shd w:val="clear" w:color="auto" w:fill="FFFFFF"/>
            <w:vAlign w:val="center"/>
          </w:tcPr>
          <w:p w14:paraId="67DEE7B3">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2A0F9B5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性能分析工具</w:t>
            </w:r>
          </w:p>
        </w:tc>
        <w:tc>
          <w:tcPr>
            <w:tcW w:w="4026" w:type="dxa"/>
            <w:shd w:val="clear" w:color="auto" w:fill="FFFFFF"/>
            <w:vAlign w:val="center"/>
          </w:tcPr>
          <w:p w14:paraId="0DF9788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供应商提供支持当前服务器CPU架构的性能分析工具产品，支持系统性能分析、Java性能分析和系统诊断，可分析系统或应用在CPU、内存、IO、网络等方面的性能，并给出优化建议</w:t>
            </w:r>
          </w:p>
        </w:tc>
        <w:tc>
          <w:tcPr>
            <w:tcW w:w="1279" w:type="dxa"/>
            <w:shd w:val="clear" w:color="auto" w:fill="FFFFFF"/>
            <w:vAlign w:val="center"/>
          </w:tcPr>
          <w:p w14:paraId="19693F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AEC0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409F58B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138</w:t>
            </w:r>
          </w:p>
        </w:tc>
        <w:tc>
          <w:tcPr>
            <w:tcW w:w="1035" w:type="dxa"/>
            <w:shd w:val="clear" w:color="auto" w:fill="FFFFFF"/>
            <w:vAlign w:val="center"/>
          </w:tcPr>
          <w:p w14:paraId="396A23C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20" w:type="dxa"/>
            <w:vMerge w:val="continue"/>
            <w:shd w:val="clear" w:color="auto" w:fill="FFFFFF"/>
            <w:vAlign w:val="center"/>
          </w:tcPr>
          <w:p w14:paraId="352A9C46">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0672C98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跨架构平台应用兼容</w:t>
            </w:r>
          </w:p>
        </w:tc>
        <w:tc>
          <w:tcPr>
            <w:tcW w:w="4026" w:type="dxa"/>
            <w:shd w:val="clear" w:color="auto" w:fill="FFFFFF"/>
            <w:vAlign w:val="center"/>
          </w:tcPr>
          <w:p w14:paraId="652A48F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跨CPU架构平台应用兼容工具，可兼容一种或者一种以上不同架构平台的应用</w:t>
            </w:r>
          </w:p>
        </w:tc>
        <w:tc>
          <w:tcPr>
            <w:tcW w:w="1279" w:type="dxa"/>
            <w:shd w:val="clear" w:color="auto" w:fill="FFFFFF"/>
            <w:vAlign w:val="center"/>
          </w:tcPr>
          <w:p w14:paraId="3383E6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DC45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7C19191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139</w:t>
            </w:r>
          </w:p>
        </w:tc>
        <w:tc>
          <w:tcPr>
            <w:tcW w:w="1035" w:type="dxa"/>
            <w:shd w:val="clear" w:color="auto" w:fill="FFFFFF"/>
            <w:vAlign w:val="center"/>
          </w:tcPr>
          <w:p w14:paraId="6217FD2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20" w:type="dxa"/>
            <w:vMerge w:val="continue"/>
            <w:shd w:val="clear" w:color="auto" w:fill="FFFFFF"/>
            <w:vAlign w:val="center"/>
          </w:tcPr>
          <w:p w14:paraId="636A9F8D">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64E6137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★管理软件</w:t>
            </w:r>
          </w:p>
        </w:tc>
        <w:tc>
          <w:tcPr>
            <w:tcW w:w="4026" w:type="dxa"/>
            <w:shd w:val="clear" w:color="auto" w:fill="FFFFFF"/>
            <w:vAlign w:val="center"/>
          </w:tcPr>
          <w:p w14:paraId="4D1D216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具备资源管理、系统管理、性能监控、健康监控、基于网络控制、报警设置功能</w:t>
            </w:r>
          </w:p>
        </w:tc>
        <w:tc>
          <w:tcPr>
            <w:tcW w:w="1279" w:type="dxa"/>
            <w:shd w:val="clear" w:color="auto" w:fill="FFFFFF"/>
            <w:vAlign w:val="center"/>
          </w:tcPr>
          <w:p w14:paraId="6F38084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1E4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4527FF4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140</w:t>
            </w:r>
          </w:p>
        </w:tc>
        <w:tc>
          <w:tcPr>
            <w:tcW w:w="1035" w:type="dxa"/>
            <w:shd w:val="clear" w:color="auto" w:fill="FFFFFF"/>
            <w:vAlign w:val="center"/>
          </w:tcPr>
          <w:p w14:paraId="7B8DEB6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20" w:type="dxa"/>
            <w:vMerge w:val="restart"/>
            <w:shd w:val="clear" w:color="auto" w:fill="FFFFFF"/>
            <w:vAlign w:val="center"/>
          </w:tcPr>
          <w:p w14:paraId="033E983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增值服务</w:t>
            </w:r>
          </w:p>
        </w:tc>
        <w:tc>
          <w:tcPr>
            <w:tcW w:w="1490" w:type="dxa"/>
            <w:shd w:val="clear" w:color="auto" w:fill="FFFFFF"/>
            <w:vAlign w:val="center"/>
          </w:tcPr>
          <w:p w14:paraId="248F6D7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★厂家升级产品软件与扩容服务</w:t>
            </w:r>
          </w:p>
        </w:tc>
        <w:tc>
          <w:tcPr>
            <w:tcW w:w="4026" w:type="dxa"/>
            <w:shd w:val="clear" w:color="auto" w:fill="FFFFFF"/>
            <w:vAlign w:val="center"/>
          </w:tcPr>
          <w:p w14:paraId="44CA719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供应商提供原厂级的部件/软件产品升级和扩容能力</w:t>
            </w:r>
          </w:p>
        </w:tc>
        <w:tc>
          <w:tcPr>
            <w:tcW w:w="1279" w:type="dxa"/>
            <w:shd w:val="clear" w:color="auto" w:fill="FFFFFF"/>
            <w:vAlign w:val="center"/>
          </w:tcPr>
          <w:p w14:paraId="58266EA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DE7E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5B56DEB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141</w:t>
            </w:r>
          </w:p>
        </w:tc>
        <w:tc>
          <w:tcPr>
            <w:tcW w:w="1035" w:type="dxa"/>
            <w:shd w:val="clear" w:color="auto" w:fill="FFFFFF"/>
            <w:vAlign w:val="center"/>
          </w:tcPr>
          <w:p w14:paraId="0881546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20" w:type="dxa"/>
            <w:vMerge w:val="continue"/>
            <w:shd w:val="clear" w:color="auto" w:fill="FFFFFF"/>
            <w:vAlign w:val="center"/>
          </w:tcPr>
          <w:p w14:paraId="1287ED85">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5386FBE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服务保障升级</w:t>
            </w:r>
          </w:p>
        </w:tc>
        <w:tc>
          <w:tcPr>
            <w:tcW w:w="4026" w:type="dxa"/>
            <w:shd w:val="clear" w:color="auto" w:fill="FFFFFF"/>
            <w:vAlign w:val="center"/>
          </w:tcPr>
          <w:p w14:paraId="3A60E24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供应商有偿提供远程技术支持、软件授权服务、备件更换服务、现场支撑服务</w:t>
            </w:r>
          </w:p>
        </w:tc>
        <w:tc>
          <w:tcPr>
            <w:tcW w:w="1279" w:type="dxa"/>
            <w:shd w:val="clear" w:color="auto" w:fill="FFFFFF"/>
            <w:vAlign w:val="center"/>
          </w:tcPr>
          <w:p w14:paraId="499A57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6A18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05D441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142</w:t>
            </w:r>
          </w:p>
        </w:tc>
        <w:tc>
          <w:tcPr>
            <w:tcW w:w="1035" w:type="dxa"/>
            <w:shd w:val="clear" w:color="auto" w:fill="FFFFFF"/>
            <w:vAlign w:val="center"/>
          </w:tcPr>
          <w:p w14:paraId="55CCCA6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20" w:type="dxa"/>
            <w:vMerge w:val="continue"/>
            <w:shd w:val="clear" w:color="auto" w:fill="FFFFFF"/>
            <w:vAlign w:val="center"/>
          </w:tcPr>
          <w:p w14:paraId="66929D41">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4CEC2B9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★提供上门服务</w:t>
            </w:r>
          </w:p>
        </w:tc>
        <w:tc>
          <w:tcPr>
            <w:tcW w:w="4026" w:type="dxa"/>
            <w:shd w:val="clear" w:color="auto" w:fill="FFFFFF"/>
            <w:vAlign w:val="center"/>
          </w:tcPr>
          <w:p w14:paraId="43F06C9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供应商具备提供上门服务的能力</w:t>
            </w:r>
          </w:p>
        </w:tc>
        <w:tc>
          <w:tcPr>
            <w:tcW w:w="1279" w:type="dxa"/>
            <w:shd w:val="clear" w:color="auto" w:fill="FFFFFF"/>
            <w:vAlign w:val="center"/>
          </w:tcPr>
          <w:p w14:paraId="16E820E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0C02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jc w:val="center"/>
        </w:trPr>
        <w:tc>
          <w:tcPr>
            <w:tcW w:w="576" w:type="dxa"/>
            <w:shd w:val="clear" w:color="auto" w:fill="FFFFFF"/>
            <w:vAlign w:val="center"/>
          </w:tcPr>
          <w:p w14:paraId="08C4120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143</w:t>
            </w:r>
          </w:p>
        </w:tc>
        <w:tc>
          <w:tcPr>
            <w:tcW w:w="1035" w:type="dxa"/>
            <w:shd w:val="clear" w:color="auto" w:fill="FFFFFF"/>
            <w:vAlign w:val="center"/>
          </w:tcPr>
          <w:p w14:paraId="4D8B5C0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20" w:type="dxa"/>
            <w:vMerge w:val="continue"/>
            <w:shd w:val="clear" w:color="auto" w:fill="FFFFFF"/>
            <w:vAlign w:val="center"/>
          </w:tcPr>
          <w:p w14:paraId="047C93DD">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0EB9F86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业务场景性能优化服务及整体架构升级服务</w:t>
            </w:r>
          </w:p>
        </w:tc>
        <w:tc>
          <w:tcPr>
            <w:tcW w:w="4026" w:type="dxa"/>
            <w:shd w:val="clear" w:color="auto" w:fill="FFFFFF"/>
            <w:vAlign w:val="center"/>
          </w:tcPr>
          <w:p w14:paraId="0BB8C96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供应商提供针对特定业务场景性能优化服务及整体架构升级服务</w:t>
            </w:r>
          </w:p>
        </w:tc>
        <w:tc>
          <w:tcPr>
            <w:tcW w:w="1279" w:type="dxa"/>
            <w:shd w:val="clear" w:color="auto" w:fill="FFFFFF"/>
            <w:vAlign w:val="center"/>
          </w:tcPr>
          <w:p w14:paraId="60376F5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5BE6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576" w:type="dxa"/>
            <w:shd w:val="clear" w:color="auto" w:fill="FFFFFF"/>
            <w:vAlign w:val="center"/>
          </w:tcPr>
          <w:p w14:paraId="1DF7AEB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144</w:t>
            </w:r>
          </w:p>
        </w:tc>
        <w:tc>
          <w:tcPr>
            <w:tcW w:w="1035" w:type="dxa"/>
            <w:shd w:val="clear" w:color="auto" w:fill="FFFFFF"/>
            <w:vAlign w:val="center"/>
          </w:tcPr>
          <w:p w14:paraId="358456F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供保要求</w:t>
            </w:r>
          </w:p>
        </w:tc>
        <w:tc>
          <w:tcPr>
            <w:tcW w:w="1020" w:type="dxa"/>
            <w:vMerge w:val="restart"/>
            <w:shd w:val="clear" w:color="auto" w:fill="FFFFFF"/>
            <w:vAlign w:val="center"/>
          </w:tcPr>
          <w:p w14:paraId="290BCFF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供应链质量</w:t>
            </w:r>
          </w:p>
        </w:tc>
        <w:tc>
          <w:tcPr>
            <w:tcW w:w="1490" w:type="dxa"/>
            <w:shd w:val="clear" w:color="auto" w:fill="FFFFFF"/>
            <w:vAlign w:val="center"/>
          </w:tcPr>
          <w:p w14:paraId="2C29E48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★抗干扰性</w:t>
            </w:r>
          </w:p>
        </w:tc>
        <w:tc>
          <w:tcPr>
            <w:tcW w:w="4026" w:type="dxa"/>
            <w:shd w:val="clear" w:color="auto" w:fill="FFFFFF"/>
            <w:vAlign w:val="center"/>
          </w:tcPr>
          <w:p w14:paraId="776EDC7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当产品部件出现供应风险时，应通知客户并提供风险应对方案确保产品的服务保障，必要时应停止相关受影响产品的销售</w:t>
            </w:r>
          </w:p>
        </w:tc>
        <w:tc>
          <w:tcPr>
            <w:tcW w:w="1279" w:type="dxa"/>
            <w:shd w:val="clear" w:color="auto" w:fill="FFFFFF"/>
            <w:vAlign w:val="center"/>
          </w:tcPr>
          <w:p w14:paraId="5155C2A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039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08D69F7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145</w:t>
            </w:r>
          </w:p>
        </w:tc>
        <w:tc>
          <w:tcPr>
            <w:tcW w:w="1035" w:type="dxa"/>
            <w:shd w:val="clear" w:color="auto" w:fill="FFFFFF"/>
            <w:vAlign w:val="center"/>
          </w:tcPr>
          <w:p w14:paraId="697CBFA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供保要求</w:t>
            </w:r>
          </w:p>
        </w:tc>
        <w:tc>
          <w:tcPr>
            <w:tcW w:w="1020" w:type="dxa"/>
            <w:vMerge w:val="continue"/>
            <w:shd w:val="clear" w:color="auto" w:fill="FFFFFF"/>
            <w:vAlign w:val="center"/>
          </w:tcPr>
          <w:p w14:paraId="4FBAC091">
            <w:pPr>
              <w:widowControl/>
              <w:jc w:val="left"/>
              <w:rPr>
                <w:rFonts w:asciiTheme="minorEastAsia" w:hAnsiTheme="minorEastAsia" w:eastAsiaTheme="minorEastAsia" w:cstheme="minorEastAsia"/>
                <w:kern w:val="0"/>
                <w:sz w:val="24"/>
              </w:rPr>
            </w:pPr>
          </w:p>
        </w:tc>
        <w:tc>
          <w:tcPr>
            <w:tcW w:w="1490" w:type="dxa"/>
            <w:shd w:val="clear" w:color="auto" w:fill="FFFFFF"/>
            <w:vAlign w:val="center"/>
          </w:tcPr>
          <w:p w14:paraId="145781B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★供应能力证明</w:t>
            </w:r>
          </w:p>
        </w:tc>
        <w:tc>
          <w:tcPr>
            <w:tcW w:w="4026" w:type="dxa"/>
            <w:shd w:val="clear" w:color="auto" w:fill="FFFFFF"/>
            <w:vAlign w:val="center"/>
          </w:tcPr>
          <w:p w14:paraId="4E0A325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b/>
                <w:bCs/>
                <w:kern w:val="0"/>
                <w:sz w:val="24"/>
              </w:rPr>
              <w:t>供应商提供供应链稳定承诺书，确保产品的部件在产品服务周期内稳定供货</w:t>
            </w:r>
            <w:r>
              <w:rPr>
                <w:rFonts w:hint="eastAsia"/>
                <w:b/>
                <w:bCs/>
              </w:rPr>
              <w:t>（需提供加盖投标人公章的承诺书，否则作无效投标处理</w:t>
            </w:r>
            <w:r>
              <w:rPr>
                <w:rFonts w:hint="eastAsia"/>
              </w:rPr>
              <w:t>）</w:t>
            </w:r>
          </w:p>
        </w:tc>
        <w:tc>
          <w:tcPr>
            <w:tcW w:w="1279" w:type="dxa"/>
            <w:shd w:val="clear" w:color="auto" w:fill="FFFFFF"/>
            <w:vAlign w:val="center"/>
          </w:tcPr>
          <w:p w14:paraId="3CB5637D">
            <w:pPr>
              <w:widowControl/>
              <w:jc w:val="center"/>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kern w:val="0"/>
                <w:sz w:val="24"/>
              </w:rPr>
              <w:t>是</w:t>
            </w:r>
          </w:p>
        </w:tc>
      </w:tr>
      <w:tr w14:paraId="05082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4E28B28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146</w:t>
            </w:r>
          </w:p>
        </w:tc>
        <w:tc>
          <w:tcPr>
            <w:tcW w:w="1035" w:type="dxa"/>
            <w:shd w:val="clear" w:color="auto" w:fill="FFFFFF"/>
            <w:vAlign w:val="center"/>
          </w:tcPr>
          <w:p w14:paraId="483E49E2">
            <w:pPr>
              <w:widowControl/>
              <w:jc w:val="left"/>
              <w:textAlignment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bidi="ar"/>
              </w:rPr>
              <w:t>硬盘扩展性</w:t>
            </w:r>
          </w:p>
        </w:tc>
        <w:tc>
          <w:tcPr>
            <w:tcW w:w="1020" w:type="dxa"/>
            <w:shd w:val="clear" w:color="auto" w:fill="FFFFFF"/>
            <w:vAlign w:val="center"/>
          </w:tcPr>
          <w:p w14:paraId="61A60CA4">
            <w:pPr>
              <w:widowControl/>
              <w:jc w:val="left"/>
              <w:textAlignment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bidi="ar"/>
              </w:rPr>
              <w:t>硬盘扩展性</w:t>
            </w:r>
          </w:p>
        </w:tc>
        <w:tc>
          <w:tcPr>
            <w:tcW w:w="1490" w:type="dxa"/>
            <w:shd w:val="clear" w:color="auto" w:fill="FFFFFF"/>
            <w:vAlign w:val="center"/>
          </w:tcPr>
          <w:p w14:paraId="58D19C89">
            <w:pPr>
              <w:widowControl/>
              <w:jc w:val="left"/>
              <w:textAlignment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bidi="ar"/>
              </w:rPr>
              <w:t>#硬盘扩展性</w:t>
            </w:r>
          </w:p>
        </w:tc>
        <w:tc>
          <w:tcPr>
            <w:tcW w:w="4026" w:type="dxa"/>
            <w:shd w:val="clear" w:color="auto" w:fill="FFFFFF"/>
            <w:vAlign w:val="center"/>
          </w:tcPr>
          <w:p w14:paraId="1987B5B0">
            <w:pPr>
              <w:widowControl/>
              <w:rPr>
                <w:rFonts w:hint="eastAsia" w:asciiTheme="minorEastAsia" w:hAnsiTheme="minorEastAsia" w:eastAsiaTheme="minorEastAsia" w:cstheme="minorEastAsia"/>
                <w:kern w:val="0"/>
                <w:sz w:val="24"/>
                <w:lang w:val="en-US" w:eastAsia="zh-CN"/>
              </w:rPr>
            </w:pPr>
            <w:r>
              <w:rPr>
                <w:rFonts w:hint="eastAsia" w:asciiTheme="minorEastAsia" w:hAnsiTheme="minorEastAsia" w:eastAsiaTheme="minorEastAsia" w:cstheme="minorEastAsia"/>
                <w:kern w:val="0"/>
                <w:sz w:val="24"/>
              </w:rPr>
              <w:t>产品支持≥20块3.5英寸盘位；产品内置支持≥4块3.5英寸盘位</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sz w:val="24"/>
              </w:rPr>
              <w:t>需提供官方产品彩页或</w:t>
            </w:r>
            <w:r>
              <w:rPr>
                <w:rFonts w:hint="eastAsia" w:asciiTheme="minorEastAsia" w:hAnsiTheme="minorEastAsia" w:eastAsiaTheme="minorEastAsia" w:cstheme="minorEastAsia"/>
                <w:sz w:val="24"/>
                <w:lang w:val="en-US" w:eastAsia="zh-CN"/>
              </w:rPr>
              <w:t>技术白皮书</w:t>
            </w:r>
          </w:p>
        </w:tc>
        <w:tc>
          <w:tcPr>
            <w:tcW w:w="1279" w:type="dxa"/>
            <w:shd w:val="clear" w:color="auto" w:fill="FFFFFF"/>
            <w:vAlign w:val="center"/>
          </w:tcPr>
          <w:p w14:paraId="0F5C6E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4719A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jc w:val="center"/>
        </w:trPr>
        <w:tc>
          <w:tcPr>
            <w:tcW w:w="576" w:type="dxa"/>
            <w:shd w:val="clear" w:color="auto" w:fill="FFFFFF"/>
            <w:vAlign w:val="center"/>
          </w:tcPr>
          <w:p w14:paraId="1AF9AE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147</w:t>
            </w:r>
          </w:p>
        </w:tc>
        <w:tc>
          <w:tcPr>
            <w:tcW w:w="1035" w:type="dxa"/>
            <w:shd w:val="clear" w:color="auto" w:fill="FFFFFF"/>
            <w:noWrap/>
            <w:vAlign w:val="center"/>
          </w:tcPr>
          <w:p w14:paraId="6201F4F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20" w:type="dxa"/>
            <w:shd w:val="clear" w:color="auto" w:fill="FFFFFF"/>
            <w:noWrap/>
            <w:vAlign w:val="center"/>
          </w:tcPr>
          <w:p w14:paraId="473F327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管理性</w:t>
            </w:r>
          </w:p>
        </w:tc>
        <w:tc>
          <w:tcPr>
            <w:tcW w:w="1490" w:type="dxa"/>
            <w:shd w:val="clear" w:color="auto" w:fill="FFFFFF"/>
            <w:noWrap/>
            <w:vAlign w:val="center"/>
          </w:tcPr>
          <w:p w14:paraId="1307923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 管理性</w:t>
            </w:r>
          </w:p>
        </w:tc>
        <w:tc>
          <w:tcPr>
            <w:tcW w:w="4026" w:type="dxa"/>
            <w:shd w:val="clear" w:color="auto" w:fill="FFFFFF"/>
            <w:vAlign w:val="center"/>
          </w:tcPr>
          <w:p w14:paraId="05CD581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产品可通过服务器前面板指示灯判断硬件故障，包括但不限于系统/内存/电源/风扇/温度/网络等关键部件的故障诊断功能；产品前后面板均需支持UID状态灯</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sz w:val="24"/>
              </w:rPr>
              <w:t>需提供官方产品彩页或</w:t>
            </w:r>
            <w:r>
              <w:rPr>
                <w:rFonts w:hint="eastAsia" w:asciiTheme="minorEastAsia" w:hAnsiTheme="minorEastAsia" w:eastAsiaTheme="minorEastAsia" w:cstheme="minorEastAsia"/>
                <w:sz w:val="24"/>
                <w:lang w:val="en-US" w:eastAsia="zh-CN"/>
              </w:rPr>
              <w:t>技术白皮书</w:t>
            </w:r>
          </w:p>
        </w:tc>
        <w:tc>
          <w:tcPr>
            <w:tcW w:w="1279" w:type="dxa"/>
            <w:shd w:val="clear" w:color="auto" w:fill="FFFFFF"/>
            <w:vAlign w:val="center"/>
          </w:tcPr>
          <w:p w14:paraId="220F523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5C1B8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76" w:type="dxa"/>
            <w:shd w:val="clear" w:color="auto" w:fill="FFFFFF"/>
            <w:vAlign w:val="center"/>
          </w:tcPr>
          <w:p w14:paraId="320DB9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148</w:t>
            </w:r>
          </w:p>
        </w:tc>
        <w:tc>
          <w:tcPr>
            <w:tcW w:w="1035" w:type="dxa"/>
            <w:shd w:val="clear" w:color="auto" w:fill="FFFFFF"/>
            <w:noWrap/>
            <w:vAlign w:val="center"/>
          </w:tcPr>
          <w:p w14:paraId="0521208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20" w:type="dxa"/>
            <w:shd w:val="clear" w:color="auto" w:fill="FFFFFF"/>
            <w:noWrap/>
            <w:vAlign w:val="center"/>
          </w:tcPr>
          <w:p w14:paraId="61EC430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散热性</w:t>
            </w:r>
          </w:p>
        </w:tc>
        <w:tc>
          <w:tcPr>
            <w:tcW w:w="1490" w:type="dxa"/>
            <w:shd w:val="clear" w:color="auto" w:fill="FFFFFF"/>
            <w:noWrap/>
            <w:vAlign w:val="center"/>
          </w:tcPr>
          <w:p w14:paraId="39DE414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 散热性</w:t>
            </w:r>
          </w:p>
        </w:tc>
        <w:tc>
          <w:tcPr>
            <w:tcW w:w="4026" w:type="dxa"/>
            <w:shd w:val="clear" w:color="auto" w:fill="FFFFFF"/>
            <w:vAlign w:val="center"/>
          </w:tcPr>
          <w:p w14:paraId="29C90BB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产品配置≥6个热插拔高效风扇模块，支持N+1冗余</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sz w:val="24"/>
              </w:rPr>
              <w:t>需提供官方产品彩页或</w:t>
            </w:r>
            <w:r>
              <w:rPr>
                <w:rFonts w:hint="eastAsia" w:asciiTheme="minorEastAsia" w:hAnsiTheme="minorEastAsia" w:eastAsiaTheme="minorEastAsia" w:cstheme="minorEastAsia"/>
                <w:sz w:val="24"/>
                <w:lang w:val="en-US" w:eastAsia="zh-CN"/>
              </w:rPr>
              <w:t>技术白皮书</w:t>
            </w:r>
          </w:p>
        </w:tc>
        <w:tc>
          <w:tcPr>
            <w:tcW w:w="1279" w:type="dxa"/>
            <w:shd w:val="clear" w:color="auto" w:fill="FFFFFF"/>
            <w:vAlign w:val="center"/>
          </w:tcPr>
          <w:p w14:paraId="7EF3552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325C5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080" w:hRule="atLeast"/>
          <w:jc w:val="center"/>
        </w:trPr>
        <w:tc>
          <w:tcPr>
            <w:tcW w:w="576" w:type="dxa"/>
            <w:shd w:val="clear" w:color="auto" w:fill="FFFFFF"/>
            <w:vAlign w:val="center"/>
          </w:tcPr>
          <w:p w14:paraId="6B51C32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149</w:t>
            </w:r>
          </w:p>
        </w:tc>
        <w:tc>
          <w:tcPr>
            <w:tcW w:w="1035" w:type="dxa"/>
            <w:shd w:val="clear" w:color="auto" w:fill="FFFFFF"/>
            <w:noWrap/>
            <w:vAlign w:val="center"/>
          </w:tcPr>
          <w:p w14:paraId="1D452C7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20" w:type="dxa"/>
            <w:shd w:val="clear" w:color="auto" w:fill="FFFFFF"/>
            <w:noWrap/>
            <w:vAlign w:val="center"/>
          </w:tcPr>
          <w:p w14:paraId="1A2FC52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中央处理器</w:t>
            </w:r>
          </w:p>
        </w:tc>
        <w:tc>
          <w:tcPr>
            <w:tcW w:w="1490" w:type="dxa"/>
            <w:shd w:val="clear" w:color="auto" w:fill="FFFFFF"/>
            <w:noWrap/>
            <w:vAlign w:val="center"/>
          </w:tcPr>
          <w:p w14:paraId="6DAFAC3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 加解密功能</w:t>
            </w:r>
          </w:p>
        </w:tc>
        <w:tc>
          <w:tcPr>
            <w:tcW w:w="4026" w:type="dxa"/>
            <w:shd w:val="clear" w:color="auto" w:fill="FFFFFF"/>
            <w:vAlign w:val="center"/>
          </w:tcPr>
          <w:p w14:paraId="6A5EC98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投标产品所配备的CPU（中央处理器）支持TEE可信执行环境，实现虚拟机在内存读写时的自动加解密功能。</w:t>
            </w:r>
            <w:r>
              <w:rPr>
                <w:rFonts w:hint="eastAsia" w:asciiTheme="minorEastAsia" w:hAnsiTheme="minorEastAsia" w:eastAsiaTheme="minorEastAsia" w:cstheme="minorEastAsia"/>
                <w:kern w:val="0"/>
                <w:sz w:val="24"/>
                <w:lang w:val="en-US" w:eastAsia="zh-CN"/>
              </w:rPr>
              <w:t>需</w:t>
            </w:r>
            <w:r>
              <w:rPr>
                <w:rFonts w:hint="eastAsia" w:asciiTheme="minorEastAsia" w:hAnsiTheme="minorEastAsia" w:eastAsiaTheme="minorEastAsia" w:cstheme="minorEastAsia"/>
                <w:kern w:val="0"/>
                <w:sz w:val="24"/>
              </w:rPr>
              <w:t xml:space="preserve">提供投标产品所配备的CPU（中央处理器）具有上述密码技术特性的证明材料 </w:t>
            </w:r>
          </w:p>
        </w:tc>
        <w:tc>
          <w:tcPr>
            <w:tcW w:w="1279" w:type="dxa"/>
            <w:shd w:val="clear" w:color="auto" w:fill="FFFFFF"/>
            <w:vAlign w:val="center"/>
          </w:tcPr>
          <w:p w14:paraId="5EF2E71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170BD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jc w:val="center"/>
        </w:trPr>
        <w:tc>
          <w:tcPr>
            <w:tcW w:w="576" w:type="dxa"/>
            <w:shd w:val="clear" w:color="auto" w:fill="FFFFFF"/>
            <w:vAlign w:val="center"/>
          </w:tcPr>
          <w:p w14:paraId="0D01D3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150</w:t>
            </w:r>
          </w:p>
        </w:tc>
        <w:tc>
          <w:tcPr>
            <w:tcW w:w="1035" w:type="dxa"/>
            <w:shd w:val="clear" w:color="auto" w:fill="FFFFFF"/>
            <w:noWrap/>
            <w:vAlign w:val="center"/>
          </w:tcPr>
          <w:p w14:paraId="099F21D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20" w:type="dxa"/>
            <w:shd w:val="clear" w:color="auto" w:fill="FFFFFF"/>
            <w:noWrap/>
            <w:vAlign w:val="center"/>
          </w:tcPr>
          <w:p w14:paraId="5AC7EBA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中央处理器</w:t>
            </w:r>
          </w:p>
        </w:tc>
        <w:tc>
          <w:tcPr>
            <w:tcW w:w="1490" w:type="dxa"/>
            <w:shd w:val="clear" w:color="auto" w:fill="FFFFFF"/>
            <w:noWrap/>
            <w:vAlign w:val="center"/>
          </w:tcPr>
          <w:p w14:paraId="15E987F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w:t>
            </w:r>
            <w:bookmarkStart w:id="21" w:name="OLE_LINK5"/>
            <w:bookmarkStart w:id="22" w:name="OLE_LINK6"/>
            <w:r>
              <w:rPr>
                <w:rFonts w:hint="eastAsia" w:asciiTheme="minorEastAsia" w:hAnsiTheme="minorEastAsia" w:eastAsiaTheme="minorEastAsia" w:cstheme="minorEastAsia"/>
                <w:kern w:val="0"/>
                <w:sz w:val="24"/>
              </w:rPr>
              <w:t>超线程</w:t>
            </w:r>
            <w:bookmarkEnd w:id="21"/>
            <w:bookmarkEnd w:id="22"/>
            <w:r>
              <w:rPr>
                <w:rFonts w:hint="eastAsia" w:asciiTheme="minorEastAsia" w:hAnsiTheme="minorEastAsia" w:eastAsiaTheme="minorEastAsia" w:cstheme="minorEastAsia"/>
                <w:kern w:val="0"/>
                <w:sz w:val="24"/>
              </w:rPr>
              <w:t>技术</w:t>
            </w:r>
          </w:p>
        </w:tc>
        <w:tc>
          <w:tcPr>
            <w:tcW w:w="4026" w:type="dxa"/>
            <w:shd w:val="clear" w:color="auto" w:fill="FFFFFF"/>
            <w:vAlign w:val="center"/>
          </w:tcPr>
          <w:p w14:paraId="7A9F078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产品所配备的CPU（中央处理器）需支持且配置超线程技术</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w:t>
            </w:r>
            <w:r>
              <w:rPr>
                <w:rFonts w:hint="eastAsia" w:asciiTheme="minorEastAsia" w:hAnsiTheme="minorEastAsia" w:eastAsiaTheme="minorEastAsia" w:cstheme="minorEastAsia"/>
                <w:kern w:val="0"/>
                <w:sz w:val="24"/>
              </w:rPr>
              <w:t>提供投标产品所配备的CPU（中央处理器）具有上述技术特性的证明材料 ；</w:t>
            </w:r>
          </w:p>
        </w:tc>
        <w:tc>
          <w:tcPr>
            <w:tcW w:w="1279" w:type="dxa"/>
            <w:shd w:val="clear" w:color="auto" w:fill="FFFFFF"/>
            <w:vAlign w:val="center"/>
          </w:tcPr>
          <w:p w14:paraId="1319811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bl>
    <w:p w14:paraId="272D8075">
      <w:pPr>
        <w:pStyle w:val="14"/>
        <w:ind w:left="0" w:leftChars="0" w:firstLine="0" w:firstLineChars="0"/>
        <w:rPr>
          <w:rFonts w:asciiTheme="minorEastAsia" w:hAnsiTheme="minorEastAsia" w:eastAsiaTheme="minorEastAsia" w:cstheme="minorEastAsia"/>
          <w:szCs w:val="24"/>
        </w:rPr>
      </w:pPr>
    </w:p>
    <w:p w14:paraId="5EFC2C17">
      <w:pPr>
        <w:pStyle w:val="2"/>
        <w:numPr>
          <w:ilvl w:val="0"/>
          <w:numId w:val="2"/>
        </w:numPr>
        <w:ind w:left="442" w:hanging="442"/>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HIS核心数据库灾备服务器</w:t>
      </w:r>
    </w:p>
    <w:tbl>
      <w:tblPr>
        <w:tblStyle w:val="15"/>
        <w:tblW w:w="9579" w:type="dxa"/>
        <w:tblInd w:w="-5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633"/>
        <w:gridCol w:w="975"/>
        <w:gridCol w:w="1122"/>
        <w:gridCol w:w="1475"/>
        <w:gridCol w:w="4045"/>
        <w:gridCol w:w="1329"/>
      </w:tblGrid>
      <w:tr w14:paraId="00B22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33" w:type="dxa"/>
            <w:shd w:val="clear" w:color="auto" w:fill="FFFFFF"/>
            <w:vAlign w:val="center"/>
          </w:tcPr>
          <w:p w14:paraId="3819D84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序号</w:t>
            </w:r>
          </w:p>
        </w:tc>
        <w:tc>
          <w:tcPr>
            <w:tcW w:w="975" w:type="dxa"/>
            <w:shd w:val="clear" w:color="auto" w:fill="FFFFFF"/>
            <w:vAlign w:val="center"/>
          </w:tcPr>
          <w:p w14:paraId="4D1420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指标分类</w:t>
            </w:r>
          </w:p>
        </w:tc>
        <w:tc>
          <w:tcPr>
            <w:tcW w:w="1122" w:type="dxa"/>
            <w:shd w:val="clear" w:color="auto" w:fill="FFFFFF"/>
            <w:vAlign w:val="center"/>
          </w:tcPr>
          <w:p w14:paraId="51F3178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一级指标</w:t>
            </w:r>
          </w:p>
        </w:tc>
        <w:tc>
          <w:tcPr>
            <w:tcW w:w="1475" w:type="dxa"/>
            <w:shd w:val="clear" w:color="auto" w:fill="FFFFFF"/>
            <w:vAlign w:val="center"/>
          </w:tcPr>
          <w:p w14:paraId="4BD9D4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二级指标</w:t>
            </w:r>
          </w:p>
        </w:tc>
        <w:tc>
          <w:tcPr>
            <w:tcW w:w="4045" w:type="dxa"/>
            <w:shd w:val="clear" w:color="auto" w:fill="FFFFFF"/>
            <w:vAlign w:val="center"/>
          </w:tcPr>
          <w:p w14:paraId="2441D44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指标要求</w:t>
            </w:r>
          </w:p>
        </w:tc>
        <w:tc>
          <w:tcPr>
            <w:tcW w:w="1329" w:type="dxa"/>
            <w:shd w:val="clear" w:color="auto" w:fill="FFFFFF"/>
            <w:vAlign w:val="center"/>
          </w:tcPr>
          <w:p w14:paraId="7561DA5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是否提供证明材料</w:t>
            </w:r>
          </w:p>
        </w:tc>
      </w:tr>
      <w:tr w14:paraId="68A8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33" w:type="dxa"/>
            <w:shd w:val="clear" w:color="auto" w:fill="FFFFFF"/>
            <w:vAlign w:val="center"/>
          </w:tcPr>
          <w:p w14:paraId="157876E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w:t>
            </w:r>
          </w:p>
        </w:tc>
        <w:tc>
          <w:tcPr>
            <w:tcW w:w="975" w:type="dxa"/>
            <w:shd w:val="clear" w:color="auto" w:fill="FFFFFF"/>
            <w:vAlign w:val="center"/>
          </w:tcPr>
          <w:p w14:paraId="30D369E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shd w:val="clear" w:color="auto" w:fill="FFFFFF"/>
            <w:vAlign w:val="center"/>
          </w:tcPr>
          <w:p w14:paraId="54E8311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CPU规格</w:t>
            </w:r>
          </w:p>
        </w:tc>
        <w:tc>
          <w:tcPr>
            <w:tcW w:w="1475" w:type="dxa"/>
            <w:shd w:val="clear" w:color="auto" w:fill="FFFFFF"/>
            <w:vAlign w:val="center"/>
          </w:tcPr>
          <w:p w14:paraId="24DA26D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★CPU信息</w:t>
            </w:r>
          </w:p>
        </w:tc>
        <w:tc>
          <w:tcPr>
            <w:tcW w:w="4045" w:type="dxa"/>
            <w:shd w:val="clear" w:color="auto" w:fill="FFFFFF"/>
            <w:vAlign w:val="center"/>
          </w:tcPr>
          <w:p w14:paraId="13D1D0F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供应商应给出CPU信息，包含CPU型号、物理核心数、主频、末级缓存容量、线程数、热设计功耗及支持内存的最高速率、通道数和位宽</w:t>
            </w:r>
          </w:p>
        </w:tc>
        <w:tc>
          <w:tcPr>
            <w:tcW w:w="1329" w:type="dxa"/>
            <w:shd w:val="clear" w:color="auto" w:fill="FFFFFF"/>
            <w:vAlign w:val="center"/>
          </w:tcPr>
          <w:p w14:paraId="635E37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BC0B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6508002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975" w:type="dxa"/>
            <w:shd w:val="clear" w:color="auto" w:fill="FFFFFF"/>
            <w:vAlign w:val="center"/>
          </w:tcPr>
          <w:p w14:paraId="43B2F3D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restart"/>
            <w:shd w:val="clear" w:color="auto" w:fill="FFFFFF"/>
            <w:vAlign w:val="center"/>
          </w:tcPr>
          <w:p w14:paraId="3612A86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主板规格</w:t>
            </w:r>
          </w:p>
        </w:tc>
        <w:tc>
          <w:tcPr>
            <w:tcW w:w="1475" w:type="dxa"/>
            <w:shd w:val="clear" w:color="auto" w:fill="FFFFFF"/>
            <w:vAlign w:val="center"/>
          </w:tcPr>
          <w:p w14:paraId="337833F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★主板支持的CPU和内存情况</w:t>
            </w:r>
          </w:p>
        </w:tc>
        <w:tc>
          <w:tcPr>
            <w:tcW w:w="4045" w:type="dxa"/>
            <w:shd w:val="clear" w:color="auto" w:fill="FFFFFF"/>
            <w:vAlign w:val="center"/>
          </w:tcPr>
          <w:p w14:paraId="07BD1CB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供应商给出主板支持的CPU和内存的型号数量</w:t>
            </w:r>
          </w:p>
        </w:tc>
        <w:tc>
          <w:tcPr>
            <w:tcW w:w="1329" w:type="dxa"/>
            <w:shd w:val="clear" w:color="auto" w:fill="FFFFFF"/>
            <w:vAlign w:val="center"/>
          </w:tcPr>
          <w:p w14:paraId="1F75A36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E0A9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1B71DF1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w:t>
            </w:r>
          </w:p>
        </w:tc>
        <w:tc>
          <w:tcPr>
            <w:tcW w:w="975" w:type="dxa"/>
            <w:shd w:val="clear" w:color="auto" w:fill="FFFFFF"/>
            <w:vAlign w:val="center"/>
          </w:tcPr>
          <w:p w14:paraId="0AF4603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6A938204">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16B806E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★主板内存槽数量</w:t>
            </w:r>
          </w:p>
        </w:tc>
        <w:tc>
          <w:tcPr>
            <w:tcW w:w="4045" w:type="dxa"/>
            <w:shd w:val="clear" w:color="auto" w:fill="FFFFFF"/>
            <w:vAlign w:val="center"/>
          </w:tcPr>
          <w:p w14:paraId="25DCDB7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非板载内存的可扩展插槽数量应≥4个</w:t>
            </w:r>
          </w:p>
        </w:tc>
        <w:tc>
          <w:tcPr>
            <w:tcW w:w="1329" w:type="dxa"/>
            <w:shd w:val="clear" w:color="auto" w:fill="FFFFFF"/>
            <w:vAlign w:val="center"/>
          </w:tcPr>
          <w:p w14:paraId="3B03209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28D8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4B55C1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w:t>
            </w:r>
          </w:p>
        </w:tc>
        <w:tc>
          <w:tcPr>
            <w:tcW w:w="975" w:type="dxa"/>
            <w:shd w:val="clear" w:color="auto" w:fill="FFFFFF"/>
            <w:vAlign w:val="center"/>
          </w:tcPr>
          <w:p w14:paraId="34A085A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402571B4">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108298C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★主板存储接口</w:t>
            </w:r>
          </w:p>
        </w:tc>
        <w:tc>
          <w:tcPr>
            <w:tcW w:w="4045" w:type="dxa"/>
            <w:shd w:val="clear" w:color="auto" w:fill="FFFFFF"/>
            <w:vAlign w:val="center"/>
          </w:tcPr>
          <w:p w14:paraId="13A43FA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至少支持SATA、SAS、M.2、U.2等存储接口中的1种</w:t>
            </w:r>
          </w:p>
        </w:tc>
        <w:tc>
          <w:tcPr>
            <w:tcW w:w="1329" w:type="dxa"/>
            <w:shd w:val="clear" w:color="auto" w:fill="FFFFFF"/>
            <w:vAlign w:val="center"/>
          </w:tcPr>
          <w:p w14:paraId="25ECE73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0F23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00754A2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w:t>
            </w:r>
          </w:p>
        </w:tc>
        <w:tc>
          <w:tcPr>
            <w:tcW w:w="975" w:type="dxa"/>
            <w:shd w:val="clear" w:color="auto" w:fill="FFFFFF"/>
            <w:vAlign w:val="center"/>
          </w:tcPr>
          <w:p w14:paraId="4BDF331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3AE23E44">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373BB83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★PCIe插槽接口</w:t>
            </w:r>
          </w:p>
        </w:tc>
        <w:tc>
          <w:tcPr>
            <w:tcW w:w="4045" w:type="dxa"/>
            <w:shd w:val="clear" w:color="auto" w:fill="FFFFFF"/>
            <w:vAlign w:val="center"/>
          </w:tcPr>
          <w:p w14:paraId="4609C44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符合PCIe3.0或以上的高速串行计算机扩展总线标准，PCIe的接口速率与位宽需保证向下兼容</w:t>
            </w:r>
          </w:p>
        </w:tc>
        <w:tc>
          <w:tcPr>
            <w:tcW w:w="1329" w:type="dxa"/>
            <w:shd w:val="clear" w:color="auto" w:fill="FFFFFF"/>
            <w:vAlign w:val="center"/>
          </w:tcPr>
          <w:p w14:paraId="746DC8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D0DA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33" w:type="dxa"/>
            <w:shd w:val="clear" w:color="auto" w:fill="FFFFFF"/>
            <w:vAlign w:val="center"/>
          </w:tcPr>
          <w:p w14:paraId="6264A9B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w:t>
            </w:r>
          </w:p>
        </w:tc>
        <w:tc>
          <w:tcPr>
            <w:tcW w:w="975" w:type="dxa"/>
            <w:shd w:val="clear" w:color="auto" w:fill="FFFFFF"/>
            <w:vAlign w:val="center"/>
          </w:tcPr>
          <w:p w14:paraId="3BF6853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2C2A4967">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089A867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★主板PCIe插槽数量及规格</w:t>
            </w:r>
          </w:p>
        </w:tc>
        <w:tc>
          <w:tcPr>
            <w:tcW w:w="4045" w:type="dxa"/>
            <w:shd w:val="clear" w:color="auto" w:fill="FFFFFF"/>
            <w:vAlign w:val="center"/>
          </w:tcPr>
          <w:p w14:paraId="6944CE3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a）高度大于44.45mm双路或以上服务器PCIe插槽或接口应≥5个；</w:t>
            </w:r>
          </w:p>
          <w:p w14:paraId="36A1908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b）单路服务器PCIe插槽或接口应≥4个，可通过扩展卡进行插槽扩展</w:t>
            </w:r>
          </w:p>
        </w:tc>
        <w:tc>
          <w:tcPr>
            <w:tcW w:w="1329" w:type="dxa"/>
            <w:shd w:val="clear" w:color="auto" w:fill="FFFFFF"/>
            <w:vAlign w:val="center"/>
          </w:tcPr>
          <w:p w14:paraId="07413A4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6450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8" w:hRule="atLeast"/>
        </w:trPr>
        <w:tc>
          <w:tcPr>
            <w:tcW w:w="633" w:type="dxa"/>
            <w:shd w:val="clear" w:color="auto" w:fill="FFFFFF"/>
            <w:vAlign w:val="center"/>
          </w:tcPr>
          <w:p w14:paraId="4A22D0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w:t>
            </w:r>
          </w:p>
        </w:tc>
        <w:tc>
          <w:tcPr>
            <w:tcW w:w="975" w:type="dxa"/>
            <w:shd w:val="clear" w:color="auto" w:fill="FFFFFF"/>
            <w:vAlign w:val="center"/>
          </w:tcPr>
          <w:p w14:paraId="7F80FC4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392F8495">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252CE10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特殊孔位及接口</w:t>
            </w:r>
          </w:p>
        </w:tc>
        <w:tc>
          <w:tcPr>
            <w:tcW w:w="4045" w:type="dxa"/>
            <w:shd w:val="clear" w:color="auto" w:fill="FFFFFF"/>
            <w:vAlign w:val="center"/>
          </w:tcPr>
          <w:p w14:paraId="5B0F0D4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a）服务器机箱内主板可根据用户实际使用需求支持安装多功能导入装置板卡，机箱内需预留多功能导入装置板卡安装位置，容量不小于55mm×45mm×15mm（长×宽×高，单位毫米）；</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b）服务器主板可根据用户实际使用需求预留满足USB2.0或USB3.0数据传输规范的接口，工作电压5V，采用USB2.0时，最大过电流应不小于0.5A，采用USB3.0时，最大过电流应不小于1A</w:t>
            </w:r>
          </w:p>
        </w:tc>
        <w:tc>
          <w:tcPr>
            <w:tcW w:w="1329" w:type="dxa"/>
            <w:shd w:val="clear" w:color="auto" w:fill="FFFFFF"/>
            <w:vAlign w:val="center"/>
          </w:tcPr>
          <w:p w14:paraId="39E77C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102F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33" w:type="dxa"/>
            <w:shd w:val="clear" w:color="auto" w:fill="FFFFFF"/>
            <w:vAlign w:val="center"/>
          </w:tcPr>
          <w:p w14:paraId="11C1039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975" w:type="dxa"/>
            <w:shd w:val="clear" w:color="auto" w:fill="FFFFFF"/>
            <w:vAlign w:val="center"/>
          </w:tcPr>
          <w:p w14:paraId="5FCBE2F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25FA7AD4">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2ED5BCA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板载网络接口</w:t>
            </w:r>
          </w:p>
        </w:tc>
        <w:tc>
          <w:tcPr>
            <w:tcW w:w="4045" w:type="dxa"/>
            <w:shd w:val="clear" w:color="auto" w:fill="FFFFFF"/>
            <w:vAlign w:val="center"/>
          </w:tcPr>
          <w:p w14:paraId="7027326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若支持板载网络接口应≥1个1GE网口</w:t>
            </w:r>
          </w:p>
        </w:tc>
        <w:tc>
          <w:tcPr>
            <w:tcW w:w="1329" w:type="dxa"/>
            <w:shd w:val="clear" w:color="auto" w:fill="FFFFFF"/>
            <w:vAlign w:val="center"/>
          </w:tcPr>
          <w:p w14:paraId="059FFC2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6DD2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5AAE564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w:t>
            </w:r>
          </w:p>
        </w:tc>
        <w:tc>
          <w:tcPr>
            <w:tcW w:w="975" w:type="dxa"/>
            <w:shd w:val="clear" w:color="auto" w:fill="FFFFFF"/>
            <w:vAlign w:val="center"/>
          </w:tcPr>
          <w:p w14:paraId="7A22E6E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4E59AB22">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612621F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主板OCP插槽数量</w:t>
            </w:r>
          </w:p>
        </w:tc>
        <w:tc>
          <w:tcPr>
            <w:tcW w:w="4045" w:type="dxa"/>
            <w:shd w:val="clear" w:color="auto" w:fill="FFFFFF"/>
            <w:vAlign w:val="center"/>
          </w:tcPr>
          <w:p w14:paraId="1116BA4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支持OCP2.0及以上插槽的数量≥1个</w:t>
            </w:r>
          </w:p>
        </w:tc>
        <w:tc>
          <w:tcPr>
            <w:tcW w:w="1329" w:type="dxa"/>
            <w:shd w:val="clear" w:color="auto" w:fill="FFFFFF"/>
            <w:vAlign w:val="center"/>
          </w:tcPr>
          <w:p w14:paraId="33DE0E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90FC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33" w:type="dxa"/>
            <w:shd w:val="clear" w:color="auto" w:fill="FFFFFF"/>
            <w:vAlign w:val="center"/>
          </w:tcPr>
          <w:p w14:paraId="3EB04D9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w:t>
            </w:r>
          </w:p>
        </w:tc>
        <w:tc>
          <w:tcPr>
            <w:tcW w:w="975" w:type="dxa"/>
            <w:shd w:val="clear" w:color="auto" w:fill="FFFFFF"/>
            <w:vAlign w:val="center"/>
          </w:tcPr>
          <w:p w14:paraId="4D81522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restart"/>
            <w:shd w:val="clear" w:color="auto" w:fill="FFFFFF"/>
            <w:vAlign w:val="center"/>
          </w:tcPr>
          <w:p w14:paraId="74E18B1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内存规格</w:t>
            </w:r>
          </w:p>
        </w:tc>
        <w:tc>
          <w:tcPr>
            <w:tcW w:w="1475" w:type="dxa"/>
            <w:shd w:val="clear" w:color="auto" w:fill="FFFFFF"/>
            <w:vAlign w:val="center"/>
          </w:tcPr>
          <w:p w14:paraId="242CDC4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★内存数量</w:t>
            </w:r>
          </w:p>
        </w:tc>
        <w:tc>
          <w:tcPr>
            <w:tcW w:w="4045" w:type="dxa"/>
            <w:shd w:val="clear" w:color="auto" w:fill="FFFFFF"/>
            <w:vAlign w:val="center"/>
          </w:tcPr>
          <w:p w14:paraId="446F504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w:t>
            </w:r>
          </w:p>
        </w:tc>
        <w:tc>
          <w:tcPr>
            <w:tcW w:w="1329" w:type="dxa"/>
            <w:shd w:val="clear" w:color="auto" w:fill="FFFFFF"/>
            <w:vAlign w:val="center"/>
          </w:tcPr>
          <w:p w14:paraId="7FBA84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233A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33" w:type="dxa"/>
            <w:shd w:val="clear" w:color="auto" w:fill="FFFFFF"/>
            <w:vAlign w:val="center"/>
          </w:tcPr>
          <w:p w14:paraId="174CFA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w:t>
            </w:r>
          </w:p>
        </w:tc>
        <w:tc>
          <w:tcPr>
            <w:tcW w:w="975" w:type="dxa"/>
            <w:shd w:val="clear" w:color="auto" w:fill="FFFFFF"/>
            <w:vAlign w:val="center"/>
          </w:tcPr>
          <w:p w14:paraId="4AB600B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3AC4B38C">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19F3A62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★内存规格</w:t>
            </w:r>
          </w:p>
        </w:tc>
        <w:tc>
          <w:tcPr>
            <w:tcW w:w="4045" w:type="dxa"/>
            <w:shd w:val="clear" w:color="auto" w:fill="FFFFFF"/>
            <w:vAlign w:val="center"/>
          </w:tcPr>
          <w:p w14:paraId="6195613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≥DDR5</w:t>
            </w:r>
          </w:p>
        </w:tc>
        <w:tc>
          <w:tcPr>
            <w:tcW w:w="1329" w:type="dxa"/>
            <w:shd w:val="clear" w:color="auto" w:fill="FFFFFF"/>
            <w:vAlign w:val="center"/>
          </w:tcPr>
          <w:p w14:paraId="444CDF3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7C01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33" w:type="dxa"/>
            <w:shd w:val="clear" w:color="auto" w:fill="FFFFFF"/>
            <w:vAlign w:val="center"/>
          </w:tcPr>
          <w:p w14:paraId="75A668F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w:t>
            </w:r>
          </w:p>
        </w:tc>
        <w:tc>
          <w:tcPr>
            <w:tcW w:w="975" w:type="dxa"/>
            <w:shd w:val="clear" w:color="auto" w:fill="FFFFFF"/>
            <w:vAlign w:val="center"/>
          </w:tcPr>
          <w:p w14:paraId="495D6EF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06335F31">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6A9253E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★内存通道</w:t>
            </w:r>
          </w:p>
        </w:tc>
        <w:tc>
          <w:tcPr>
            <w:tcW w:w="4045" w:type="dxa"/>
            <w:shd w:val="clear" w:color="auto" w:fill="FFFFFF"/>
            <w:vAlign w:val="center"/>
          </w:tcPr>
          <w:p w14:paraId="25970F1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支持多个内存接口通道，每个通道可支持1DPC或2DPC，当支持2DPC时，印制电路板上应具备插槽的序号标识，具体通道数应在随机文件中明确</w:t>
            </w:r>
          </w:p>
        </w:tc>
        <w:tc>
          <w:tcPr>
            <w:tcW w:w="1329" w:type="dxa"/>
            <w:shd w:val="clear" w:color="auto" w:fill="FFFFFF"/>
            <w:vAlign w:val="center"/>
          </w:tcPr>
          <w:p w14:paraId="355806C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5EF8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33" w:type="dxa"/>
            <w:shd w:val="clear" w:color="auto" w:fill="FFFFFF"/>
            <w:vAlign w:val="center"/>
          </w:tcPr>
          <w:p w14:paraId="4EF2323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w:t>
            </w:r>
          </w:p>
        </w:tc>
        <w:tc>
          <w:tcPr>
            <w:tcW w:w="975" w:type="dxa"/>
            <w:shd w:val="clear" w:color="auto" w:fill="FFFFFF"/>
            <w:vAlign w:val="center"/>
          </w:tcPr>
          <w:p w14:paraId="48E9083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restart"/>
            <w:shd w:val="clear" w:color="auto" w:fill="FFFFFF"/>
            <w:vAlign w:val="center"/>
          </w:tcPr>
          <w:p w14:paraId="1131A92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存储规格</w:t>
            </w:r>
          </w:p>
        </w:tc>
        <w:tc>
          <w:tcPr>
            <w:tcW w:w="1475" w:type="dxa"/>
            <w:shd w:val="clear" w:color="auto" w:fill="FFFFFF"/>
            <w:vAlign w:val="center"/>
          </w:tcPr>
          <w:p w14:paraId="5AC8845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硬盘类型</w:t>
            </w:r>
          </w:p>
        </w:tc>
        <w:tc>
          <w:tcPr>
            <w:tcW w:w="4045" w:type="dxa"/>
            <w:shd w:val="clear" w:color="auto" w:fill="FFFFFF"/>
            <w:vAlign w:val="center"/>
          </w:tcPr>
          <w:p w14:paraId="3E3F1D0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供应商给出服务器支持硬磁盘和固态盘类型及规格</w:t>
            </w:r>
          </w:p>
        </w:tc>
        <w:tc>
          <w:tcPr>
            <w:tcW w:w="1329" w:type="dxa"/>
            <w:shd w:val="clear" w:color="auto" w:fill="FFFFFF"/>
            <w:vAlign w:val="center"/>
          </w:tcPr>
          <w:p w14:paraId="6E1B970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CC4B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33" w:type="dxa"/>
            <w:shd w:val="clear" w:color="auto" w:fill="FFFFFF"/>
            <w:vAlign w:val="center"/>
          </w:tcPr>
          <w:p w14:paraId="759661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w:t>
            </w:r>
          </w:p>
        </w:tc>
        <w:tc>
          <w:tcPr>
            <w:tcW w:w="975" w:type="dxa"/>
            <w:shd w:val="clear" w:color="auto" w:fill="FFFFFF"/>
            <w:vAlign w:val="center"/>
          </w:tcPr>
          <w:p w14:paraId="46CE8FE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69D08FBE">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2F394B1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★硬盘实配容量</w:t>
            </w:r>
          </w:p>
        </w:tc>
        <w:tc>
          <w:tcPr>
            <w:tcW w:w="4045" w:type="dxa"/>
            <w:shd w:val="clear" w:color="auto" w:fill="FFFFFF"/>
            <w:vAlign w:val="center"/>
          </w:tcPr>
          <w:p w14:paraId="6D7506B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硬盘1：≥1.92T SATA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硬盘2：≥3.84T SATA SSD</w:t>
            </w:r>
          </w:p>
        </w:tc>
        <w:tc>
          <w:tcPr>
            <w:tcW w:w="1329" w:type="dxa"/>
            <w:shd w:val="clear" w:color="auto" w:fill="FFFFFF"/>
            <w:vAlign w:val="center"/>
          </w:tcPr>
          <w:p w14:paraId="265987F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DDC6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33" w:type="dxa"/>
            <w:shd w:val="clear" w:color="auto" w:fill="FFFFFF"/>
            <w:vAlign w:val="center"/>
          </w:tcPr>
          <w:p w14:paraId="187E0B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w:t>
            </w:r>
          </w:p>
        </w:tc>
        <w:tc>
          <w:tcPr>
            <w:tcW w:w="975" w:type="dxa"/>
            <w:shd w:val="clear" w:color="auto" w:fill="FFFFFF"/>
            <w:vAlign w:val="center"/>
          </w:tcPr>
          <w:p w14:paraId="07C4DF6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643F3A81">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7617D0E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硬盘接口类型</w:t>
            </w:r>
          </w:p>
        </w:tc>
        <w:tc>
          <w:tcPr>
            <w:tcW w:w="4045" w:type="dxa"/>
            <w:shd w:val="clear" w:color="auto" w:fill="FFFFFF"/>
            <w:vAlign w:val="center"/>
          </w:tcPr>
          <w:p w14:paraId="1A8129E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a）若配备硬磁盘，应提供SAS3.0或SATA3.0及以上接口；b）若配备固态盘，应提供至少1种类型固态盘接口，如UFS、SATA、PCIe等</w:t>
            </w:r>
          </w:p>
        </w:tc>
        <w:tc>
          <w:tcPr>
            <w:tcW w:w="1329" w:type="dxa"/>
            <w:shd w:val="clear" w:color="auto" w:fill="FFFFFF"/>
            <w:vAlign w:val="center"/>
          </w:tcPr>
          <w:p w14:paraId="7AA96E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72C5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3DF43CD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w:t>
            </w:r>
          </w:p>
        </w:tc>
        <w:tc>
          <w:tcPr>
            <w:tcW w:w="975" w:type="dxa"/>
            <w:shd w:val="clear" w:color="auto" w:fill="FFFFFF"/>
            <w:vAlign w:val="center"/>
          </w:tcPr>
          <w:p w14:paraId="51C08B2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69BEB57D">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517C35E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★硬盘实配数量</w:t>
            </w:r>
          </w:p>
        </w:tc>
        <w:tc>
          <w:tcPr>
            <w:tcW w:w="4045" w:type="dxa"/>
            <w:shd w:val="clear" w:color="auto" w:fill="FFFFFF"/>
            <w:vAlign w:val="center"/>
          </w:tcPr>
          <w:p w14:paraId="3CE47F7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硬盘1：≥2块1.92T SATA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硬盘2：≥4块3.84T SATA SSD</w:t>
            </w:r>
          </w:p>
        </w:tc>
        <w:tc>
          <w:tcPr>
            <w:tcW w:w="1329" w:type="dxa"/>
            <w:shd w:val="clear" w:color="auto" w:fill="FFFFFF"/>
            <w:vAlign w:val="center"/>
          </w:tcPr>
          <w:p w14:paraId="358CAB9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5288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296" w:hRule="atLeast"/>
        </w:trPr>
        <w:tc>
          <w:tcPr>
            <w:tcW w:w="633" w:type="dxa"/>
            <w:shd w:val="clear" w:color="auto" w:fill="FFFFFF"/>
            <w:vAlign w:val="center"/>
          </w:tcPr>
          <w:p w14:paraId="763C8C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17</w:t>
            </w:r>
          </w:p>
        </w:tc>
        <w:tc>
          <w:tcPr>
            <w:tcW w:w="975" w:type="dxa"/>
            <w:shd w:val="clear" w:color="auto" w:fill="FFFFFF"/>
            <w:vAlign w:val="center"/>
          </w:tcPr>
          <w:p w14:paraId="26E53E0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34DF66AF">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7FB8F6D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★硬盘插槽数量及规格</w:t>
            </w:r>
          </w:p>
        </w:tc>
        <w:tc>
          <w:tcPr>
            <w:tcW w:w="4045" w:type="dxa"/>
            <w:shd w:val="clear" w:color="auto" w:fill="FFFFFF"/>
            <w:vAlign w:val="center"/>
          </w:tcPr>
          <w:p w14:paraId="1F50E41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a）供应商应给出配置的硬盘尺寸，如2.5英寸、3.5英寸硬磁盘；</w:t>
            </w:r>
          </w:p>
          <w:p w14:paraId="14A228F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b）机箱高度为88.9mm的服务器可支持的硬盘数量应≥8块，机箱高度为44.45mm的服务器可支持的硬盘数量应≥4块。</w:t>
            </w:r>
          </w:p>
          <w:p w14:paraId="04CC1FD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c）存储型服务器可支持硬盘数量应≥24块</w:t>
            </w:r>
          </w:p>
        </w:tc>
        <w:tc>
          <w:tcPr>
            <w:tcW w:w="1329" w:type="dxa"/>
            <w:shd w:val="clear" w:color="auto" w:fill="FFFFFF"/>
            <w:vAlign w:val="center"/>
          </w:tcPr>
          <w:p w14:paraId="2147563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13F5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33" w:type="dxa"/>
            <w:shd w:val="clear" w:color="auto" w:fill="FFFFFF"/>
            <w:vAlign w:val="center"/>
          </w:tcPr>
          <w:p w14:paraId="20166A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18</w:t>
            </w:r>
          </w:p>
        </w:tc>
        <w:tc>
          <w:tcPr>
            <w:tcW w:w="975" w:type="dxa"/>
            <w:shd w:val="clear" w:color="auto" w:fill="FFFFFF"/>
            <w:vAlign w:val="center"/>
          </w:tcPr>
          <w:p w14:paraId="582BD2E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471C00D1">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4765434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硬盘其他参数要求</w:t>
            </w:r>
          </w:p>
        </w:tc>
        <w:tc>
          <w:tcPr>
            <w:tcW w:w="4045" w:type="dxa"/>
            <w:shd w:val="clear" w:color="auto" w:fill="FFFFFF"/>
            <w:vAlign w:val="center"/>
          </w:tcPr>
          <w:p w14:paraId="542E12B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a）机械硬盘准备时间应≤30s；侧面固定螺丝孔数量可为4孔或6孔；工作状态环境温度应满足5℃~55℃,其他参数应符合GB/T12628的相关规定；</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b）若服务器支持固态盘，固态盘符合SJ/T11654相关规定</w:t>
            </w:r>
          </w:p>
        </w:tc>
        <w:tc>
          <w:tcPr>
            <w:tcW w:w="1329" w:type="dxa"/>
            <w:shd w:val="clear" w:color="auto" w:fill="FFFFFF"/>
            <w:vAlign w:val="center"/>
          </w:tcPr>
          <w:p w14:paraId="23D4BCF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8207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33" w:type="dxa"/>
            <w:shd w:val="clear" w:color="auto" w:fill="FFFFFF"/>
            <w:vAlign w:val="center"/>
          </w:tcPr>
          <w:p w14:paraId="7D1BD9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19</w:t>
            </w:r>
          </w:p>
        </w:tc>
        <w:tc>
          <w:tcPr>
            <w:tcW w:w="975" w:type="dxa"/>
            <w:shd w:val="clear" w:color="auto" w:fill="FFFFFF"/>
            <w:vAlign w:val="center"/>
          </w:tcPr>
          <w:p w14:paraId="486FD8D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shd w:val="clear" w:color="auto" w:fill="FFFFFF"/>
            <w:vAlign w:val="center"/>
          </w:tcPr>
          <w:p w14:paraId="1865045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RAID卡规格（若支持RAID卡）</w:t>
            </w:r>
          </w:p>
        </w:tc>
        <w:tc>
          <w:tcPr>
            <w:tcW w:w="1475" w:type="dxa"/>
            <w:shd w:val="clear" w:color="auto" w:fill="FFFFFF"/>
            <w:vAlign w:val="center"/>
          </w:tcPr>
          <w:p w14:paraId="42C6185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RAID卡支持的SAS接口数</w:t>
            </w:r>
          </w:p>
        </w:tc>
        <w:tc>
          <w:tcPr>
            <w:tcW w:w="4045" w:type="dxa"/>
            <w:shd w:val="clear" w:color="auto" w:fill="FFFFFF"/>
            <w:vAlign w:val="center"/>
          </w:tcPr>
          <w:p w14:paraId="0335A21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1329" w:type="dxa"/>
            <w:shd w:val="clear" w:color="auto" w:fill="FFFFFF"/>
            <w:vAlign w:val="center"/>
          </w:tcPr>
          <w:p w14:paraId="1B66569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667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28C0D5B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20</w:t>
            </w:r>
          </w:p>
        </w:tc>
        <w:tc>
          <w:tcPr>
            <w:tcW w:w="975" w:type="dxa"/>
            <w:shd w:val="clear" w:color="auto" w:fill="FFFFFF"/>
            <w:vAlign w:val="center"/>
          </w:tcPr>
          <w:p w14:paraId="7633F1F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shd w:val="clear" w:color="auto" w:fill="FFFFFF"/>
            <w:vAlign w:val="center"/>
          </w:tcPr>
          <w:p w14:paraId="5777285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SAS直通卡规格（若支持SAS直通卡）</w:t>
            </w:r>
          </w:p>
        </w:tc>
        <w:tc>
          <w:tcPr>
            <w:tcW w:w="1475" w:type="dxa"/>
            <w:shd w:val="clear" w:color="auto" w:fill="FFFFFF"/>
            <w:vAlign w:val="center"/>
          </w:tcPr>
          <w:p w14:paraId="103307B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SAS直通卡SAS接口数量</w:t>
            </w:r>
          </w:p>
        </w:tc>
        <w:tc>
          <w:tcPr>
            <w:tcW w:w="4045" w:type="dxa"/>
            <w:shd w:val="clear" w:color="auto" w:fill="FFFFFF"/>
            <w:vAlign w:val="center"/>
          </w:tcPr>
          <w:p w14:paraId="5F32C4A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≥0</w:t>
            </w:r>
          </w:p>
        </w:tc>
        <w:tc>
          <w:tcPr>
            <w:tcW w:w="1329" w:type="dxa"/>
            <w:shd w:val="clear" w:color="auto" w:fill="FFFFFF"/>
            <w:vAlign w:val="center"/>
          </w:tcPr>
          <w:p w14:paraId="0E12078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B295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33" w:type="dxa"/>
            <w:shd w:val="clear" w:color="auto" w:fill="FFFFFF"/>
            <w:vAlign w:val="center"/>
          </w:tcPr>
          <w:p w14:paraId="7347617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21</w:t>
            </w:r>
          </w:p>
        </w:tc>
        <w:tc>
          <w:tcPr>
            <w:tcW w:w="975" w:type="dxa"/>
            <w:shd w:val="clear" w:color="auto" w:fill="FFFFFF"/>
            <w:vAlign w:val="center"/>
          </w:tcPr>
          <w:p w14:paraId="3B10BE5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shd w:val="clear" w:color="auto" w:fill="FFFFFF"/>
            <w:vAlign w:val="center"/>
          </w:tcPr>
          <w:p w14:paraId="07B2CC2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HBA卡规格（若支HBA直通卡）</w:t>
            </w:r>
          </w:p>
        </w:tc>
        <w:tc>
          <w:tcPr>
            <w:tcW w:w="1475" w:type="dxa"/>
            <w:shd w:val="clear" w:color="auto" w:fill="FFFFFF"/>
            <w:vAlign w:val="center"/>
          </w:tcPr>
          <w:p w14:paraId="683B61B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HBA卡端口数量</w:t>
            </w:r>
          </w:p>
        </w:tc>
        <w:tc>
          <w:tcPr>
            <w:tcW w:w="4045" w:type="dxa"/>
            <w:shd w:val="clear" w:color="auto" w:fill="FFFFFF"/>
            <w:vAlign w:val="center"/>
          </w:tcPr>
          <w:p w14:paraId="0E2C02F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≥0</w:t>
            </w:r>
          </w:p>
        </w:tc>
        <w:tc>
          <w:tcPr>
            <w:tcW w:w="1329" w:type="dxa"/>
            <w:shd w:val="clear" w:color="auto" w:fill="FFFFFF"/>
            <w:vAlign w:val="center"/>
          </w:tcPr>
          <w:p w14:paraId="7CF944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AAA6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144241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22</w:t>
            </w:r>
          </w:p>
        </w:tc>
        <w:tc>
          <w:tcPr>
            <w:tcW w:w="975" w:type="dxa"/>
            <w:shd w:val="clear" w:color="auto" w:fill="FFFFFF"/>
            <w:vAlign w:val="center"/>
          </w:tcPr>
          <w:p w14:paraId="545C389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restart"/>
            <w:shd w:val="clear" w:color="auto" w:fill="FFFFFF"/>
            <w:vAlign w:val="center"/>
          </w:tcPr>
          <w:p w14:paraId="52F93B1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网络规格</w:t>
            </w:r>
          </w:p>
        </w:tc>
        <w:tc>
          <w:tcPr>
            <w:tcW w:w="1475" w:type="dxa"/>
            <w:shd w:val="clear" w:color="auto" w:fill="FFFFFF"/>
            <w:vAlign w:val="center"/>
          </w:tcPr>
          <w:p w14:paraId="3339592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★网口速率和数量</w:t>
            </w:r>
          </w:p>
        </w:tc>
        <w:tc>
          <w:tcPr>
            <w:tcW w:w="4045" w:type="dxa"/>
            <w:shd w:val="clear" w:color="auto" w:fill="FFFFFF"/>
            <w:vAlign w:val="center"/>
          </w:tcPr>
          <w:p w14:paraId="59326B0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配置10GE光口≥4个（满配10GE多模光模块）</w:t>
            </w:r>
          </w:p>
          <w:p w14:paraId="528B861D">
            <w:pPr>
              <w:widowControl/>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配置1GE电口≥4个</w:t>
            </w:r>
          </w:p>
        </w:tc>
        <w:tc>
          <w:tcPr>
            <w:tcW w:w="1329" w:type="dxa"/>
            <w:shd w:val="clear" w:color="auto" w:fill="FFFFFF"/>
            <w:vAlign w:val="center"/>
          </w:tcPr>
          <w:p w14:paraId="46FAE32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4768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33" w:type="dxa"/>
            <w:shd w:val="clear" w:color="auto" w:fill="FFFFFF"/>
            <w:vAlign w:val="center"/>
          </w:tcPr>
          <w:p w14:paraId="40D757F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23</w:t>
            </w:r>
          </w:p>
        </w:tc>
        <w:tc>
          <w:tcPr>
            <w:tcW w:w="975" w:type="dxa"/>
            <w:shd w:val="clear" w:color="auto" w:fill="FFFFFF"/>
            <w:vAlign w:val="center"/>
          </w:tcPr>
          <w:p w14:paraId="3825840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325EB348">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7E0EC4F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存储型服务器网口速率和数量</w:t>
            </w:r>
          </w:p>
        </w:tc>
        <w:tc>
          <w:tcPr>
            <w:tcW w:w="4045" w:type="dxa"/>
            <w:shd w:val="clear" w:color="auto" w:fill="FFFFFF"/>
            <w:vAlign w:val="center"/>
          </w:tcPr>
          <w:p w14:paraId="304A696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存储型服务器1GE 网口数量≥2 个，10GE 以上网口数量≥2个（不涉及）</w:t>
            </w:r>
          </w:p>
        </w:tc>
        <w:tc>
          <w:tcPr>
            <w:tcW w:w="1329" w:type="dxa"/>
            <w:shd w:val="clear" w:color="auto" w:fill="FFFFFF"/>
            <w:vAlign w:val="center"/>
          </w:tcPr>
          <w:p w14:paraId="481554D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2B1C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33" w:type="dxa"/>
            <w:shd w:val="clear" w:color="auto" w:fill="FFFFFF"/>
            <w:vAlign w:val="center"/>
          </w:tcPr>
          <w:p w14:paraId="364F814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24</w:t>
            </w:r>
          </w:p>
        </w:tc>
        <w:tc>
          <w:tcPr>
            <w:tcW w:w="975" w:type="dxa"/>
            <w:shd w:val="clear" w:color="auto" w:fill="FFFFFF"/>
            <w:vAlign w:val="center"/>
          </w:tcPr>
          <w:p w14:paraId="39C40BB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3DA07642">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4FC1DDF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独立网卡网口数量</w:t>
            </w:r>
          </w:p>
        </w:tc>
        <w:tc>
          <w:tcPr>
            <w:tcW w:w="4045" w:type="dxa"/>
            <w:shd w:val="clear" w:color="auto" w:fill="FFFFFF"/>
            <w:vAlign w:val="center"/>
          </w:tcPr>
          <w:p w14:paraId="0E72C44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配备10GE光口独立网卡，独立网卡网口数量≥2</w:t>
            </w:r>
          </w:p>
          <w:p w14:paraId="0891EA76">
            <w:pPr>
              <w:widowControl/>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配备1GE电口独立网卡，独立网卡网口数量≥4</w:t>
            </w:r>
          </w:p>
        </w:tc>
        <w:tc>
          <w:tcPr>
            <w:tcW w:w="1329" w:type="dxa"/>
            <w:shd w:val="clear" w:color="auto" w:fill="FFFFFF"/>
            <w:vAlign w:val="center"/>
          </w:tcPr>
          <w:p w14:paraId="3EED791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BAD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34B068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25</w:t>
            </w:r>
          </w:p>
        </w:tc>
        <w:tc>
          <w:tcPr>
            <w:tcW w:w="975" w:type="dxa"/>
            <w:shd w:val="clear" w:color="auto" w:fill="FFFFFF"/>
            <w:vAlign w:val="center"/>
          </w:tcPr>
          <w:p w14:paraId="46D7029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711B70D3">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42A52C5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独立网卡接口类型</w:t>
            </w:r>
          </w:p>
        </w:tc>
        <w:tc>
          <w:tcPr>
            <w:tcW w:w="4045" w:type="dxa"/>
            <w:shd w:val="clear" w:color="auto" w:fill="FFFFFF"/>
            <w:vAlign w:val="center"/>
          </w:tcPr>
          <w:p w14:paraId="2EC7544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支持RJ45/QSFP/SFP等</w:t>
            </w:r>
          </w:p>
        </w:tc>
        <w:tc>
          <w:tcPr>
            <w:tcW w:w="1329" w:type="dxa"/>
            <w:shd w:val="clear" w:color="auto" w:fill="FFFFFF"/>
            <w:vAlign w:val="center"/>
          </w:tcPr>
          <w:p w14:paraId="05A3EF2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EE06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7E9C34C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26</w:t>
            </w:r>
          </w:p>
        </w:tc>
        <w:tc>
          <w:tcPr>
            <w:tcW w:w="975" w:type="dxa"/>
            <w:shd w:val="clear" w:color="auto" w:fill="FFFFFF"/>
            <w:vAlign w:val="center"/>
          </w:tcPr>
          <w:p w14:paraId="3F49EC0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30C71416">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5FAF7FE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板载网卡接口类型</w:t>
            </w:r>
          </w:p>
        </w:tc>
        <w:tc>
          <w:tcPr>
            <w:tcW w:w="4045" w:type="dxa"/>
            <w:shd w:val="clear" w:color="auto" w:fill="FFFFFF"/>
            <w:vAlign w:val="center"/>
          </w:tcPr>
          <w:p w14:paraId="439D0BA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支持RJ45/QSFP/SFP等</w:t>
            </w:r>
          </w:p>
        </w:tc>
        <w:tc>
          <w:tcPr>
            <w:tcW w:w="1329" w:type="dxa"/>
            <w:shd w:val="clear" w:color="auto" w:fill="FFFFFF"/>
            <w:vAlign w:val="center"/>
          </w:tcPr>
          <w:p w14:paraId="4421E14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628E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33" w:type="dxa"/>
            <w:shd w:val="clear" w:color="auto" w:fill="FFFFFF"/>
            <w:vAlign w:val="center"/>
          </w:tcPr>
          <w:p w14:paraId="6C4BD6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27</w:t>
            </w:r>
          </w:p>
        </w:tc>
        <w:tc>
          <w:tcPr>
            <w:tcW w:w="975" w:type="dxa"/>
            <w:shd w:val="clear" w:color="auto" w:fill="FFFFFF"/>
            <w:vAlign w:val="center"/>
          </w:tcPr>
          <w:p w14:paraId="10A60D2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restart"/>
            <w:shd w:val="clear" w:color="auto" w:fill="FFFFFF"/>
            <w:vAlign w:val="center"/>
          </w:tcPr>
          <w:p w14:paraId="665EB8F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外部接口规格</w:t>
            </w:r>
          </w:p>
        </w:tc>
        <w:tc>
          <w:tcPr>
            <w:tcW w:w="1475" w:type="dxa"/>
            <w:shd w:val="clear" w:color="auto" w:fill="FFFFFF"/>
            <w:vAlign w:val="center"/>
          </w:tcPr>
          <w:p w14:paraId="35CBC96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★显示接口</w:t>
            </w:r>
          </w:p>
        </w:tc>
        <w:tc>
          <w:tcPr>
            <w:tcW w:w="4045" w:type="dxa"/>
            <w:shd w:val="clear" w:color="auto" w:fill="FFFFFF"/>
            <w:vAlign w:val="center"/>
          </w:tcPr>
          <w:p w14:paraId="67140F2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显示接口类型应≥1种，如：VGA、DP、HDMI等</w:t>
            </w:r>
          </w:p>
        </w:tc>
        <w:tc>
          <w:tcPr>
            <w:tcW w:w="1329" w:type="dxa"/>
            <w:shd w:val="clear" w:color="auto" w:fill="FFFFFF"/>
            <w:vAlign w:val="center"/>
          </w:tcPr>
          <w:p w14:paraId="38A4E55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F8B8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33" w:type="dxa"/>
            <w:shd w:val="clear" w:color="auto" w:fill="FFFFFF"/>
            <w:vAlign w:val="center"/>
          </w:tcPr>
          <w:p w14:paraId="1540E77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28</w:t>
            </w:r>
          </w:p>
        </w:tc>
        <w:tc>
          <w:tcPr>
            <w:tcW w:w="975" w:type="dxa"/>
            <w:shd w:val="clear" w:color="auto" w:fill="FFFFFF"/>
            <w:vAlign w:val="center"/>
          </w:tcPr>
          <w:p w14:paraId="58BE929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420577A0">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53B1236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★USB接口</w:t>
            </w:r>
          </w:p>
        </w:tc>
        <w:tc>
          <w:tcPr>
            <w:tcW w:w="4045" w:type="dxa"/>
            <w:shd w:val="clear" w:color="auto" w:fill="FFFFFF"/>
            <w:vAlign w:val="center"/>
          </w:tcPr>
          <w:p w14:paraId="3D9F56A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配备USB接口，如USB2.0、USB3.0等</w:t>
            </w:r>
          </w:p>
        </w:tc>
        <w:tc>
          <w:tcPr>
            <w:tcW w:w="1329" w:type="dxa"/>
            <w:shd w:val="clear" w:color="auto" w:fill="FFFFFF"/>
            <w:vAlign w:val="center"/>
          </w:tcPr>
          <w:p w14:paraId="36714F2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EFFB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550879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29</w:t>
            </w:r>
          </w:p>
        </w:tc>
        <w:tc>
          <w:tcPr>
            <w:tcW w:w="975" w:type="dxa"/>
            <w:shd w:val="clear" w:color="auto" w:fill="FFFFFF"/>
            <w:vAlign w:val="center"/>
          </w:tcPr>
          <w:p w14:paraId="50DEDB2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65D3A00B">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29D10EF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特殊接口及孔位</w:t>
            </w:r>
          </w:p>
        </w:tc>
        <w:tc>
          <w:tcPr>
            <w:tcW w:w="4045" w:type="dxa"/>
            <w:shd w:val="clear" w:color="auto" w:fill="FFFFFF"/>
            <w:vAlign w:val="center"/>
          </w:tcPr>
          <w:p w14:paraId="369A8E4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前面板预留1个专用USB母座接口孔位</w:t>
            </w:r>
          </w:p>
        </w:tc>
        <w:tc>
          <w:tcPr>
            <w:tcW w:w="1329" w:type="dxa"/>
            <w:shd w:val="clear" w:color="auto" w:fill="FFFFFF"/>
            <w:vAlign w:val="center"/>
          </w:tcPr>
          <w:p w14:paraId="1404F9B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0701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33" w:type="dxa"/>
            <w:shd w:val="clear" w:color="auto" w:fill="FFFFFF"/>
            <w:vAlign w:val="center"/>
          </w:tcPr>
          <w:p w14:paraId="1A64096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30</w:t>
            </w:r>
          </w:p>
        </w:tc>
        <w:tc>
          <w:tcPr>
            <w:tcW w:w="975" w:type="dxa"/>
            <w:shd w:val="clear" w:color="auto" w:fill="FFFFFF"/>
            <w:vAlign w:val="center"/>
          </w:tcPr>
          <w:p w14:paraId="700E58A9">
            <w:pPr>
              <w:widowControl/>
              <w:jc w:val="center"/>
              <w:rPr>
                <w:rFonts w:asciiTheme="minorEastAsia" w:hAnsiTheme="minorEastAsia" w:eastAsiaTheme="minorEastAsia" w:cstheme="minorEastAsia"/>
                <w:kern w:val="0"/>
                <w:sz w:val="24"/>
              </w:rPr>
            </w:pPr>
          </w:p>
        </w:tc>
        <w:tc>
          <w:tcPr>
            <w:tcW w:w="1122" w:type="dxa"/>
            <w:vMerge w:val="continue"/>
            <w:shd w:val="clear" w:color="auto" w:fill="FFFFFF"/>
            <w:vAlign w:val="center"/>
          </w:tcPr>
          <w:p w14:paraId="4162C24A">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15B6498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其他接口</w:t>
            </w:r>
          </w:p>
        </w:tc>
        <w:tc>
          <w:tcPr>
            <w:tcW w:w="4045" w:type="dxa"/>
            <w:shd w:val="clear" w:color="auto" w:fill="FFFFFF"/>
            <w:vAlign w:val="center"/>
          </w:tcPr>
          <w:p w14:paraId="6518D42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 串口数量≥1 个，并可实现GB/T 6107 或GB/T 26803.2 的相关功能；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b) 服务器主机前面板可根据用户实际使用需求预留1 个专用USB 母座接口孔位</w:t>
            </w:r>
          </w:p>
        </w:tc>
        <w:tc>
          <w:tcPr>
            <w:tcW w:w="1329" w:type="dxa"/>
            <w:shd w:val="clear" w:color="auto" w:fill="FFFFFF"/>
            <w:vAlign w:val="center"/>
          </w:tcPr>
          <w:p w14:paraId="1A4E437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048F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33" w:type="dxa"/>
            <w:shd w:val="clear" w:color="auto" w:fill="FFFFFF"/>
            <w:vAlign w:val="center"/>
          </w:tcPr>
          <w:p w14:paraId="30AB9C4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31</w:t>
            </w:r>
          </w:p>
        </w:tc>
        <w:tc>
          <w:tcPr>
            <w:tcW w:w="975" w:type="dxa"/>
            <w:shd w:val="clear" w:color="auto" w:fill="FFFFFF"/>
            <w:vAlign w:val="center"/>
          </w:tcPr>
          <w:p w14:paraId="0FF6165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restart"/>
            <w:shd w:val="clear" w:color="auto" w:fill="FFFFFF"/>
            <w:vAlign w:val="center"/>
          </w:tcPr>
          <w:p w14:paraId="2BF94C5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电源规格</w:t>
            </w:r>
          </w:p>
        </w:tc>
        <w:tc>
          <w:tcPr>
            <w:tcW w:w="1475" w:type="dxa"/>
            <w:shd w:val="clear" w:color="auto" w:fill="FFFFFF"/>
            <w:vAlign w:val="center"/>
          </w:tcPr>
          <w:p w14:paraId="02AAEE1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电源冗余模式</w:t>
            </w:r>
          </w:p>
        </w:tc>
        <w:tc>
          <w:tcPr>
            <w:tcW w:w="4045" w:type="dxa"/>
            <w:shd w:val="clear" w:color="auto" w:fill="FFFFFF"/>
            <w:vAlign w:val="center"/>
          </w:tcPr>
          <w:p w14:paraId="15B6B79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整机电源模块按1+1冗余或N+1冗余配置</w:t>
            </w:r>
          </w:p>
        </w:tc>
        <w:tc>
          <w:tcPr>
            <w:tcW w:w="1329" w:type="dxa"/>
            <w:shd w:val="clear" w:color="auto" w:fill="FFFFFF"/>
            <w:vAlign w:val="center"/>
          </w:tcPr>
          <w:p w14:paraId="771B9E0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ED54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050CB4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w:t>
            </w:r>
          </w:p>
        </w:tc>
        <w:tc>
          <w:tcPr>
            <w:tcW w:w="975" w:type="dxa"/>
            <w:shd w:val="clear" w:color="auto" w:fill="FFFFFF"/>
            <w:vAlign w:val="center"/>
          </w:tcPr>
          <w:p w14:paraId="64335DC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0B5B788D">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1142DD9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★电源模块数量</w:t>
            </w:r>
          </w:p>
        </w:tc>
        <w:tc>
          <w:tcPr>
            <w:tcW w:w="4045" w:type="dxa"/>
            <w:shd w:val="clear" w:color="auto" w:fill="FFFFFF"/>
            <w:vAlign w:val="center"/>
          </w:tcPr>
          <w:p w14:paraId="74CAD70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1329" w:type="dxa"/>
            <w:shd w:val="clear" w:color="auto" w:fill="FFFFFF"/>
            <w:vAlign w:val="center"/>
          </w:tcPr>
          <w:p w14:paraId="0E7F4DF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2142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33" w:type="dxa"/>
            <w:shd w:val="clear" w:color="auto" w:fill="FFFFFF"/>
            <w:vAlign w:val="center"/>
          </w:tcPr>
          <w:p w14:paraId="77759BE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33</w:t>
            </w:r>
          </w:p>
        </w:tc>
        <w:tc>
          <w:tcPr>
            <w:tcW w:w="975" w:type="dxa"/>
            <w:shd w:val="clear" w:color="auto" w:fill="FFFFFF"/>
            <w:vAlign w:val="center"/>
          </w:tcPr>
          <w:p w14:paraId="5F96D3C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1057F3B2">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2F06C2F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★电源功率</w:t>
            </w:r>
          </w:p>
        </w:tc>
        <w:tc>
          <w:tcPr>
            <w:tcW w:w="4045" w:type="dxa"/>
            <w:shd w:val="clear" w:color="auto" w:fill="FFFFFF"/>
            <w:vAlign w:val="center"/>
          </w:tcPr>
          <w:p w14:paraId="306B00D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电源模块功率应有一定冗余，满足处理器满载时的需求</w:t>
            </w:r>
          </w:p>
        </w:tc>
        <w:tc>
          <w:tcPr>
            <w:tcW w:w="1329" w:type="dxa"/>
            <w:shd w:val="clear" w:color="auto" w:fill="FFFFFF"/>
            <w:vAlign w:val="center"/>
          </w:tcPr>
          <w:p w14:paraId="52590D2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81B3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33" w:type="dxa"/>
            <w:shd w:val="clear" w:color="auto" w:fill="FFFFFF"/>
            <w:vAlign w:val="center"/>
          </w:tcPr>
          <w:p w14:paraId="511BAAA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34</w:t>
            </w:r>
          </w:p>
        </w:tc>
        <w:tc>
          <w:tcPr>
            <w:tcW w:w="975" w:type="dxa"/>
            <w:shd w:val="clear" w:color="auto" w:fill="FFFFFF"/>
            <w:vAlign w:val="center"/>
          </w:tcPr>
          <w:p w14:paraId="269E1D6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6CC25684">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7E25158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电源指示灯</w:t>
            </w:r>
          </w:p>
        </w:tc>
        <w:tc>
          <w:tcPr>
            <w:tcW w:w="4045" w:type="dxa"/>
            <w:shd w:val="clear" w:color="auto" w:fill="FFFFFF"/>
            <w:vAlign w:val="center"/>
          </w:tcPr>
          <w:p w14:paraId="5783841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配备电源指示灯，指示待机、工作异常等状态</w:t>
            </w:r>
          </w:p>
        </w:tc>
        <w:tc>
          <w:tcPr>
            <w:tcW w:w="1329" w:type="dxa"/>
            <w:shd w:val="clear" w:color="auto" w:fill="FFFFFF"/>
            <w:vAlign w:val="center"/>
          </w:tcPr>
          <w:p w14:paraId="7E2EDFD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B445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0" w:hRule="atLeast"/>
        </w:trPr>
        <w:tc>
          <w:tcPr>
            <w:tcW w:w="633" w:type="dxa"/>
            <w:shd w:val="clear" w:color="auto" w:fill="FFFFFF"/>
            <w:vAlign w:val="center"/>
          </w:tcPr>
          <w:p w14:paraId="3D6ACC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35</w:t>
            </w:r>
          </w:p>
        </w:tc>
        <w:tc>
          <w:tcPr>
            <w:tcW w:w="975" w:type="dxa"/>
            <w:shd w:val="clear" w:color="auto" w:fill="FFFFFF"/>
            <w:vAlign w:val="center"/>
          </w:tcPr>
          <w:p w14:paraId="19D4375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restart"/>
            <w:shd w:val="clear" w:color="auto" w:fill="FFFFFF"/>
            <w:vAlign w:val="center"/>
          </w:tcPr>
          <w:p w14:paraId="69F3A43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整机规格</w:t>
            </w:r>
          </w:p>
        </w:tc>
        <w:tc>
          <w:tcPr>
            <w:tcW w:w="1475" w:type="dxa"/>
            <w:shd w:val="clear" w:color="auto" w:fill="FFFFFF"/>
            <w:vAlign w:val="center"/>
          </w:tcPr>
          <w:p w14:paraId="7807C23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★外观和结构</w:t>
            </w:r>
          </w:p>
        </w:tc>
        <w:tc>
          <w:tcPr>
            <w:tcW w:w="4045" w:type="dxa"/>
            <w:shd w:val="clear" w:color="auto" w:fill="FFFFFF"/>
            <w:vAlign w:val="center"/>
          </w:tcPr>
          <w:p w14:paraId="399BD41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a）服务器的零部件应紧固无松动，可插拔部件应可靠连接，开关、按钮和其他控制部件应灵活可靠，布局应方便使用；</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b）产品表面不应有明显的凹痕、划伤、裂缝、变形和污染等。表面涂层均匀，不应起泡、龟裂、脱落和磨损，金属零部件无锈蚀及其它机械损伤；</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c）产品表面说明功能的文字、符号和标志应清晰、端正且牢固；</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d）应在服务器的显著位置提供运行状态的指示功能，并在技术文件或者技术白皮书中明确具体含义；</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e）机架、机箱的尺寸应符合通用机柜的安装要求，插入总线插座的电路板接口外形尺寸应符合有关总线标准的规定，将机箱固定在机柜上，机箱底面最大下垂变形不得干涉相邻机体；</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f）高密度服务器应给出CPU个数与机柜高度；（本项目不涉及）</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g）服务器尺寸具体要求在技术文件或者技术白皮书中明确</w:t>
            </w:r>
          </w:p>
        </w:tc>
        <w:tc>
          <w:tcPr>
            <w:tcW w:w="1329" w:type="dxa"/>
            <w:shd w:val="clear" w:color="auto" w:fill="FFFFFF"/>
            <w:vAlign w:val="center"/>
          </w:tcPr>
          <w:p w14:paraId="022CDD6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F9CD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33" w:type="dxa"/>
            <w:shd w:val="clear" w:color="auto" w:fill="FFFFFF"/>
            <w:vAlign w:val="center"/>
          </w:tcPr>
          <w:p w14:paraId="00AB3C9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36</w:t>
            </w:r>
          </w:p>
        </w:tc>
        <w:tc>
          <w:tcPr>
            <w:tcW w:w="975" w:type="dxa"/>
            <w:shd w:val="clear" w:color="auto" w:fill="FFFFFF"/>
            <w:vAlign w:val="center"/>
          </w:tcPr>
          <w:p w14:paraId="33EAF6C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754E9855">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5F0CD6E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★尺寸（高×宽×深）</w:t>
            </w:r>
          </w:p>
        </w:tc>
        <w:tc>
          <w:tcPr>
            <w:tcW w:w="4045" w:type="dxa"/>
            <w:shd w:val="clear" w:color="auto" w:fill="FFFFFF"/>
            <w:vAlign w:val="center"/>
          </w:tcPr>
          <w:p w14:paraId="03C1A74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供应商给出产品尺寸；</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设计应遵循标准化、系列化的要求；</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机箱的内部结构符合通用部件的安装需要</w:t>
            </w:r>
          </w:p>
        </w:tc>
        <w:tc>
          <w:tcPr>
            <w:tcW w:w="1329" w:type="dxa"/>
            <w:shd w:val="clear" w:color="auto" w:fill="FFFFFF"/>
            <w:vAlign w:val="center"/>
          </w:tcPr>
          <w:p w14:paraId="646422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CCD7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33" w:type="dxa"/>
            <w:shd w:val="clear" w:color="auto" w:fill="FFFFFF"/>
            <w:vAlign w:val="center"/>
          </w:tcPr>
          <w:p w14:paraId="13E183E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37</w:t>
            </w:r>
          </w:p>
        </w:tc>
        <w:tc>
          <w:tcPr>
            <w:tcW w:w="975" w:type="dxa"/>
            <w:shd w:val="clear" w:color="auto" w:fill="FFFFFF"/>
            <w:vAlign w:val="center"/>
          </w:tcPr>
          <w:p w14:paraId="0D53F77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54859629">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5309AC9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服务器导轨</w:t>
            </w:r>
          </w:p>
        </w:tc>
        <w:tc>
          <w:tcPr>
            <w:tcW w:w="4045" w:type="dxa"/>
            <w:shd w:val="clear" w:color="auto" w:fill="FFFFFF"/>
            <w:vAlign w:val="center"/>
          </w:tcPr>
          <w:p w14:paraId="009C72E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供应商给出导轨尺寸、安装方式等信息</w:t>
            </w:r>
          </w:p>
        </w:tc>
        <w:tc>
          <w:tcPr>
            <w:tcW w:w="1329" w:type="dxa"/>
            <w:shd w:val="clear" w:color="auto" w:fill="FFFFFF"/>
            <w:vAlign w:val="center"/>
          </w:tcPr>
          <w:p w14:paraId="70828B6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7A2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33" w:type="dxa"/>
            <w:shd w:val="clear" w:color="auto" w:fill="FFFFFF"/>
            <w:vAlign w:val="center"/>
          </w:tcPr>
          <w:p w14:paraId="5968376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38</w:t>
            </w:r>
          </w:p>
        </w:tc>
        <w:tc>
          <w:tcPr>
            <w:tcW w:w="975" w:type="dxa"/>
            <w:shd w:val="clear" w:color="auto" w:fill="FFFFFF"/>
            <w:vAlign w:val="center"/>
          </w:tcPr>
          <w:p w14:paraId="264D9E0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78D32DCC">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634DFC9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CPU个数与机柜高度单位（U）比</w:t>
            </w:r>
          </w:p>
        </w:tc>
        <w:tc>
          <w:tcPr>
            <w:tcW w:w="4045" w:type="dxa"/>
            <w:shd w:val="clear" w:color="auto" w:fill="FFFFFF"/>
            <w:vAlign w:val="center"/>
          </w:tcPr>
          <w:p w14:paraId="59E82EF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供应商给出CPU个数与机柜高度</w:t>
            </w:r>
          </w:p>
        </w:tc>
        <w:tc>
          <w:tcPr>
            <w:tcW w:w="1329" w:type="dxa"/>
            <w:shd w:val="clear" w:color="auto" w:fill="FFFFFF"/>
            <w:vAlign w:val="center"/>
          </w:tcPr>
          <w:p w14:paraId="642DFCC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269C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33" w:type="dxa"/>
            <w:shd w:val="clear" w:color="auto" w:fill="FFFFFF"/>
            <w:vAlign w:val="center"/>
          </w:tcPr>
          <w:p w14:paraId="6A5596F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39</w:t>
            </w:r>
          </w:p>
        </w:tc>
        <w:tc>
          <w:tcPr>
            <w:tcW w:w="975" w:type="dxa"/>
            <w:shd w:val="clear" w:color="auto" w:fill="FFFFFF"/>
            <w:vAlign w:val="center"/>
          </w:tcPr>
          <w:p w14:paraId="555798D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018DAEC8">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7369EFF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★环境适应性</w:t>
            </w:r>
          </w:p>
        </w:tc>
        <w:tc>
          <w:tcPr>
            <w:tcW w:w="4045" w:type="dxa"/>
            <w:shd w:val="clear" w:color="auto" w:fill="FFFFFF"/>
            <w:vAlign w:val="center"/>
          </w:tcPr>
          <w:p w14:paraId="7AF8370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气候环境适应性应符合GB/T9813.3的有关规定，工作温度10~35℃,贮存运输温度-40～55℃;工作相对湿度35%～80%，贮存运输相对湿度20％～93%（40℃）;大气压86～106kPa</w:t>
            </w:r>
          </w:p>
        </w:tc>
        <w:tc>
          <w:tcPr>
            <w:tcW w:w="1329" w:type="dxa"/>
            <w:shd w:val="clear" w:color="auto" w:fill="FFFFFF"/>
            <w:vAlign w:val="center"/>
          </w:tcPr>
          <w:p w14:paraId="119617C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A3A6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33" w:type="dxa"/>
            <w:shd w:val="clear" w:color="auto" w:fill="FFFFFF"/>
            <w:vAlign w:val="center"/>
          </w:tcPr>
          <w:p w14:paraId="387FA12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40</w:t>
            </w:r>
          </w:p>
        </w:tc>
        <w:tc>
          <w:tcPr>
            <w:tcW w:w="975" w:type="dxa"/>
            <w:shd w:val="clear" w:color="auto" w:fill="FFFFFF"/>
            <w:vAlign w:val="center"/>
          </w:tcPr>
          <w:p w14:paraId="164714E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3713FB6E">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2623728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特殊机型环境适应性</w:t>
            </w:r>
          </w:p>
        </w:tc>
        <w:tc>
          <w:tcPr>
            <w:tcW w:w="4045" w:type="dxa"/>
            <w:shd w:val="clear" w:color="auto" w:fill="FFFFFF"/>
            <w:vAlign w:val="center"/>
          </w:tcPr>
          <w:p w14:paraId="6AB3730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边缘应用服务器，工作环境温度宜为0～45℃,短期工作可承受环境温度宜为-5～55℃,液冷服务器贮存运输温度宜为-30～55℃</w:t>
            </w:r>
          </w:p>
        </w:tc>
        <w:tc>
          <w:tcPr>
            <w:tcW w:w="1329" w:type="dxa"/>
            <w:shd w:val="clear" w:color="auto" w:fill="FFFFFF"/>
            <w:vAlign w:val="center"/>
          </w:tcPr>
          <w:p w14:paraId="52AC6B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2D9C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10742D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41</w:t>
            </w:r>
          </w:p>
        </w:tc>
        <w:tc>
          <w:tcPr>
            <w:tcW w:w="975" w:type="dxa"/>
            <w:shd w:val="clear" w:color="auto" w:fill="FFFFFF"/>
            <w:vAlign w:val="center"/>
          </w:tcPr>
          <w:p w14:paraId="66DEED5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700D42C5">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56E7125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★机械环境适应性</w:t>
            </w:r>
          </w:p>
        </w:tc>
        <w:tc>
          <w:tcPr>
            <w:tcW w:w="4045" w:type="dxa"/>
            <w:shd w:val="clear" w:color="auto" w:fill="FFFFFF"/>
            <w:vAlign w:val="center"/>
          </w:tcPr>
          <w:p w14:paraId="4506975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机械环境适应性应符合GB/T9813.3的有关规定</w:t>
            </w:r>
          </w:p>
        </w:tc>
        <w:tc>
          <w:tcPr>
            <w:tcW w:w="1329" w:type="dxa"/>
            <w:shd w:val="clear" w:color="auto" w:fill="FFFFFF"/>
            <w:vAlign w:val="center"/>
          </w:tcPr>
          <w:p w14:paraId="1984D33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F89B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675B715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42</w:t>
            </w:r>
          </w:p>
        </w:tc>
        <w:tc>
          <w:tcPr>
            <w:tcW w:w="975" w:type="dxa"/>
            <w:shd w:val="clear" w:color="auto" w:fill="FFFFFF"/>
            <w:vAlign w:val="center"/>
          </w:tcPr>
          <w:p w14:paraId="5A81933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5CE1F2A0">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1CEF733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★噪声</w:t>
            </w:r>
          </w:p>
        </w:tc>
        <w:tc>
          <w:tcPr>
            <w:tcW w:w="4045" w:type="dxa"/>
            <w:shd w:val="clear" w:color="auto" w:fill="FFFFFF"/>
            <w:vAlign w:val="center"/>
          </w:tcPr>
          <w:p w14:paraId="79BBB0E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符合GB/T9813.3的有关规定，在产品说明中给出具体测试值塔式服务器噪声在空闲状态下≤50dB</w:t>
            </w:r>
          </w:p>
        </w:tc>
        <w:tc>
          <w:tcPr>
            <w:tcW w:w="1329" w:type="dxa"/>
            <w:shd w:val="clear" w:color="auto" w:fill="FFFFFF"/>
            <w:vAlign w:val="center"/>
          </w:tcPr>
          <w:p w14:paraId="6EA51F4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1BC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728" w:hRule="atLeast"/>
        </w:trPr>
        <w:tc>
          <w:tcPr>
            <w:tcW w:w="633" w:type="dxa"/>
            <w:shd w:val="clear" w:color="auto" w:fill="FFFFFF"/>
            <w:vAlign w:val="center"/>
          </w:tcPr>
          <w:p w14:paraId="2713BB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43</w:t>
            </w:r>
          </w:p>
        </w:tc>
        <w:tc>
          <w:tcPr>
            <w:tcW w:w="975" w:type="dxa"/>
            <w:shd w:val="clear" w:color="auto" w:fill="FFFFFF"/>
            <w:vAlign w:val="center"/>
          </w:tcPr>
          <w:p w14:paraId="0494B0C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restart"/>
            <w:shd w:val="clear" w:color="auto" w:fill="FFFFFF"/>
            <w:vAlign w:val="center"/>
          </w:tcPr>
          <w:p w14:paraId="3FB35CC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AI计算单元规格</w:t>
            </w:r>
          </w:p>
        </w:tc>
        <w:tc>
          <w:tcPr>
            <w:tcW w:w="1475" w:type="dxa"/>
            <w:shd w:val="clear" w:color="auto" w:fill="FFFFFF"/>
            <w:vAlign w:val="center"/>
          </w:tcPr>
          <w:p w14:paraId="71A8B47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AI计算单元</w:t>
            </w:r>
          </w:p>
        </w:tc>
        <w:tc>
          <w:tcPr>
            <w:tcW w:w="4045" w:type="dxa"/>
            <w:shd w:val="clear" w:color="auto" w:fill="FFFFFF"/>
            <w:vAlign w:val="center"/>
          </w:tcPr>
          <w:p w14:paraId="0E9493A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若配备AI计算单元应符合如下要求：</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a）具备人工智能加速处理器，计算精度至少支持FP16、BF16、FP32、FP64、INT8和INT16等中的1种；</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b）单推理卡或模块，具备视频解析、文本识别、语音分析等推理能力；在视觉场景下配备可直接调用的接口实现视觉计算加速，路数不小于64（1080P 30FPS）</w:t>
            </w:r>
          </w:p>
        </w:tc>
        <w:tc>
          <w:tcPr>
            <w:tcW w:w="1329" w:type="dxa"/>
            <w:shd w:val="clear" w:color="auto" w:fill="FFFFFF"/>
            <w:vAlign w:val="center"/>
          </w:tcPr>
          <w:p w14:paraId="0868C04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4CE2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33" w:type="dxa"/>
            <w:shd w:val="clear" w:color="auto" w:fill="FFFFFF"/>
            <w:vAlign w:val="center"/>
          </w:tcPr>
          <w:p w14:paraId="1BBEC6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44</w:t>
            </w:r>
          </w:p>
        </w:tc>
        <w:tc>
          <w:tcPr>
            <w:tcW w:w="975" w:type="dxa"/>
            <w:shd w:val="clear" w:color="auto" w:fill="FFFFFF"/>
            <w:vAlign w:val="center"/>
          </w:tcPr>
          <w:p w14:paraId="5630AE7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79B79BA5">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6FCE7B9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一键式迁移</w:t>
            </w:r>
          </w:p>
        </w:tc>
        <w:tc>
          <w:tcPr>
            <w:tcW w:w="4045" w:type="dxa"/>
            <w:shd w:val="clear" w:color="auto" w:fill="FFFFFF"/>
            <w:vAlign w:val="center"/>
          </w:tcPr>
          <w:p w14:paraId="3537CCE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若服务器配备AI计算单元，提供训练脚本迁移工具</w:t>
            </w:r>
          </w:p>
        </w:tc>
        <w:tc>
          <w:tcPr>
            <w:tcW w:w="1329" w:type="dxa"/>
            <w:shd w:val="clear" w:color="auto" w:fill="FFFFFF"/>
            <w:vAlign w:val="center"/>
          </w:tcPr>
          <w:p w14:paraId="6D2ADE4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11F6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33" w:type="dxa"/>
            <w:shd w:val="clear" w:color="auto" w:fill="FFFFFF"/>
            <w:vAlign w:val="center"/>
          </w:tcPr>
          <w:p w14:paraId="4D0A927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45</w:t>
            </w:r>
          </w:p>
        </w:tc>
        <w:tc>
          <w:tcPr>
            <w:tcW w:w="975" w:type="dxa"/>
            <w:shd w:val="clear" w:color="auto" w:fill="FFFFFF"/>
            <w:vAlign w:val="center"/>
          </w:tcPr>
          <w:p w14:paraId="744E503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restart"/>
            <w:shd w:val="clear" w:color="auto" w:fill="FFFFFF"/>
            <w:vAlign w:val="center"/>
          </w:tcPr>
          <w:p w14:paraId="60DAAB0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机柜规格</w:t>
            </w:r>
          </w:p>
        </w:tc>
        <w:tc>
          <w:tcPr>
            <w:tcW w:w="1475" w:type="dxa"/>
            <w:shd w:val="clear" w:color="auto" w:fill="FFFFFF"/>
            <w:vAlign w:val="center"/>
          </w:tcPr>
          <w:p w14:paraId="33AF37F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★机柜尺寸</w:t>
            </w:r>
          </w:p>
        </w:tc>
        <w:tc>
          <w:tcPr>
            <w:tcW w:w="4045" w:type="dxa"/>
            <w:shd w:val="clear" w:color="auto" w:fill="FFFFFF"/>
            <w:vAlign w:val="center"/>
          </w:tcPr>
          <w:p w14:paraId="30E52F2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供应商给出长度、高度和深度</w:t>
            </w:r>
          </w:p>
        </w:tc>
        <w:tc>
          <w:tcPr>
            <w:tcW w:w="1329" w:type="dxa"/>
            <w:shd w:val="clear" w:color="auto" w:fill="FFFFFF"/>
            <w:vAlign w:val="center"/>
          </w:tcPr>
          <w:p w14:paraId="5B582AF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44E5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33" w:type="dxa"/>
            <w:shd w:val="clear" w:color="auto" w:fill="FFFFFF"/>
            <w:vAlign w:val="center"/>
          </w:tcPr>
          <w:p w14:paraId="7639C5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46</w:t>
            </w:r>
          </w:p>
        </w:tc>
        <w:tc>
          <w:tcPr>
            <w:tcW w:w="975" w:type="dxa"/>
            <w:shd w:val="clear" w:color="auto" w:fill="FFFFFF"/>
            <w:vAlign w:val="center"/>
          </w:tcPr>
          <w:p w14:paraId="7DB5969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4B00D2C5">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5278F00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机柜管理板</w:t>
            </w:r>
          </w:p>
        </w:tc>
        <w:tc>
          <w:tcPr>
            <w:tcW w:w="4045" w:type="dxa"/>
            <w:shd w:val="clear" w:color="auto" w:fill="FFFFFF"/>
            <w:vAlign w:val="center"/>
          </w:tcPr>
          <w:p w14:paraId="2D6B1E7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配备机柜管理板</w:t>
            </w:r>
          </w:p>
        </w:tc>
        <w:tc>
          <w:tcPr>
            <w:tcW w:w="1329" w:type="dxa"/>
            <w:shd w:val="clear" w:color="auto" w:fill="FFFFFF"/>
            <w:vAlign w:val="center"/>
          </w:tcPr>
          <w:p w14:paraId="1FF0F8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A9A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33" w:type="dxa"/>
            <w:shd w:val="clear" w:color="auto" w:fill="FFFFFF"/>
            <w:vAlign w:val="center"/>
          </w:tcPr>
          <w:p w14:paraId="6F96C42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47</w:t>
            </w:r>
          </w:p>
        </w:tc>
        <w:tc>
          <w:tcPr>
            <w:tcW w:w="975" w:type="dxa"/>
            <w:shd w:val="clear" w:color="auto" w:fill="FFFFFF"/>
            <w:vAlign w:val="center"/>
          </w:tcPr>
          <w:p w14:paraId="3CBCF03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122" w:type="dxa"/>
            <w:vMerge w:val="continue"/>
            <w:shd w:val="clear" w:color="auto" w:fill="FFFFFF"/>
            <w:vAlign w:val="center"/>
          </w:tcPr>
          <w:p w14:paraId="6E883479">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7B5847A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机柜电源规格</w:t>
            </w:r>
          </w:p>
        </w:tc>
        <w:tc>
          <w:tcPr>
            <w:tcW w:w="4045" w:type="dxa"/>
            <w:shd w:val="clear" w:color="auto" w:fill="FFFFFF"/>
            <w:vAlign w:val="center"/>
          </w:tcPr>
          <w:p w14:paraId="4BCEC29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a）机柜电源支持集中供电，电源输入≥2路且支持自动切换；</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b）机柜电源模块支持N+1冗余配置，电源模块可独立更换</w:t>
            </w:r>
          </w:p>
        </w:tc>
        <w:tc>
          <w:tcPr>
            <w:tcW w:w="1329" w:type="dxa"/>
            <w:shd w:val="clear" w:color="auto" w:fill="FFFFFF"/>
            <w:vAlign w:val="center"/>
          </w:tcPr>
          <w:p w14:paraId="21921B3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4B65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2567E6C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48</w:t>
            </w:r>
          </w:p>
        </w:tc>
        <w:tc>
          <w:tcPr>
            <w:tcW w:w="975" w:type="dxa"/>
            <w:shd w:val="clear" w:color="auto" w:fill="FFFFFF"/>
            <w:vAlign w:val="center"/>
          </w:tcPr>
          <w:p w14:paraId="2D210EC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122" w:type="dxa"/>
            <w:vMerge w:val="restart"/>
            <w:shd w:val="clear" w:color="auto" w:fill="FFFFFF"/>
            <w:vAlign w:val="center"/>
          </w:tcPr>
          <w:p w14:paraId="5D79F85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主板功能</w:t>
            </w:r>
          </w:p>
        </w:tc>
        <w:tc>
          <w:tcPr>
            <w:tcW w:w="1475" w:type="dxa"/>
            <w:shd w:val="clear" w:color="auto" w:fill="FFFFFF"/>
            <w:vAlign w:val="center"/>
          </w:tcPr>
          <w:p w14:paraId="185B7F7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★主板外部接口种类</w:t>
            </w:r>
          </w:p>
        </w:tc>
        <w:tc>
          <w:tcPr>
            <w:tcW w:w="4045" w:type="dxa"/>
            <w:shd w:val="clear" w:color="auto" w:fill="FFFFFF"/>
            <w:vAlign w:val="center"/>
          </w:tcPr>
          <w:p w14:paraId="7BA11B0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支持USB、显示、管理等接口，如：VGA、DP、HDMI、USB3.0、PS/2接口、BMC管理端口</w:t>
            </w:r>
          </w:p>
        </w:tc>
        <w:tc>
          <w:tcPr>
            <w:tcW w:w="1329" w:type="dxa"/>
            <w:shd w:val="clear" w:color="auto" w:fill="FFFFFF"/>
            <w:vAlign w:val="center"/>
          </w:tcPr>
          <w:p w14:paraId="550D9EC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C410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3AACF42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49</w:t>
            </w:r>
          </w:p>
        </w:tc>
        <w:tc>
          <w:tcPr>
            <w:tcW w:w="975" w:type="dxa"/>
            <w:shd w:val="clear" w:color="auto" w:fill="FFFFFF"/>
            <w:vAlign w:val="center"/>
          </w:tcPr>
          <w:p w14:paraId="3479564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122" w:type="dxa"/>
            <w:vMerge w:val="continue"/>
            <w:shd w:val="clear" w:color="auto" w:fill="FFFFFF"/>
            <w:vAlign w:val="center"/>
          </w:tcPr>
          <w:p w14:paraId="656BBF6C">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1718C5E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主板防烧板设计</w:t>
            </w:r>
          </w:p>
        </w:tc>
        <w:tc>
          <w:tcPr>
            <w:tcW w:w="4045" w:type="dxa"/>
            <w:shd w:val="clear" w:color="auto" w:fill="FFFFFF"/>
            <w:vAlign w:val="center"/>
          </w:tcPr>
          <w:p w14:paraId="03E9C8B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支持主板防烧板设计，保证电源故障后不扩散</w:t>
            </w:r>
          </w:p>
        </w:tc>
        <w:tc>
          <w:tcPr>
            <w:tcW w:w="1329" w:type="dxa"/>
            <w:shd w:val="clear" w:color="auto" w:fill="FFFFFF"/>
            <w:vAlign w:val="center"/>
          </w:tcPr>
          <w:p w14:paraId="080FD0F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D201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33" w:type="dxa"/>
            <w:shd w:val="clear" w:color="auto" w:fill="FFFFFF"/>
            <w:vAlign w:val="center"/>
          </w:tcPr>
          <w:p w14:paraId="71384E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50</w:t>
            </w:r>
          </w:p>
        </w:tc>
        <w:tc>
          <w:tcPr>
            <w:tcW w:w="975" w:type="dxa"/>
            <w:shd w:val="clear" w:color="auto" w:fill="FFFFFF"/>
            <w:vAlign w:val="center"/>
          </w:tcPr>
          <w:p w14:paraId="56DA890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122" w:type="dxa"/>
            <w:vMerge w:val="continue"/>
            <w:shd w:val="clear" w:color="auto" w:fill="FFFFFF"/>
            <w:vAlign w:val="center"/>
          </w:tcPr>
          <w:p w14:paraId="2190408B">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01415D4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扩展功能</w:t>
            </w:r>
          </w:p>
        </w:tc>
        <w:tc>
          <w:tcPr>
            <w:tcW w:w="4045" w:type="dxa"/>
            <w:shd w:val="clear" w:color="auto" w:fill="FFFFFF"/>
            <w:vAlign w:val="center"/>
          </w:tcPr>
          <w:p w14:paraId="076B9AC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实现至少一种扩展功能，如存储功能卡、显示功能卡、运算加速功能卡及网络功能卡等扩展功能</w:t>
            </w:r>
          </w:p>
        </w:tc>
        <w:tc>
          <w:tcPr>
            <w:tcW w:w="1329" w:type="dxa"/>
            <w:shd w:val="clear" w:color="auto" w:fill="FFFFFF"/>
            <w:vAlign w:val="center"/>
          </w:tcPr>
          <w:p w14:paraId="2401626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787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33" w:type="dxa"/>
            <w:shd w:val="clear" w:color="auto" w:fill="FFFFFF"/>
            <w:vAlign w:val="center"/>
          </w:tcPr>
          <w:p w14:paraId="65C57E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51</w:t>
            </w:r>
          </w:p>
        </w:tc>
        <w:tc>
          <w:tcPr>
            <w:tcW w:w="975" w:type="dxa"/>
            <w:shd w:val="clear" w:color="auto" w:fill="FFFFFF"/>
            <w:vAlign w:val="center"/>
          </w:tcPr>
          <w:p w14:paraId="6CA0A2F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122" w:type="dxa"/>
            <w:shd w:val="clear" w:color="auto" w:fill="FFFFFF"/>
            <w:vAlign w:val="center"/>
          </w:tcPr>
          <w:p w14:paraId="17CAA1C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网络功能</w:t>
            </w:r>
          </w:p>
        </w:tc>
        <w:tc>
          <w:tcPr>
            <w:tcW w:w="1475" w:type="dxa"/>
            <w:shd w:val="clear" w:color="auto" w:fill="FFFFFF"/>
            <w:vAlign w:val="center"/>
          </w:tcPr>
          <w:p w14:paraId="2E1DDE2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★网络功能</w:t>
            </w:r>
          </w:p>
        </w:tc>
        <w:tc>
          <w:tcPr>
            <w:tcW w:w="4045" w:type="dxa"/>
            <w:shd w:val="clear" w:color="auto" w:fill="FFFFFF"/>
            <w:vAlign w:val="center"/>
          </w:tcPr>
          <w:p w14:paraId="281EB1B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支持网络连接、网络访问、数据交换和网络管控功能</w:t>
            </w:r>
          </w:p>
        </w:tc>
        <w:tc>
          <w:tcPr>
            <w:tcW w:w="1329" w:type="dxa"/>
            <w:shd w:val="clear" w:color="auto" w:fill="FFFFFF"/>
            <w:vAlign w:val="center"/>
          </w:tcPr>
          <w:p w14:paraId="13751B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97B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33" w:type="dxa"/>
            <w:shd w:val="clear" w:color="auto" w:fill="FFFFFF"/>
            <w:vAlign w:val="center"/>
          </w:tcPr>
          <w:p w14:paraId="61D2EE4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52</w:t>
            </w:r>
          </w:p>
        </w:tc>
        <w:tc>
          <w:tcPr>
            <w:tcW w:w="975" w:type="dxa"/>
            <w:shd w:val="clear" w:color="auto" w:fill="FFFFFF"/>
            <w:vAlign w:val="center"/>
          </w:tcPr>
          <w:p w14:paraId="79061B2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122" w:type="dxa"/>
            <w:vMerge w:val="restart"/>
            <w:shd w:val="clear" w:color="auto" w:fill="FFFFFF"/>
            <w:vAlign w:val="center"/>
          </w:tcPr>
          <w:p w14:paraId="41D99B0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CPU功能</w:t>
            </w:r>
          </w:p>
        </w:tc>
        <w:tc>
          <w:tcPr>
            <w:tcW w:w="1475" w:type="dxa"/>
            <w:shd w:val="clear" w:color="auto" w:fill="FFFFFF"/>
            <w:vAlign w:val="center"/>
          </w:tcPr>
          <w:p w14:paraId="690193C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★计算处理</w:t>
            </w:r>
          </w:p>
        </w:tc>
        <w:tc>
          <w:tcPr>
            <w:tcW w:w="4045" w:type="dxa"/>
            <w:shd w:val="clear" w:color="auto" w:fill="FFFFFF"/>
            <w:vAlign w:val="center"/>
          </w:tcPr>
          <w:p w14:paraId="2D5DA25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支持通用计算及虚拟化功能。处理器需集成整型计算单元、浮点计算单元、内存控制器、I/O模块等，处理器与存储部件、网络部件、I/O部件等组成计算系统，提供数据处理、网络接入等计算相关功能</w:t>
            </w:r>
          </w:p>
        </w:tc>
        <w:tc>
          <w:tcPr>
            <w:tcW w:w="1329" w:type="dxa"/>
            <w:shd w:val="clear" w:color="auto" w:fill="FFFFFF"/>
            <w:vAlign w:val="center"/>
          </w:tcPr>
          <w:p w14:paraId="2FA8BAE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3AD7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01D365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53</w:t>
            </w:r>
          </w:p>
        </w:tc>
        <w:tc>
          <w:tcPr>
            <w:tcW w:w="975" w:type="dxa"/>
            <w:shd w:val="clear" w:color="auto" w:fill="FFFFFF"/>
            <w:vAlign w:val="center"/>
          </w:tcPr>
          <w:p w14:paraId="5C23510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122" w:type="dxa"/>
            <w:vMerge w:val="continue"/>
            <w:shd w:val="clear" w:color="auto" w:fill="FFFFFF"/>
            <w:vAlign w:val="center"/>
          </w:tcPr>
          <w:p w14:paraId="7FD9B7B1">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5B1AA4E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★密码算法实现</w:t>
            </w:r>
          </w:p>
        </w:tc>
        <w:tc>
          <w:tcPr>
            <w:tcW w:w="4045" w:type="dxa"/>
            <w:shd w:val="clear" w:color="auto" w:fill="FFFFFF"/>
            <w:vAlign w:val="center"/>
          </w:tcPr>
          <w:p w14:paraId="28EEE29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CPU芯片应符合GM/T0008的相关规定，或芯片密码模块应符合GB/T37092或GM/T0028的相关规定；</w:t>
            </w:r>
          </w:p>
        </w:tc>
        <w:tc>
          <w:tcPr>
            <w:tcW w:w="1329" w:type="dxa"/>
            <w:shd w:val="clear" w:color="auto" w:fill="FFFFFF"/>
            <w:vAlign w:val="center"/>
          </w:tcPr>
          <w:p w14:paraId="680824F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C153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33" w:type="dxa"/>
            <w:shd w:val="clear" w:color="auto" w:fill="FFFFFF"/>
            <w:vAlign w:val="center"/>
          </w:tcPr>
          <w:p w14:paraId="63A25D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54</w:t>
            </w:r>
          </w:p>
        </w:tc>
        <w:tc>
          <w:tcPr>
            <w:tcW w:w="975" w:type="dxa"/>
            <w:shd w:val="clear" w:color="auto" w:fill="FFFFFF"/>
            <w:vAlign w:val="center"/>
          </w:tcPr>
          <w:p w14:paraId="34EA229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122" w:type="dxa"/>
            <w:vMerge w:val="restart"/>
            <w:shd w:val="clear" w:color="auto" w:fill="FFFFFF"/>
            <w:vAlign w:val="center"/>
          </w:tcPr>
          <w:p w14:paraId="61E6F2C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存储功能</w:t>
            </w:r>
          </w:p>
        </w:tc>
        <w:tc>
          <w:tcPr>
            <w:tcW w:w="1475" w:type="dxa"/>
            <w:shd w:val="clear" w:color="auto" w:fill="FFFFFF"/>
            <w:vAlign w:val="center"/>
          </w:tcPr>
          <w:p w14:paraId="1BCA3E4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内存校验</w:t>
            </w:r>
          </w:p>
        </w:tc>
        <w:tc>
          <w:tcPr>
            <w:tcW w:w="4045" w:type="dxa"/>
            <w:shd w:val="clear" w:color="auto" w:fill="FFFFFF"/>
            <w:vAlign w:val="center"/>
          </w:tcPr>
          <w:p w14:paraId="413C54E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支持内存校验或内存增强型纠错功能</w:t>
            </w:r>
          </w:p>
        </w:tc>
        <w:tc>
          <w:tcPr>
            <w:tcW w:w="1329" w:type="dxa"/>
            <w:shd w:val="clear" w:color="auto" w:fill="FFFFFF"/>
            <w:vAlign w:val="center"/>
          </w:tcPr>
          <w:p w14:paraId="6919B9C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21D0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33" w:type="dxa"/>
            <w:shd w:val="clear" w:color="auto" w:fill="FFFFFF"/>
            <w:vAlign w:val="center"/>
          </w:tcPr>
          <w:p w14:paraId="07C46B2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55</w:t>
            </w:r>
          </w:p>
        </w:tc>
        <w:tc>
          <w:tcPr>
            <w:tcW w:w="975" w:type="dxa"/>
            <w:shd w:val="clear" w:color="auto" w:fill="FFFFFF"/>
            <w:vAlign w:val="center"/>
          </w:tcPr>
          <w:p w14:paraId="2624469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122" w:type="dxa"/>
            <w:vMerge w:val="continue"/>
            <w:shd w:val="clear" w:color="auto" w:fill="FFFFFF"/>
            <w:vAlign w:val="center"/>
          </w:tcPr>
          <w:p w14:paraId="58BD2DF1">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23F71A2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SATASSDNAND健康状态上报</w:t>
            </w:r>
          </w:p>
        </w:tc>
        <w:tc>
          <w:tcPr>
            <w:tcW w:w="4045" w:type="dxa"/>
            <w:shd w:val="clear" w:color="auto" w:fill="FFFFFF"/>
            <w:vAlign w:val="center"/>
          </w:tcPr>
          <w:p w14:paraId="4E9047D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支持关键外部存储器（硬磁盘、SSD等）的健康状态上报并进行故障诊断</w:t>
            </w:r>
          </w:p>
        </w:tc>
        <w:tc>
          <w:tcPr>
            <w:tcW w:w="1329" w:type="dxa"/>
            <w:shd w:val="clear" w:color="auto" w:fill="FFFFFF"/>
            <w:vAlign w:val="center"/>
          </w:tcPr>
          <w:p w14:paraId="2FDB63F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EF47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309CB4D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56</w:t>
            </w:r>
          </w:p>
        </w:tc>
        <w:tc>
          <w:tcPr>
            <w:tcW w:w="975" w:type="dxa"/>
            <w:shd w:val="clear" w:color="auto" w:fill="FFFFFF"/>
            <w:vAlign w:val="center"/>
          </w:tcPr>
          <w:p w14:paraId="7D5D9BB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122" w:type="dxa"/>
            <w:vMerge w:val="continue"/>
            <w:shd w:val="clear" w:color="auto" w:fill="FFFFFF"/>
            <w:vAlign w:val="center"/>
          </w:tcPr>
          <w:p w14:paraId="03F3F2AB">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1E843A8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SATASSD单die故障隔离</w:t>
            </w:r>
          </w:p>
        </w:tc>
        <w:tc>
          <w:tcPr>
            <w:tcW w:w="4045" w:type="dxa"/>
            <w:shd w:val="clear" w:color="auto" w:fill="FFFFFF"/>
            <w:vAlign w:val="center"/>
          </w:tcPr>
          <w:p w14:paraId="1A68DA9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支持SSD关键外部存储器中单存储晶元故障隔离</w:t>
            </w:r>
          </w:p>
        </w:tc>
        <w:tc>
          <w:tcPr>
            <w:tcW w:w="1329" w:type="dxa"/>
            <w:shd w:val="clear" w:color="auto" w:fill="FFFFFF"/>
            <w:vAlign w:val="center"/>
          </w:tcPr>
          <w:p w14:paraId="6D2DED3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E72A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33" w:type="dxa"/>
            <w:shd w:val="clear" w:color="auto" w:fill="FFFFFF"/>
            <w:vAlign w:val="center"/>
          </w:tcPr>
          <w:p w14:paraId="13C554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57</w:t>
            </w:r>
          </w:p>
        </w:tc>
        <w:tc>
          <w:tcPr>
            <w:tcW w:w="975" w:type="dxa"/>
            <w:shd w:val="clear" w:color="auto" w:fill="FFFFFF"/>
            <w:vAlign w:val="center"/>
          </w:tcPr>
          <w:p w14:paraId="29EDED4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122" w:type="dxa"/>
            <w:vMerge w:val="restart"/>
            <w:shd w:val="clear" w:color="auto" w:fill="FFFFFF"/>
            <w:vAlign w:val="center"/>
          </w:tcPr>
          <w:p w14:paraId="59A8507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RAID卡功能（若支持RAID卡）</w:t>
            </w:r>
          </w:p>
        </w:tc>
        <w:tc>
          <w:tcPr>
            <w:tcW w:w="1475" w:type="dxa"/>
            <w:shd w:val="clear" w:color="auto" w:fill="FFFFFF"/>
            <w:vAlign w:val="center"/>
          </w:tcPr>
          <w:p w14:paraId="5F0D772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★RAID卡配置及RAID级别支持</w:t>
            </w:r>
          </w:p>
        </w:tc>
        <w:tc>
          <w:tcPr>
            <w:tcW w:w="4045" w:type="dxa"/>
            <w:shd w:val="clear" w:color="auto" w:fill="FFFFFF"/>
            <w:vAlign w:val="center"/>
          </w:tcPr>
          <w:p w14:paraId="2F0DB97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RAID模式支持RAID0/1/10/5；</w:t>
            </w:r>
          </w:p>
        </w:tc>
        <w:tc>
          <w:tcPr>
            <w:tcW w:w="1329" w:type="dxa"/>
            <w:shd w:val="clear" w:color="auto" w:fill="FFFFFF"/>
            <w:vAlign w:val="center"/>
          </w:tcPr>
          <w:p w14:paraId="4BD6D43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0979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33" w:type="dxa"/>
            <w:shd w:val="clear" w:color="auto" w:fill="FFFFFF"/>
            <w:vAlign w:val="center"/>
          </w:tcPr>
          <w:p w14:paraId="0D0BAA2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58</w:t>
            </w:r>
          </w:p>
        </w:tc>
        <w:tc>
          <w:tcPr>
            <w:tcW w:w="975" w:type="dxa"/>
            <w:shd w:val="clear" w:color="auto" w:fill="FFFFFF"/>
            <w:vAlign w:val="center"/>
          </w:tcPr>
          <w:p w14:paraId="455239E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122" w:type="dxa"/>
            <w:vMerge w:val="continue"/>
            <w:shd w:val="clear" w:color="auto" w:fill="FFFFFF"/>
            <w:vAlign w:val="center"/>
          </w:tcPr>
          <w:p w14:paraId="07F27EF7">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4D69CEE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RAID卡BBU单元</w:t>
            </w:r>
          </w:p>
        </w:tc>
        <w:tc>
          <w:tcPr>
            <w:tcW w:w="4045" w:type="dxa"/>
            <w:shd w:val="clear" w:color="auto" w:fill="FFFFFF"/>
            <w:vAlign w:val="center"/>
          </w:tcPr>
          <w:p w14:paraId="6F14829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RAID卡支持电池或电容备份单元</w:t>
            </w:r>
          </w:p>
        </w:tc>
        <w:tc>
          <w:tcPr>
            <w:tcW w:w="1329" w:type="dxa"/>
            <w:shd w:val="clear" w:color="auto" w:fill="FFFFFF"/>
            <w:vAlign w:val="center"/>
          </w:tcPr>
          <w:p w14:paraId="2FA1FEE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1000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33" w:type="dxa"/>
            <w:shd w:val="clear" w:color="auto" w:fill="FFFFFF"/>
            <w:vAlign w:val="center"/>
          </w:tcPr>
          <w:p w14:paraId="7318DBE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59</w:t>
            </w:r>
          </w:p>
        </w:tc>
        <w:tc>
          <w:tcPr>
            <w:tcW w:w="975" w:type="dxa"/>
            <w:shd w:val="clear" w:color="auto" w:fill="FFFFFF"/>
            <w:vAlign w:val="center"/>
          </w:tcPr>
          <w:p w14:paraId="710ACB2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122" w:type="dxa"/>
            <w:shd w:val="clear" w:color="auto" w:fill="FFFFFF"/>
            <w:vAlign w:val="center"/>
          </w:tcPr>
          <w:p w14:paraId="7546EB5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光驱功能</w:t>
            </w:r>
          </w:p>
        </w:tc>
        <w:tc>
          <w:tcPr>
            <w:tcW w:w="1475" w:type="dxa"/>
            <w:shd w:val="clear" w:color="auto" w:fill="FFFFFF"/>
            <w:vAlign w:val="center"/>
          </w:tcPr>
          <w:p w14:paraId="750D16B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光驱类型（是否支持RW，以及光盘类型CD/DVD）</w:t>
            </w:r>
          </w:p>
        </w:tc>
        <w:tc>
          <w:tcPr>
            <w:tcW w:w="4045" w:type="dxa"/>
            <w:shd w:val="clear" w:color="auto" w:fill="FFFFFF"/>
            <w:vAlign w:val="center"/>
          </w:tcPr>
          <w:p w14:paraId="19922B5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若配备光驱，应提供光驱的安装形式（如内置、外置）、光驱读写类型（如只读、可刻录等）、光盘类型的兼容列表（如CD-ROM、CD-RW、DVD±RW等）</w:t>
            </w:r>
          </w:p>
        </w:tc>
        <w:tc>
          <w:tcPr>
            <w:tcW w:w="1329" w:type="dxa"/>
            <w:shd w:val="clear" w:color="auto" w:fill="FFFFFF"/>
            <w:vAlign w:val="center"/>
          </w:tcPr>
          <w:p w14:paraId="39ACF9B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6A39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33" w:type="dxa"/>
            <w:shd w:val="clear" w:color="auto" w:fill="FFFFFF"/>
            <w:vAlign w:val="center"/>
          </w:tcPr>
          <w:p w14:paraId="3BD0F98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60</w:t>
            </w:r>
          </w:p>
        </w:tc>
        <w:tc>
          <w:tcPr>
            <w:tcW w:w="975" w:type="dxa"/>
            <w:shd w:val="clear" w:color="auto" w:fill="FFFFFF"/>
            <w:vAlign w:val="center"/>
          </w:tcPr>
          <w:p w14:paraId="3CD20F2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122" w:type="dxa"/>
            <w:vMerge w:val="restart"/>
            <w:shd w:val="clear" w:color="auto" w:fill="FFFFFF"/>
            <w:vAlign w:val="center"/>
          </w:tcPr>
          <w:p w14:paraId="24B75AF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电源功能</w:t>
            </w:r>
          </w:p>
        </w:tc>
        <w:tc>
          <w:tcPr>
            <w:tcW w:w="1475" w:type="dxa"/>
            <w:shd w:val="clear" w:color="auto" w:fill="FFFFFF"/>
            <w:vAlign w:val="center"/>
          </w:tcPr>
          <w:p w14:paraId="3100069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★电源热插拔</w:t>
            </w:r>
          </w:p>
        </w:tc>
        <w:tc>
          <w:tcPr>
            <w:tcW w:w="4045" w:type="dxa"/>
            <w:shd w:val="clear" w:color="auto" w:fill="FFFFFF"/>
            <w:vAlign w:val="center"/>
          </w:tcPr>
          <w:p w14:paraId="74B9581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整机电源模块应具备热插拔功能</w:t>
            </w:r>
          </w:p>
        </w:tc>
        <w:tc>
          <w:tcPr>
            <w:tcW w:w="1329" w:type="dxa"/>
            <w:shd w:val="clear" w:color="auto" w:fill="FFFFFF"/>
            <w:vAlign w:val="center"/>
          </w:tcPr>
          <w:p w14:paraId="17BAEB5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FAFF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251B099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61</w:t>
            </w:r>
          </w:p>
        </w:tc>
        <w:tc>
          <w:tcPr>
            <w:tcW w:w="975" w:type="dxa"/>
            <w:shd w:val="clear" w:color="auto" w:fill="FFFFFF"/>
            <w:vAlign w:val="center"/>
          </w:tcPr>
          <w:p w14:paraId="3933788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122" w:type="dxa"/>
            <w:vMerge w:val="continue"/>
            <w:shd w:val="clear" w:color="auto" w:fill="FFFFFF"/>
            <w:vAlign w:val="center"/>
          </w:tcPr>
          <w:p w14:paraId="638C885B">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51B5312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★电源过流保护</w:t>
            </w:r>
          </w:p>
        </w:tc>
        <w:tc>
          <w:tcPr>
            <w:tcW w:w="4045" w:type="dxa"/>
            <w:shd w:val="clear" w:color="auto" w:fill="FFFFFF"/>
            <w:vAlign w:val="center"/>
          </w:tcPr>
          <w:p w14:paraId="7DE3F5C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支持过流及短路保护的功能</w:t>
            </w:r>
          </w:p>
        </w:tc>
        <w:tc>
          <w:tcPr>
            <w:tcW w:w="1329" w:type="dxa"/>
            <w:shd w:val="clear" w:color="auto" w:fill="FFFFFF"/>
            <w:vAlign w:val="center"/>
          </w:tcPr>
          <w:p w14:paraId="53CE6E2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2C88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33" w:type="dxa"/>
            <w:shd w:val="clear" w:color="auto" w:fill="FFFFFF"/>
            <w:vAlign w:val="center"/>
          </w:tcPr>
          <w:p w14:paraId="6789615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62</w:t>
            </w:r>
          </w:p>
        </w:tc>
        <w:tc>
          <w:tcPr>
            <w:tcW w:w="975" w:type="dxa"/>
            <w:shd w:val="clear" w:color="auto" w:fill="FFFFFF"/>
            <w:vAlign w:val="center"/>
          </w:tcPr>
          <w:p w14:paraId="6991FEF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122" w:type="dxa"/>
            <w:vMerge w:val="restart"/>
            <w:shd w:val="clear" w:color="auto" w:fill="FFFFFF"/>
            <w:vAlign w:val="center"/>
          </w:tcPr>
          <w:p w14:paraId="4E49FF2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整机功能</w:t>
            </w:r>
          </w:p>
        </w:tc>
        <w:tc>
          <w:tcPr>
            <w:tcW w:w="1475" w:type="dxa"/>
            <w:shd w:val="clear" w:color="auto" w:fill="FFFFFF"/>
            <w:vAlign w:val="center"/>
          </w:tcPr>
          <w:p w14:paraId="2B3E2F9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★散热方式</w:t>
            </w:r>
          </w:p>
        </w:tc>
        <w:tc>
          <w:tcPr>
            <w:tcW w:w="4045" w:type="dxa"/>
            <w:shd w:val="clear" w:color="auto" w:fill="FFFFFF"/>
            <w:vAlign w:val="center"/>
          </w:tcPr>
          <w:p w14:paraId="3C93883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支持风冷或液冷等散热方式</w:t>
            </w:r>
          </w:p>
        </w:tc>
        <w:tc>
          <w:tcPr>
            <w:tcW w:w="1329" w:type="dxa"/>
            <w:shd w:val="clear" w:color="auto" w:fill="FFFFFF"/>
            <w:vAlign w:val="center"/>
          </w:tcPr>
          <w:p w14:paraId="4E4A3C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180A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2031978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63</w:t>
            </w:r>
          </w:p>
        </w:tc>
        <w:tc>
          <w:tcPr>
            <w:tcW w:w="975" w:type="dxa"/>
            <w:shd w:val="clear" w:color="auto" w:fill="FFFFFF"/>
            <w:vAlign w:val="center"/>
          </w:tcPr>
          <w:p w14:paraId="6EB52AC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122" w:type="dxa"/>
            <w:vMerge w:val="continue"/>
            <w:shd w:val="clear" w:color="auto" w:fill="FFFFFF"/>
            <w:vAlign w:val="center"/>
          </w:tcPr>
          <w:p w14:paraId="30084F28">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26A151F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其他功能</w:t>
            </w:r>
          </w:p>
        </w:tc>
        <w:tc>
          <w:tcPr>
            <w:tcW w:w="4045" w:type="dxa"/>
            <w:shd w:val="clear" w:color="auto" w:fill="FFFFFF"/>
            <w:vAlign w:val="center"/>
          </w:tcPr>
          <w:p w14:paraId="53EC5C0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a）支持关键部件冗余（包括电源、风扇等）；b）支持熔断保护与恢复功能</w:t>
            </w:r>
          </w:p>
        </w:tc>
        <w:tc>
          <w:tcPr>
            <w:tcW w:w="1329" w:type="dxa"/>
            <w:shd w:val="clear" w:color="auto" w:fill="FFFFFF"/>
            <w:vAlign w:val="center"/>
          </w:tcPr>
          <w:p w14:paraId="51B779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6CAF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633" w:type="dxa"/>
            <w:shd w:val="clear" w:color="auto" w:fill="FFFFFF"/>
            <w:vAlign w:val="center"/>
          </w:tcPr>
          <w:p w14:paraId="1B484C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64</w:t>
            </w:r>
          </w:p>
        </w:tc>
        <w:tc>
          <w:tcPr>
            <w:tcW w:w="975" w:type="dxa"/>
            <w:shd w:val="clear" w:color="auto" w:fill="FFFFFF"/>
            <w:vAlign w:val="center"/>
          </w:tcPr>
          <w:p w14:paraId="4050A2D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122" w:type="dxa"/>
            <w:vMerge w:val="restart"/>
            <w:shd w:val="clear" w:color="auto" w:fill="FFFFFF"/>
            <w:vAlign w:val="center"/>
          </w:tcPr>
          <w:p w14:paraId="2E13E07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管理系统功能</w:t>
            </w:r>
          </w:p>
        </w:tc>
        <w:tc>
          <w:tcPr>
            <w:tcW w:w="1475" w:type="dxa"/>
            <w:shd w:val="clear" w:color="auto" w:fill="FFFFFF"/>
            <w:vAlign w:val="center"/>
          </w:tcPr>
          <w:p w14:paraId="1A6FF7D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★BMC固件基础功能</w:t>
            </w:r>
          </w:p>
        </w:tc>
        <w:tc>
          <w:tcPr>
            <w:tcW w:w="4045" w:type="dxa"/>
            <w:shd w:val="clear" w:color="auto" w:fill="FFFFFF"/>
            <w:vAlign w:val="center"/>
          </w:tcPr>
          <w:p w14:paraId="6A4D3DA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1）支持DHCP设置网络功能；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2）支持静态IP设置网络功能；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3）支持设备日志记录，包括但不限于登录日志、操作日志和报警日志等功能；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4）支持日志信息导出和记录删除功能；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5）支持通过管理接口向外输出准确的报警信息功能；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6）设备的BMC管理软件应能够按报警的严重程度进行区分；7）支持IPMI2.0、SNMP或Redfish等接口功能；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8）支持键盘、鼠标和视频的重定向、文本控制台的重定向、远程虚拟媒体、高可靠的硬件监控和管理功能；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9）支持基于网络开启、关闭和重启设备的功能，并查询当前设备开机运行状态；</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10）支持故障提示功能，并可通过接口读取服务器故障信息；</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11）支持基于网络的固件更新功能，包括BMC和BIOS等；12）支持基于网络安装操作系统的功能，并可通过网络控制台访问设备；</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13）支持通过本地的硬盘或光驱等存储设备，基于网络完成设备的操作系统安装功能；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14）支持通过浏览器打开管理界面并登录功能；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15）支持设置口令策略功能；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16）支持访问权限设置功能，并通过日志记录访问事件；17）支持对出厂默认的用户名及口令进行安全保护功能，并提供默认口令修改提示；</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18）支持读取设备主板的工作环境温度功能；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19）支持读取服务器CPU等核心器件的温度功能；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20）支持通过外部管理工具进行BMC参数设置的功能，并可基于网络通过外部管理工具对BMC进行管理；</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21）应支持固件版本查询、固件升级；</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22）支持基于网络实现开关机和复位控制的功能；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23)BMC启动时间应不超过180s，实现功能包括网络、IPMI、散热、传感器服务可用；</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24）支持BMC固件设置的恢复出厂功能</w:t>
            </w:r>
          </w:p>
        </w:tc>
        <w:tc>
          <w:tcPr>
            <w:tcW w:w="1329" w:type="dxa"/>
            <w:shd w:val="clear" w:color="auto" w:fill="FFFFFF"/>
            <w:vAlign w:val="center"/>
          </w:tcPr>
          <w:p w14:paraId="2A91FDC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A378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33" w:type="dxa"/>
            <w:shd w:val="clear" w:color="auto" w:fill="FFFFFF"/>
            <w:vAlign w:val="center"/>
          </w:tcPr>
          <w:p w14:paraId="23F06A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65</w:t>
            </w:r>
          </w:p>
        </w:tc>
        <w:tc>
          <w:tcPr>
            <w:tcW w:w="975" w:type="dxa"/>
            <w:shd w:val="clear" w:color="auto" w:fill="FFFFFF"/>
            <w:vAlign w:val="center"/>
          </w:tcPr>
          <w:p w14:paraId="0713A97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122" w:type="dxa"/>
            <w:vMerge w:val="continue"/>
            <w:shd w:val="clear" w:color="auto" w:fill="FFFFFF"/>
            <w:vAlign w:val="center"/>
          </w:tcPr>
          <w:p w14:paraId="14716994">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18623B2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BMC固件增强功能</w:t>
            </w:r>
          </w:p>
        </w:tc>
        <w:tc>
          <w:tcPr>
            <w:tcW w:w="4045" w:type="dxa"/>
            <w:shd w:val="clear" w:color="auto" w:fill="FFFFFF"/>
            <w:vAlign w:val="center"/>
          </w:tcPr>
          <w:p w14:paraId="1BC0C00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a）网络控制、安装提供图形访问界面网络；</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b）设备的BMC管理软件界面显示报警信息，且能够按报警的严重程度进行区分；</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c）WebGUI采用BMC端口直连，平均响应时间为≤1s</w:t>
            </w:r>
          </w:p>
        </w:tc>
        <w:tc>
          <w:tcPr>
            <w:tcW w:w="1329" w:type="dxa"/>
            <w:shd w:val="clear" w:color="auto" w:fill="FFFFFF"/>
            <w:vAlign w:val="center"/>
          </w:tcPr>
          <w:p w14:paraId="54819C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6A94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672" w:hRule="atLeast"/>
        </w:trPr>
        <w:tc>
          <w:tcPr>
            <w:tcW w:w="633" w:type="dxa"/>
            <w:shd w:val="clear" w:color="auto" w:fill="FFFFFF"/>
            <w:vAlign w:val="center"/>
          </w:tcPr>
          <w:p w14:paraId="5D36DA0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66</w:t>
            </w:r>
          </w:p>
        </w:tc>
        <w:tc>
          <w:tcPr>
            <w:tcW w:w="975" w:type="dxa"/>
            <w:shd w:val="clear" w:color="auto" w:fill="FFFFFF"/>
            <w:vAlign w:val="center"/>
          </w:tcPr>
          <w:p w14:paraId="35CC574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122" w:type="dxa"/>
            <w:vMerge w:val="continue"/>
            <w:shd w:val="clear" w:color="auto" w:fill="FFFFFF"/>
            <w:vAlign w:val="center"/>
          </w:tcPr>
          <w:p w14:paraId="45B50408">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46CEF7B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★BIOS固件基础功能</w:t>
            </w:r>
          </w:p>
        </w:tc>
        <w:tc>
          <w:tcPr>
            <w:tcW w:w="4045" w:type="dxa"/>
            <w:shd w:val="clear" w:color="auto" w:fill="FFFFFF"/>
            <w:vAlign w:val="center"/>
          </w:tcPr>
          <w:p w14:paraId="0034681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a）支持查看固件版本、内存信息、主板信息、处理器信息和系统时间信息功能；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b）支持上电初始化界面显示CPU信息、内存信息、固件版本和部分快捷键信息功能；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c）支持设置界面中英文显示切换功能；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d）支持查看PCIe设备信息，SATA设备信息功能；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e）支持操作系统安装和引导功能，应并向操作系统提供计算机主板信息和服务接口；</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f）支持设置启动顺序，并按照设置的启动顺序启动功能；g）支持安全启动功能；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h）支持设置口令、修改口令、验证口令功能；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i）支持板载显示控制或独立显卡的显示控制功能；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j）支持RAID识别和启动功能；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k）支持串口重定向功能；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l）支持固件更新功能；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m）支持BIOS固件设置的恢复出厂功能；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n）支持网络引导启用和关闭功能</w:t>
            </w:r>
          </w:p>
        </w:tc>
        <w:tc>
          <w:tcPr>
            <w:tcW w:w="1329" w:type="dxa"/>
            <w:shd w:val="clear" w:color="auto" w:fill="FFFFFF"/>
            <w:vAlign w:val="center"/>
          </w:tcPr>
          <w:p w14:paraId="3D92970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E9A2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33" w:type="dxa"/>
            <w:shd w:val="clear" w:color="auto" w:fill="FFFFFF"/>
            <w:vAlign w:val="center"/>
          </w:tcPr>
          <w:p w14:paraId="189257B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67</w:t>
            </w:r>
          </w:p>
        </w:tc>
        <w:tc>
          <w:tcPr>
            <w:tcW w:w="975" w:type="dxa"/>
            <w:shd w:val="clear" w:color="auto" w:fill="FFFFFF"/>
            <w:vAlign w:val="center"/>
          </w:tcPr>
          <w:p w14:paraId="3726660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122" w:type="dxa"/>
            <w:vMerge w:val="continue"/>
            <w:shd w:val="clear" w:color="auto" w:fill="FFFFFF"/>
            <w:vAlign w:val="center"/>
          </w:tcPr>
          <w:p w14:paraId="641427FF">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72379FF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★远程控制</w:t>
            </w:r>
          </w:p>
        </w:tc>
        <w:tc>
          <w:tcPr>
            <w:tcW w:w="4045" w:type="dxa"/>
            <w:shd w:val="clear" w:color="auto" w:fill="FFFFFF"/>
            <w:vAlign w:val="center"/>
          </w:tcPr>
          <w:p w14:paraId="2512EDC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支持远程关机和重新启动功能</w:t>
            </w:r>
          </w:p>
        </w:tc>
        <w:tc>
          <w:tcPr>
            <w:tcW w:w="1329" w:type="dxa"/>
            <w:shd w:val="clear" w:color="auto" w:fill="FFFFFF"/>
            <w:vAlign w:val="center"/>
          </w:tcPr>
          <w:p w14:paraId="3C2A323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6449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09893E4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68</w:t>
            </w:r>
          </w:p>
        </w:tc>
        <w:tc>
          <w:tcPr>
            <w:tcW w:w="975" w:type="dxa"/>
            <w:shd w:val="clear" w:color="auto" w:fill="FFFFFF"/>
            <w:vAlign w:val="center"/>
          </w:tcPr>
          <w:p w14:paraId="75B092E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122" w:type="dxa"/>
            <w:vMerge w:val="restart"/>
            <w:shd w:val="clear" w:color="auto" w:fill="FFFFFF"/>
            <w:vAlign w:val="center"/>
          </w:tcPr>
          <w:p w14:paraId="2EFBB47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操作系统及驱动功能</w:t>
            </w:r>
          </w:p>
        </w:tc>
        <w:tc>
          <w:tcPr>
            <w:tcW w:w="1475" w:type="dxa"/>
            <w:shd w:val="clear" w:color="auto" w:fill="FFFFFF"/>
            <w:vAlign w:val="center"/>
          </w:tcPr>
          <w:p w14:paraId="795AD46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★操作系统及驱动的升级</w:t>
            </w:r>
          </w:p>
        </w:tc>
        <w:tc>
          <w:tcPr>
            <w:tcW w:w="4045" w:type="dxa"/>
            <w:shd w:val="clear" w:color="auto" w:fill="FFFFFF"/>
            <w:vAlign w:val="center"/>
          </w:tcPr>
          <w:p w14:paraId="46C3F97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支持通过网络、闪存盘对操作系统、驱动进行升级</w:t>
            </w:r>
          </w:p>
        </w:tc>
        <w:tc>
          <w:tcPr>
            <w:tcW w:w="1329" w:type="dxa"/>
            <w:shd w:val="clear" w:color="auto" w:fill="FFFFFF"/>
            <w:vAlign w:val="center"/>
          </w:tcPr>
          <w:p w14:paraId="523670A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E2D0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15A85AA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69</w:t>
            </w:r>
          </w:p>
        </w:tc>
        <w:tc>
          <w:tcPr>
            <w:tcW w:w="975" w:type="dxa"/>
            <w:shd w:val="clear" w:color="auto" w:fill="FFFFFF"/>
            <w:vAlign w:val="center"/>
          </w:tcPr>
          <w:p w14:paraId="7A87C0B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122" w:type="dxa"/>
            <w:vMerge w:val="continue"/>
            <w:shd w:val="clear" w:color="auto" w:fill="FFFFFF"/>
            <w:vAlign w:val="center"/>
          </w:tcPr>
          <w:p w14:paraId="49E5DDF6">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1C126E7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操作系统及驱动的备份还原</w:t>
            </w:r>
          </w:p>
        </w:tc>
        <w:tc>
          <w:tcPr>
            <w:tcW w:w="4045" w:type="dxa"/>
            <w:shd w:val="clear" w:color="auto" w:fill="FFFFFF"/>
            <w:vAlign w:val="center"/>
          </w:tcPr>
          <w:p w14:paraId="1ADF791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支持操作系统备份及还原功能</w:t>
            </w:r>
          </w:p>
        </w:tc>
        <w:tc>
          <w:tcPr>
            <w:tcW w:w="1329" w:type="dxa"/>
            <w:shd w:val="clear" w:color="auto" w:fill="FFFFFF"/>
            <w:vAlign w:val="center"/>
          </w:tcPr>
          <w:p w14:paraId="6885369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254A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33" w:type="dxa"/>
            <w:shd w:val="clear" w:color="auto" w:fill="FFFFFF"/>
            <w:vAlign w:val="center"/>
          </w:tcPr>
          <w:p w14:paraId="618F30A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70</w:t>
            </w:r>
          </w:p>
        </w:tc>
        <w:tc>
          <w:tcPr>
            <w:tcW w:w="975" w:type="dxa"/>
            <w:shd w:val="clear" w:color="auto" w:fill="FFFFFF"/>
            <w:vAlign w:val="center"/>
          </w:tcPr>
          <w:p w14:paraId="11ECFD3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122" w:type="dxa"/>
            <w:vMerge w:val="continue"/>
            <w:shd w:val="clear" w:color="auto" w:fill="FFFFFF"/>
            <w:vAlign w:val="center"/>
          </w:tcPr>
          <w:p w14:paraId="55A31854">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3249804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★操作系统功能</w:t>
            </w:r>
          </w:p>
        </w:tc>
        <w:tc>
          <w:tcPr>
            <w:tcW w:w="4045" w:type="dxa"/>
            <w:shd w:val="clear" w:color="auto" w:fill="FFFFFF"/>
            <w:vAlign w:val="center"/>
          </w:tcPr>
          <w:p w14:paraId="4B79C86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a）支持访问控制、安全审计、网络接入鉴别等功能；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b）操作系统其他功能应满足操作系统政府采购需求标准中加*的指标要求（不涉及）</w:t>
            </w:r>
          </w:p>
        </w:tc>
        <w:tc>
          <w:tcPr>
            <w:tcW w:w="1329" w:type="dxa"/>
            <w:shd w:val="clear" w:color="auto" w:fill="FFFFFF"/>
            <w:vAlign w:val="center"/>
          </w:tcPr>
          <w:p w14:paraId="6FECCF1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97B1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33" w:type="dxa"/>
            <w:shd w:val="clear" w:color="auto" w:fill="FFFFFF"/>
            <w:vAlign w:val="center"/>
          </w:tcPr>
          <w:p w14:paraId="50170EF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71</w:t>
            </w:r>
          </w:p>
        </w:tc>
        <w:tc>
          <w:tcPr>
            <w:tcW w:w="975" w:type="dxa"/>
            <w:shd w:val="clear" w:color="auto" w:fill="FFFFFF"/>
            <w:vAlign w:val="center"/>
          </w:tcPr>
          <w:p w14:paraId="406E9FB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122" w:type="dxa"/>
            <w:shd w:val="clear" w:color="auto" w:fill="FFFFFF"/>
            <w:vAlign w:val="center"/>
          </w:tcPr>
          <w:p w14:paraId="54E8CB7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中文信息处理功能</w:t>
            </w:r>
          </w:p>
        </w:tc>
        <w:tc>
          <w:tcPr>
            <w:tcW w:w="1475" w:type="dxa"/>
            <w:shd w:val="clear" w:color="auto" w:fill="FFFFFF"/>
            <w:vAlign w:val="center"/>
          </w:tcPr>
          <w:p w14:paraId="05B24F4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★中文信息处理</w:t>
            </w:r>
          </w:p>
        </w:tc>
        <w:tc>
          <w:tcPr>
            <w:tcW w:w="4045" w:type="dxa"/>
            <w:shd w:val="clear" w:color="auto" w:fill="FFFFFF"/>
            <w:vAlign w:val="center"/>
          </w:tcPr>
          <w:p w14:paraId="77181A5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符合GB18030的有关规定</w:t>
            </w:r>
          </w:p>
        </w:tc>
        <w:tc>
          <w:tcPr>
            <w:tcW w:w="1329" w:type="dxa"/>
            <w:shd w:val="clear" w:color="auto" w:fill="FFFFFF"/>
            <w:vAlign w:val="center"/>
          </w:tcPr>
          <w:p w14:paraId="40678E0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3D0D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1246960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72</w:t>
            </w:r>
          </w:p>
        </w:tc>
        <w:tc>
          <w:tcPr>
            <w:tcW w:w="975" w:type="dxa"/>
            <w:shd w:val="clear" w:color="auto" w:fill="FFFFFF"/>
            <w:vAlign w:val="center"/>
          </w:tcPr>
          <w:p w14:paraId="0BD0D35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122" w:type="dxa"/>
            <w:vMerge w:val="restart"/>
            <w:shd w:val="clear" w:color="auto" w:fill="FFFFFF"/>
            <w:vAlign w:val="center"/>
          </w:tcPr>
          <w:p w14:paraId="27AA4F1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机柜功能</w:t>
            </w:r>
          </w:p>
        </w:tc>
        <w:tc>
          <w:tcPr>
            <w:tcW w:w="1475" w:type="dxa"/>
            <w:shd w:val="clear" w:color="auto" w:fill="FFFFFF"/>
            <w:vAlign w:val="center"/>
          </w:tcPr>
          <w:p w14:paraId="5803316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机柜管理功能</w:t>
            </w:r>
          </w:p>
        </w:tc>
        <w:tc>
          <w:tcPr>
            <w:tcW w:w="4045" w:type="dxa"/>
            <w:shd w:val="clear" w:color="auto" w:fill="FFFFFF"/>
            <w:vAlign w:val="center"/>
          </w:tcPr>
          <w:p w14:paraId="4C2B4E6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机柜管理系统包括服务器节点BMC管理系统、机柜管理系统或交换节点管理系统</w:t>
            </w:r>
          </w:p>
        </w:tc>
        <w:tc>
          <w:tcPr>
            <w:tcW w:w="1329" w:type="dxa"/>
            <w:shd w:val="clear" w:color="auto" w:fill="FFFFFF"/>
            <w:vAlign w:val="center"/>
          </w:tcPr>
          <w:p w14:paraId="53C1350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8652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572EA61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73</w:t>
            </w:r>
          </w:p>
        </w:tc>
        <w:tc>
          <w:tcPr>
            <w:tcW w:w="975" w:type="dxa"/>
            <w:shd w:val="clear" w:color="auto" w:fill="FFFFFF"/>
            <w:vAlign w:val="center"/>
          </w:tcPr>
          <w:p w14:paraId="01B0435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122" w:type="dxa"/>
            <w:vMerge w:val="continue"/>
            <w:shd w:val="clear" w:color="auto" w:fill="FFFFFF"/>
            <w:vAlign w:val="center"/>
          </w:tcPr>
          <w:p w14:paraId="1E3C53B8">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5B6E973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机柜通信方式</w:t>
            </w:r>
          </w:p>
        </w:tc>
        <w:tc>
          <w:tcPr>
            <w:tcW w:w="4045" w:type="dxa"/>
            <w:shd w:val="clear" w:color="auto" w:fill="FFFFFF"/>
            <w:vAlign w:val="center"/>
          </w:tcPr>
          <w:p w14:paraId="21E4C36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若配备机柜管理板可实现包括：资产管理、电源模块、功耗管理和液冷漏液检测等功能</w:t>
            </w:r>
          </w:p>
        </w:tc>
        <w:tc>
          <w:tcPr>
            <w:tcW w:w="1329" w:type="dxa"/>
            <w:shd w:val="clear" w:color="auto" w:fill="FFFFFF"/>
            <w:vAlign w:val="center"/>
          </w:tcPr>
          <w:p w14:paraId="59D2160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89F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503919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74</w:t>
            </w:r>
          </w:p>
        </w:tc>
        <w:tc>
          <w:tcPr>
            <w:tcW w:w="975" w:type="dxa"/>
            <w:shd w:val="clear" w:color="auto" w:fill="FFFFFF"/>
            <w:vAlign w:val="center"/>
          </w:tcPr>
          <w:p w14:paraId="52D1F07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122" w:type="dxa"/>
            <w:vMerge w:val="continue"/>
            <w:shd w:val="clear" w:color="auto" w:fill="FFFFFF"/>
            <w:vAlign w:val="center"/>
          </w:tcPr>
          <w:p w14:paraId="46C53651">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16A4808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多集群作业管理</w:t>
            </w:r>
          </w:p>
        </w:tc>
        <w:tc>
          <w:tcPr>
            <w:tcW w:w="4045" w:type="dxa"/>
            <w:shd w:val="clear" w:color="auto" w:fill="FFFFFF"/>
            <w:vAlign w:val="center"/>
          </w:tcPr>
          <w:p w14:paraId="77F7266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支持多集群作业管理功能</w:t>
            </w:r>
          </w:p>
        </w:tc>
        <w:tc>
          <w:tcPr>
            <w:tcW w:w="1329" w:type="dxa"/>
            <w:shd w:val="clear" w:color="auto" w:fill="FFFFFF"/>
            <w:vAlign w:val="center"/>
          </w:tcPr>
          <w:p w14:paraId="0EA6D61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DD3D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6C77FF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75</w:t>
            </w:r>
          </w:p>
        </w:tc>
        <w:tc>
          <w:tcPr>
            <w:tcW w:w="975" w:type="dxa"/>
            <w:shd w:val="clear" w:color="auto" w:fill="FFFFFF"/>
            <w:vAlign w:val="center"/>
          </w:tcPr>
          <w:p w14:paraId="5FAAF83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122" w:type="dxa"/>
            <w:shd w:val="clear" w:color="auto" w:fill="FFFFFF"/>
            <w:vAlign w:val="center"/>
          </w:tcPr>
          <w:p w14:paraId="1F5A7AD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关键部件安全要求</w:t>
            </w:r>
          </w:p>
        </w:tc>
        <w:tc>
          <w:tcPr>
            <w:tcW w:w="1475" w:type="dxa"/>
            <w:shd w:val="clear" w:color="auto" w:fill="FFFFFF"/>
            <w:vAlign w:val="center"/>
          </w:tcPr>
          <w:p w14:paraId="50E19C2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★关键部件安全要求</w:t>
            </w:r>
          </w:p>
        </w:tc>
        <w:tc>
          <w:tcPr>
            <w:tcW w:w="4045" w:type="dxa"/>
            <w:shd w:val="clear" w:color="auto" w:fill="FFFFFF"/>
            <w:vAlign w:val="center"/>
          </w:tcPr>
          <w:p w14:paraId="098CCC3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CPU和操作系统等关键部件应当符合安全可靠测评要求</w:t>
            </w:r>
          </w:p>
        </w:tc>
        <w:tc>
          <w:tcPr>
            <w:tcW w:w="1329" w:type="dxa"/>
            <w:shd w:val="clear" w:color="auto" w:fill="FFFFFF"/>
            <w:vAlign w:val="center"/>
          </w:tcPr>
          <w:p w14:paraId="63892DD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58C4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2D39AFA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76</w:t>
            </w:r>
          </w:p>
        </w:tc>
        <w:tc>
          <w:tcPr>
            <w:tcW w:w="975" w:type="dxa"/>
            <w:shd w:val="clear" w:color="auto" w:fill="FFFFFF"/>
            <w:vAlign w:val="center"/>
          </w:tcPr>
          <w:p w14:paraId="1ACE505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122" w:type="dxa"/>
            <w:vMerge w:val="restart"/>
            <w:shd w:val="clear" w:color="auto" w:fill="FFFFFF"/>
            <w:vAlign w:val="center"/>
          </w:tcPr>
          <w:p w14:paraId="35F21E5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固件安全要求</w:t>
            </w:r>
          </w:p>
        </w:tc>
        <w:tc>
          <w:tcPr>
            <w:tcW w:w="1475" w:type="dxa"/>
            <w:shd w:val="clear" w:color="auto" w:fill="FFFFFF"/>
            <w:vAlign w:val="center"/>
          </w:tcPr>
          <w:p w14:paraId="2A9B439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★故障检测</w:t>
            </w:r>
          </w:p>
        </w:tc>
        <w:tc>
          <w:tcPr>
            <w:tcW w:w="4045" w:type="dxa"/>
            <w:shd w:val="clear" w:color="auto" w:fill="FFFFFF"/>
            <w:vAlign w:val="center"/>
          </w:tcPr>
          <w:p w14:paraId="4E2DEFF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支持故障检测功能，可以检测到具体的FRU（内存、硬盘等）的故障并发出告警</w:t>
            </w:r>
          </w:p>
        </w:tc>
        <w:tc>
          <w:tcPr>
            <w:tcW w:w="1329" w:type="dxa"/>
            <w:shd w:val="clear" w:color="auto" w:fill="FFFFFF"/>
            <w:vAlign w:val="center"/>
          </w:tcPr>
          <w:p w14:paraId="4CDBE2D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FA41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33" w:type="dxa"/>
            <w:shd w:val="clear" w:color="auto" w:fill="FFFFFF"/>
            <w:vAlign w:val="center"/>
          </w:tcPr>
          <w:p w14:paraId="3588321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77</w:t>
            </w:r>
          </w:p>
        </w:tc>
        <w:tc>
          <w:tcPr>
            <w:tcW w:w="975" w:type="dxa"/>
            <w:shd w:val="clear" w:color="auto" w:fill="FFFFFF"/>
            <w:vAlign w:val="center"/>
          </w:tcPr>
          <w:p w14:paraId="5FBD19B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122" w:type="dxa"/>
            <w:vMerge w:val="continue"/>
            <w:shd w:val="clear" w:color="auto" w:fill="FFFFFF"/>
            <w:vAlign w:val="center"/>
          </w:tcPr>
          <w:p w14:paraId="1A4032FA">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254BF0C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内存故障智能预测和自愈修复</w:t>
            </w:r>
          </w:p>
        </w:tc>
        <w:tc>
          <w:tcPr>
            <w:tcW w:w="4045" w:type="dxa"/>
            <w:shd w:val="clear" w:color="auto" w:fill="FFFFFF"/>
            <w:vAlign w:val="center"/>
          </w:tcPr>
          <w:p w14:paraId="287A9D3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支持内存故障智能预测和自愈修复，提前自动硬隔离，避免内存故障引起的非预期宕机以及内存寿命的降低</w:t>
            </w:r>
          </w:p>
        </w:tc>
        <w:tc>
          <w:tcPr>
            <w:tcW w:w="1329" w:type="dxa"/>
            <w:shd w:val="clear" w:color="auto" w:fill="FFFFFF"/>
            <w:vAlign w:val="center"/>
          </w:tcPr>
          <w:p w14:paraId="266AEB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5DD9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5378B98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78</w:t>
            </w:r>
          </w:p>
        </w:tc>
        <w:tc>
          <w:tcPr>
            <w:tcW w:w="975" w:type="dxa"/>
            <w:shd w:val="clear" w:color="auto" w:fill="FFFFFF"/>
            <w:vAlign w:val="center"/>
          </w:tcPr>
          <w:p w14:paraId="3BD42AC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122" w:type="dxa"/>
            <w:vMerge w:val="continue"/>
            <w:shd w:val="clear" w:color="auto" w:fill="FFFFFF"/>
            <w:vAlign w:val="center"/>
          </w:tcPr>
          <w:p w14:paraId="4781889B">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6CF2B4E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硬盘故障智能预测</w:t>
            </w:r>
          </w:p>
        </w:tc>
        <w:tc>
          <w:tcPr>
            <w:tcW w:w="4045" w:type="dxa"/>
            <w:shd w:val="clear" w:color="auto" w:fill="FFFFFF"/>
            <w:vAlign w:val="center"/>
          </w:tcPr>
          <w:p w14:paraId="32681EA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支持硬盘故障智能预测，基于故障模型预测出硬盘的故障</w:t>
            </w:r>
          </w:p>
        </w:tc>
        <w:tc>
          <w:tcPr>
            <w:tcW w:w="1329" w:type="dxa"/>
            <w:shd w:val="clear" w:color="auto" w:fill="FFFFFF"/>
            <w:vAlign w:val="center"/>
          </w:tcPr>
          <w:p w14:paraId="1AFCE37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3E09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0A00FB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79</w:t>
            </w:r>
          </w:p>
        </w:tc>
        <w:tc>
          <w:tcPr>
            <w:tcW w:w="975" w:type="dxa"/>
            <w:shd w:val="clear" w:color="auto" w:fill="FFFFFF"/>
            <w:vAlign w:val="center"/>
          </w:tcPr>
          <w:p w14:paraId="156D355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122" w:type="dxa"/>
            <w:vMerge w:val="continue"/>
            <w:shd w:val="clear" w:color="auto" w:fill="FFFFFF"/>
            <w:vAlign w:val="center"/>
          </w:tcPr>
          <w:p w14:paraId="33BD247E">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673B8CF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PCIe链路故障智能诊断</w:t>
            </w:r>
          </w:p>
        </w:tc>
        <w:tc>
          <w:tcPr>
            <w:tcW w:w="4045" w:type="dxa"/>
            <w:shd w:val="clear" w:color="auto" w:fill="FFFFFF"/>
            <w:vAlign w:val="center"/>
          </w:tcPr>
          <w:p w14:paraId="080A32F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支持PCIe链路故障智能诊断，判断出现故障的PCIe链路</w:t>
            </w:r>
          </w:p>
        </w:tc>
        <w:tc>
          <w:tcPr>
            <w:tcW w:w="1329" w:type="dxa"/>
            <w:shd w:val="clear" w:color="auto" w:fill="FFFFFF"/>
            <w:vAlign w:val="center"/>
          </w:tcPr>
          <w:p w14:paraId="15C727D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7E49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2B1FE6D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80</w:t>
            </w:r>
          </w:p>
        </w:tc>
        <w:tc>
          <w:tcPr>
            <w:tcW w:w="975" w:type="dxa"/>
            <w:shd w:val="clear" w:color="auto" w:fill="FFFFFF"/>
            <w:vAlign w:val="center"/>
          </w:tcPr>
          <w:p w14:paraId="313820C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122" w:type="dxa"/>
            <w:vMerge w:val="continue"/>
            <w:shd w:val="clear" w:color="auto" w:fill="FFFFFF"/>
            <w:vAlign w:val="center"/>
          </w:tcPr>
          <w:p w14:paraId="2B1188E9">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0042C3A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内存故障隔离</w:t>
            </w:r>
          </w:p>
        </w:tc>
        <w:tc>
          <w:tcPr>
            <w:tcW w:w="4045" w:type="dxa"/>
            <w:shd w:val="clear" w:color="auto" w:fill="FFFFFF"/>
            <w:vAlign w:val="center"/>
          </w:tcPr>
          <w:p w14:paraId="7EBFC42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支持内存故障隔离，在内存产生CE故障时，内存地址被隔离成功，服务器正常运行，业务系统不中断</w:t>
            </w:r>
          </w:p>
        </w:tc>
        <w:tc>
          <w:tcPr>
            <w:tcW w:w="1329" w:type="dxa"/>
            <w:shd w:val="clear" w:color="auto" w:fill="FFFFFF"/>
            <w:vAlign w:val="center"/>
          </w:tcPr>
          <w:p w14:paraId="06E190E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EE5A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33" w:type="dxa"/>
            <w:shd w:val="clear" w:color="auto" w:fill="FFFFFF"/>
            <w:vAlign w:val="center"/>
          </w:tcPr>
          <w:p w14:paraId="267A72A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81</w:t>
            </w:r>
          </w:p>
        </w:tc>
        <w:tc>
          <w:tcPr>
            <w:tcW w:w="975" w:type="dxa"/>
            <w:shd w:val="clear" w:color="auto" w:fill="FFFFFF"/>
            <w:vAlign w:val="center"/>
          </w:tcPr>
          <w:p w14:paraId="77E24D5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122" w:type="dxa"/>
            <w:vMerge w:val="continue"/>
            <w:shd w:val="clear" w:color="auto" w:fill="FFFFFF"/>
            <w:vAlign w:val="center"/>
          </w:tcPr>
          <w:p w14:paraId="394D6293">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34A9F9F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内存、PCIe卡的故障精准告警功能</w:t>
            </w:r>
          </w:p>
        </w:tc>
        <w:tc>
          <w:tcPr>
            <w:tcW w:w="4045" w:type="dxa"/>
            <w:shd w:val="clear" w:color="auto" w:fill="FFFFFF"/>
            <w:vAlign w:val="center"/>
          </w:tcPr>
          <w:p w14:paraId="2DB4CDE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支持内存、PCIe卡的故障精准告警功能，触发告警并明确指示具体的故障位置</w:t>
            </w:r>
          </w:p>
        </w:tc>
        <w:tc>
          <w:tcPr>
            <w:tcW w:w="1329" w:type="dxa"/>
            <w:shd w:val="clear" w:color="auto" w:fill="FFFFFF"/>
            <w:vAlign w:val="center"/>
          </w:tcPr>
          <w:p w14:paraId="5D2BAB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A905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1F1435A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82</w:t>
            </w:r>
          </w:p>
        </w:tc>
        <w:tc>
          <w:tcPr>
            <w:tcW w:w="975" w:type="dxa"/>
            <w:shd w:val="clear" w:color="auto" w:fill="FFFFFF"/>
            <w:vAlign w:val="center"/>
          </w:tcPr>
          <w:p w14:paraId="389C790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122" w:type="dxa"/>
            <w:vMerge w:val="continue"/>
            <w:shd w:val="clear" w:color="auto" w:fill="FFFFFF"/>
            <w:vAlign w:val="center"/>
          </w:tcPr>
          <w:p w14:paraId="4B7A5322">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67182C4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异常下电关键数据保护</w:t>
            </w:r>
          </w:p>
        </w:tc>
        <w:tc>
          <w:tcPr>
            <w:tcW w:w="4045" w:type="dxa"/>
            <w:shd w:val="clear" w:color="auto" w:fill="FFFFFF"/>
            <w:vAlign w:val="center"/>
          </w:tcPr>
          <w:p w14:paraId="426BA54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支持异常掉电关键数据保护，支持数据备份恢复机制，防止系统异常掉电导致的数据文件丢失</w:t>
            </w:r>
          </w:p>
        </w:tc>
        <w:tc>
          <w:tcPr>
            <w:tcW w:w="1329" w:type="dxa"/>
            <w:shd w:val="clear" w:color="auto" w:fill="FFFFFF"/>
            <w:vAlign w:val="center"/>
          </w:tcPr>
          <w:p w14:paraId="5549FBB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A8FE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33" w:type="dxa"/>
            <w:shd w:val="clear" w:color="auto" w:fill="FFFFFF"/>
            <w:vAlign w:val="center"/>
          </w:tcPr>
          <w:p w14:paraId="5322024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83</w:t>
            </w:r>
          </w:p>
        </w:tc>
        <w:tc>
          <w:tcPr>
            <w:tcW w:w="975" w:type="dxa"/>
            <w:shd w:val="clear" w:color="auto" w:fill="FFFFFF"/>
            <w:vAlign w:val="center"/>
          </w:tcPr>
          <w:p w14:paraId="1242B26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122" w:type="dxa"/>
            <w:vMerge w:val="continue"/>
            <w:shd w:val="clear" w:color="auto" w:fill="FFFFFF"/>
            <w:vAlign w:val="center"/>
          </w:tcPr>
          <w:p w14:paraId="4B09CB92">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50B60A7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BMC/BIOS固件双镜像保护</w:t>
            </w:r>
          </w:p>
        </w:tc>
        <w:tc>
          <w:tcPr>
            <w:tcW w:w="4045" w:type="dxa"/>
            <w:shd w:val="clear" w:color="auto" w:fill="FFFFFF"/>
            <w:vAlign w:val="center"/>
          </w:tcPr>
          <w:p w14:paraId="6AFFF45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支持BMC/BIOS固件双镜像保护，运行异常时自动切换到备份镜像运行，提升系统稳定性</w:t>
            </w:r>
          </w:p>
        </w:tc>
        <w:tc>
          <w:tcPr>
            <w:tcW w:w="1329" w:type="dxa"/>
            <w:shd w:val="clear" w:color="auto" w:fill="FFFFFF"/>
            <w:vAlign w:val="center"/>
          </w:tcPr>
          <w:p w14:paraId="587431E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901D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33" w:type="dxa"/>
            <w:shd w:val="clear" w:color="auto" w:fill="FFFFFF"/>
            <w:vAlign w:val="center"/>
          </w:tcPr>
          <w:p w14:paraId="744A3AD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84</w:t>
            </w:r>
          </w:p>
        </w:tc>
        <w:tc>
          <w:tcPr>
            <w:tcW w:w="975" w:type="dxa"/>
            <w:shd w:val="clear" w:color="auto" w:fill="FFFFFF"/>
            <w:vAlign w:val="center"/>
          </w:tcPr>
          <w:p w14:paraId="3A7098A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122" w:type="dxa"/>
            <w:vMerge w:val="continue"/>
            <w:shd w:val="clear" w:color="auto" w:fill="FFFFFF"/>
            <w:vAlign w:val="center"/>
          </w:tcPr>
          <w:p w14:paraId="6F4A98CA">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0D61AD0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CPU核重启隔离</w:t>
            </w:r>
          </w:p>
        </w:tc>
        <w:tc>
          <w:tcPr>
            <w:tcW w:w="4045" w:type="dxa"/>
            <w:shd w:val="clear" w:color="auto" w:fill="FFFFFF"/>
            <w:vAlign w:val="center"/>
          </w:tcPr>
          <w:p w14:paraId="467FC40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支持CPU核发生不可纠正故障后，重启后由BIOS隔离该故障核，OS不可见，防止OS再次使用导致系统异常，核0除外</w:t>
            </w:r>
          </w:p>
        </w:tc>
        <w:tc>
          <w:tcPr>
            <w:tcW w:w="1329" w:type="dxa"/>
            <w:shd w:val="clear" w:color="auto" w:fill="FFFFFF"/>
            <w:vAlign w:val="center"/>
          </w:tcPr>
          <w:p w14:paraId="4E0CEDC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263A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33" w:type="dxa"/>
            <w:shd w:val="clear" w:color="auto" w:fill="FFFFFF"/>
            <w:vAlign w:val="center"/>
          </w:tcPr>
          <w:p w14:paraId="07F893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85</w:t>
            </w:r>
          </w:p>
        </w:tc>
        <w:tc>
          <w:tcPr>
            <w:tcW w:w="975" w:type="dxa"/>
            <w:shd w:val="clear" w:color="auto" w:fill="FFFFFF"/>
            <w:vAlign w:val="center"/>
          </w:tcPr>
          <w:p w14:paraId="00BC412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122" w:type="dxa"/>
            <w:vMerge w:val="continue"/>
            <w:shd w:val="clear" w:color="auto" w:fill="FFFFFF"/>
            <w:vAlign w:val="center"/>
          </w:tcPr>
          <w:p w14:paraId="3AD5EB90">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59A81B2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内存地址隔离</w:t>
            </w:r>
          </w:p>
        </w:tc>
        <w:tc>
          <w:tcPr>
            <w:tcW w:w="4045" w:type="dxa"/>
            <w:shd w:val="clear" w:color="auto" w:fill="FFFFFF"/>
            <w:vAlign w:val="center"/>
          </w:tcPr>
          <w:p w14:paraId="3CD329D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在硬件支持的情况下，支持故障内存地址重启后隔离</w:t>
            </w:r>
          </w:p>
        </w:tc>
        <w:tc>
          <w:tcPr>
            <w:tcW w:w="1329" w:type="dxa"/>
            <w:shd w:val="clear" w:color="auto" w:fill="FFFFFF"/>
            <w:vAlign w:val="center"/>
          </w:tcPr>
          <w:p w14:paraId="5A6BC38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CBF3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7D7F38B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86</w:t>
            </w:r>
          </w:p>
        </w:tc>
        <w:tc>
          <w:tcPr>
            <w:tcW w:w="975" w:type="dxa"/>
            <w:shd w:val="clear" w:color="auto" w:fill="FFFFFF"/>
            <w:vAlign w:val="center"/>
          </w:tcPr>
          <w:p w14:paraId="438BAD3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122" w:type="dxa"/>
            <w:vMerge w:val="continue"/>
            <w:shd w:val="clear" w:color="auto" w:fill="FFFFFF"/>
            <w:vAlign w:val="center"/>
          </w:tcPr>
          <w:p w14:paraId="03358D23">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0728DD2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内存存储阵列替换</w:t>
            </w:r>
          </w:p>
        </w:tc>
        <w:tc>
          <w:tcPr>
            <w:tcW w:w="4045" w:type="dxa"/>
            <w:shd w:val="clear" w:color="auto" w:fill="FFFFFF"/>
            <w:vAlign w:val="center"/>
          </w:tcPr>
          <w:p w14:paraId="1F19F15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在硬件支持的情况下，支持故障内存存储阵列替换</w:t>
            </w:r>
          </w:p>
        </w:tc>
        <w:tc>
          <w:tcPr>
            <w:tcW w:w="1329" w:type="dxa"/>
            <w:shd w:val="clear" w:color="auto" w:fill="FFFFFF"/>
            <w:vAlign w:val="center"/>
          </w:tcPr>
          <w:p w14:paraId="2B5898D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2EA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360341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87</w:t>
            </w:r>
          </w:p>
        </w:tc>
        <w:tc>
          <w:tcPr>
            <w:tcW w:w="975" w:type="dxa"/>
            <w:shd w:val="clear" w:color="auto" w:fill="FFFFFF"/>
            <w:vAlign w:val="center"/>
          </w:tcPr>
          <w:p w14:paraId="57617DD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122" w:type="dxa"/>
            <w:vMerge w:val="continue"/>
            <w:shd w:val="clear" w:color="auto" w:fill="FFFFFF"/>
            <w:vAlign w:val="center"/>
          </w:tcPr>
          <w:p w14:paraId="2FFC3C41">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5FB6602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安全启动</w:t>
            </w:r>
          </w:p>
        </w:tc>
        <w:tc>
          <w:tcPr>
            <w:tcW w:w="4045" w:type="dxa"/>
            <w:shd w:val="clear" w:color="auto" w:fill="FFFFFF"/>
            <w:vAlign w:val="center"/>
          </w:tcPr>
          <w:p w14:paraId="42DDD08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支持执行环境要求在整个系统启动的过程中，系统应提供一个机制来保护平台的完整性</w:t>
            </w:r>
          </w:p>
        </w:tc>
        <w:tc>
          <w:tcPr>
            <w:tcW w:w="1329" w:type="dxa"/>
            <w:shd w:val="clear" w:color="auto" w:fill="FFFFFF"/>
            <w:vAlign w:val="center"/>
          </w:tcPr>
          <w:p w14:paraId="49A9ECC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C329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091E28C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88</w:t>
            </w:r>
          </w:p>
        </w:tc>
        <w:tc>
          <w:tcPr>
            <w:tcW w:w="975" w:type="dxa"/>
            <w:shd w:val="clear" w:color="auto" w:fill="FFFFFF"/>
            <w:vAlign w:val="center"/>
          </w:tcPr>
          <w:p w14:paraId="0557B28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122" w:type="dxa"/>
            <w:vMerge w:val="restart"/>
            <w:shd w:val="clear" w:color="auto" w:fill="FFFFFF"/>
            <w:vAlign w:val="center"/>
          </w:tcPr>
          <w:p w14:paraId="41089BB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系统安全要求</w:t>
            </w:r>
          </w:p>
        </w:tc>
        <w:tc>
          <w:tcPr>
            <w:tcW w:w="1475" w:type="dxa"/>
            <w:shd w:val="clear" w:color="auto" w:fill="FFFFFF"/>
            <w:vAlign w:val="center"/>
          </w:tcPr>
          <w:p w14:paraId="50B8133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syslog双向鉴别</w:t>
            </w:r>
          </w:p>
        </w:tc>
        <w:tc>
          <w:tcPr>
            <w:tcW w:w="4045" w:type="dxa"/>
            <w:shd w:val="clear" w:color="auto" w:fill="FFFFFF"/>
            <w:vAlign w:val="center"/>
          </w:tcPr>
          <w:p w14:paraId="6BE7031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支持系统日志双向鉴别，对服务器根证书和客户端根证书进行鉴别</w:t>
            </w:r>
          </w:p>
        </w:tc>
        <w:tc>
          <w:tcPr>
            <w:tcW w:w="1329" w:type="dxa"/>
            <w:shd w:val="clear" w:color="auto" w:fill="FFFFFF"/>
            <w:vAlign w:val="center"/>
          </w:tcPr>
          <w:p w14:paraId="074A57B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400A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29133BC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89</w:t>
            </w:r>
          </w:p>
        </w:tc>
        <w:tc>
          <w:tcPr>
            <w:tcW w:w="975" w:type="dxa"/>
            <w:shd w:val="clear" w:color="auto" w:fill="FFFFFF"/>
            <w:vAlign w:val="center"/>
          </w:tcPr>
          <w:p w14:paraId="4B027CD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122" w:type="dxa"/>
            <w:vMerge w:val="continue"/>
            <w:shd w:val="clear" w:color="auto" w:fill="FFFFFF"/>
            <w:vAlign w:val="center"/>
          </w:tcPr>
          <w:p w14:paraId="564D5151">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5E5273B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★弱口令字典检查</w:t>
            </w:r>
          </w:p>
        </w:tc>
        <w:tc>
          <w:tcPr>
            <w:tcW w:w="4045" w:type="dxa"/>
            <w:shd w:val="clear" w:color="auto" w:fill="FFFFFF"/>
            <w:vAlign w:val="center"/>
          </w:tcPr>
          <w:p w14:paraId="2954210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支持弱口令字典检查功能，出现在弱口令字典中的字符串不能被设置为用户口令</w:t>
            </w:r>
          </w:p>
        </w:tc>
        <w:tc>
          <w:tcPr>
            <w:tcW w:w="1329" w:type="dxa"/>
            <w:shd w:val="clear" w:color="auto" w:fill="FFFFFF"/>
            <w:vAlign w:val="center"/>
          </w:tcPr>
          <w:p w14:paraId="37AC8DF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DF2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33" w:type="dxa"/>
            <w:shd w:val="clear" w:color="auto" w:fill="FFFFFF"/>
            <w:vAlign w:val="center"/>
          </w:tcPr>
          <w:p w14:paraId="7468E70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90</w:t>
            </w:r>
          </w:p>
        </w:tc>
        <w:tc>
          <w:tcPr>
            <w:tcW w:w="975" w:type="dxa"/>
            <w:shd w:val="clear" w:color="auto" w:fill="FFFFFF"/>
            <w:vAlign w:val="center"/>
          </w:tcPr>
          <w:p w14:paraId="403B9D5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122" w:type="dxa"/>
            <w:vMerge w:val="continue"/>
            <w:shd w:val="clear" w:color="auto" w:fill="FFFFFF"/>
            <w:vAlign w:val="center"/>
          </w:tcPr>
          <w:p w14:paraId="00B0CFDA">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609608A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★白名单访问控制</w:t>
            </w:r>
          </w:p>
        </w:tc>
        <w:tc>
          <w:tcPr>
            <w:tcW w:w="4045" w:type="dxa"/>
            <w:shd w:val="clear" w:color="auto" w:fill="FFFFFF"/>
            <w:vAlign w:val="center"/>
          </w:tcPr>
          <w:p w14:paraId="1DB4D5A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支持基于时间、IP或MAC白名单访问控制</w:t>
            </w:r>
          </w:p>
        </w:tc>
        <w:tc>
          <w:tcPr>
            <w:tcW w:w="1329" w:type="dxa"/>
            <w:shd w:val="clear" w:color="auto" w:fill="FFFFFF"/>
            <w:vAlign w:val="center"/>
          </w:tcPr>
          <w:p w14:paraId="50A51DF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758D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33" w:type="dxa"/>
            <w:shd w:val="clear" w:color="auto" w:fill="FFFFFF"/>
            <w:vAlign w:val="center"/>
          </w:tcPr>
          <w:p w14:paraId="16F1A6F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91</w:t>
            </w:r>
          </w:p>
        </w:tc>
        <w:tc>
          <w:tcPr>
            <w:tcW w:w="975" w:type="dxa"/>
            <w:shd w:val="clear" w:color="auto" w:fill="FFFFFF"/>
            <w:vAlign w:val="center"/>
          </w:tcPr>
          <w:p w14:paraId="5795CCB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122" w:type="dxa"/>
            <w:vMerge w:val="continue"/>
            <w:shd w:val="clear" w:color="auto" w:fill="FFFFFF"/>
            <w:vAlign w:val="center"/>
          </w:tcPr>
          <w:p w14:paraId="53D23B25">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175A82A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双因素鉴别</w:t>
            </w:r>
          </w:p>
        </w:tc>
        <w:tc>
          <w:tcPr>
            <w:tcW w:w="4045" w:type="dxa"/>
            <w:shd w:val="clear" w:color="auto" w:fill="FFFFFF"/>
            <w:vAlign w:val="center"/>
          </w:tcPr>
          <w:p w14:paraId="4DE85FE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支持使用客户端证书和证书密码的双因素鉴别方式登录管理系统</w:t>
            </w:r>
          </w:p>
        </w:tc>
        <w:tc>
          <w:tcPr>
            <w:tcW w:w="1329" w:type="dxa"/>
            <w:shd w:val="clear" w:color="auto" w:fill="FFFFFF"/>
            <w:vAlign w:val="center"/>
          </w:tcPr>
          <w:p w14:paraId="3BE5A5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3042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33" w:type="dxa"/>
            <w:shd w:val="clear" w:color="auto" w:fill="FFFFFF"/>
            <w:vAlign w:val="center"/>
          </w:tcPr>
          <w:p w14:paraId="5DDB47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92</w:t>
            </w:r>
          </w:p>
        </w:tc>
        <w:tc>
          <w:tcPr>
            <w:tcW w:w="975" w:type="dxa"/>
            <w:shd w:val="clear" w:color="auto" w:fill="FFFFFF"/>
            <w:vAlign w:val="center"/>
          </w:tcPr>
          <w:p w14:paraId="155A80A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122" w:type="dxa"/>
            <w:vMerge w:val="continue"/>
            <w:shd w:val="clear" w:color="auto" w:fill="FFFFFF"/>
            <w:vAlign w:val="center"/>
          </w:tcPr>
          <w:p w14:paraId="0D33B426">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07F3B44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★二次鉴别</w:t>
            </w:r>
          </w:p>
        </w:tc>
        <w:tc>
          <w:tcPr>
            <w:tcW w:w="4045" w:type="dxa"/>
            <w:shd w:val="clear" w:color="auto" w:fill="FFFFFF"/>
            <w:vAlign w:val="center"/>
          </w:tcPr>
          <w:p w14:paraId="0594FAB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支持二次鉴别功能。对于用户配置、权限配置、公钥导入等重要的管理操作，已登录用户应通过二次鉴别后，才能执行操作</w:t>
            </w:r>
          </w:p>
        </w:tc>
        <w:tc>
          <w:tcPr>
            <w:tcW w:w="1329" w:type="dxa"/>
            <w:shd w:val="clear" w:color="auto" w:fill="FFFFFF"/>
            <w:vAlign w:val="center"/>
          </w:tcPr>
          <w:p w14:paraId="0D4D5EE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4C47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416B1CE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93</w:t>
            </w:r>
          </w:p>
        </w:tc>
        <w:tc>
          <w:tcPr>
            <w:tcW w:w="975" w:type="dxa"/>
            <w:shd w:val="clear" w:color="auto" w:fill="FFFFFF"/>
            <w:vAlign w:val="center"/>
          </w:tcPr>
          <w:p w14:paraId="25562FD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122" w:type="dxa"/>
            <w:vMerge w:val="continue"/>
            <w:shd w:val="clear" w:color="auto" w:fill="FFFFFF"/>
            <w:vAlign w:val="center"/>
          </w:tcPr>
          <w:p w14:paraId="391F3AC9">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321801B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匿名化用户告警接收邮箱</w:t>
            </w:r>
          </w:p>
        </w:tc>
        <w:tc>
          <w:tcPr>
            <w:tcW w:w="4045" w:type="dxa"/>
            <w:shd w:val="clear" w:color="auto" w:fill="FFFFFF"/>
            <w:vAlign w:val="center"/>
          </w:tcPr>
          <w:p w14:paraId="24F51A9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支持带外管理系统中的用户告警接收邮箱进行匿名化处理</w:t>
            </w:r>
          </w:p>
        </w:tc>
        <w:tc>
          <w:tcPr>
            <w:tcW w:w="1329" w:type="dxa"/>
            <w:shd w:val="clear" w:color="auto" w:fill="FFFFFF"/>
            <w:vAlign w:val="center"/>
          </w:tcPr>
          <w:p w14:paraId="445321C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278E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33" w:type="dxa"/>
            <w:shd w:val="clear" w:color="auto" w:fill="FFFFFF"/>
            <w:vAlign w:val="center"/>
          </w:tcPr>
          <w:p w14:paraId="435F11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94</w:t>
            </w:r>
          </w:p>
        </w:tc>
        <w:tc>
          <w:tcPr>
            <w:tcW w:w="975" w:type="dxa"/>
            <w:shd w:val="clear" w:color="auto" w:fill="FFFFFF"/>
            <w:vAlign w:val="center"/>
          </w:tcPr>
          <w:p w14:paraId="4CF8BE1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122" w:type="dxa"/>
            <w:vMerge w:val="continue"/>
            <w:shd w:val="clear" w:color="auto" w:fill="FFFFFF"/>
            <w:vAlign w:val="center"/>
          </w:tcPr>
          <w:p w14:paraId="1D05AB55">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0CEB118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★密码证书安全加密存储</w:t>
            </w:r>
          </w:p>
        </w:tc>
        <w:tc>
          <w:tcPr>
            <w:tcW w:w="4045" w:type="dxa"/>
            <w:shd w:val="clear" w:color="auto" w:fill="FFFFFF"/>
            <w:vAlign w:val="center"/>
          </w:tcPr>
          <w:p w14:paraId="617BA2C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支持对带外管理系统中的用户口令和证书等敏感信息进行加密存储，禁止使用私有的和业界已知不安全的密码算法</w:t>
            </w:r>
          </w:p>
        </w:tc>
        <w:tc>
          <w:tcPr>
            <w:tcW w:w="1329" w:type="dxa"/>
            <w:shd w:val="clear" w:color="auto" w:fill="FFFFFF"/>
            <w:vAlign w:val="center"/>
          </w:tcPr>
          <w:p w14:paraId="48C7176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2C75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03CAE34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95</w:t>
            </w:r>
          </w:p>
        </w:tc>
        <w:tc>
          <w:tcPr>
            <w:tcW w:w="975" w:type="dxa"/>
            <w:shd w:val="clear" w:color="auto" w:fill="FFFFFF"/>
            <w:vAlign w:val="center"/>
          </w:tcPr>
          <w:p w14:paraId="11758BA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122" w:type="dxa"/>
            <w:vMerge w:val="continue"/>
            <w:shd w:val="clear" w:color="auto" w:fill="FFFFFF"/>
            <w:vAlign w:val="center"/>
          </w:tcPr>
          <w:p w14:paraId="67E5CEEF">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0E65953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★敏感信息安全加密传输</w:t>
            </w:r>
          </w:p>
        </w:tc>
        <w:tc>
          <w:tcPr>
            <w:tcW w:w="4045" w:type="dxa"/>
            <w:shd w:val="clear" w:color="auto" w:fill="FFFFFF"/>
            <w:vAlign w:val="center"/>
          </w:tcPr>
          <w:p w14:paraId="06AF082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支持使用安全的传输加密协议（如SSH或HTTPS等）传输用户的敏感信息</w:t>
            </w:r>
          </w:p>
        </w:tc>
        <w:tc>
          <w:tcPr>
            <w:tcW w:w="1329" w:type="dxa"/>
            <w:shd w:val="clear" w:color="auto" w:fill="FFFFFF"/>
            <w:vAlign w:val="center"/>
          </w:tcPr>
          <w:p w14:paraId="1DC247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4ED0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33" w:type="dxa"/>
            <w:shd w:val="clear" w:color="auto" w:fill="FFFFFF"/>
            <w:vAlign w:val="center"/>
          </w:tcPr>
          <w:p w14:paraId="31BB8BD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96</w:t>
            </w:r>
          </w:p>
        </w:tc>
        <w:tc>
          <w:tcPr>
            <w:tcW w:w="975" w:type="dxa"/>
            <w:shd w:val="clear" w:color="auto" w:fill="FFFFFF"/>
            <w:vAlign w:val="center"/>
          </w:tcPr>
          <w:p w14:paraId="40FB5CC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122" w:type="dxa"/>
            <w:vMerge w:val="restart"/>
            <w:shd w:val="clear" w:color="auto" w:fill="FFFFFF"/>
            <w:vAlign w:val="center"/>
          </w:tcPr>
          <w:p w14:paraId="7EAD79C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信息安全要求</w:t>
            </w:r>
          </w:p>
        </w:tc>
        <w:tc>
          <w:tcPr>
            <w:tcW w:w="1475" w:type="dxa"/>
            <w:shd w:val="clear" w:color="auto" w:fill="FFFFFF"/>
            <w:vAlign w:val="center"/>
          </w:tcPr>
          <w:p w14:paraId="34B99EC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★研发过程安全</w:t>
            </w:r>
          </w:p>
        </w:tc>
        <w:tc>
          <w:tcPr>
            <w:tcW w:w="4045" w:type="dxa"/>
            <w:shd w:val="clear" w:color="auto" w:fill="FFFFFF"/>
            <w:vAlign w:val="center"/>
          </w:tcPr>
          <w:p w14:paraId="1F9E87C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供应商承诺，生产商已建立从需求、设计、开发、测试、维护端到端的开发流程管理机制，输出和保存开发流程中每个阶段的产品需求清单、设计文档、开发文档、测试记录等材料，保证各个流程可追溯</w:t>
            </w:r>
            <w:r>
              <w:rPr>
                <w:rFonts w:hint="eastAsia"/>
                <w:b/>
                <w:bCs/>
              </w:rPr>
              <w:t>（需提供加盖投标人公章的承诺书</w:t>
            </w:r>
            <w:r>
              <w:rPr>
                <w:rFonts w:hint="eastAsia"/>
                <w:b/>
                <w:bCs/>
                <w:lang w:eastAsia="zh-CN"/>
              </w:rPr>
              <w:t>）</w:t>
            </w:r>
          </w:p>
        </w:tc>
        <w:tc>
          <w:tcPr>
            <w:tcW w:w="1329" w:type="dxa"/>
            <w:shd w:val="clear" w:color="auto" w:fill="FFFFFF"/>
            <w:vAlign w:val="center"/>
          </w:tcPr>
          <w:p w14:paraId="64E8C31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20700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33" w:type="dxa"/>
            <w:shd w:val="clear" w:color="auto" w:fill="FFFFFF"/>
            <w:vAlign w:val="center"/>
          </w:tcPr>
          <w:p w14:paraId="52A0FFC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97</w:t>
            </w:r>
          </w:p>
        </w:tc>
        <w:tc>
          <w:tcPr>
            <w:tcW w:w="975" w:type="dxa"/>
            <w:shd w:val="clear" w:color="auto" w:fill="FFFFFF"/>
            <w:vAlign w:val="center"/>
          </w:tcPr>
          <w:p w14:paraId="321CAFA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122" w:type="dxa"/>
            <w:vMerge w:val="continue"/>
            <w:shd w:val="clear" w:color="auto" w:fill="FFFFFF"/>
            <w:vAlign w:val="center"/>
          </w:tcPr>
          <w:p w14:paraId="40F5B6BD">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2EAE53B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漏洞管理</w:t>
            </w:r>
          </w:p>
        </w:tc>
        <w:tc>
          <w:tcPr>
            <w:tcW w:w="4045" w:type="dxa"/>
            <w:shd w:val="clear" w:color="auto" w:fill="FFFFFF"/>
            <w:vAlign w:val="center"/>
          </w:tcPr>
          <w:p w14:paraId="06FEC19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供应商承诺，生产商已建立漏洞全量视图，保证产品版本涉及到的所有漏洞（如驱动程序、BMC软件等）都可以查看</w:t>
            </w:r>
            <w:r>
              <w:rPr>
                <w:rFonts w:hint="eastAsia"/>
                <w:b/>
                <w:bCs/>
              </w:rPr>
              <w:t>（需提供加盖投标人公章的承诺书</w:t>
            </w:r>
            <w:r>
              <w:rPr>
                <w:rFonts w:hint="eastAsia"/>
                <w:b/>
                <w:bCs/>
                <w:lang w:eastAsia="zh-CN"/>
              </w:rPr>
              <w:t>）</w:t>
            </w:r>
          </w:p>
        </w:tc>
        <w:tc>
          <w:tcPr>
            <w:tcW w:w="1329" w:type="dxa"/>
            <w:shd w:val="clear" w:color="auto" w:fill="FFFFFF"/>
            <w:vAlign w:val="center"/>
          </w:tcPr>
          <w:p w14:paraId="16383FB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3A63F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33" w:type="dxa"/>
            <w:shd w:val="clear" w:color="auto" w:fill="FFFFFF"/>
            <w:vAlign w:val="center"/>
          </w:tcPr>
          <w:p w14:paraId="25EDE78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98</w:t>
            </w:r>
          </w:p>
        </w:tc>
        <w:tc>
          <w:tcPr>
            <w:tcW w:w="975" w:type="dxa"/>
            <w:shd w:val="clear" w:color="auto" w:fill="FFFFFF"/>
            <w:vAlign w:val="center"/>
          </w:tcPr>
          <w:p w14:paraId="44642AB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122" w:type="dxa"/>
            <w:vMerge w:val="continue"/>
            <w:shd w:val="clear" w:color="auto" w:fill="FFFFFF"/>
            <w:vAlign w:val="center"/>
          </w:tcPr>
          <w:p w14:paraId="70AC988C">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209029D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网络关键设备服务器要求</w:t>
            </w:r>
          </w:p>
        </w:tc>
        <w:tc>
          <w:tcPr>
            <w:tcW w:w="4045" w:type="dxa"/>
            <w:shd w:val="clear" w:color="auto" w:fill="FFFFFF"/>
            <w:vAlign w:val="center"/>
          </w:tcPr>
          <w:p w14:paraId="2C71CBE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作为网络关键设备的服务器应符合GB40050的相关规定</w:t>
            </w:r>
          </w:p>
        </w:tc>
        <w:tc>
          <w:tcPr>
            <w:tcW w:w="1329" w:type="dxa"/>
            <w:shd w:val="clear" w:color="auto" w:fill="FFFFFF"/>
            <w:vAlign w:val="center"/>
          </w:tcPr>
          <w:p w14:paraId="11E8D4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204D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2" w:hRule="atLeast"/>
        </w:trPr>
        <w:tc>
          <w:tcPr>
            <w:tcW w:w="633" w:type="dxa"/>
            <w:shd w:val="clear" w:color="auto" w:fill="FFFFFF"/>
            <w:vAlign w:val="center"/>
          </w:tcPr>
          <w:p w14:paraId="5B522C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99</w:t>
            </w:r>
          </w:p>
        </w:tc>
        <w:tc>
          <w:tcPr>
            <w:tcW w:w="975" w:type="dxa"/>
            <w:shd w:val="clear" w:color="auto" w:fill="FFFFFF"/>
            <w:vAlign w:val="center"/>
          </w:tcPr>
          <w:p w14:paraId="5466E91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122" w:type="dxa"/>
            <w:vMerge w:val="continue"/>
            <w:shd w:val="clear" w:color="auto" w:fill="FFFFFF"/>
            <w:vAlign w:val="center"/>
          </w:tcPr>
          <w:p w14:paraId="710BF0B7">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292A9BC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增强要求</w:t>
            </w:r>
          </w:p>
        </w:tc>
        <w:tc>
          <w:tcPr>
            <w:tcW w:w="4045" w:type="dxa"/>
            <w:shd w:val="clear" w:color="auto" w:fill="FFFFFF"/>
            <w:vAlign w:val="center"/>
          </w:tcPr>
          <w:p w14:paraId="3DADBB3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a）嵌入物理可信根，实现设备的信任链构建；</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b）支持可信平台控制模块（TPCM）；</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c）支持在固件系统（BMC、BIOS）启动前实现对固件度量的功能，支持物理可信根对BMC固件或BIOS固件进行完整性检测、更新和恢复；</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d）支持对CPU、网络控制器等关键处理器进行身份识别与度量的功能；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e）支持基于处理器或可信计算模块度量的功能；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f）所采用的可信密码模块接口应符合GM/T0012的相关规定；</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g）可信安全管理模块、处理器等硬件载体应通过国家相关部门的认证和许可</w:t>
            </w:r>
          </w:p>
        </w:tc>
        <w:tc>
          <w:tcPr>
            <w:tcW w:w="1329" w:type="dxa"/>
            <w:shd w:val="clear" w:color="auto" w:fill="FFFFFF"/>
            <w:vAlign w:val="center"/>
          </w:tcPr>
          <w:p w14:paraId="6F4757E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B438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33" w:type="dxa"/>
            <w:shd w:val="clear" w:color="auto" w:fill="FFFFFF"/>
            <w:vAlign w:val="center"/>
          </w:tcPr>
          <w:p w14:paraId="412CBE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100</w:t>
            </w:r>
          </w:p>
        </w:tc>
        <w:tc>
          <w:tcPr>
            <w:tcW w:w="975" w:type="dxa"/>
            <w:shd w:val="clear" w:color="auto" w:fill="FFFFFF"/>
            <w:vAlign w:val="center"/>
          </w:tcPr>
          <w:p w14:paraId="35C10E8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122" w:type="dxa"/>
            <w:shd w:val="clear" w:color="auto" w:fill="FFFFFF"/>
            <w:vAlign w:val="center"/>
          </w:tcPr>
          <w:p w14:paraId="7CEAA22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物理安全</w:t>
            </w:r>
          </w:p>
        </w:tc>
        <w:tc>
          <w:tcPr>
            <w:tcW w:w="1475" w:type="dxa"/>
            <w:shd w:val="clear" w:color="auto" w:fill="FFFFFF"/>
            <w:vAlign w:val="center"/>
          </w:tcPr>
          <w:p w14:paraId="7C27C5F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★物理安全</w:t>
            </w:r>
          </w:p>
        </w:tc>
        <w:tc>
          <w:tcPr>
            <w:tcW w:w="4045" w:type="dxa"/>
            <w:shd w:val="clear" w:color="auto" w:fill="FFFFFF"/>
            <w:vAlign w:val="center"/>
          </w:tcPr>
          <w:p w14:paraId="7C01109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安全要求应符合GB4943.1的规定</w:t>
            </w:r>
          </w:p>
        </w:tc>
        <w:tc>
          <w:tcPr>
            <w:tcW w:w="1329" w:type="dxa"/>
            <w:shd w:val="clear" w:color="auto" w:fill="FFFFFF"/>
            <w:vAlign w:val="center"/>
          </w:tcPr>
          <w:p w14:paraId="0FF529A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3C5D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7ECE79A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101</w:t>
            </w:r>
          </w:p>
        </w:tc>
        <w:tc>
          <w:tcPr>
            <w:tcW w:w="975" w:type="dxa"/>
            <w:shd w:val="clear" w:color="auto" w:fill="FFFFFF"/>
            <w:vAlign w:val="center"/>
          </w:tcPr>
          <w:p w14:paraId="24F7204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122" w:type="dxa"/>
            <w:shd w:val="clear" w:color="auto" w:fill="FFFFFF"/>
            <w:vAlign w:val="center"/>
          </w:tcPr>
          <w:p w14:paraId="4AAC205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限用物质的限量要求</w:t>
            </w:r>
          </w:p>
        </w:tc>
        <w:tc>
          <w:tcPr>
            <w:tcW w:w="1475" w:type="dxa"/>
            <w:shd w:val="clear" w:color="auto" w:fill="FFFFFF"/>
            <w:vAlign w:val="center"/>
          </w:tcPr>
          <w:p w14:paraId="156C546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★限用物质的限量要求</w:t>
            </w:r>
          </w:p>
        </w:tc>
        <w:tc>
          <w:tcPr>
            <w:tcW w:w="4045" w:type="dxa"/>
            <w:shd w:val="clear" w:color="auto" w:fill="FFFFFF"/>
            <w:vAlign w:val="center"/>
          </w:tcPr>
          <w:p w14:paraId="2E9ED38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限用物质的限量应符合GB/T26572的要求</w:t>
            </w:r>
          </w:p>
        </w:tc>
        <w:tc>
          <w:tcPr>
            <w:tcW w:w="1329" w:type="dxa"/>
            <w:shd w:val="clear" w:color="auto" w:fill="FFFFFF"/>
            <w:vAlign w:val="center"/>
          </w:tcPr>
          <w:p w14:paraId="5614D82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D6E4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33" w:type="dxa"/>
            <w:shd w:val="clear" w:color="auto" w:fill="FFFFFF"/>
            <w:vAlign w:val="center"/>
          </w:tcPr>
          <w:p w14:paraId="627B399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102</w:t>
            </w:r>
          </w:p>
        </w:tc>
        <w:tc>
          <w:tcPr>
            <w:tcW w:w="975" w:type="dxa"/>
            <w:shd w:val="clear" w:color="auto" w:fill="FFFFFF"/>
            <w:vAlign w:val="center"/>
          </w:tcPr>
          <w:p w14:paraId="3BB2032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122" w:type="dxa"/>
            <w:vMerge w:val="restart"/>
            <w:shd w:val="clear" w:color="auto" w:fill="FFFFFF"/>
            <w:vAlign w:val="center"/>
          </w:tcPr>
          <w:p w14:paraId="39B1F02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CPU性能</w:t>
            </w:r>
          </w:p>
        </w:tc>
        <w:tc>
          <w:tcPr>
            <w:tcW w:w="1475" w:type="dxa"/>
            <w:shd w:val="clear" w:color="auto" w:fill="FFFFFF"/>
            <w:vAlign w:val="center"/>
          </w:tcPr>
          <w:p w14:paraId="1A86656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★CPU主频</w:t>
            </w:r>
          </w:p>
        </w:tc>
        <w:tc>
          <w:tcPr>
            <w:tcW w:w="4045" w:type="dxa"/>
            <w:shd w:val="clear" w:color="auto" w:fill="FFFFFF"/>
            <w:vAlign w:val="center"/>
          </w:tcPr>
          <w:p w14:paraId="12FBD1C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≥2.7GHz</w:t>
            </w:r>
          </w:p>
        </w:tc>
        <w:tc>
          <w:tcPr>
            <w:tcW w:w="1329" w:type="dxa"/>
            <w:shd w:val="clear" w:color="auto" w:fill="FFFFFF"/>
            <w:vAlign w:val="center"/>
          </w:tcPr>
          <w:p w14:paraId="162FBEB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C153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33" w:type="dxa"/>
            <w:shd w:val="clear" w:color="auto" w:fill="FFFFFF"/>
            <w:vAlign w:val="center"/>
          </w:tcPr>
          <w:p w14:paraId="7159F03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103</w:t>
            </w:r>
          </w:p>
        </w:tc>
        <w:tc>
          <w:tcPr>
            <w:tcW w:w="975" w:type="dxa"/>
            <w:shd w:val="clear" w:color="auto" w:fill="FFFFFF"/>
            <w:vAlign w:val="center"/>
          </w:tcPr>
          <w:p w14:paraId="14D7AF0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122" w:type="dxa"/>
            <w:vMerge w:val="continue"/>
            <w:shd w:val="clear" w:color="auto" w:fill="FFFFFF"/>
            <w:vAlign w:val="center"/>
          </w:tcPr>
          <w:p w14:paraId="59A7CE0A">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7B252F1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★单CPU核数</w:t>
            </w:r>
          </w:p>
        </w:tc>
        <w:tc>
          <w:tcPr>
            <w:tcW w:w="4045" w:type="dxa"/>
            <w:shd w:val="clear" w:color="auto" w:fill="FFFFFF"/>
            <w:vAlign w:val="center"/>
          </w:tcPr>
          <w:p w14:paraId="7F4B68E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≥64核，</w:t>
            </w:r>
            <w:r>
              <w:rPr>
                <w:rFonts w:hint="eastAsia" w:asciiTheme="minorEastAsia" w:hAnsiTheme="minorEastAsia" w:eastAsiaTheme="minorEastAsia" w:cstheme="minorEastAsia"/>
                <w:sz w:val="24"/>
              </w:rPr>
              <w:t>≥2颗</w:t>
            </w:r>
          </w:p>
        </w:tc>
        <w:tc>
          <w:tcPr>
            <w:tcW w:w="1329" w:type="dxa"/>
            <w:shd w:val="clear" w:color="auto" w:fill="FFFFFF"/>
            <w:vAlign w:val="center"/>
          </w:tcPr>
          <w:p w14:paraId="1311D16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9FB8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33" w:type="dxa"/>
            <w:shd w:val="clear" w:color="auto" w:fill="FFFFFF"/>
            <w:vAlign w:val="center"/>
          </w:tcPr>
          <w:p w14:paraId="3A98022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104</w:t>
            </w:r>
          </w:p>
        </w:tc>
        <w:tc>
          <w:tcPr>
            <w:tcW w:w="975" w:type="dxa"/>
            <w:shd w:val="clear" w:color="auto" w:fill="FFFFFF"/>
            <w:vAlign w:val="center"/>
          </w:tcPr>
          <w:p w14:paraId="32BB79A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122" w:type="dxa"/>
            <w:vMerge w:val="continue"/>
            <w:shd w:val="clear" w:color="auto" w:fill="FFFFFF"/>
            <w:vAlign w:val="center"/>
          </w:tcPr>
          <w:p w14:paraId="635467B8">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1972279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★单CPU末级缓存容量</w:t>
            </w:r>
          </w:p>
        </w:tc>
        <w:tc>
          <w:tcPr>
            <w:tcW w:w="4045" w:type="dxa"/>
            <w:shd w:val="clear" w:color="auto" w:fill="FFFFFF"/>
            <w:vAlign w:val="center"/>
          </w:tcPr>
          <w:p w14:paraId="3DE36CF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≥8MB</w:t>
            </w:r>
          </w:p>
        </w:tc>
        <w:tc>
          <w:tcPr>
            <w:tcW w:w="1329" w:type="dxa"/>
            <w:shd w:val="clear" w:color="auto" w:fill="FFFFFF"/>
            <w:vAlign w:val="center"/>
          </w:tcPr>
          <w:p w14:paraId="6076C35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F458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6A6550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105</w:t>
            </w:r>
          </w:p>
        </w:tc>
        <w:tc>
          <w:tcPr>
            <w:tcW w:w="975" w:type="dxa"/>
            <w:shd w:val="clear" w:color="auto" w:fill="FFFFFF"/>
            <w:vAlign w:val="center"/>
          </w:tcPr>
          <w:p w14:paraId="02FF8E6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122" w:type="dxa"/>
            <w:vMerge w:val="restart"/>
            <w:shd w:val="clear" w:color="auto" w:fill="FFFFFF"/>
            <w:vAlign w:val="center"/>
          </w:tcPr>
          <w:p w14:paraId="3CFCCA8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内存性能</w:t>
            </w:r>
          </w:p>
        </w:tc>
        <w:tc>
          <w:tcPr>
            <w:tcW w:w="1475" w:type="dxa"/>
            <w:shd w:val="clear" w:color="auto" w:fill="FFFFFF"/>
            <w:vAlign w:val="center"/>
          </w:tcPr>
          <w:p w14:paraId="59B28B6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★单内存模块容量</w:t>
            </w:r>
          </w:p>
        </w:tc>
        <w:tc>
          <w:tcPr>
            <w:tcW w:w="4045" w:type="dxa"/>
            <w:shd w:val="clear" w:color="auto" w:fill="FFFFFF"/>
            <w:vAlign w:val="center"/>
          </w:tcPr>
          <w:p w14:paraId="04889E6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≥64GB</w:t>
            </w:r>
          </w:p>
        </w:tc>
        <w:tc>
          <w:tcPr>
            <w:tcW w:w="1329" w:type="dxa"/>
            <w:shd w:val="clear" w:color="auto" w:fill="FFFFFF"/>
            <w:vAlign w:val="center"/>
          </w:tcPr>
          <w:p w14:paraId="04E23ED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E1E0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33" w:type="dxa"/>
            <w:shd w:val="clear" w:color="auto" w:fill="FFFFFF"/>
            <w:vAlign w:val="center"/>
          </w:tcPr>
          <w:p w14:paraId="64B25D5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106</w:t>
            </w:r>
          </w:p>
        </w:tc>
        <w:tc>
          <w:tcPr>
            <w:tcW w:w="975" w:type="dxa"/>
            <w:shd w:val="clear" w:color="auto" w:fill="FFFFFF"/>
            <w:vAlign w:val="center"/>
          </w:tcPr>
          <w:p w14:paraId="6EC5D54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122" w:type="dxa"/>
            <w:vMerge w:val="continue"/>
            <w:shd w:val="clear" w:color="auto" w:fill="FFFFFF"/>
            <w:vAlign w:val="center"/>
          </w:tcPr>
          <w:p w14:paraId="5F5FC228">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1F82C49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★内存速率</w:t>
            </w:r>
          </w:p>
        </w:tc>
        <w:tc>
          <w:tcPr>
            <w:tcW w:w="4045" w:type="dxa"/>
            <w:shd w:val="clear" w:color="auto" w:fill="FFFFFF"/>
            <w:vAlign w:val="center"/>
          </w:tcPr>
          <w:p w14:paraId="382189C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≥5600MT/s</w:t>
            </w:r>
          </w:p>
        </w:tc>
        <w:tc>
          <w:tcPr>
            <w:tcW w:w="1329" w:type="dxa"/>
            <w:shd w:val="clear" w:color="auto" w:fill="FFFFFF"/>
            <w:vAlign w:val="center"/>
          </w:tcPr>
          <w:p w14:paraId="70AFB05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B037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33" w:type="dxa"/>
            <w:shd w:val="clear" w:color="auto" w:fill="FFFFFF"/>
            <w:vAlign w:val="center"/>
          </w:tcPr>
          <w:p w14:paraId="4048A69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107</w:t>
            </w:r>
          </w:p>
        </w:tc>
        <w:tc>
          <w:tcPr>
            <w:tcW w:w="975" w:type="dxa"/>
            <w:shd w:val="clear" w:color="auto" w:fill="FFFFFF"/>
            <w:vAlign w:val="center"/>
          </w:tcPr>
          <w:p w14:paraId="720E9FE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122" w:type="dxa"/>
            <w:shd w:val="clear" w:color="auto" w:fill="FFFFFF"/>
            <w:vAlign w:val="center"/>
          </w:tcPr>
          <w:p w14:paraId="5A2978D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存储性能</w:t>
            </w:r>
          </w:p>
        </w:tc>
        <w:tc>
          <w:tcPr>
            <w:tcW w:w="1475" w:type="dxa"/>
            <w:shd w:val="clear" w:color="auto" w:fill="FFFFFF"/>
            <w:vAlign w:val="center"/>
          </w:tcPr>
          <w:p w14:paraId="7EC4CD7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硬盘转速</w:t>
            </w:r>
          </w:p>
        </w:tc>
        <w:tc>
          <w:tcPr>
            <w:tcW w:w="4045" w:type="dxa"/>
            <w:shd w:val="clear" w:color="auto" w:fill="FFFFFF"/>
            <w:vAlign w:val="center"/>
          </w:tcPr>
          <w:p w14:paraId="158D785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安装的硬磁盘转速不小于7200rpm</w:t>
            </w:r>
          </w:p>
        </w:tc>
        <w:tc>
          <w:tcPr>
            <w:tcW w:w="1329" w:type="dxa"/>
            <w:shd w:val="clear" w:color="auto" w:fill="FFFFFF"/>
            <w:vAlign w:val="center"/>
          </w:tcPr>
          <w:p w14:paraId="307F1C6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4D2C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33" w:type="dxa"/>
            <w:shd w:val="clear" w:color="auto" w:fill="FFFFFF"/>
            <w:vAlign w:val="center"/>
          </w:tcPr>
          <w:p w14:paraId="46C2D15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108</w:t>
            </w:r>
          </w:p>
        </w:tc>
        <w:tc>
          <w:tcPr>
            <w:tcW w:w="975" w:type="dxa"/>
            <w:shd w:val="clear" w:color="auto" w:fill="FFFFFF"/>
            <w:vAlign w:val="center"/>
          </w:tcPr>
          <w:p w14:paraId="439C6E9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122" w:type="dxa"/>
            <w:shd w:val="clear" w:color="auto" w:fill="FFFFFF"/>
            <w:vAlign w:val="center"/>
          </w:tcPr>
          <w:p w14:paraId="055066C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RAID卡性能</w:t>
            </w:r>
          </w:p>
        </w:tc>
        <w:tc>
          <w:tcPr>
            <w:tcW w:w="1475" w:type="dxa"/>
            <w:shd w:val="clear" w:color="auto" w:fill="FFFFFF"/>
            <w:vAlign w:val="center"/>
          </w:tcPr>
          <w:p w14:paraId="46D1748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RAID卡缓存容量大小</w:t>
            </w:r>
          </w:p>
        </w:tc>
        <w:tc>
          <w:tcPr>
            <w:tcW w:w="4045" w:type="dxa"/>
            <w:shd w:val="clear" w:color="auto" w:fill="FFFFFF"/>
            <w:vAlign w:val="center"/>
          </w:tcPr>
          <w:p w14:paraId="3036A6F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≥2GB</w:t>
            </w:r>
          </w:p>
        </w:tc>
        <w:tc>
          <w:tcPr>
            <w:tcW w:w="1329" w:type="dxa"/>
            <w:shd w:val="clear" w:color="auto" w:fill="FFFFFF"/>
            <w:vAlign w:val="center"/>
          </w:tcPr>
          <w:p w14:paraId="72B790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4F32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33" w:type="dxa"/>
            <w:shd w:val="clear" w:color="auto" w:fill="FFFFFF"/>
            <w:vAlign w:val="center"/>
          </w:tcPr>
          <w:p w14:paraId="6FD55F2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109</w:t>
            </w:r>
          </w:p>
        </w:tc>
        <w:tc>
          <w:tcPr>
            <w:tcW w:w="975" w:type="dxa"/>
            <w:shd w:val="clear" w:color="auto" w:fill="FFFFFF"/>
            <w:vAlign w:val="center"/>
          </w:tcPr>
          <w:p w14:paraId="47F9385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122" w:type="dxa"/>
            <w:shd w:val="clear" w:color="auto" w:fill="FFFFFF"/>
            <w:vAlign w:val="center"/>
          </w:tcPr>
          <w:p w14:paraId="6F95C2B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FCHBA卡性能</w:t>
            </w:r>
          </w:p>
        </w:tc>
        <w:tc>
          <w:tcPr>
            <w:tcW w:w="1475" w:type="dxa"/>
            <w:shd w:val="clear" w:color="auto" w:fill="FFFFFF"/>
            <w:vAlign w:val="center"/>
          </w:tcPr>
          <w:p w14:paraId="6D7A04E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FCHBA卡速率</w:t>
            </w:r>
          </w:p>
        </w:tc>
        <w:tc>
          <w:tcPr>
            <w:tcW w:w="4045" w:type="dxa"/>
            <w:shd w:val="clear" w:color="auto" w:fill="FFFFFF"/>
            <w:vAlign w:val="center"/>
          </w:tcPr>
          <w:p w14:paraId="2331365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若配备FC HBA卡，单端口最大的连接速率≥8Gb/s（不涉及）</w:t>
            </w:r>
          </w:p>
        </w:tc>
        <w:tc>
          <w:tcPr>
            <w:tcW w:w="1329" w:type="dxa"/>
            <w:shd w:val="clear" w:color="auto" w:fill="FFFFFF"/>
            <w:vAlign w:val="center"/>
          </w:tcPr>
          <w:p w14:paraId="4BB6418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D3F0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33" w:type="dxa"/>
            <w:shd w:val="clear" w:color="auto" w:fill="FFFFFF"/>
            <w:vAlign w:val="center"/>
          </w:tcPr>
          <w:p w14:paraId="37505F7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110</w:t>
            </w:r>
          </w:p>
        </w:tc>
        <w:tc>
          <w:tcPr>
            <w:tcW w:w="975" w:type="dxa"/>
            <w:shd w:val="clear" w:color="auto" w:fill="FFFFFF"/>
            <w:vAlign w:val="center"/>
          </w:tcPr>
          <w:p w14:paraId="0F45C3F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122" w:type="dxa"/>
            <w:vMerge w:val="restart"/>
            <w:shd w:val="clear" w:color="auto" w:fill="FFFFFF"/>
            <w:vAlign w:val="center"/>
          </w:tcPr>
          <w:p w14:paraId="7FED634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网络性能</w:t>
            </w:r>
          </w:p>
        </w:tc>
        <w:tc>
          <w:tcPr>
            <w:tcW w:w="1475" w:type="dxa"/>
            <w:shd w:val="clear" w:color="auto" w:fill="FFFFFF"/>
            <w:vAlign w:val="center"/>
          </w:tcPr>
          <w:p w14:paraId="335504E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独立网卡速率</w:t>
            </w:r>
          </w:p>
        </w:tc>
        <w:tc>
          <w:tcPr>
            <w:tcW w:w="4045" w:type="dxa"/>
            <w:shd w:val="clear" w:color="auto" w:fill="FFFFFF"/>
            <w:vAlign w:val="center"/>
          </w:tcPr>
          <w:p w14:paraId="1144BF4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端口速率≥10GE</w:t>
            </w:r>
          </w:p>
        </w:tc>
        <w:tc>
          <w:tcPr>
            <w:tcW w:w="1329" w:type="dxa"/>
            <w:shd w:val="clear" w:color="auto" w:fill="FFFFFF"/>
            <w:vAlign w:val="center"/>
          </w:tcPr>
          <w:p w14:paraId="56F0DB0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8B54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33" w:type="dxa"/>
            <w:shd w:val="clear" w:color="auto" w:fill="FFFFFF"/>
            <w:vAlign w:val="center"/>
          </w:tcPr>
          <w:p w14:paraId="3A90BBF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111</w:t>
            </w:r>
          </w:p>
        </w:tc>
        <w:tc>
          <w:tcPr>
            <w:tcW w:w="975" w:type="dxa"/>
            <w:shd w:val="clear" w:color="auto" w:fill="FFFFFF"/>
            <w:vAlign w:val="center"/>
          </w:tcPr>
          <w:p w14:paraId="4F8BA57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122" w:type="dxa"/>
            <w:vMerge w:val="continue"/>
            <w:shd w:val="clear" w:color="auto" w:fill="FFFFFF"/>
            <w:vAlign w:val="center"/>
          </w:tcPr>
          <w:p w14:paraId="11A501C6">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09AC6D9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板载网卡速率</w:t>
            </w:r>
          </w:p>
        </w:tc>
        <w:tc>
          <w:tcPr>
            <w:tcW w:w="4045" w:type="dxa"/>
            <w:shd w:val="clear" w:color="auto" w:fill="FFFFFF"/>
            <w:vAlign w:val="center"/>
          </w:tcPr>
          <w:p w14:paraId="611A6A0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端口速率≥1GE</w:t>
            </w:r>
          </w:p>
        </w:tc>
        <w:tc>
          <w:tcPr>
            <w:tcW w:w="1329" w:type="dxa"/>
            <w:shd w:val="clear" w:color="auto" w:fill="FFFFFF"/>
            <w:vAlign w:val="center"/>
          </w:tcPr>
          <w:p w14:paraId="002B0E2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716F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33" w:type="dxa"/>
            <w:shd w:val="clear" w:color="auto" w:fill="FFFFFF"/>
            <w:vAlign w:val="center"/>
          </w:tcPr>
          <w:p w14:paraId="5F755A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112</w:t>
            </w:r>
          </w:p>
        </w:tc>
        <w:tc>
          <w:tcPr>
            <w:tcW w:w="975" w:type="dxa"/>
            <w:shd w:val="clear" w:color="auto" w:fill="FFFFFF"/>
            <w:vAlign w:val="center"/>
          </w:tcPr>
          <w:p w14:paraId="6DF288A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122" w:type="dxa"/>
            <w:shd w:val="clear" w:color="auto" w:fill="FFFFFF"/>
            <w:vAlign w:val="center"/>
          </w:tcPr>
          <w:p w14:paraId="5379EA2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电源能耗</w:t>
            </w:r>
          </w:p>
        </w:tc>
        <w:tc>
          <w:tcPr>
            <w:tcW w:w="1475" w:type="dxa"/>
            <w:shd w:val="clear" w:color="auto" w:fill="FFFFFF"/>
            <w:vAlign w:val="center"/>
          </w:tcPr>
          <w:p w14:paraId="21951C9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★电源能耗</w:t>
            </w:r>
          </w:p>
        </w:tc>
        <w:tc>
          <w:tcPr>
            <w:tcW w:w="4045" w:type="dxa"/>
            <w:shd w:val="clear" w:color="auto" w:fill="FFFFFF"/>
            <w:vAlign w:val="center"/>
          </w:tcPr>
          <w:p w14:paraId="44B8BC4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符合GB/T9813.3的有关规定</w:t>
            </w:r>
          </w:p>
        </w:tc>
        <w:tc>
          <w:tcPr>
            <w:tcW w:w="1329" w:type="dxa"/>
            <w:shd w:val="clear" w:color="auto" w:fill="FFFFFF"/>
            <w:vAlign w:val="center"/>
          </w:tcPr>
          <w:p w14:paraId="13D371B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3DB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33" w:type="dxa"/>
            <w:shd w:val="clear" w:color="auto" w:fill="FFFFFF"/>
            <w:vAlign w:val="center"/>
          </w:tcPr>
          <w:p w14:paraId="1E4D3A3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113</w:t>
            </w:r>
          </w:p>
        </w:tc>
        <w:tc>
          <w:tcPr>
            <w:tcW w:w="975" w:type="dxa"/>
            <w:shd w:val="clear" w:color="auto" w:fill="FFFFFF"/>
            <w:vAlign w:val="center"/>
          </w:tcPr>
          <w:p w14:paraId="21B8A5B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122" w:type="dxa"/>
            <w:vMerge w:val="restart"/>
            <w:shd w:val="clear" w:color="auto" w:fill="FFFFFF"/>
            <w:vAlign w:val="center"/>
          </w:tcPr>
          <w:p w14:paraId="2B2E625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部件兼容性要求</w:t>
            </w:r>
          </w:p>
        </w:tc>
        <w:tc>
          <w:tcPr>
            <w:tcW w:w="1475" w:type="dxa"/>
            <w:shd w:val="clear" w:color="auto" w:fill="FFFFFF"/>
            <w:noWrap/>
            <w:vAlign w:val="center"/>
          </w:tcPr>
          <w:p w14:paraId="7B4E295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★内存兼容性</w:t>
            </w:r>
          </w:p>
        </w:tc>
        <w:tc>
          <w:tcPr>
            <w:tcW w:w="4045" w:type="dxa"/>
            <w:shd w:val="clear" w:color="auto" w:fill="FFFFFF"/>
            <w:vAlign w:val="center"/>
          </w:tcPr>
          <w:p w14:paraId="5861804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适配3种及以上厂商的内存产品，且均不低于产品支持的内存规格</w:t>
            </w:r>
          </w:p>
        </w:tc>
        <w:tc>
          <w:tcPr>
            <w:tcW w:w="1329" w:type="dxa"/>
            <w:shd w:val="clear" w:color="auto" w:fill="FFFFFF"/>
            <w:vAlign w:val="center"/>
          </w:tcPr>
          <w:p w14:paraId="5CC1366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7038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4E9E8F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114</w:t>
            </w:r>
          </w:p>
        </w:tc>
        <w:tc>
          <w:tcPr>
            <w:tcW w:w="975" w:type="dxa"/>
            <w:shd w:val="clear" w:color="auto" w:fill="FFFFFF"/>
            <w:vAlign w:val="center"/>
          </w:tcPr>
          <w:p w14:paraId="10424C3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122" w:type="dxa"/>
            <w:vMerge w:val="continue"/>
            <w:shd w:val="clear" w:color="auto" w:fill="FFFFFF"/>
            <w:vAlign w:val="center"/>
          </w:tcPr>
          <w:p w14:paraId="5578C1DD">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1E9C332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★固态存储兼容性</w:t>
            </w:r>
          </w:p>
        </w:tc>
        <w:tc>
          <w:tcPr>
            <w:tcW w:w="4045" w:type="dxa"/>
            <w:shd w:val="clear" w:color="auto" w:fill="FFFFFF"/>
            <w:vAlign w:val="center"/>
          </w:tcPr>
          <w:p w14:paraId="474D2C4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适配3种或以上厂商的固态存储产品，且均不低于产品支持的固态存储设备规格</w:t>
            </w:r>
          </w:p>
        </w:tc>
        <w:tc>
          <w:tcPr>
            <w:tcW w:w="1329" w:type="dxa"/>
            <w:shd w:val="clear" w:color="auto" w:fill="FFFFFF"/>
            <w:vAlign w:val="center"/>
          </w:tcPr>
          <w:p w14:paraId="369BF10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92C8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74C7F0D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115</w:t>
            </w:r>
          </w:p>
        </w:tc>
        <w:tc>
          <w:tcPr>
            <w:tcW w:w="975" w:type="dxa"/>
            <w:shd w:val="clear" w:color="auto" w:fill="FFFFFF"/>
            <w:vAlign w:val="center"/>
          </w:tcPr>
          <w:p w14:paraId="5F9A8F3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122" w:type="dxa"/>
            <w:vMerge w:val="continue"/>
            <w:shd w:val="clear" w:color="auto" w:fill="FFFFFF"/>
            <w:vAlign w:val="center"/>
          </w:tcPr>
          <w:p w14:paraId="334C66C4">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1D903AC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 HBA卡兼容性</w:t>
            </w:r>
          </w:p>
        </w:tc>
        <w:tc>
          <w:tcPr>
            <w:tcW w:w="4045" w:type="dxa"/>
            <w:shd w:val="clear" w:color="auto" w:fill="FFFFFF"/>
            <w:vAlign w:val="center"/>
          </w:tcPr>
          <w:p w14:paraId="314BA16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 HBA应适配两种或以上厂商产品</w:t>
            </w:r>
          </w:p>
        </w:tc>
        <w:tc>
          <w:tcPr>
            <w:tcW w:w="1329" w:type="dxa"/>
            <w:shd w:val="clear" w:color="auto" w:fill="FFFFFF"/>
            <w:vAlign w:val="center"/>
          </w:tcPr>
          <w:p w14:paraId="0661066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F695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33" w:type="dxa"/>
            <w:shd w:val="clear" w:color="auto" w:fill="FFFFFF"/>
            <w:vAlign w:val="center"/>
          </w:tcPr>
          <w:p w14:paraId="7B99CAE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116</w:t>
            </w:r>
          </w:p>
        </w:tc>
        <w:tc>
          <w:tcPr>
            <w:tcW w:w="975" w:type="dxa"/>
            <w:shd w:val="clear" w:color="auto" w:fill="FFFFFF"/>
            <w:vAlign w:val="center"/>
          </w:tcPr>
          <w:p w14:paraId="470A040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122" w:type="dxa"/>
            <w:vMerge w:val="continue"/>
            <w:shd w:val="clear" w:color="auto" w:fill="FFFFFF"/>
            <w:vAlign w:val="center"/>
          </w:tcPr>
          <w:p w14:paraId="48709DCA">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32C37F2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RAID卡兼容性</w:t>
            </w:r>
          </w:p>
        </w:tc>
        <w:tc>
          <w:tcPr>
            <w:tcW w:w="4045" w:type="dxa"/>
            <w:shd w:val="clear" w:color="auto" w:fill="FFFFFF"/>
            <w:vAlign w:val="center"/>
          </w:tcPr>
          <w:p w14:paraId="61159CD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RAID卡应适配两种或以上厂商产品</w:t>
            </w:r>
          </w:p>
        </w:tc>
        <w:tc>
          <w:tcPr>
            <w:tcW w:w="1329" w:type="dxa"/>
            <w:shd w:val="clear" w:color="auto" w:fill="FFFFFF"/>
            <w:vAlign w:val="center"/>
          </w:tcPr>
          <w:p w14:paraId="3A2000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24BD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33" w:type="dxa"/>
            <w:shd w:val="clear" w:color="auto" w:fill="FFFFFF"/>
            <w:vAlign w:val="center"/>
          </w:tcPr>
          <w:p w14:paraId="6CD7F22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117</w:t>
            </w:r>
          </w:p>
        </w:tc>
        <w:tc>
          <w:tcPr>
            <w:tcW w:w="975" w:type="dxa"/>
            <w:shd w:val="clear" w:color="auto" w:fill="FFFFFF"/>
            <w:vAlign w:val="center"/>
          </w:tcPr>
          <w:p w14:paraId="54EDC62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122" w:type="dxa"/>
            <w:vMerge w:val="continue"/>
            <w:shd w:val="clear" w:color="auto" w:fill="FFFFFF"/>
            <w:vAlign w:val="center"/>
          </w:tcPr>
          <w:p w14:paraId="3706D65C">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58F0F5D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★网卡兼容性</w:t>
            </w:r>
          </w:p>
        </w:tc>
        <w:tc>
          <w:tcPr>
            <w:tcW w:w="4045" w:type="dxa"/>
            <w:shd w:val="clear" w:color="auto" w:fill="FFFFFF"/>
            <w:vAlign w:val="center"/>
          </w:tcPr>
          <w:p w14:paraId="62691D5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网卡应适配两种或以上厂商产品</w:t>
            </w:r>
          </w:p>
        </w:tc>
        <w:tc>
          <w:tcPr>
            <w:tcW w:w="1329" w:type="dxa"/>
            <w:shd w:val="clear" w:color="auto" w:fill="FFFFFF"/>
            <w:vAlign w:val="center"/>
          </w:tcPr>
          <w:p w14:paraId="2CA5DD3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D28B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445A69C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118</w:t>
            </w:r>
          </w:p>
        </w:tc>
        <w:tc>
          <w:tcPr>
            <w:tcW w:w="975" w:type="dxa"/>
            <w:shd w:val="clear" w:color="auto" w:fill="FFFFFF"/>
            <w:vAlign w:val="center"/>
          </w:tcPr>
          <w:p w14:paraId="44D9C45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122" w:type="dxa"/>
            <w:vMerge w:val="continue"/>
            <w:shd w:val="clear" w:color="auto" w:fill="FFFFFF"/>
            <w:vAlign w:val="center"/>
          </w:tcPr>
          <w:p w14:paraId="64677E18">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630BA5D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★功能卡兼容性</w:t>
            </w:r>
          </w:p>
        </w:tc>
        <w:tc>
          <w:tcPr>
            <w:tcW w:w="4045" w:type="dxa"/>
            <w:shd w:val="clear" w:color="auto" w:fill="FFFFFF"/>
            <w:vAlign w:val="center"/>
          </w:tcPr>
          <w:p w14:paraId="15EF4FD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内置或适配符合PCIe的功能卡，如：网络功能卡、存储功能卡及图形显示功能卡</w:t>
            </w:r>
          </w:p>
        </w:tc>
        <w:tc>
          <w:tcPr>
            <w:tcW w:w="1329" w:type="dxa"/>
            <w:shd w:val="clear" w:color="auto" w:fill="FFFFFF"/>
            <w:vAlign w:val="center"/>
          </w:tcPr>
          <w:p w14:paraId="4FCBD52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D389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33" w:type="dxa"/>
            <w:shd w:val="clear" w:color="auto" w:fill="FFFFFF"/>
            <w:vAlign w:val="center"/>
          </w:tcPr>
          <w:p w14:paraId="65864BE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119</w:t>
            </w:r>
          </w:p>
        </w:tc>
        <w:tc>
          <w:tcPr>
            <w:tcW w:w="975" w:type="dxa"/>
            <w:shd w:val="clear" w:color="auto" w:fill="FFFFFF"/>
            <w:vAlign w:val="center"/>
          </w:tcPr>
          <w:p w14:paraId="77B1713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122" w:type="dxa"/>
            <w:shd w:val="clear" w:color="auto" w:fill="FFFFFF"/>
            <w:vAlign w:val="center"/>
          </w:tcPr>
          <w:p w14:paraId="1B5B055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外设兼容性</w:t>
            </w:r>
          </w:p>
        </w:tc>
        <w:tc>
          <w:tcPr>
            <w:tcW w:w="1475" w:type="dxa"/>
            <w:shd w:val="clear" w:color="auto" w:fill="FFFFFF"/>
            <w:vAlign w:val="center"/>
          </w:tcPr>
          <w:p w14:paraId="53F5DDF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★外设兼容性</w:t>
            </w:r>
          </w:p>
        </w:tc>
        <w:tc>
          <w:tcPr>
            <w:tcW w:w="4045" w:type="dxa"/>
            <w:shd w:val="clear" w:color="auto" w:fill="FFFFFF"/>
            <w:vAlign w:val="center"/>
          </w:tcPr>
          <w:p w14:paraId="15DDEB2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兼容多种主流生产商的外部设备，包括显示器、键盘、鼠标、闪存盘、移动硬盘、USB光驱及KVM等，要求使用不同厂商的外部设备时，系统均能正常识别和安装驱动</w:t>
            </w:r>
          </w:p>
        </w:tc>
        <w:tc>
          <w:tcPr>
            <w:tcW w:w="1329" w:type="dxa"/>
            <w:shd w:val="clear" w:color="auto" w:fill="FFFFFF"/>
            <w:vAlign w:val="center"/>
          </w:tcPr>
          <w:p w14:paraId="6F6E58A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3D08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33" w:type="dxa"/>
            <w:shd w:val="clear" w:color="auto" w:fill="FFFFFF"/>
            <w:vAlign w:val="center"/>
          </w:tcPr>
          <w:p w14:paraId="11328CF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120</w:t>
            </w:r>
          </w:p>
        </w:tc>
        <w:tc>
          <w:tcPr>
            <w:tcW w:w="975" w:type="dxa"/>
            <w:shd w:val="clear" w:color="auto" w:fill="FFFFFF"/>
            <w:vAlign w:val="center"/>
          </w:tcPr>
          <w:p w14:paraId="3CB764D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122" w:type="dxa"/>
            <w:vMerge w:val="restart"/>
            <w:shd w:val="clear" w:color="auto" w:fill="FFFFFF"/>
            <w:vAlign w:val="center"/>
          </w:tcPr>
          <w:p w14:paraId="735496A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软件兼容性</w:t>
            </w:r>
          </w:p>
        </w:tc>
        <w:tc>
          <w:tcPr>
            <w:tcW w:w="1475" w:type="dxa"/>
            <w:shd w:val="clear" w:color="auto" w:fill="FFFFFF"/>
            <w:vAlign w:val="center"/>
          </w:tcPr>
          <w:p w14:paraId="1BE2FE7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★数据库兼容</w:t>
            </w:r>
          </w:p>
        </w:tc>
        <w:tc>
          <w:tcPr>
            <w:tcW w:w="4045" w:type="dxa"/>
            <w:shd w:val="clear" w:color="auto" w:fill="FFFFFF"/>
            <w:vAlign w:val="center"/>
          </w:tcPr>
          <w:p w14:paraId="2DDDDBD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兼容3个及以上厂商的数据库产品</w:t>
            </w:r>
          </w:p>
        </w:tc>
        <w:tc>
          <w:tcPr>
            <w:tcW w:w="1329" w:type="dxa"/>
            <w:shd w:val="clear" w:color="auto" w:fill="FFFFFF"/>
            <w:vAlign w:val="center"/>
          </w:tcPr>
          <w:p w14:paraId="6F3EC1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199B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33" w:type="dxa"/>
            <w:shd w:val="clear" w:color="auto" w:fill="FFFFFF"/>
            <w:vAlign w:val="center"/>
          </w:tcPr>
          <w:p w14:paraId="12156AB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121</w:t>
            </w:r>
          </w:p>
        </w:tc>
        <w:tc>
          <w:tcPr>
            <w:tcW w:w="975" w:type="dxa"/>
            <w:shd w:val="clear" w:color="auto" w:fill="FFFFFF"/>
            <w:vAlign w:val="center"/>
          </w:tcPr>
          <w:p w14:paraId="2B67F89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122" w:type="dxa"/>
            <w:vMerge w:val="continue"/>
            <w:shd w:val="clear" w:color="auto" w:fill="FFFFFF"/>
            <w:vAlign w:val="center"/>
          </w:tcPr>
          <w:p w14:paraId="446A3DEE">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3C7C090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★中间件兼容</w:t>
            </w:r>
          </w:p>
        </w:tc>
        <w:tc>
          <w:tcPr>
            <w:tcW w:w="4045" w:type="dxa"/>
            <w:shd w:val="clear" w:color="auto" w:fill="FFFFFF"/>
            <w:vAlign w:val="center"/>
          </w:tcPr>
          <w:p w14:paraId="710ECBC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兼容3个及以上厂商的中间件产品</w:t>
            </w:r>
          </w:p>
        </w:tc>
        <w:tc>
          <w:tcPr>
            <w:tcW w:w="1329" w:type="dxa"/>
            <w:shd w:val="clear" w:color="auto" w:fill="FFFFFF"/>
            <w:vAlign w:val="center"/>
          </w:tcPr>
          <w:p w14:paraId="7191732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3A45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10B5980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122</w:t>
            </w:r>
          </w:p>
        </w:tc>
        <w:tc>
          <w:tcPr>
            <w:tcW w:w="975" w:type="dxa"/>
            <w:shd w:val="clear" w:color="auto" w:fill="FFFFFF"/>
            <w:vAlign w:val="center"/>
          </w:tcPr>
          <w:p w14:paraId="50E9CE6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122" w:type="dxa"/>
            <w:vMerge w:val="continue"/>
            <w:shd w:val="clear" w:color="auto" w:fill="FFFFFF"/>
            <w:vAlign w:val="center"/>
          </w:tcPr>
          <w:p w14:paraId="122C3D5C">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2414141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★平台软件兼容</w:t>
            </w:r>
          </w:p>
        </w:tc>
        <w:tc>
          <w:tcPr>
            <w:tcW w:w="4045" w:type="dxa"/>
            <w:shd w:val="clear" w:color="auto" w:fill="FFFFFF"/>
            <w:vAlign w:val="center"/>
          </w:tcPr>
          <w:p w14:paraId="6076BBA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兼容3个及以上厂商的大数据平台</w:t>
            </w:r>
          </w:p>
        </w:tc>
        <w:tc>
          <w:tcPr>
            <w:tcW w:w="1329" w:type="dxa"/>
            <w:shd w:val="clear" w:color="auto" w:fill="FFFFFF"/>
            <w:vAlign w:val="center"/>
          </w:tcPr>
          <w:p w14:paraId="43E60D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C805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33" w:type="dxa"/>
            <w:shd w:val="clear" w:color="auto" w:fill="FFFFFF"/>
            <w:vAlign w:val="center"/>
          </w:tcPr>
          <w:p w14:paraId="553D3C0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123</w:t>
            </w:r>
          </w:p>
        </w:tc>
        <w:tc>
          <w:tcPr>
            <w:tcW w:w="975" w:type="dxa"/>
            <w:shd w:val="clear" w:color="auto" w:fill="FFFFFF"/>
            <w:vAlign w:val="center"/>
          </w:tcPr>
          <w:p w14:paraId="7B41184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122" w:type="dxa"/>
            <w:vMerge w:val="continue"/>
            <w:shd w:val="clear" w:color="auto" w:fill="FFFFFF"/>
            <w:vAlign w:val="center"/>
          </w:tcPr>
          <w:p w14:paraId="5BE5CD18">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3EEB5C2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虚拟化软件兼容</w:t>
            </w:r>
          </w:p>
        </w:tc>
        <w:tc>
          <w:tcPr>
            <w:tcW w:w="4045" w:type="dxa"/>
            <w:shd w:val="clear" w:color="auto" w:fill="FFFFFF"/>
            <w:vAlign w:val="center"/>
          </w:tcPr>
          <w:p w14:paraId="563EAA8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兼容2款及以上虚拟化软件</w:t>
            </w:r>
          </w:p>
        </w:tc>
        <w:tc>
          <w:tcPr>
            <w:tcW w:w="1329" w:type="dxa"/>
            <w:shd w:val="clear" w:color="auto" w:fill="FFFFFF"/>
            <w:vAlign w:val="center"/>
          </w:tcPr>
          <w:p w14:paraId="5FD19D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32E3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77A9F0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124</w:t>
            </w:r>
          </w:p>
        </w:tc>
        <w:tc>
          <w:tcPr>
            <w:tcW w:w="975" w:type="dxa"/>
            <w:shd w:val="clear" w:color="auto" w:fill="FFFFFF"/>
            <w:vAlign w:val="center"/>
          </w:tcPr>
          <w:p w14:paraId="1465719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1122" w:type="dxa"/>
            <w:shd w:val="clear" w:color="auto" w:fill="FFFFFF"/>
            <w:vAlign w:val="center"/>
          </w:tcPr>
          <w:p w14:paraId="2B92A9D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存储可靠性要求</w:t>
            </w:r>
          </w:p>
        </w:tc>
        <w:tc>
          <w:tcPr>
            <w:tcW w:w="1475" w:type="dxa"/>
            <w:shd w:val="clear" w:color="auto" w:fill="FFFFFF"/>
            <w:vAlign w:val="center"/>
          </w:tcPr>
          <w:p w14:paraId="4925F8E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 SSD可靠性</w:t>
            </w:r>
          </w:p>
        </w:tc>
        <w:tc>
          <w:tcPr>
            <w:tcW w:w="4045" w:type="dxa"/>
            <w:shd w:val="clear" w:color="auto" w:fill="FFFFFF"/>
            <w:vAlign w:val="center"/>
          </w:tcPr>
          <w:p w14:paraId="3638042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SSD的m1值（MTBF的不可接受值）不低于200000h</w:t>
            </w:r>
          </w:p>
        </w:tc>
        <w:tc>
          <w:tcPr>
            <w:tcW w:w="1329" w:type="dxa"/>
            <w:shd w:val="clear" w:color="auto" w:fill="FFFFFF"/>
            <w:vAlign w:val="center"/>
          </w:tcPr>
          <w:p w14:paraId="1DCF27D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C24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33" w:type="dxa"/>
            <w:shd w:val="clear" w:color="auto" w:fill="FFFFFF"/>
            <w:vAlign w:val="center"/>
          </w:tcPr>
          <w:p w14:paraId="7A2626B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125</w:t>
            </w:r>
          </w:p>
        </w:tc>
        <w:tc>
          <w:tcPr>
            <w:tcW w:w="975" w:type="dxa"/>
            <w:shd w:val="clear" w:color="auto" w:fill="FFFFFF"/>
            <w:vAlign w:val="center"/>
          </w:tcPr>
          <w:p w14:paraId="2C5044B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1122" w:type="dxa"/>
            <w:vMerge w:val="restart"/>
            <w:shd w:val="clear" w:color="auto" w:fill="FFFFFF"/>
            <w:vAlign w:val="center"/>
          </w:tcPr>
          <w:p w14:paraId="0AB08A6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整机可靠性要求</w:t>
            </w:r>
          </w:p>
        </w:tc>
        <w:tc>
          <w:tcPr>
            <w:tcW w:w="1475" w:type="dxa"/>
            <w:shd w:val="clear" w:color="auto" w:fill="FFFFFF"/>
            <w:vAlign w:val="center"/>
          </w:tcPr>
          <w:p w14:paraId="47A6C8F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★整机可靠性</w:t>
            </w:r>
          </w:p>
        </w:tc>
        <w:tc>
          <w:tcPr>
            <w:tcW w:w="4045" w:type="dxa"/>
            <w:shd w:val="clear" w:color="auto" w:fill="FFFFFF"/>
            <w:vAlign w:val="center"/>
          </w:tcPr>
          <w:p w14:paraId="31035D9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m1值（MTBF的不可接受值）不得低于30000h</w:t>
            </w:r>
          </w:p>
        </w:tc>
        <w:tc>
          <w:tcPr>
            <w:tcW w:w="1329" w:type="dxa"/>
            <w:shd w:val="clear" w:color="auto" w:fill="FFFFFF"/>
            <w:vAlign w:val="center"/>
          </w:tcPr>
          <w:p w14:paraId="0E3D756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F3B9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33" w:type="dxa"/>
            <w:shd w:val="clear" w:color="auto" w:fill="FFFFFF"/>
            <w:vAlign w:val="center"/>
          </w:tcPr>
          <w:p w14:paraId="09A2EF0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126</w:t>
            </w:r>
          </w:p>
        </w:tc>
        <w:tc>
          <w:tcPr>
            <w:tcW w:w="975" w:type="dxa"/>
            <w:shd w:val="clear" w:color="auto" w:fill="FFFFFF"/>
            <w:vAlign w:val="center"/>
          </w:tcPr>
          <w:p w14:paraId="32BFABD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1122" w:type="dxa"/>
            <w:vMerge w:val="continue"/>
            <w:shd w:val="clear" w:color="auto" w:fill="FFFFFF"/>
            <w:vAlign w:val="center"/>
          </w:tcPr>
          <w:p w14:paraId="62275C09">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247623B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★风扇可靠性</w:t>
            </w:r>
          </w:p>
        </w:tc>
        <w:tc>
          <w:tcPr>
            <w:tcW w:w="4045" w:type="dxa"/>
            <w:shd w:val="clear" w:color="auto" w:fill="FFFFFF"/>
            <w:vAlign w:val="center"/>
          </w:tcPr>
          <w:p w14:paraId="0E611E1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风扇寿命应不低于40000h</w:t>
            </w:r>
          </w:p>
        </w:tc>
        <w:tc>
          <w:tcPr>
            <w:tcW w:w="1329" w:type="dxa"/>
            <w:shd w:val="clear" w:color="auto" w:fill="FFFFFF"/>
            <w:vAlign w:val="center"/>
          </w:tcPr>
          <w:p w14:paraId="59C9F8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747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33" w:type="dxa"/>
            <w:shd w:val="clear" w:color="auto" w:fill="FFFFFF"/>
            <w:vAlign w:val="center"/>
          </w:tcPr>
          <w:p w14:paraId="57D2299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127</w:t>
            </w:r>
          </w:p>
        </w:tc>
        <w:tc>
          <w:tcPr>
            <w:tcW w:w="975" w:type="dxa"/>
            <w:shd w:val="clear" w:color="auto" w:fill="FFFFFF"/>
            <w:vAlign w:val="center"/>
          </w:tcPr>
          <w:p w14:paraId="590BCB3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1122" w:type="dxa"/>
            <w:vMerge w:val="continue"/>
            <w:shd w:val="clear" w:color="auto" w:fill="FFFFFF"/>
            <w:vAlign w:val="center"/>
          </w:tcPr>
          <w:p w14:paraId="0C22D136">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679F7BB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★部件可靠性</w:t>
            </w:r>
          </w:p>
        </w:tc>
        <w:tc>
          <w:tcPr>
            <w:tcW w:w="4045" w:type="dxa"/>
            <w:shd w:val="clear" w:color="auto" w:fill="FFFFFF"/>
            <w:vAlign w:val="center"/>
          </w:tcPr>
          <w:p w14:paraId="659CB1A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支持硬盘、电源、风扇热插拔（内置风扇除外）</w:t>
            </w:r>
          </w:p>
        </w:tc>
        <w:tc>
          <w:tcPr>
            <w:tcW w:w="1329" w:type="dxa"/>
            <w:shd w:val="clear" w:color="auto" w:fill="FFFFFF"/>
            <w:vAlign w:val="center"/>
          </w:tcPr>
          <w:p w14:paraId="6286E6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5A40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48183BB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128</w:t>
            </w:r>
          </w:p>
        </w:tc>
        <w:tc>
          <w:tcPr>
            <w:tcW w:w="975" w:type="dxa"/>
            <w:shd w:val="clear" w:color="auto" w:fill="FFFFFF"/>
            <w:vAlign w:val="center"/>
          </w:tcPr>
          <w:p w14:paraId="73D4180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包装及运输要求</w:t>
            </w:r>
          </w:p>
        </w:tc>
        <w:tc>
          <w:tcPr>
            <w:tcW w:w="1122" w:type="dxa"/>
            <w:shd w:val="clear" w:color="auto" w:fill="FFFFFF"/>
            <w:vAlign w:val="center"/>
          </w:tcPr>
          <w:p w14:paraId="4871E49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包装及运输要求</w:t>
            </w:r>
          </w:p>
        </w:tc>
        <w:tc>
          <w:tcPr>
            <w:tcW w:w="1475" w:type="dxa"/>
            <w:shd w:val="clear" w:color="auto" w:fill="FFFFFF"/>
            <w:vAlign w:val="center"/>
          </w:tcPr>
          <w:p w14:paraId="7938F63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★标志、包装、运输和贮存</w:t>
            </w:r>
          </w:p>
        </w:tc>
        <w:tc>
          <w:tcPr>
            <w:tcW w:w="4045" w:type="dxa"/>
            <w:shd w:val="clear" w:color="auto" w:fill="FFFFFF"/>
            <w:vAlign w:val="center"/>
          </w:tcPr>
          <w:p w14:paraId="2B7D3D1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符合GB/T9813.3和商品包装政府采购需求标准的相关规定</w:t>
            </w:r>
          </w:p>
        </w:tc>
        <w:tc>
          <w:tcPr>
            <w:tcW w:w="1329" w:type="dxa"/>
            <w:shd w:val="clear" w:color="auto" w:fill="FFFFFF"/>
            <w:vAlign w:val="center"/>
          </w:tcPr>
          <w:p w14:paraId="48241BA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C3DD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728" w:hRule="atLeast"/>
        </w:trPr>
        <w:tc>
          <w:tcPr>
            <w:tcW w:w="633" w:type="dxa"/>
            <w:shd w:val="clear" w:color="auto" w:fill="FFFFFF"/>
            <w:vAlign w:val="center"/>
          </w:tcPr>
          <w:p w14:paraId="1E25174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129</w:t>
            </w:r>
          </w:p>
        </w:tc>
        <w:tc>
          <w:tcPr>
            <w:tcW w:w="975" w:type="dxa"/>
            <w:shd w:val="clear" w:color="auto" w:fill="FFFFFF"/>
            <w:vAlign w:val="center"/>
          </w:tcPr>
          <w:p w14:paraId="2EAA3E8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122" w:type="dxa"/>
            <w:vMerge w:val="restart"/>
            <w:shd w:val="clear" w:color="auto" w:fill="FFFFFF"/>
            <w:vAlign w:val="center"/>
          </w:tcPr>
          <w:p w14:paraId="171A027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服务响应</w:t>
            </w:r>
          </w:p>
        </w:tc>
        <w:tc>
          <w:tcPr>
            <w:tcW w:w="1475" w:type="dxa"/>
            <w:shd w:val="clear" w:color="auto" w:fill="FFFFFF"/>
            <w:vAlign w:val="center"/>
          </w:tcPr>
          <w:p w14:paraId="5933A6B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★服务响应</w:t>
            </w:r>
          </w:p>
        </w:tc>
        <w:tc>
          <w:tcPr>
            <w:tcW w:w="4045" w:type="dxa"/>
            <w:shd w:val="clear" w:color="auto" w:fill="FFFFFF"/>
            <w:vAlign w:val="center"/>
          </w:tcPr>
          <w:p w14:paraId="03714E8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a）提供电话、电子邮件、远程连接等多种形式服务；</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b）提供同城4h、异地12h技术响应服务，2个工作日解决问题，对于未能解决的问题和故障应提供可行的升级方案，并提供周转设备；</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c）建立全国技术服务体系和服务团体，符合专业服务体系标准要求，提供原厂中文服务；</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d）服务周期内提供产品的维修、换件和升级服务</w:t>
            </w:r>
          </w:p>
        </w:tc>
        <w:tc>
          <w:tcPr>
            <w:tcW w:w="1329" w:type="dxa"/>
            <w:shd w:val="clear" w:color="auto" w:fill="FFFFFF"/>
            <w:vAlign w:val="center"/>
          </w:tcPr>
          <w:p w14:paraId="41BEB2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F362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6FDC413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130</w:t>
            </w:r>
          </w:p>
        </w:tc>
        <w:tc>
          <w:tcPr>
            <w:tcW w:w="975" w:type="dxa"/>
            <w:shd w:val="clear" w:color="auto" w:fill="FFFFFF"/>
            <w:vAlign w:val="center"/>
          </w:tcPr>
          <w:p w14:paraId="21DA8B3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122" w:type="dxa"/>
            <w:vMerge w:val="continue"/>
            <w:shd w:val="clear" w:color="auto" w:fill="FFFFFF"/>
            <w:vAlign w:val="center"/>
          </w:tcPr>
          <w:p w14:paraId="1196B57E">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436F57D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★培训服务</w:t>
            </w:r>
          </w:p>
        </w:tc>
        <w:tc>
          <w:tcPr>
            <w:tcW w:w="4045" w:type="dxa"/>
            <w:shd w:val="clear" w:color="auto" w:fill="FFFFFF"/>
            <w:vAlign w:val="center"/>
          </w:tcPr>
          <w:p w14:paraId="5581CAE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供应商提供培训材料、产品手册、培训视频等培训相关内容</w:t>
            </w:r>
          </w:p>
        </w:tc>
        <w:tc>
          <w:tcPr>
            <w:tcW w:w="1329" w:type="dxa"/>
            <w:shd w:val="clear" w:color="auto" w:fill="FFFFFF"/>
            <w:vAlign w:val="center"/>
          </w:tcPr>
          <w:p w14:paraId="4E4C064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855B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633" w:type="dxa"/>
            <w:shd w:val="clear" w:color="auto" w:fill="FFFFFF"/>
            <w:vAlign w:val="center"/>
          </w:tcPr>
          <w:p w14:paraId="0A0FC4C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131</w:t>
            </w:r>
          </w:p>
        </w:tc>
        <w:tc>
          <w:tcPr>
            <w:tcW w:w="975" w:type="dxa"/>
            <w:shd w:val="clear" w:color="auto" w:fill="FFFFFF"/>
            <w:vAlign w:val="center"/>
          </w:tcPr>
          <w:p w14:paraId="0A34D9B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122" w:type="dxa"/>
            <w:shd w:val="clear" w:color="auto" w:fill="FFFFFF"/>
            <w:vAlign w:val="center"/>
          </w:tcPr>
          <w:p w14:paraId="5233B71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服务周期</w:t>
            </w:r>
          </w:p>
        </w:tc>
        <w:tc>
          <w:tcPr>
            <w:tcW w:w="1475" w:type="dxa"/>
            <w:shd w:val="clear" w:color="auto" w:fill="FFFFFF"/>
            <w:vAlign w:val="center"/>
          </w:tcPr>
          <w:p w14:paraId="1C49A63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★服务周期</w:t>
            </w:r>
          </w:p>
        </w:tc>
        <w:tc>
          <w:tcPr>
            <w:tcW w:w="4045" w:type="dxa"/>
            <w:shd w:val="clear" w:color="auto" w:fill="FFFFFF"/>
            <w:vAlign w:val="center"/>
          </w:tcPr>
          <w:p w14:paraId="6A39B0A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a）产品免费服务周期（含换件和维修）应不小于6年；</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b）设备停产后继续提供质量保障服务（含备品备件），服务终止时间与最后一批设备交付时间间隔不低于6年；</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c）产品停止服务时间应提前1年告知客户；</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d）产品发布日期需在技术文件或者技术白皮书中明确</w:t>
            </w:r>
          </w:p>
        </w:tc>
        <w:tc>
          <w:tcPr>
            <w:tcW w:w="1329" w:type="dxa"/>
            <w:shd w:val="clear" w:color="auto" w:fill="FFFFFF"/>
            <w:vAlign w:val="center"/>
          </w:tcPr>
          <w:p w14:paraId="0CBE62A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A8A9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33" w:type="dxa"/>
            <w:shd w:val="clear" w:color="auto" w:fill="FFFFFF"/>
            <w:vAlign w:val="center"/>
          </w:tcPr>
          <w:p w14:paraId="0B30EE2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132</w:t>
            </w:r>
          </w:p>
        </w:tc>
        <w:tc>
          <w:tcPr>
            <w:tcW w:w="975" w:type="dxa"/>
            <w:shd w:val="clear" w:color="auto" w:fill="FFFFFF"/>
            <w:vAlign w:val="center"/>
          </w:tcPr>
          <w:p w14:paraId="3AD8648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122" w:type="dxa"/>
            <w:vMerge w:val="restart"/>
            <w:shd w:val="clear" w:color="auto" w:fill="FFFFFF"/>
            <w:vAlign w:val="center"/>
          </w:tcPr>
          <w:p w14:paraId="136A92D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服务工具要求</w:t>
            </w:r>
          </w:p>
        </w:tc>
        <w:tc>
          <w:tcPr>
            <w:tcW w:w="1475" w:type="dxa"/>
            <w:shd w:val="clear" w:color="auto" w:fill="FFFFFF"/>
            <w:vAlign w:val="center"/>
          </w:tcPr>
          <w:p w14:paraId="3364BAC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★工具要求</w:t>
            </w:r>
          </w:p>
        </w:tc>
        <w:tc>
          <w:tcPr>
            <w:tcW w:w="4045" w:type="dxa"/>
            <w:shd w:val="clear" w:color="auto" w:fill="FFFFFF"/>
            <w:vAlign w:val="center"/>
          </w:tcPr>
          <w:p w14:paraId="37BA376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供应商提供设置服务器硬件、辅助操作系统安装等功能的辅助工具和管理软件。且随附软件应具有合法授权或版权</w:t>
            </w:r>
          </w:p>
        </w:tc>
        <w:tc>
          <w:tcPr>
            <w:tcW w:w="1329" w:type="dxa"/>
            <w:shd w:val="clear" w:color="auto" w:fill="FFFFFF"/>
            <w:vAlign w:val="center"/>
          </w:tcPr>
          <w:p w14:paraId="4FA6BE2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82A4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trPr>
        <w:tc>
          <w:tcPr>
            <w:tcW w:w="633" w:type="dxa"/>
            <w:shd w:val="clear" w:color="auto" w:fill="FFFFFF"/>
            <w:vAlign w:val="center"/>
          </w:tcPr>
          <w:p w14:paraId="2AD4D2F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133</w:t>
            </w:r>
          </w:p>
        </w:tc>
        <w:tc>
          <w:tcPr>
            <w:tcW w:w="975" w:type="dxa"/>
            <w:shd w:val="clear" w:color="auto" w:fill="FFFFFF"/>
            <w:vAlign w:val="center"/>
          </w:tcPr>
          <w:p w14:paraId="265068A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122" w:type="dxa"/>
            <w:vMerge w:val="continue"/>
            <w:shd w:val="clear" w:color="auto" w:fill="FFFFFF"/>
            <w:vAlign w:val="center"/>
          </w:tcPr>
          <w:p w14:paraId="1812FE2E">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2668782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辅助工具</w:t>
            </w:r>
          </w:p>
        </w:tc>
        <w:tc>
          <w:tcPr>
            <w:tcW w:w="4045" w:type="dxa"/>
            <w:shd w:val="clear" w:color="auto" w:fill="FFFFFF"/>
            <w:vAlign w:val="center"/>
          </w:tcPr>
          <w:p w14:paraId="3483E71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支持如下功能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a）本地的数据备份和还原功能；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b）网络的数据备份和还原功能；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c）服务器操作系统的自动安装功能；</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d）服务器所配硬件需要的驱动程序和系统补丁</w:t>
            </w:r>
          </w:p>
        </w:tc>
        <w:tc>
          <w:tcPr>
            <w:tcW w:w="1329" w:type="dxa"/>
            <w:shd w:val="clear" w:color="auto" w:fill="FFFFFF"/>
            <w:vAlign w:val="center"/>
          </w:tcPr>
          <w:p w14:paraId="590933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E4FE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33" w:type="dxa"/>
            <w:shd w:val="clear" w:color="auto" w:fill="FFFFFF"/>
            <w:vAlign w:val="center"/>
          </w:tcPr>
          <w:p w14:paraId="357F79E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134</w:t>
            </w:r>
          </w:p>
        </w:tc>
        <w:tc>
          <w:tcPr>
            <w:tcW w:w="975" w:type="dxa"/>
            <w:shd w:val="clear" w:color="auto" w:fill="FFFFFF"/>
            <w:vAlign w:val="center"/>
          </w:tcPr>
          <w:p w14:paraId="2C446C5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122" w:type="dxa"/>
            <w:vMerge w:val="continue"/>
            <w:shd w:val="clear" w:color="auto" w:fill="FFFFFF"/>
            <w:vAlign w:val="center"/>
          </w:tcPr>
          <w:p w14:paraId="559A5244">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74F6B08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★驱动安装升级指引</w:t>
            </w:r>
          </w:p>
        </w:tc>
        <w:tc>
          <w:tcPr>
            <w:tcW w:w="4045" w:type="dxa"/>
            <w:shd w:val="clear" w:color="auto" w:fill="FFFFFF"/>
            <w:vAlign w:val="center"/>
          </w:tcPr>
          <w:p w14:paraId="3FD1CB1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供应商提供出厂安装的配件所需的驱动程序，形式包括但不限于驱动光盘、驱动下载链接等。其他配件应提供指引</w:t>
            </w:r>
          </w:p>
        </w:tc>
        <w:tc>
          <w:tcPr>
            <w:tcW w:w="1329" w:type="dxa"/>
            <w:shd w:val="clear" w:color="auto" w:fill="FFFFFF"/>
            <w:vAlign w:val="center"/>
          </w:tcPr>
          <w:p w14:paraId="37B77E3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6F6E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1C5E2E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135</w:t>
            </w:r>
          </w:p>
        </w:tc>
        <w:tc>
          <w:tcPr>
            <w:tcW w:w="975" w:type="dxa"/>
            <w:shd w:val="clear" w:color="auto" w:fill="FFFFFF"/>
            <w:vAlign w:val="center"/>
          </w:tcPr>
          <w:p w14:paraId="182BB9D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122" w:type="dxa"/>
            <w:vMerge w:val="continue"/>
            <w:shd w:val="clear" w:color="auto" w:fill="FFFFFF"/>
            <w:vAlign w:val="center"/>
          </w:tcPr>
          <w:p w14:paraId="083C5469">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31C5EB3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随机附开盖工具</w:t>
            </w:r>
          </w:p>
        </w:tc>
        <w:tc>
          <w:tcPr>
            <w:tcW w:w="4045" w:type="dxa"/>
            <w:shd w:val="clear" w:color="auto" w:fill="FFFFFF"/>
            <w:vAlign w:val="center"/>
          </w:tcPr>
          <w:p w14:paraId="3946851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随服务器打包提供开机箱工具</w:t>
            </w:r>
          </w:p>
        </w:tc>
        <w:tc>
          <w:tcPr>
            <w:tcW w:w="1329" w:type="dxa"/>
            <w:shd w:val="clear" w:color="auto" w:fill="FFFFFF"/>
            <w:vAlign w:val="center"/>
          </w:tcPr>
          <w:p w14:paraId="71C77B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872C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633" w:type="dxa"/>
            <w:shd w:val="clear" w:color="auto" w:fill="FFFFFF"/>
            <w:vAlign w:val="center"/>
          </w:tcPr>
          <w:p w14:paraId="381B823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136</w:t>
            </w:r>
          </w:p>
        </w:tc>
        <w:tc>
          <w:tcPr>
            <w:tcW w:w="975" w:type="dxa"/>
            <w:shd w:val="clear" w:color="auto" w:fill="FFFFFF"/>
            <w:vAlign w:val="center"/>
          </w:tcPr>
          <w:p w14:paraId="5BA381D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122" w:type="dxa"/>
            <w:vMerge w:val="continue"/>
            <w:shd w:val="clear" w:color="auto" w:fill="FFFFFF"/>
            <w:vAlign w:val="center"/>
          </w:tcPr>
          <w:p w14:paraId="3A803E40">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08FED99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代码迁移工具</w:t>
            </w:r>
          </w:p>
        </w:tc>
        <w:tc>
          <w:tcPr>
            <w:tcW w:w="4045" w:type="dxa"/>
            <w:shd w:val="clear" w:color="auto" w:fill="FFFFFF"/>
            <w:vAlign w:val="center"/>
          </w:tcPr>
          <w:p w14:paraId="56A126F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从其他CPU架构到当前服务器CPU架构的软件迁移工具产品，支持软件包迁移评估，对满足产品重构要求的软件包，能重构为当前服务器CPU架构的软件包。提供源码迁移功能，检查分析C/C++/Fortran/Go/解释型语言/汇编等源码文件，基于产品功能给出迁移指导</w:t>
            </w:r>
          </w:p>
        </w:tc>
        <w:tc>
          <w:tcPr>
            <w:tcW w:w="1329" w:type="dxa"/>
            <w:shd w:val="clear" w:color="auto" w:fill="FFFFFF"/>
            <w:vAlign w:val="center"/>
          </w:tcPr>
          <w:p w14:paraId="7964E26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BA9C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33" w:type="dxa"/>
            <w:shd w:val="clear" w:color="auto" w:fill="FFFFFF"/>
            <w:vAlign w:val="center"/>
          </w:tcPr>
          <w:p w14:paraId="2C5ADA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137</w:t>
            </w:r>
          </w:p>
        </w:tc>
        <w:tc>
          <w:tcPr>
            <w:tcW w:w="975" w:type="dxa"/>
            <w:shd w:val="clear" w:color="auto" w:fill="FFFFFF"/>
            <w:vAlign w:val="center"/>
          </w:tcPr>
          <w:p w14:paraId="6067B3A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122" w:type="dxa"/>
            <w:vMerge w:val="continue"/>
            <w:shd w:val="clear" w:color="auto" w:fill="FFFFFF"/>
            <w:vAlign w:val="center"/>
          </w:tcPr>
          <w:p w14:paraId="232C8B48">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46E5DE0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性能分析工具</w:t>
            </w:r>
          </w:p>
        </w:tc>
        <w:tc>
          <w:tcPr>
            <w:tcW w:w="4045" w:type="dxa"/>
            <w:shd w:val="clear" w:color="auto" w:fill="FFFFFF"/>
            <w:vAlign w:val="center"/>
          </w:tcPr>
          <w:p w14:paraId="29BF44A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供应商提供支持当前服务器CPU架构的性能分析工具产品，支持系统性能分析、Java性能分析和系统诊断，可分析系统或应用在CPU、内存、IO、网络等方面的性能，并给出优化建议</w:t>
            </w:r>
          </w:p>
        </w:tc>
        <w:tc>
          <w:tcPr>
            <w:tcW w:w="1329" w:type="dxa"/>
            <w:shd w:val="clear" w:color="auto" w:fill="FFFFFF"/>
            <w:vAlign w:val="center"/>
          </w:tcPr>
          <w:p w14:paraId="28A103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68F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71AC78A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138</w:t>
            </w:r>
          </w:p>
        </w:tc>
        <w:tc>
          <w:tcPr>
            <w:tcW w:w="975" w:type="dxa"/>
            <w:shd w:val="clear" w:color="auto" w:fill="FFFFFF"/>
            <w:vAlign w:val="center"/>
          </w:tcPr>
          <w:p w14:paraId="4147C26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122" w:type="dxa"/>
            <w:vMerge w:val="continue"/>
            <w:shd w:val="clear" w:color="auto" w:fill="FFFFFF"/>
            <w:vAlign w:val="center"/>
          </w:tcPr>
          <w:p w14:paraId="7706728D">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1E1E8ED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跨架构平台应用兼容</w:t>
            </w:r>
          </w:p>
        </w:tc>
        <w:tc>
          <w:tcPr>
            <w:tcW w:w="4045" w:type="dxa"/>
            <w:shd w:val="clear" w:color="auto" w:fill="FFFFFF"/>
            <w:vAlign w:val="center"/>
          </w:tcPr>
          <w:p w14:paraId="16A45D8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跨CPU架构平台应用兼容工具，可兼容一种或者一种以上不同架构平台的应用</w:t>
            </w:r>
          </w:p>
        </w:tc>
        <w:tc>
          <w:tcPr>
            <w:tcW w:w="1329" w:type="dxa"/>
            <w:shd w:val="clear" w:color="auto" w:fill="FFFFFF"/>
            <w:vAlign w:val="center"/>
          </w:tcPr>
          <w:p w14:paraId="4F970DF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3380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44E2B0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139</w:t>
            </w:r>
          </w:p>
        </w:tc>
        <w:tc>
          <w:tcPr>
            <w:tcW w:w="975" w:type="dxa"/>
            <w:shd w:val="clear" w:color="auto" w:fill="FFFFFF"/>
            <w:vAlign w:val="center"/>
          </w:tcPr>
          <w:p w14:paraId="699F24E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122" w:type="dxa"/>
            <w:vMerge w:val="continue"/>
            <w:shd w:val="clear" w:color="auto" w:fill="FFFFFF"/>
            <w:vAlign w:val="center"/>
          </w:tcPr>
          <w:p w14:paraId="3A9D07A7">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6787F48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★管理软件</w:t>
            </w:r>
          </w:p>
        </w:tc>
        <w:tc>
          <w:tcPr>
            <w:tcW w:w="4045" w:type="dxa"/>
            <w:shd w:val="clear" w:color="auto" w:fill="FFFFFF"/>
            <w:vAlign w:val="center"/>
          </w:tcPr>
          <w:p w14:paraId="4A05EBA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具备资源管理、系统管理、性能监控、健康监控、基于网络控制、报警设置功能</w:t>
            </w:r>
          </w:p>
        </w:tc>
        <w:tc>
          <w:tcPr>
            <w:tcW w:w="1329" w:type="dxa"/>
            <w:shd w:val="clear" w:color="auto" w:fill="FFFFFF"/>
            <w:vAlign w:val="center"/>
          </w:tcPr>
          <w:p w14:paraId="04A621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2942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33" w:type="dxa"/>
            <w:shd w:val="clear" w:color="auto" w:fill="FFFFFF"/>
            <w:vAlign w:val="center"/>
          </w:tcPr>
          <w:p w14:paraId="7F76D7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140</w:t>
            </w:r>
          </w:p>
        </w:tc>
        <w:tc>
          <w:tcPr>
            <w:tcW w:w="975" w:type="dxa"/>
            <w:shd w:val="clear" w:color="auto" w:fill="FFFFFF"/>
            <w:vAlign w:val="center"/>
          </w:tcPr>
          <w:p w14:paraId="728121F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122" w:type="dxa"/>
            <w:vMerge w:val="restart"/>
            <w:shd w:val="clear" w:color="auto" w:fill="FFFFFF"/>
            <w:vAlign w:val="center"/>
          </w:tcPr>
          <w:p w14:paraId="4333172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增值服务</w:t>
            </w:r>
          </w:p>
        </w:tc>
        <w:tc>
          <w:tcPr>
            <w:tcW w:w="1475" w:type="dxa"/>
            <w:shd w:val="clear" w:color="auto" w:fill="FFFFFF"/>
            <w:vAlign w:val="center"/>
          </w:tcPr>
          <w:p w14:paraId="3448792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★厂家升级产品软件与扩容服务</w:t>
            </w:r>
          </w:p>
        </w:tc>
        <w:tc>
          <w:tcPr>
            <w:tcW w:w="4045" w:type="dxa"/>
            <w:shd w:val="clear" w:color="auto" w:fill="FFFFFF"/>
            <w:vAlign w:val="center"/>
          </w:tcPr>
          <w:p w14:paraId="54FADD2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供应商提供原厂级的部件/软件产品升级和扩容能力</w:t>
            </w:r>
          </w:p>
        </w:tc>
        <w:tc>
          <w:tcPr>
            <w:tcW w:w="1329" w:type="dxa"/>
            <w:shd w:val="clear" w:color="auto" w:fill="FFFFFF"/>
            <w:vAlign w:val="center"/>
          </w:tcPr>
          <w:p w14:paraId="60229A5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894D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6BFFCAF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141</w:t>
            </w:r>
          </w:p>
        </w:tc>
        <w:tc>
          <w:tcPr>
            <w:tcW w:w="975" w:type="dxa"/>
            <w:shd w:val="clear" w:color="auto" w:fill="FFFFFF"/>
            <w:vAlign w:val="center"/>
          </w:tcPr>
          <w:p w14:paraId="510222A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122" w:type="dxa"/>
            <w:vMerge w:val="continue"/>
            <w:shd w:val="clear" w:color="auto" w:fill="FFFFFF"/>
            <w:vAlign w:val="center"/>
          </w:tcPr>
          <w:p w14:paraId="25470C5A">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0A40515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服务保障升级</w:t>
            </w:r>
          </w:p>
        </w:tc>
        <w:tc>
          <w:tcPr>
            <w:tcW w:w="4045" w:type="dxa"/>
            <w:shd w:val="clear" w:color="auto" w:fill="FFFFFF"/>
            <w:vAlign w:val="center"/>
          </w:tcPr>
          <w:p w14:paraId="2BDC060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供应商有偿提供远程技术支持、软件授权服务、备件更换服务、现场支撑服务</w:t>
            </w:r>
          </w:p>
        </w:tc>
        <w:tc>
          <w:tcPr>
            <w:tcW w:w="1329" w:type="dxa"/>
            <w:shd w:val="clear" w:color="auto" w:fill="FFFFFF"/>
            <w:vAlign w:val="center"/>
          </w:tcPr>
          <w:p w14:paraId="404690E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474D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0DD5B18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142</w:t>
            </w:r>
          </w:p>
        </w:tc>
        <w:tc>
          <w:tcPr>
            <w:tcW w:w="975" w:type="dxa"/>
            <w:shd w:val="clear" w:color="auto" w:fill="FFFFFF"/>
            <w:vAlign w:val="center"/>
          </w:tcPr>
          <w:p w14:paraId="31BA67F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122" w:type="dxa"/>
            <w:vMerge w:val="continue"/>
            <w:shd w:val="clear" w:color="auto" w:fill="FFFFFF"/>
            <w:vAlign w:val="center"/>
          </w:tcPr>
          <w:p w14:paraId="52F5FE49">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0179D13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★提供上门服务</w:t>
            </w:r>
          </w:p>
        </w:tc>
        <w:tc>
          <w:tcPr>
            <w:tcW w:w="4045" w:type="dxa"/>
            <w:shd w:val="clear" w:color="auto" w:fill="FFFFFF"/>
            <w:vAlign w:val="center"/>
          </w:tcPr>
          <w:p w14:paraId="1E2EFDB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供应商具备提供上门服务的能力</w:t>
            </w:r>
          </w:p>
        </w:tc>
        <w:tc>
          <w:tcPr>
            <w:tcW w:w="1329" w:type="dxa"/>
            <w:shd w:val="clear" w:color="auto" w:fill="FFFFFF"/>
            <w:vAlign w:val="center"/>
          </w:tcPr>
          <w:p w14:paraId="17ECAA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061D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633" w:type="dxa"/>
            <w:shd w:val="clear" w:color="auto" w:fill="FFFFFF"/>
            <w:vAlign w:val="center"/>
          </w:tcPr>
          <w:p w14:paraId="2A51409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143</w:t>
            </w:r>
          </w:p>
        </w:tc>
        <w:tc>
          <w:tcPr>
            <w:tcW w:w="975" w:type="dxa"/>
            <w:shd w:val="clear" w:color="auto" w:fill="FFFFFF"/>
            <w:vAlign w:val="center"/>
          </w:tcPr>
          <w:p w14:paraId="753FE5E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122" w:type="dxa"/>
            <w:vMerge w:val="continue"/>
            <w:shd w:val="clear" w:color="auto" w:fill="FFFFFF"/>
            <w:vAlign w:val="center"/>
          </w:tcPr>
          <w:p w14:paraId="5E0B1071">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5D818E6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业务场景性能优化服务及整体架构升级服务</w:t>
            </w:r>
          </w:p>
        </w:tc>
        <w:tc>
          <w:tcPr>
            <w:tcW w:w="4045" w:type="dxa"/>
            <w:shd w:val="clear" w:color="auto" w:fill="FFFFFF"/>
            <w:vAlign w:val="center"/>
          </w:tcPr>
          <w:p w14:paraId="427974D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供应商提供针对特定业务场景性能优化服务及整体架构升级服务</w:t>
            </w:r>
          </w:p>
        </w:tc>
        <w:tc>
          <w:tcPr>
            <w:tcW w:w="1329" w:type="dxa"/>
            <w:shd w:val="clear" w:color="auto" w:fill="FFFFFF"/>
            <w:vAlign w:val="center"/>
          </w:tcPr>
          <w:p w14:paraId="7CBD4B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9FF3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33" w:type="dxa"/>
            <w:shd w:val="clear" w:color="auto" w:fill="FFFFFF"/>
            <w:vAlign w:val="center"/>
          </w:tcPr>
          <w:p w14:paraId="26F3D4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144</w:t>
            </w:r>
          </w:p>
        </w:tc>
        <w:tc>
          <w:tcPr>
            <w:tcW w:w="975" w:type="dxa"/>
            <w:shd w:val="clear" w:color="auto" w:fill="FFFFFF"/>
            <w:vAlign w:val="center"/>
          </w:tcPr>
          <w:p w14:paraId="6CCDC43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供保要求</w:t>
            </w:r>
          </w:p>
        </w:tc>
        <w:tc>
          <w:tcPr>
            <w:tcW w:w="1122" w:type="dxa"/>
            <w:vMerge w:val="restart"/>
            <w:shd w:val="clear" w:color="auto" w:fill="FFFFFF"/>
            <w:vAlign w:val="center"/>
          </w:tcPr>
          <w:p w14:paraId="257640A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供应链质量</w:t>
            </w:r>
          </w:p>
        </w:tc>
        <w:tc>
          <w:tcPr>
            <w:tcW w:w="1475" w:type="dxa"/>
            <w:shd w:val="clear" w:color="auto" w:fill="FFFFFF"/>
            <w:vAlign w:val="center"/>
          </w:tcPr>
          <w:p w14:paraId="4F27049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★抗干扰性</w:t>
            </w:r>
          </w:p>
        </w:tc>
        <w:tc>
          <w:tcPr>
            <w:tcW w:w="4045" w:type="dxa"/>
            <w:shd w:val="clear" w:color="auto" w:fill="FFFFFF"/>
            <w:vAlign w:val="center"/>
          </w:tcPr>
          <w:p w14:paraId="45D4082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当产品部件出现供应风险时，应通知客户并提供风险应对方案确保产品的服务保障，必要时应停止相关受影响产品的销售</w:t>
            </w:r>
          </w:p>
        </w:tc>
        <w:tc>
          <w:tcPr>
            <w:tcW w:w="1329" w:type="dxa"/>
            <w:shd w:val="clear" w:color="auto" w:fill="FFFFFF"/>
            <w:vAlign w:val="center"/>
          </w:tcPr>
          <w:p w14:paraId="53743E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490F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2032E7C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145</w:t>
            </w:r>
          </w:p>
        </w:tc>
        <w:tc>
          <w:tcPr>
            <w:tcW w:w="975" w:type="dxa"/>
            <w:shd w:val="clear" w:color="auto" w:fill="FFFFFF"/>
            <w:vAlign w:val="center"/>
          </w:tcPr>
          <w:p w14:paraId="46DE94C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供保要求</w:t>
            </w:r>
          </w:p>
        </w:tc>
        <w:tc>
          <w:tcPr>
            <w:tcW w:w="1122" w:type="dxa"/>
            <w:vMerge w:val="continue"/>
            <w:shd w:val="clear" w:color="auto" w:fill="FFFFFF"/>
            <w:vAlign w:val="center"/>
          </w:tcPr>
          <w:p w14:paraId="4E635122">
            <w:pPr>
              <w:widowControl/>
              <w:jc w:val="left"/>
              <w:rPr>
                <w:rFonts w:asciiTheme="minorEastAsia" w:hAnsiTheme="minorEastAsia" w:eastAsiaTheme="minorEastAsia" w:cstheme="minorEastAsia"/>
                <w:kern w:val="0"/>
                <w:sz w:val="24"/>
              </w:rPr>
            </w:pPr>
          </w:p>
        </w:tc>
        <w:tc>
          <w:tcPr>
            <w:tcW w:w="1475" w:type="dxa"/>
            <w:shd w:val="clear" w:color="auto" w:fill="FFFFFF"/>
            <w:vAlign w:val="center"/>
          </w:tcPr>
          <w:p w14:paraId="08DC317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★供应能力证明</w:t>
            </w:r>
          </w:p>
        </w:tc>
        <w:tc>
          <w:tcPr>
            <w:tcW w:w="4045" w:type="dxa"/>
            <w:shd w:val="clear" w:color="auto" w:fill="FFFFFF"/>
            <w:vAlign w:val="center"/>
          </w:tcPr>
          <w:p w14:paraId="1C3C5BB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b/>
                <w:bCs/>
                <w:kern w:val="0"/>
                <w:sz w:val="24"/>
              </w:rPr>
              <w:t>供应商提供供应链稳定承诺书，确保产品的部件在产品服务周期内稳定供货（需提供加盖投标人公章的承诺书，否则作无效投标处理）</w:t>
            </w:r>
          </w:p>
        </w:tc>
        <w:tc>
          <w:tcPr>
            <w:tcW w:w="1329" w:type="dxa"/>
            <w:shd w:val="clear" w:color="auto" w:fill="FFFFFF"/>
            <w:vAlign w:val="center"/>
          </w:tcPr>
          <w:p w14:paraId="504B3E17">
            <w:pPr>
              <w:widowControl/>
              <w:jc w:val="center"/>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kern w:val="0"/>
                <w:sz w:val="24"/>
              </w:rPr>
              <w:t>是</w:t>
            </w:r>
          </w:p>
        </w:tc>
      </w:tr>
      <w:tr w14:paraId="43D87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6454D30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146</w:t>
            </w:r>
          </w:p>
        </w:tc>
        <w:tc>
          <w:tcPr>
            <w:tcW w:w="975" w:type="dxa"/>
            <w:shd w:val="clear" w:color="auto" w:fill="FFFFFF"/>
            <w:noWrap/>
            <w:vAlign w:val="center"/>
          </w:tcPr>
          <w:p w14:paraId="58855F6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122" w:type="dxa"/>
            <w:shd w:val="clear" w:color="auto" w:fill="FFFFFF"/>
            <w:noWrap/>
            <w:vAlign w:val="center"/>
          </w:tcPr>
          <w:p w14:paraId="5B035E9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硬盘扩展性</w:t>
            </w:r>
          </w:p>
        </w:tc>
        <w:tc>
          <w:tcPr>
            <w:tcW w:w="1475" w:type="dxa"/>
            <w:shd w:val="clear" w:color="auto" w:fill="FFFFFF"/>
            <w:noWrap/>
            <w:vAlign w:val="center"/>
          </w:tcPr>
          <w:p w14:paraId="2724FB8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硬盘扩展性</w:t>
            </w:r>
          </w:p>
        </w:tc>
        <w:tc>
          <w:tcPr>
            <w:tcW w:w="4045" w:type="dxa"/>
            <w:shd w:val="clear" w:color="auto" w:fill="FFFFFF"/>
            <w:vAlign w:val="center"/>
          </w:tcPr>
          <w:p w14:paraId="422CC76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产品支持≥20块3.5英寸盘位；产品内置支持≥4块3.5英寸盘位</w:t>
            </w:r>
          </w:p>
        </w:tc>
        <w:tc>
          <w:tcPr>
            <w:tcW w:w="1329" w:type="dxa"/>
            <w:shd w:val="clear" w:color="auto" w:fill="FFFFFF"/>
            <w:vAlign w:val="center"/>
          </w:tcPr>
          <w:p w14:paraId="217B333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808E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33" w:type="dxa"/>
            <w:shd w:val="clear" w:color="auto" w:fill="FFFFFF"/>
            <w:vAlign w:val="center"/>
          </w:tcPr>
          <w:p w14:paraId="6F54E4C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147</w:t>
            </w:r>
          </w:p>
        </w:tc>
        <w:tc>
          <w:tcPr>
            <w:tcW w:w="975" w:type="dxa"/>
            <w:shd w:val="clear" w:color="auto" w:fill="FFFFFF"/>
            <w:noWrap/>
            <w:vAlign w:val="center"/>
          </w:tcPr>
          <w:p w14:paraId="4B923AC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122" w:type="dxa"/>
            <w:shd w:val="clear" w:color="auto" w:fill="FFFFFF"/>
            <w:noWrap/>
            <w:vAlign w:val="center"/>
          </w:tcPr>
          <w:p w14:paraId="7AC6DDE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管理性</w:t>
            </w:r>
          </w:p>
        </w:tc>
        <w:tc>
          <w:tcPr>
            <w:tcW w:w="1475" w:type="dxa"/>
            <w:shd w:val="clear" w:color="auto" w:fill="FFFFFF"/>
            <w:noWrap/>
            <w:vAlign w:val="center"/>
          </w:tcPr>
          <w:p w14:paraId="30A45EA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管理性</w:t>
            </w:r>
          </w:p>
        </w:tc>
        <w:tc>
          <w:tcPr>
            <w:tcW w:w="4045" w:type="dxa"/>
            <w:shd w:val="clear" w:color="auto" w:fill="FFFFFF"/>
            <w:vAlign w:val="center"/>
          </w:tcPr>
          <w:p w14:paraId="4131097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产品可通过服务器前面板指示灯判断硬件故障，包括但不限于系统/内存/电源/风扇/温度/网络等关键部件的故障诊断功能；产品前后面板均需支持UID状态灯</w:t>
            </w:r>
          </w:p>
        </w:tc>
        <w:tc>
          <w:tcPr>
            <w:tcW w:w="1329" w:type="dxa"/>
            <w:shd w:val="clear" w:color="auto" w:fill="FFFFFF"/>
            <w:vAlign w:val="center"/>
          </w:tcPr>
          <w:p w14:paraId="79825C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4F1E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33" w:type="dxa"/>
            <w:shd w:val="clear" w:color="auto" w:fill="FFFFFF"/>
            <w:vAlign w:val="center"/>
          </w:tcPr>
          <w:p w14:paraId="063A648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148</w:t>
            </w:r>
          </w:p>
        </w:tc>
        <w:tc>
          <w:tcPr>
            <w:tcW w:w="975" w:type="dxa"/>
            <w:shd w:val="clear" w:color="auto" w:fill="FFFFFF"/>
            <w:noWrap/>
            <w:vAlign w:val="center"/>
          </w:tcPr>
          <w:p w14:paraId="333C398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122" w:type="dxa"/>
            <w:shd w:val="clear" w:color="auto" w:fill="FFFFFF"/>
            <w:noWrap/>
            <w:vAlign w:val="center"/>
          </w:tcPr>
          <w:p w14:paraId="2EAE4BE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散热性</w:t>
            </w:r>
          </w:p>
        </w:tc>
        <w:tc>
          <w:tcPr>
            <w:tcW w:w="1475" w:type="dxa"/>
            <w:shd w:val="clear" w:color="auto" w:fill="FFFFFF"/>
            <w:noWrap/>
            <w:vAlign w:val="center"/>
          </w:tcPr>
          <w:p w14:paraId="1F41221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散热性</w:t>
            </w:r>
          </w:p>
        </w:tc>
        <w:tc>
          <w:tcPr>
            <w:tcW w:w="4045" w:type="dxa"/>
            <w:shd w:val="clear" w:color="auto" w:fill="FFFFFF"/>
            <w:vAlign w:val="center"/>
          </w:tcPr>
          <w:p w14:paraId="1882E19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产品配置≥6个热插拔高效风扇模块，支持N+1冗余</w:t>
            </w:r>
          </w:p>
        </w:tc>
        <w:tc>
          <w:tcPr>
            <w:tcW w:w="1329" w:type="dxa"/>
            <w:shd w:val="clear" w:color="auto" w:fill="FFFFFF"/>
            <w:vAlign w:val="center"/>
          </w:tcPr>
          <w:p w14:paraId="78BC43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482C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33" w:type="dxa"/>
            <w:shd w:val="clear" w:color="auto" w:fill="FFFFFF"/>
            <w:vAlign w:val="center"/>
          </w:tcPr>
          <w:p w14:paraId="4F8E08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149</w:t>
            </w:r>
          </w:p>
        </w:tc>
        <w:tc>
          <w:tcPr>
            <w:tcW w:w="975" w:type="dxa"/>
            <w:shd w:val="clear" w:color="auto" w:fill="FFFFFF"/>
            <w:noWrap/>
            <w:vAlign w:val="center"/>
          </w:tcPr>
          <w:p w14:paraId="2AD77FF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122" w:type="dxa"/>
            <w:shd w:val="clear" w:color="auto" w:fill="FFFFFF"/>
            <w:noWrap/>
            <w:vAlign w:val="center"/>
          </w:tcPr>
          <w:p w14:paraId="2BBF216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中央处理器</w:t>
            </w:r>
          </w:p>
        </w:tc>
        <w:tc>
          <w:tcPr>
            <w:tcW w:w="1475" w:type="dxa"/>
            <w:shd w:val="clear" w:color="auto" w:fill="FFFFFF"/>
            <w:noWrap/>
            <w:vAlign w:val="center"/>
          </w:tcPr>
          <w:p w14:paraId="79CE488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加解密功能</w:t>
            </w:r>
          </w:p>
        </w:tc>
        <w:tc>
          <w:tcPr>
            <w:tcW w:w="4045" w:type="dxa"/>
            <w:shd w:val="clear" w:color="auto" w:fill="FFFFFF"/>
            <w:vAlign w:val="center"/>
          </w:tcPr>
          <w:p w14:paraId="5FF8CD28">
            <w:pPr>
              <w:widowControl/>
              <w:jc w:val="left"/>
              <w:rPr>
                <w:rFonts w:hint="eastAsia" w:asciiTheme="minorEastAsia" w:hAnsiTheme="minorEastAsia" w:eastAsiaTheme="minorEastAsia" w:cstheme="minorEastAsia"/>
                <w:kern w:val="0"/>
                <w:sz w:val="24"/>
                <w:lang w:eastAsia="zh-CN"/>
              </w:rPr>
            </w:pPr>
            <w:r>
              <w:rPr>
                <w:rFonts w:hint="eastAsia" w:asciiTheme="minorEastAsia" w:hAnsiTheme="minorEastAsia" w:eastAsiaTheme="minorEastAsia" w:cstheme="minorEastAsia"/>
                <w:kern w:val="0"/>
                <w:sz w:val="24"/>
              </w:rPr>
              <w:t>投标产品所配备的CPU（中央处理器）支持TEE可信执行环境，实现虚拟机在内存读写时的自动加解密功能。</w:t>
            </w:r>
          </w:p>
        </w:tc>
        <w:tc>
          <w:tcPr>
            <w:tcW w:w="1329" w:type="dxa"/>
            <w:shd w:val="clear" w:color="auto" w:fill="FFFFFF"/>
            <w:vAlign w:val="center"/>
          </w:tcPr>
          <w:p w14:paraId="6A4481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D2F6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33" w:type="dxa"/>
            <w:shd w:val="clear" w:color="auto" w:fill="FFFFFF"/>
            <w:vAlign w:val="center"/>
          </w:tcPr>
          <w:p w14:paraId="7158FB6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150</w:t>
            </w:r>
          </w:p>
        </w:tc>
        <w:tc>
          <w:tcPr>
            <w:tcW w:w="975" w:type="dxa"/>
            <w:shd w:val="clear" w:color="auto" w:fill="FFFFFF"/>
            <w:noWrap/>
            <w:vAlign w:val="center"/>
          </w:tcPr>
          <w:p w14:paraId="2CE450A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122" w:type="dxa"/>
            <w:shd w:val="clear" w:color="auto" w:fill="FFFFFF"/>
            <w:noWrap/>
            <w:vAlign w:val="center"/>
          </w:tcPr>
          <w:p w14:paraId="524887A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中央处理器</w:t>
            </w:r>
          </w:p>
        </w:tc>
        <w:tc>
          <w:tcPr>
            <w:tcW w:w="1475" w:type="dxa"/>
            <w:shd w:val="clear" w:color="auto" w:fill="FFFFFF"/>
            <w:noWrap/>
            <w:vAlign w:val="center"/>
          </w:tcPr>
          <w:p w14:paraId="5B0BCBE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超线程技术</w:t>
            </w:r>
          </w:p>
        </w:tc>
        <w:tc>
          <w:tcPr>
            <w:tcW w:w="4045" w:type="dxa"/>
            <w:shd w:val="clear" w:color="auto" w:fill="FFFFFF"/>
            <w:vAlign w:val="center"/>
          </w:tcPr>
          <w:p w14:paraId="487476D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shd w:val="clear" w:color="auto" w:fill="FFFFFF" w:themeFill="background1"/>
              </w:rPr>
              <w:t>产品所配备的CPU（中央处理器）需支持且配置超线程技术；</w:t>
            </w:r>
          </w:p>
        </w:tc>
        <w:tc>
          <w:tcPr>
            <w:tcW w:w="1329" w:type="dxa"/>
            <w:shd w:val="clear" w:color="auto" w:fill="FFFFFF"/>
            <w:vAlign w:val="center"/>
          </w:tcPr>
          <w:p w14:paraId="309CC82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bl>
    <w:p w14:paraId="7D1A1DE9">
      <w:pPr>
        <w:rPr>
          <w:rFonts w:asciiTheme="minorEastAsia" w:hAnsiTheme="minorEastAsia" w:eastAsiaTheme="minorEastAsia" w:cstheme="minorEastAsia"/>
          <w:sz w:val="24"/>
        </w:rPr>
      </w:pPr>
    </w:p>
    <w:p w14:paraId="04EFC8B2">
      <w:pPr>
        <w:pStyle w:val="2"/>
        <w:numPr>
          <w:ilvl w:val="0"/>
          <w:numId w:val="2"/>
        </w:numPr>
        <w:ind w:left="442" w:hanging="442"/>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PACS/HIS/EMR应用服务器超融合集群</w:t>
      </w:r>
    </w:p>
    <w:tbl>
      <w:tblPr>
        <w:tblStyle w:val="15"/>
        <w:tblW w:w="9509" w:type="dxa"/>
        <w:tblInd w:w="-4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600"/>
        <w:gridCol w:w="981"/>
        <w:gridCol w:w="1074"/>
        <w:gridCol w:w="1515"/>
        <w:gridCol w:w="4005"/>
        <w:gridCol w:w="1334"/>
      </w:tblGrid>
      <w:tr w14:paraId="3AB49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85" w:hRule="atLeast"/>
        </w:trPr>
        <w:tc>
          <w:tcPr>
            <w:tcW w:w="600" w:type="dxa"/>
            <w:shd w:val="clear" w:color="auto" w:fill="FFFFFF"/>
            <w:vAlign w:val="center"/>
          </w:tcPr>
          <w:p w14:paraId="751C9B4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序号</w:t>
            </w:r>
          </w:p>
        </w:tc>
        <w:tc>
          <w:tcPr>
            <w:tcW w:w="981" w:type="dxa"/>
            <w:shd w:val="clear" w:color="auto" w:fill="FFFFFF"/>
            <w:vAlign w:val="center"/>
          </w:tcPr>
          <w:p w14:paraId="24747D6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指标分类</w:t>
            </w:r>
          </w:p>
        </w:tc>
        <w:tc>
          <w:tcPr>
            <w:tcW w:w="1074" w:type="dxa"/>
            <w:shd w:val="clear" w:color="auto" w:fill="FFFFFF"/>
            <w:vAlign w:val="center"/>
          </w:tcPr>
          <w:p w14:paraId="4D8F6E9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一级指标</w:t>
            </w:r>
          </w:p>
        </w:tc>
        <w:tc>
          <w:tcPr>
            <w:tcW w:w="1515" w:type="dxa"/>
            <w:shd w:val="clear" w:color="auto" w:fill="FFFFFF"/>
            <w:vAlign w:val="center"/>
          </w:tcPr>
          <w:p w14:paraId="495FF17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二级指标</w:t>
            </w:r>
          </w:p>
        </w:tc>
        <w:tc>
          <w:tcPr>
            <w:tcW w:w="4005" w:type="dxa"/>
            <w:shd w:val="clear" w:color="auto" w:fill="FFFFFF"/>
            <w:vAlign w:val="center"/>
          </w:tcPr>
          <w:p w14:paraId="725B0DA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指标要求</w:t>
            </w:r>
          </w:p>
        </w:tc>
        <w:tc>
          <w:tcPr>
            <w:tcW w:w="1334" w:type="dxa"/>
            <w:shd w:val="clear" w:color="auto" w:fill="FFFFFF"/>
            <w:vAlign w:val="center"/>
          </w:tcPr>
          <w:p w14:paraId="1EF540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是否提供证明材料</w:t>
            </w:r>
          </w:p>
        </w:tc>
      </w:tr>
      <w:tr w14:paraId="7492D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0" w:type="dxa"/>
            <w:shd w:val="clear" w:color="auto" w:fill="FFFFFF"/>
            <w:vAlign w:val="center"/>
          </w:tcPr>
          <w:p w14:paraId="511EA0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w:t>
            </w:r>
          </w:p>
        </w:tc>
        <w:tc>
          <w:tcPr>
            <w:tcW w:w="981" w:type="dxa"/>
            <w:shd w:val="clear" w:color="auto" w:fill="FFFFFF"/>
            <w:vAlign w:val="center"/>
          </w:tcPr>
          <w:p w14:paraId="1D0AAA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shd w:val="clear" w:color="auto" w:fill="FFFFFF"/>
            <w:vAlign w:val="center"/>
          </w:tcPr>
          <w:p w14:paraId="1E587DF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CPU规格</w:t>
            </w:r>
          </w:p>
        </w:tc>
        <w:tc>
          <w:tcPr>
            <w:tcW w:w="1515" w:type="dxa"/>
            <w:shd w:val="clear" w:color="auto" w:fill="FFFFFF"/>
            <w:vAlign w:val="center"/>
          </w:tcPr>
          <w:p w14:paraId="529ACB6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★CPU信息</w:t>
            </w:r>
          </w:p>
        </w:tc>
        <w:tc>
          <w:tcPr>
            <w:tcW w:w="4005" w:type="dxa"/>
            <w:shd w:val="clear" w:color="auto" w:fill="FFFFFF"/>
            <w:vAlign w:val="center"/>
          </w:tcPr>
          <w:p w14:paraId="759330A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供应商应给出CPU信息，包含CPU型号、物理核心数、主频、末级缓存容量、线程数、热设计功耗及支持内存的最高速率、通道数和位宽</w:t>
            </w:r>
          </w:p>
        </w:tc>
        <w:tc>
          <w:tcPr>
            <w:tcW w:w="1334" w:type="dxa"/>
            <w:shd w:val="clear" w:color="auto" w:fill="FFFFFF"/>
            <w:vAlign w:val="center"/>
          </w:tcPr>
          <w:p w14:paraId="59A778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A159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0" w:type="dxa"/>
            <w:shd w:val="clear" w:color="auto" w:fill="FFFFFF"/>
            <w:vAlign w:val="center"/>
          </w:tcPr>
          <w:p w14:paraId="1820EB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981" w:type="dxa"/>
            <w:shd w:val="clear" w:color="auto" w:fill="FFFFFF"/>
            <w:vAlign w:val="center"/>
          </w:tcPr>
          <w:p w14:paraId="568DDE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restart"/>
            <w:shd w:val="clear" w:color="auto" w:fill="FFFFFF"/>
            <w:vAlign w:val="center"/>
          </w:tcPr>
          <w:p w14:paraId="3F36E1D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主板规格</w:t>
            </w:r>
          </w:p>
        </w:tc>
        <w:tc>
          <w:tcPr>
            <w:tcW w:w="1515" w:type="dxa"/>
            <w:shd w:val="clear" w:color="auto" w:fill="FFFFFF"/>
            <w:vAlign w:val="center"/>
          </w:tcPr>
          <w:p w14:paraId="2874104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★主板支持的CPU和内存情况</w:t>
            </w:r>
          </w:p>
        </w:tc>
        <w:tc>
          <w:tcPr>
            <w:tcW w:w="4005" w:type="dxa"/>
            <w:shd w:val="clear" w:color="auto" w:fill="FFFFFF"/>
            <w:vAlign w:val="center"/>
          </w:tcPr>
          <w:p w14:paraId="208D058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供应商给出主板支持的CPU和内存的型号数量</w:t>
            </w:r>
          </w:p>
        </w:tc>
        <w:tc>
          <w:tcPr>
            <w:tcW w:w="1334" w:type="dxa"/>
            <w:shd w:val="clear" w:color="auto" w:fill="FFFFFF"/>
            <w:vAlign w:val="center"/>
          </w:tcPr>
          <w:p w14:paraId="27CC23B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BF3A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0" w:type="dxa"/>
            <w:shd w:val="clear" w:color="auto" w:fill="FFFFFF"/>
            <w:vAlign w:val="center"/>
          </w:tcPr>
          <w:p w14:paraId="0D0CAAF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w:t>
            </w:r>
          </w:p>
        </w:tc>
        <w:tc>
          <w:tcPr>
            <w:tcW w:w="981" w:type="dxa"/>
            <w:shd w:val="clear" w:color="auto" w:fill="FFFFFF"/>
            <w:vAlign w:val="center"/>
          </w:tcPr>
          <w:p w14:paraId="629EB59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652BCAE4">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2CF3EC7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★主板内存槽数量</w:t>
            </w:r>
          </w:p>
        </w:tc>
        <w:tc>
          <w:tcPr>
            <w:tcW w:w="4005" w:type="dxa"/>
            <w:shd w:val="clear" w:color="auto" w:fill="FFFFFF"/>
            <w:vAlign w:val="center"/>
          </w:tcPr>
          <w:p w14:paraId="2028662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非板载内存的可扩展插槽数量应≥4个</w:t>
            </w:r>
          </w:p>
        </w:tc>
        <w:tc>
          <w:tcPr>
            <w:tcW w:w="1334" w:type="dxa"/>
            <w:shd w:val="clear" w:color="auto" w:fill="FFFFFF"/>
            <w:vAlign w:val="center"/>
          </w:tcPr>
          <w:p w14:paraId="40F6BA2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583C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64F011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w:t>
            </w:r>
          </w:p>
        </w:tc>
        <w:tc>
          <w:tcPr>
            <w:tcW w:w="981" w:type="dxa"/>
            <w:shd w:val="clear" w:color="auto" w:fill="FFFFFF"/>
            <w:vAlign w:val="center"/>
          </w:tcPr>
          <w:p w14:paraId="43DFAAC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647E7D2D">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77C975B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★主板存储接口</w:t>
            </w:r>
          </w:p>
        </w:tc>
        <w:tc>
          <w:tcPr>
            <w:tcW w:w="4005" w:type="dxa"/>
            <w:shd w:val="clear" w:color="auto" w:fill="FFFFFF"/>
            <w:vAlign w:val="center"/>
          </w:tcPr>
          <w:p w14:paraId="10BB32B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至少支持SATA、SAS、M.2、U.2等存储接口中的1种</w:t>
            </w:r>
          </w:p>
        </w:tc>
        <w:tc>
          <w:tcPr>
            <w:tcW w:w="1334" w:type="dxa"/>
            <w:shd w:val="clear" w:color="auto" w:fill="FFFFFF"/>
            <w:vAlign w:val="center"/>
          </w:tcPr>
          <w:p w14:paraId="162233B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89C8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7E1A1D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w:t>
            </w:r>
          </w:p>
        </w:tc>
        <w:tc>
          <w:tcPr>
            <w:tcW w:w="981" w:type="dxa"/>
            <w:shd w:val="clear" w:color="auto" w:fill="FFFFFF"/>
            <w:vAlign w:val="center"/>
          </w:tcPr>
          <w:p w14:paraId="3B74879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0DE216B6">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3BC113E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★PCIe插槽接口</w:t>
            </w:r>
          </w:p>
        </w:tc>
        <w:tc>
          <w:tcPr>
            <w:tcW w:w="4005" w:type="dxa"/>
            <w:shd w:val="clear" w:color="auto" w:fill="FFFFFF"/>
            <w:vAlign w:val="center"/>
          </w:tcPr>
          <w:p w14:paraId="55EA41F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符合PCIe3.0或以上的高速串行计算机扩展总线标准，PCIe的接口速率与位宽需保证向下兼容</w:t>
            </w:r>
          </w:p>
        </w:tc>
        <w:tc>
          <w:tcPr>
            <w:tcW w:w="1334" w:type="dxa"/>
            <w:shd w:val="clear" w:color="auto" w:fill="FFFFFF"/>
            <w:vAlign w:val="center"/>
          </w:tcPr>
          <w:p w14:paraId="697091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C9F2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66C0E94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w:t>
            </w:r>
          </w:p>
        </w:tc>
        <w:tc>
          <w:tcPr>
            <w:tcW w:w="981" w:type="dxa"/>
            <w:shd w:val="clear" w:color="auto" w:fill="FFFFFF"/>
            <w:vAlign w:val="center"/>
          </w:tcPr>
          <w:p w14:paraId="781C413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230C26A3">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63E64C1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★主板PCIe插槽数量及规格</w:t>
            </w:r>
          </w:p>
        </w:tc>
        <w:tc>
          <w:tcPr>
            <w:tcW w:w="4005" w:type="dxa"/>
            <w:shd w:val="clear" w:color="auto" w:fill="FFFFFF"/>
            <w:vAlign w:val="center"/>
          </w:tcPr>
          <w:p w14:paraId="6AA93D6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a）高度大于44.45mm双路或以上服务器PCIe插槽或接口应≥5个；</w:t>
            </w:r>
          </w:p>
          <w:p w14:paraId="6808CE9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b）单路服务器PCIe插槽或接口应≥4个，可通过扩展卡进行插槽扩展</w:t>
            </w:r>
          </w:p>
        </w:tc>
        <w:tc>
          <w:tcPr>
            <w:tcW w:w="1334" w:type="dxa"/>
            <w:shd w:val="clear" w:color="auto" w:fill="FFFFFF"/>
            <w:vAlign w:val="center"/>
          </w:tcPr>
          <w:p w14:paraId="358D30B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CEB1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600" w:type="dxa"/>
            <w:shd w:val="clear" w:color="auto" w:fill="FFFFFF"/>
            <w:vAlign w:val="center"/>
          </w:tcPr>
          <w:p w14:paraId="57F3ABC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w:t>
            </w:r>
          </w:p>
        </w:tc>
        <w:tc>
          <w:tcPr>
            <w:tcW w:w="981" w:type="dxa"/>
            <w:shd w:val="clear" w:color="auto" w:fill="FFFFFF"/>
            <w:vAlign w:val="center"/>
          </w:tcPr>
          <w:p w14:paraId="734190E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572D10B3">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4128124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特殊孔位及接口</w:t>
            </w:r>
          </w:p>
        </w:tc>
        <w:tc>
          <w:tcPr>
            <w:tcW w:w="4005" w:type="dxa"/>
            <w:shd w:val="clear" w:color="auto" w:fill="FFFFFF"/>
            <w:vAlign w:val="center"/>
          </w:tcPr>
          <w:p w14:paraId="0CA40FB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服务器机箱内主板可根据用户实际使用需求支持安装多功能导入装置板卡，机箱内需预留多功能导入装置板卡安装位置，容量不小于55mm×45mm×15mm（长×宽×高，单位毫米）；b）服务器主板可根据用户实际使用需求预留满足USB2.0或USB3.0数据传输规范的接口，工作电压5V，采用USB2.0时，最大过电流应不小于0.5A，采用USB3.0时，最大过电流应不小于1A</w:t>
            </w:r>
          </w:p>
        </w:tc>
        <w:tc>
          <w:tcPr>
            <w:tcW w:w="1334" w:type="dxa"/>
            <w:shd w:val="clear" w:color="auto" w:fill="FFFFFF"/>
            <w:vAlign w:val="center"/>
          </w:tcPr>
          <w:p w14:paraId="2BF79D6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B916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07C233B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981" w:type="dxa"/>
            <w:shd w:val="clear" w:color="auto" w:fill="FFFFFF"/>
            <w:vAlign w:val="center"/>
          </w:tcPr>
          <w:p w14:paraId="57FAA37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608C8988">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5840D08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板载网络接口</w:t>
            </w:r>
          </w:p>
        </w:tc>
        <w:tc>
          <w:tcPr>
            <w:tcW w:w="4005" w:type="dxa"/>
            <w:shd w:val="clear" w:color="auto" w:fill="FFFFFF"/>
            <w:vAlign w:val="center"/>
          </w:tcPr>
          <w:p w14:paraId="301D091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若支持板载网络接口应≥2个1GE网口</w:t>
            </w:r>
          </w:p>
        </w:tc>
        <w:tc>
          <w:tcPr>
            <w:tcW w:w="1334" w:type="dxa"/>
            <w:shd w:val="clear" w:color="auto" w:fill="FFFFFF"/>
            <w:vAlign w:val="center"/>
          </w:tcPr>
          <w:p w14:paraId="6B40D2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E9A1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1B69A15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w:t>
            </w:r>
          </w:p>
        </w:tc>
        <w:tc>
          <w:tcPr>
            <w:tcW w:w="981" w:type="dxa"/>
            <w:shd w:val="clear" w:color="auto" w:fill="FFFFFF"/>
            <w:vAlign w:val="center"/>
          </w:tcPr>
          <w:p w14:paraId="6FB182B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12BCBD0F">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350D0C7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主板OCP插槽数量</w:t>
            </w:r>
          </w:p>
        </w:tc>
        <w:tc>
          <w:tcPr>
            <w:tcW w:w="4005" w:type="dxa"/>
            <w:shd w:val="clear" w:color="auto" w:fill="FFFFFF"/>
            <w:vAlign w:val="center"/>
          </w:tcPr>
          <w:p w14:paraId="395C96B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支持OCP2.0及以上插槽的数量≥1个</w:t>
            </w:r>
          </w:p>
        </w:tc>
        <w:tc>
          <w:tcPr>
            <w:tcW w:w="1334" w:type="dxa"/>
            <w:shd w:val="clear" w:color="auto" w:fill="FFFFFF"/>
            <w:vAlign w:val="center"/>
          </w:tcPr>
          <w:p w14:paraId="4FC807F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3FAC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00" w:type="dxa"/>
            <w:shd w:val="clear" w:color="auto" w:fill="FFFFFF"/>
            <w:vAlign w:val="center"/>
          </w:tcPr>
          <w:p w14:paraId="0EBA03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w:t>
            </w:r>
          </w:p>
        </w:tc>
        <w:tc>
          <w:tcPr>
            <w:tcW w:w="981" w:type="dxa"/>
            <w:shd w:val="clear" w:color="auto" w:fill="FFFFFF"/>
            <w:vAlign w:val="center"/>
          </w:tcPr>
          <w:p w14:paraId="01B657D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restart"/>
            <w:shd w:val="clear" w:color="auto" w:fill="FFFFFF"/>
            <w:vAlign w:val="center"/>
          </w:tcPr>
          <w:p w14:paraId="1F7123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内存规格</w:t>
            </w:r>
          </w:p>
        </w:tc>
        <w:tc>
          <w:tcPr>
            <w:tcW w:w="1515" w:type="dxa"/>
            <w:shd w:val="clear" w:color="auto" w:fill="FFFFFF"/>
            <w:vAlign w:val="center"/>
          </w:tcPr>
          <w:p w14:paraId="6D5769F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★内存数量</w:t>
            </w:r>
          </w:p>
        </w:tc>
        <w:tc>
          <w:tcPr>
            <w:tcW w:w="4005" w:type="dxa"/>
            <w:shd w:val="clear" w:color="auto" w:fill="FFFFFF"/>
            <w:vAlign w:val="center"/>
          </w:tcPr>
          <w:p w14:paraId="36F3A0D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≥24</w:t>
            </w:r>
          </w:p>
        </w:tc>
        <w:tc>
          <w:tcPr>
            <w:tcW w:w="1334" w:type="dxa"/>
            <w:shd w:val="clear" w:color="auto" w:fill="FFFFFF"/>
            <w:vAlign w:val="center"/>
          </w:tcPr>
          <w:p w14:paraId="2C37252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A1F0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00" w:type="dxa"/>
            <w:shd w:val="clear" w:color="auto" w:fill="FFFFFF"/>
            <w:vAlign w:val="center"/>
          </w:tcPr>
          <w:p w14:paraId="3B5097E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w:t>
            </w:r>
          </w:p>
        </w:tc>
        <w:tc>
          <w:tcPr>
            <w:tcW w:w="981" w:type="dxa"/>
            <w:shd w:val="clear" w:color="auto" w:fill="FFFFFF"/>
            <w:vAlign w:val="center"/>
          </w:tcPr>
          <w:p w14:paraId="76B1B85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2C5D0EC0">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1E96550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★内存规格</w:t>
            </w:r>
          </w:p>
        </w:tc>
        <w:tc>
          <w:tcPr>
            <w:tcW w:w="4005" w:type="dxa"/>
            <w:shd w:val="clear" w:color="auto" w:fill="FFFFFF"/>
            <w:vAlign w:val="center"/>
          </w:tcPr>
          <w:p w14:paraId="44889D0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≥DDR4</w:t>
            </w:r>
          </w:p>
        </w:tc>
        <w:tc>
          <w:tcPr>
            <w:tcW w:w="1334" w:type="dxa"/>
            <w:shd w:val="clear" w:color="auto" w:fill="FFFFFF"/>
            <w:vAlign w:val="center"/>
          </w:tcPr>
          <w:p w14:paraId="6C8225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B3E2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0" w:type="dxa"/>
            <w:shd w:val="clear" w:color="auto" w:fill="FFFFFF"/>
            <w:vAlign w:val="center"/>
          </w:tcPr>
          <w:p w14:paraId="0999829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w:t>
            </w:r>
          </w:p>
        </w:tc>
        <w:tc>
          <w:tcPr>
            <w:tcW w:w="981" w:type="dxa"/>
            <w:shd w:val="clear" w:color="auto" w:fill="FFFFFF"/>
            <w:vAlign w:val="center"/>
          </w:tcPr>
          <w:p w14:paraId="7D15C42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037CB7DE">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779F172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★内存通道</w:t>
            </w:r>
          </w:p>
        </w:tc>
        <w:tc>
          <w:tcPr>
            <w:tcW w:w="4005" w:type="dxa"/>
            <w:shd w:val="clear" w:color="auto" w:fill="FFFFFF"/>
            <w:vAlign w:val="center"/>
          </w:tcPr>
          <w:p w14:paraId="5589F66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支持多个内存接口通道，每个通道可支持1DPC或2DPC，当支持2DPC时，印制电路板上应具备插槽的序号标识，具体通道数应在随机文件中明确</w:t>
            </w:r>
          </w:p>
        </w:tc>
        <w:tc>
          <w:tcPr>
            <w:tcW w:w="1334" w:type="dxa"/>
            <w:shd w:val="clear" w:color="auto" w:fill="FFFFFF"/>
            <w:vAlign w:val="center"/>
          </w:tcPr>
          <w:p w14:paraId="500EF62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E35B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7EEC378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w:t>
            </w:r>
          </w:p>
        </w:tc>
        <w:tc>
          <w:tcPr>
            <w:tcW w:w="981" w:type="dxa"/>
            <w:shd w:val="clear" w:color="auto" w:fill="FFFFFF"/>
            <w:vAlign w:val="center"/>
          </w:tcPr>
          <w:p w14:paraId="6CB280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restart"/>
            <w:shd w:val="clear" w:color="auto" w:fill="FFFFFF"/>
            <w:vAlign w:val="center"/>
          </w:tcPr>
          <w:p w14:paraId="21B16D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存储规格</w:t>
            </w:r>
          </w:p>
        </w:tc>
        <w:tc>
          <w:tcPr>
            <w:tcW w:w="1515" w:type="dxa"/>
            <w:shd w:val="clear" w:color="auto" w:fill="FFFFFF"/>
            <w:vAlign w:val="center"/>
          </w:tcPr>
          <w:p w14:paraId="3A7281A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硬盘类型</w:t>
            </w:r>
          </w:p>
        </w:tc>
        <w:tc>
          <w:tcPr>
            <w:tcW w:w="4005" w:type="dxa"/>
            <w:shd w:val="clear" w:color="auto" w:fill="FFFFFF"/>
            <w:vAlign w:val="center"/>
          </w:tcPr>
          <w:p w14:paraId="2A8D4F1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供应商给出服务器支持硬磁盘和固态盘类型及规格</w:t>
            </w:r>
          </w:p>
        </w:tc>
        <w:tc>
          <w:tcPr>
            <w:tcW w:w="1334" w:type="dxa"/>
            <w:shd w:val="clear" w:color="auto" w:fill="FFFFFF"/>
            <w:vAlign w:val="center"/>
          </w:tcPr>
          <w:p w14:paraId="4934E6A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4815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0" w:type="dxa"/>
            <w:shd w:val="clear" w:color="auto" w:fill="FFFFFF"/>
            <w:vAlign w:val="center"/>
          </w:tcPr>
          <w:p w14:paraId="00E790D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w:t>
            </w:r>
          </w:p>
        </w:tc>
        <w:tc>
          <w:tcPr>
            <w:tcW w:w="981" w:type="dxa"/>
            <w:shd w:val="clear" w:color="auto" w:fill="FFFFFF"/>
            <w:vAlign w:val="center"/>
          </w:tcPr>
          <w:p w14:paraId="3FC7C6C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0B07C86B">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479055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★硬磁盘实配容量</w:t>
            </w:r>
          </w:p>
        </w:tc>
        <w:tc>
          <w:tcPr>
            <w:tcW w:w="4005" w:type="dxa"/>
            <w:shd w:val="clear" w:color="auto" w:fill="FFFFFF"/>
            <w:vAlign w:val="center"/>
          </w:tcPr>
          <w:p w14:paraId="1ED6769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硬盘1：≥480G SATA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硬盘2：≥3.2T NVMe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硬盘3：≥8T 7.2K SATA硬磁盘</w:t>
            </w:r>
          </w:p>
        </w:tc>
        <w:tc>
          <w:tcPr>
            <w:tcW w:w="1334" w:type="dxa"/>
            <w:shd w:val="clear" w:color="auto" w:fill="FFFFFF"/>
            <w:vAlign w:val="center"/>
          </w:tcPr>
          <w:p w14:paraId="575588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CCD3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7A0D5C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w:t>
            </w:r>
          </w:p>
        </w:tc>
        <w:tc>
          <w:tcPr>
            <w:tcW w:w="981" w:type="dxa"/>
            <w:shd w:val="clear" w:color="auto" w:fill="FFFFFF"/>
            <w:vAlign w:val="center"/>
          </w:tcPr>
          <w:p w14:paraId="2062B7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47C09913">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41B6F6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硬盘接口类型</w:t>
            </w:r>
          </w:p>
        </w:tc>
        <w:tc>
          <w:tcPr>
            <w:tcW w:w="4005" w:type="dxa"/>
            <w:shd w:val="clear" w:color="auto" w:fill="FFFFFF"/>
            <w:vAlign w:val="center"/>
          </w:tcPr>
          <w:p w14:paraId="3C3F794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a）若配备硬磁盘，应提供SAS3.0或SATA3.0及以上接口；b）若配备固态盘，应提供至少1种类型固态盘接口，如UFS、SATA、PCIe等</w:t>
            </w:r>
          </w:p>
        </w:tc>
        <w:tc>
          <w:tcPr>
            <w:tcW w:w="1334" w:type="dxa"/>
            <w:shd w:val="clear" w:color="auto" w:fill="FFFFFF"/>
            <w:vAlign w:val="center"/>
          </w:tcPr>
          <w:p w14:paraId="488144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571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5DB75D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w:t>
            </w:r>
          </w:p>
        </w:tc>
        <w:tc>
          <w:tcPr>
            <w:tcW w:w="981" w:type="dxa"/>
            <w:shd w:val="clear" w:color="auto" w:fill="FFFFFF"/>
            <w:vAlign w:val="center"/>
          </w:tcPr>
          <w:p w14:paraId="1FAF5F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505799A2">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53081BA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★硬盘实配数量</w:t>
            </w:r>
          </w:p>
        </w:tc>
        <w:tc>
          <w:tcPr>
            <w:tcW w:w="4005" w:type="dxa"/>
            <w:shd w:val="clear" w:color="auto" w:fill="FFFFFF"/>
            <w:vAlign w:val="center"/>
          </w:tcPr>
          <w:p w14:paraId="0F397EE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硬盘1：≥2块480G SATA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硬盘2：≥2块3.2T NVMe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硬盘3：≥6块8T 7.2K SATA；</w:t>
            </w:r>
          </w:p>
        </w:tc>
        <w:tc>
          <w:tcPr>
            <w:tcW w:w="1334" w:type="dxa"/>
            <w:shd w:val="clear" w:color="auto" w:fill="FFFFFF"/>
            <w:vAlign w:val="center"/>
          </w:tcPr>
          <w:p w14:paraId="289140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D1F8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600" w:type="dxa"/>
            <w:shd w:val="clear" w:color="auto" w:fill="FFFFFF"/>
            <w:vAlign w:val="center"/>
          </w:tcPr>
          <w:p w14:paraId="2C906B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17</w:t>
            </w:r>
          </w:p>
        </w:tc>
        <w:tc>
          <w:tcPr>
            <w:tcW w:w="981" w:type="dxa"/>
            <w:shd w:val="clear" w:color="auto" w:fill="FFFFFF"/>
            <w:vAlign w:val="center"/>
          </w:tcPr>
          <w:p w14:paraId="2DA3CF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3A72066C">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0012601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★硬盘插槽数量及规格</w:t>
            </w:r>
          </w:p>
        </w:tc>
        <w:tc>
          <w:tcPr>
            <w:tcW w:w="4005" w:type="dxa"/>
            <w:shd w:val="clear" w:color="auto" w:fill="FFFFFF"/>
            <w:vAlign w:val="center"/>
          </w:tcPr>
          <w:p w14:paraId="160E23F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供应商应给出配置的硬盘尺寸，如2.5英寸、3.5英寸硬磁盘；b）机箱高度为88.9mm的服务器可支持的硬盘数量应≥8块，机箱高度为44.45mm的服务器可支持的硬盘数量应≥4块。c）存储型服务器可支持硬盘数量应≥24块</w:t>
            </w:r>
          </w:p>
        </w:tc>
        <w:tc>
          <w:tcPr>
            <w:tcW w:w="1334" w:type="dxa"/>
            <w:shd w:val="clear" w:color="auto" w:fill="FFFFFF"/>
            <w:vAlign w:val="center"/>
          </w:tcPr>
          <w:p w14:paraId="4EF046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7A7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00" w:type="dxa"/>
            <w:shd w:val="clear" w:color="auto" w:fill="FFFFFF"/>
            <w:vAlign w:val="center"/>
          </w:tcPr>
          <w:p w14:paraId="1F7C97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18</w:t>
            </w:r>
          </w:p>
        </w:tc>
        <w:tc>
          <w:tcPr>
            <w:tcW w:w="981" w:type="dxa"/>
            <w:shd w:val="clear" w:color="auto" w:fill="FFFFFF"/>
            <w:vAlign w:val="center"/>
          </w:tcPr>
          <w:p w14:paraId="60BB7F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75C8C9D7">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74E08EF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硬盘其他参数要求</w:t>
            </w:r>
          </w:p>
        </w:tc>
        <w:tc>
          <w:tcPr>
            <w:tcW w:w="4005" w:type="dxa"/>
            <w:shd w:val="clear" w:color="auto" w:fill="FFFFFF"/>
            <w:vAlign w:val="center"/>
          </w:tcPr>
          <w:p w14:paraId="2989CBC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drawing>
                <wp:anchor distT="0" distB="0" distL="114300" distR="114300" simplePos="0" relativeHeight="251659264" behindDoc="0" locked="0" layoutInCell="1" allowOverlap="1">
                  <wp:simplePos x="0" y="0"/>
                  <wp:positionH relativeFrom="column">
                    <wp:posOffset>9525</wp:posOffset>
                  </wp:positionH>
                  <wp:positionV relativeFrom="paragraph">
                    <wp:posOffset>471170</wp:posOffset>
                  </wp:positionV>
                  <wp:extent cx="76200" cy="47625"/>
                  <wp:effectExtent l="0" t="0" r="0" b="0"/>
                  <wp:wrapNone/>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5"/>
                          <a:stretch>
                            <a:fillRect/>
                          </a:stretch>
                        </pic:blipFill>
                        <pic:spPr>
                          <a:xfrm>
                            <a:off x="0" y="0"/>
                            <a:ext cx="76200" cy="47625"/>
                          </a:xfrm>
                          <a:prstGeom prst="rect">
                            <a:avLst/>
                          </a:prstGeom>
                          <a:noFill/>
                          <a:ln>
                            <a:noFill/>
                          </a:ln>
                        </pic:spPr>
                      </pic:pic>
                    </a:graphicData>
                  </a:graphic>
                </wp:anchor>
              </w:drawing>
            </w:r>
            <w:r>
              <w:rPr>
                <w:rFonts w:hint="eastAsia" w:asciiTheme="minorEastAsia" w:hAnsiTheme="minorEastAsia" w:eastAsiaTheme="minorEastAsia" w:cstheme="minorEastAsia"/>
                <w:kern w:val="0"/>
                <w:sz w:val="24"/>
              </w:rPr>
              <w:t>a）机械硬盘准备时间应≤30s；侧面固定螺丝孔数量可为4孔或6孔；工作状态环境温度应满足5℃55℃,其他参数应符合GB/T12628的相关规定；b）若服务器支持固态盘，固态盘符合SJ/T11654相关规定</w:t>
            </w:r>
          </w:p>
        </w:tc>
        <w:tc>
          <w:tcPr>
            <w:tcW w:w="1334" w:type="dxa"/>
            <w:shd w:val="clear" w:color="auto" w:fill="FFFFFF"/>
            <w:vAlign w:val="center"/>
          </w:tcPr>
          <w:p w14:paraId="53FA80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C76E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24FD5AC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19</w:t>
            </w:r>
          </w:p>
        </w:tc>
        <w:tc>
          <w:tcPr>
            <w:tcW w:w="981" w:type="dxa"/>
            <w:shd w:val="clear" w:color="auto" w:fill="FFFFFF"/>
            <w:vAlign w:val="center"/>
          </w:tcPr>
          <w:p w14:paraId="1CD82FD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shd w:val="clear" w:color="auto" w:fill="FFFFFF"/>
            <w:vAlign w:val="center"/>
          </w:tcPr>
          <w:p w14:paraId="1048D81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RAID卡规格（若支持RAID卡）</w:t>
            </w:r>
          </w:p>
        </w:tc>
        <w:tc>
          <w:tcPr>
            <w:tcW w:w="1515" w:type="dxa"/>
            <w:shd w:val="clear" w:color="auto" w:fill="FFFFFF"/>
            <w:vAlign w:val="center"/>
          </w:tcPr>
          <w:p w14:paraId="208EBB0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RAID卡支持的SAS接口数</w:t>
            </w:r>
          </w:p>
        </w:tc>
        <w:tc>
          <w:tcPr>
            <w:tcW w:w="4005" w:type="dxa"/>
            <w:shd w:val="clear" w:color="auto" w:fill="FFFFFF"/>
            <w:vAlign w:val="center"/>
          </w:tcPr>
          <w:p w14:paraId="796D870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1334" w:type="dxa"/>
            <w:shd w:val="clear" w:color="auto" w:fill="FFFFFF"/>
            <w:vAlign w:val="center"/>
          </w:tcPr>
          <w:p w14:paraId="5C75B1D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E2EA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600" w:type="dxa"/>
            <w:shd w:val="clear" w:color="auto" w:fill="FFFFFF"/>
            <w:vAlign w:val="center"/>
          </w:tcPr>
          <w:p w14:paraId="7DB23E9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20</w:t>
            </w:r>
          </w:p>
        </w:tc>
        <w:tc>
          <w:tcPr>
            <w:tcW w:w="981" w:type="dxa"/>
            <w:shd w:val="clear" w:color="auto" w:fill="FFFFFF"/>
            <w:vAlign w:val="center"/>
          </w:tcPr>
          <w:p w14:paraId="42FA03C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shd w:val="clear" w:color="auto" w:fill="FFFFFF"/>
            <w:vAlign w:val="center"/>
          </w:tcPr>
          <w:p w14:paraId="43E083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SAS直通卡规格（若支持SAS直通卡）</w:t>
            </w:r>
          </w:p>
        </w:tc>
        <w:tc>
          <w:tcPr>
            <w:tcW w:w="1515" w:type="dxa"/>
            <w:shd w:val="clear" w:color="auto" w:fill="FFFFFF"/>
            <w:vAlign w:val="center"/>
          </w:tcPr>
          <w:p w14:paraId="5936919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SAS直通卡SAS接口数量</w:t>
            </w:r>
          </w:p>
        </w:tc>
        <w:tc>
          <w:tcPr>
            <w:tcW w:w="4005" w:type="dxa"/>
            <w:shd w:val="clear" w:color="auto" w:fill="FFFFFF"/>
            <w:vAlign w:val="center"/>
          </w:tcPr>
          <w:p w14:paraId="2B3CF30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≥0</w:t>
            </w:r>
          </w:p>
        </w:tc>
        <w:tc>
          <w:tcPr>
            <w:tcW w:w="1334" w:type="dxa"/>
            <w:shd w:val="clear" w:color="auto" w:fill="FFFFFF"/>
            <w:vAlign w:val="center"/>
          </w:tcPr>
          <w:p w14:paraId="5DA8738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675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66071C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21</w:t>
            </w:r>
          </w:p>
        </w:tc>
        <w:tc>
          <w:tcPr>
            <w:tcW w:w="981" w:type="dxa"/>
            <w:shd w:val="clear" w:color="auto" w:fill="FFFFFF"/>
            <w:vAlign w:val="center"/>
          </w:tcPr>
          <w:p w14:paraId="409806F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shd w:val="clear" w:color="auto" w:fill="FFFFFF"/>
            <w:vAlign w:val="center"/>
          </w:tcPr>
          <w:p w14:paraId="168E194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HBA卡规格（若支HBA直通卡）</w:t>
            </w:r>
          </w:p>
        </w:tc>
        <w:tc>
          <w:tcPr>
            <w:tcW w:w="1515" w:type="dxa"/>
            <w:shd w:val="clear" w:color="auto" w:fill="FFFFFF"/>
            <w:vAlign w:val="center"/>
          </w:tcPr>
          <w:p w14:paraId="6153BBC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HBA卡端口数量</w:t>
            </w:r>
          </w:p>
        </w:tc>
        <w:tc>
          <w:tcPr>
            <w:tcW w:w="4005" w:type="dxa"/>
            <w:shd w:val="clear" w:color="auto" w:fill="FFFFFF"/>
            <w:vAlign w:val="center"/>
          </w:tcPr>
          <w:p w14:paraId="5B65BB1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≥0</w:t>
            </w:r>
          </w:p>
        </w:tc>
        <w:tc>
          <w:tcPr>
            <w:tcW w:w="1334" w:type="dxa"/>
            <w:shd w:val="clear" w:color="auto" w:fill="FFFFFF"/>
            <w:vAlign w:val="center"/>
          </w:tcPr>
          <w:p w14:paraId="6069557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9BF0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0" w:type="dxa"/>
            <w:shd w:val="clear" w:color="auto" w:fill="FFFFFF"/>
            <w:vAlign w:val="center"/>
          </w:tcPr>
          <w:p w14:paraId="35BC527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22</w:t>
            </w:r>
          </w:p>
        </w:tc>
        <w:tc>
          <w:tcPr>
            <w:tcW w:w="981" w:type="dxa"/>
            <w:shd w:val="clear" w:color="auto" w:fill="FFFFFF"/>
            <w:vAlign w:val="center"/>
          </w:tcPr>
          <w:p w14:paraId="041D456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restart"/>
            <w:shd w:val="clear" w:color="auto" w:fill="FFFFFF"/>
            <w:vAlign w:val="center"/>
          </w:tcPr>
          <w:p w14:paraId="288CEAF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网络规格</w:t>
            </w:r>
          </w:p>
        </w:tc>
        <w:tc>
          <w:tcPr>
            <w:tcW w:w="1515" w:type="dxa"/>
            <w:shd w:val="clear" w:color="auto" w:fill="FFFFFF"/>
            <w:vAlign w:val="center"/>
          </w:tcPr>
          <w:p w14:paraId="5ADF94F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★网口速率和数量</w:t>
            </w:r>
          </w:p>
        </w:tc>
        <w:tc>
          <w:tcPr>
            <w:tcW w:w="4005" w:type="dxa"/>
            <w:shd w:val="clear" w:color="auto" w:fill="FFFFFF"/>
            <w:vAlign w:val="center"/>
          </w:tcPr>
          <w:p w14:paraId="1FABAF5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配置10GE光口≥4个（满配10GE多模光模块）</w:t>
            </w:r>
          </w:p>
        </w:tc>
        <w:tc>
          <w:tcPr>
            <w:tcW w:w="1334" w:type="dxa"/>
            <w:shd w:val="clear" w:color="auto" w:fill="FFFFFF"/>
            <w:vAlign w:val="center"/>
          </w:tcPr>
          <w:p w14:paraId="62F033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5436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4327900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23</w:t>
            </w:r>
          </w:p>
        </w:tc>
        <w:tc>
          <w:tcPr>
            <w:tcW w:w="981" w:type="dxa"/>
            <w:shd w:val="clear" w:color="auto" w:fill="FFFFFF"/>
            <w:vAlign w:val="center"/>
          </w:tcPr>
          <w:p w14:paraId="04D3857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0B374ACF">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796F8C4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存储型服务器网口速率和数量</w:t>
            </w:r>
          </w:p>
        </w:tc>
        <w:tc>
          <w:tcPr>
            <w:tcW w:w="4005" w:type="dxa"/>
            <w:shd w:val="clear" w:color="auto" w:fill="FFFFFF"/>
            <w:vAlign w:val="center"/>
          </w:tcPr>
          <w:p w14:paraId="1F46586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存储型服务器1GE 网口数量≥2 个，10GE 以上网口数量≥2个（不涉及）</w:t>
            </w:r>
          </w:p>
        </w:tc>
        <w:tc>
          <w:tcPr>
            <w:tcW w:w="1334" w:type="dxa"/>
            <w:shd w:val="clear" w:color="auto" w:fill="FFFFFF"/>
            <w:vAlign w:val="center"/>
          </w:tcPr>
          <w:p w14:paraId="677E53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9842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666C790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24</w:t>
            </w:r>
          </w:p>
        </w:tc>
        <w:tc>
          <w:tcPr>
            <w:tcW w:w="981" w:type="dxa"/>
            <w:shd w:val="clear" w:color="auto" w:fill="FFFFFF"/>
            <w:vAlign w:val="center"/>
          </w:tcPr>
          <w:p w14:paraId="7106363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46933C64">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6941970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独立网卡网口数量</w:t>
            </w:r>
          </w:p>
        </w:tc>
        <w:tc>
          <w:tcPr>
            <w:tcW w:w="4005" w:type="dxa"/>
            <w:shd w:val="clear" w:color="auto" w:fill="FFFFFF"/>
            <w:vAlign w:val="center"/>
          </w:tcPr>
          <w:p w14:paraId="7D2E6CC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配备10GE独立网卡，独立网卡网口数量≥2</w:t>
            </w:r>
          </w:p>
        </w:tc>
        <w:tc>
          <w:tcPr>
            <w:tcW w:w="1334" w:type="dxa"/>
            <w:shd w:val="clear" w:color="auto" w:fill="FFFFFF"/>
            <w:vAlign w:val="center"/>
          </w:tcPr>
          <w:p w14:paraId="4EB308A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5AA9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4B76BCC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25</w:t>
            </w:r>
          </w:p>
        </w:tc>
        <w:tc>
          <w:tcPr>
            <w:tcW w:w="981" w:type="dxa"/>
            <w:shd w:val="clear" w:color="auto" w:fill="FFFFFF"/>
            <w:vAlign w:val="center"/>
          </w:tcPr>
          <w:p w14:paraId="449EF8C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1CC235B1">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5F95731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独立网卡接口类型</w:t>
            </w:r>
          </w:p>
        </w:tc>
        <w:tc>
          <w:tcPr>
            <w:tcW w:w="4005" w:type="dxa"/>
            <w:shd w:val="clear" w:color="auto" w:fill="FFFFFF"/>
            <w:vAlign w:val="center"/>
          </w:tcPr>
          <w:p w14:paraId="65F6DC7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支持RJ45/QSFP/SFP等</w:t>
            </w:r>
          </w:p>
        </w:tc>
        <w:tc>
          <w:tcPr>
            <w:tcW w:w="1334" w:type="dxa"/>
            <w:shd w:val="clear" w:color="auto" w:fill="FFFFFF"/>
            <w:vAlign w:val="center"/>
          </w:tcPr>
          <w:p w14:paraId="260920C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273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4811040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26</w:t>
            </w:r>
          </w:p>
        </w:tc>
        <w:tc>
          <w:tcPr>
            <w:tcW w:w="981" w:type="dxa"/>
            <w:shd w:val="clear" w:color="auto" w:fill="FFFFFF"/>
            <w:vAlign w:val="center"/>
          </w:tcPr>
          <w:p w14:paraId="299CFA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7681B5E9">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4E2A100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板载网卡接口类型</w:t>
            </w:r>
          </w:p>
        </w:tc>
        <w:tc>
          <w:tcPr>
            <w:tcW w:w="4005" w:type="dxa"/>
            <w:shd w:val="clear" w:color="auto" w:fill="FFFFFF"/>
            <w:vAlign w:val="center"/>
          </w:tcPr>
          <w:p w14:paraId="3DF8F25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支持RJ45/QSFP/SFP等</w:t>
            </w:r>
          </w:p>
        </w:tc>
        <w:tc>
          <w:tcPr>
            <w:tcW w:w="1334" w:type="dxa"/>
            <w:shd w:val="clear" w:color="auto" w:fill="FFFFFF"/>
            <w:vAlign w:val="center"/>
          </w:tcPr>
          <w:p w14:paraId="2280E9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7203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3340EA0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27</w:t>
            </w:r>
          </w:p>
        </w:tc>
        <w:tc>
          <w:tcPr>
            <w:tcW w:w="981" w:type="dxa"/>
            <w:shd w:val="clear" w:color="auto" w:fill="FFFFFF"/>
            <w:vAlign w:val="center"/>
          </w:tcPr>
          <w:p w14:paraId="0598883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restart"/>
            <w:shd w:val="clear" w:color="auto" w:fill="FFFFFF"/>
            <w:vAlign w:val="center"/>
          </w:tcPr>
          <w:p w14:paraId="3B8EFA1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外部接口规格</w:t>
            </w:r>
          </w:p>
        </w:tc>
        <w:tc>
          <w:tcPr>
            <w:tcW w:w="1515" w:type="dxa"/>
            <w:shd w:val="clear" w:color="auto" w:fill="FFFFFF"/>
            <w:vAlign w:val="center"/>
          </w:tcPr>
          <w:p w14:paraId="5073410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★显示接口</w:t>
            </w:r>
          </w:p>
        </w:tc>
        <w:tc>
          <w:tcPr>
            <w:tcW w:w="4005" w:type="dxa"/>
            <w:shd w:val="clear" w:color="auto" w:fill="FFFFFF"/>
            <w:vAlign w:val="center"/>
          </w:tcPr>
          <w:p w14:paraId="356ACF8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显示接口类型应≥1种，如：VGA、DP、HDMI等</w:t>
            </w:r>
          </w:p>
        </w:tc>
        <w:tc>
          <w:tcPr>
            <w:tcW w:w="1334" w:type="dxa"/>
            <w:shd w:val="clear" w:color="auto" w:fill="FFFFFF"/>
            <w:vAlign w:val="center"/>
          </w:tcPr>
          <w:p w14:paraId="78CCFED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2888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00" w:type="dxa"/>
            <w:shd w:val="clear" w:color="auto" w:fill="FFFFFF"/>
            <w:vAlign w:val="center"/>
          </w:tcPr>
          <w:p w14:paraId="6034EFC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28</w:t>
            </w:r>
          </w:p>
        </w:tc>
        <w:tc>
          <w:tcPr>
            <w:tcW w:w="981" w:type="dxa"/>
            <w:shd w:val="clear" w:color="auto" w:fill="FFFFFF"/>
            <w:vAlign w:val="center"/>
          </w:tcPr>
          <w:p w14:paraId="2A061C1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63E43509">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1B8347F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★USB接口</w:t>
            </w:r>
          </w:p>
        </w:tc>
        <w:tc>
          <w:tcPr>
            <w:tcW w:w="4005" w:type="dxa"/>
            <w:shd w:val="clear" w:color="auto" w:fill="FFFFFF"/>
            <w:vAlign w:val="center"/>
          </w:tcPr>
          <w:p w14:paraId="2F44B7A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配备USB接口，如USB2.0、USB3.0等</w:t>
            </w:r>
          </w:p>
        </w:tc>
        <w:tc>
          <w:tcPr>
            <w:tcW w:w="1334" w:type="dxa"/>
            <w:shd w:val="clear" w:color="auto" w:fill="FFFFFF"/>
            <w:vAlign w:val="center"/>
          </w:tcPr>
          <w:p w14:paraId="15845D4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C532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52DB5CB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29</w:t>
            </w:r>
          </w:p>
        </w:tc>
        <w:tc>
          <w:tcPr>
            <w:tcW w:w="981" w:type="dxa"/>
            <w:shd w:val="clear" w:color="auto" w:fill="FFFFFF"/>
            <w:vAlign w:val="center"/>
          </w:tcPr>
          <w:p w14:paraId="2794B2B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7D776DAD">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075F841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特殊接口及孔位</w:t>
            </w:r>
          </w:p>
        </w:tc>
        <w:tc>
          <w:tcPr>
            <w:tcW w:w="4005" w:type="dxa"/>
            <w:shd w:val="clear" w:color="auto" w:fill="FFFFFF"/>
            <w:vAlign w:val="center"/>
          </w:tcPr>
          <w:p w14:paraId="488D2FC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前面板预留1个专用USB母座接口孔位</w:t>
            </w:r>
          </w:p>
        </w:tc>
        <w:tc>
          <w:tcPr>
            <w:tcW w:w="1334" w:type="dxa"/>
            <w:shd w:val="clear" w:color="auto" w:fill="FFFFFF"/>
            <w:vAlign w:val="center"/>
          </w:tcPr>
          <w:p w14:paraId="3CC8325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A390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600" w:type="dxa"/>
            <w:shd w:val="clear" w:color="auto" w:fill="FFFFFF"/>
            <w:vAlign w:val="center"/>
          </w:tcPr>
          <w:p w14:paraId="233AAF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30</w:t>
            </w:r>
          </w:p>
        </w:tc>
        <w:tc>
          <w:tcPr>
            <w:tcW w:w="981" w:type="dxa"/>
            <w:shd w:val="clear" w:color="auto" w:fill="FFFFFF"/>
            <w:vAlign w:val="center"/>
          </w:tcPr>
          <w:p w14:paraId="12036727">
            <w:pPr>
              <w:widowControl/>
              <w:jc w:val="center"/>
              <w:rPr>
                <w:rFonts w:asciiTheme="minorEastAsia" w:hAnsiTheme="minorEastAsia" w:eastAsiaTheme="minorEastAsia" w:cstheme="minorEastAsia"/>
                <w:kern w:val="0"/>
                <w:sz w:val="24"/>
              </w:rPr>
            </w:pPr>
          </w:p>
        </w:tc>
        <w:tc>
          <w:tcPr>
            <w:tcW w:w="1074" w:type="dxa"/>
            <w:vMerge w:val="continue"/>
            <w:shd w:val="clear" w:color="auto" w:fill="FFFFFF"/>
            <w:vAlign w:val="center"/>
          </w:tcPr>
          <w:p w14:paraId="34C5CD16">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462645F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其他接口</w:t>
            </w:r>
          </w:p>
        </w:tc>
        <w:tc>
          <w:tcPr>
            <w:tcW w:w="4005" w:type="dxa"/>
            <w:shd w:val="clear" w:color="auto" w:fill="FFFFFF"/>
            <w:vAlign w:val="center"/>
          </w:tcPr>
          <w:p w14:paraId="33040E5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a）串口数量≥1个，并可实现GB/T6107或GB/T26803.2的相关功能；b）服务器主机前面板可根据用户实际使用需求预留1个专用USB母座接口孔位</w:t>
            </w:r>
          </w:p>
        </w:tc>
        <w:tc>
          <w:tcPr>
            <w:tcW w:w="1334" w:type="dxa"/>
            <w:shd w:val="clear" w:color="auto" w:fill="FFFFFF"/>
            <w:vAlign w:val="center"/>
          </w:tcPr>
          <w:p w14:paraId="768239F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F4AA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33A67B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31</w:t>
            </w:r>
          </w:p>
        </w:tc>
        <w:tc>
          <w:tcPr>
            <w:tcW w:w="981" w:type="dxa"/>
            <w:shd w:val="clear" w:color="auto" w:fill="FFFFFF"/>
            <w:vAlign w:val="center"/>
          </w:tcPr>
          <w:p w14:paraId="4045D9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restart"/>
            <w:shd w:val="clear" w:color="auto" w:fill="FFFFFF"/>
            <w:vAlign w:val="center"/>
          </w:tcPr>
          <w:p w14:paraId="5B34A4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电源规格</w:t>
            </w:r>
          </w:p>
        </w:tc>
        <w:tc>
          <w:tcPr>
            <w:tcW w:w="1515" w:type="dxa"/>
            <w:shd w:val="clear" w:color="auto" w:fill="FFFFFF"/>
            <w:vAlign w:val="center"/>
          </w:tcPr>
          <w:p w14:paraId="2F83658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电源冗余模式</w:t>
            </w:r>
          </w:p>
        </w:tc>
        <w:tc>
          <w:tcPr>
            <w:tcW w:w="4005" w:type="dxa"/>
            <w:shd w:val="clear" w:color="auto" w:fill="FFFFFF"/>
            <w:vAlign w:val="center"/>
          </w:tcPr>
          <w:p w14:paraId="5885705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整机电源模块按1+1冗余或N+1冗余配置</w:t>
            </w:r>
          </w:p>
        </w:tc>
        <w:tc>
          <w:tcPr>
            <w:tcW w:w="1334" w:type="dxa"/>
            <w:shd w:val="clear" w:color="auto" w:fill="FFFFFF"/>
            <w:vAlign w:val="center"/>
          </w:tcPr>
          <w:p w14:paraId="38E84B3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42C2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327D700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w:t>
            </w:r>
          </w:p>
        </w:tc>
        <w:tc>
          <w:tcPr>
            <w:tcW w:w="981" w:type="dxa"/>
            <w:shd w:val="clear" w:color="auto" w:fill="FFFFFF"/>
            <w:vAlign w:val="center"/>
          </w:tcPr>
          <w:p w14:paraId="2FEF46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7A68E460">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6D07A8C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★电源模块数量</w:t>
            </w:r>
          </w:p>
        </w:tc>
        <w:tc>
          <w:tcPr>
            <w:tcW w:w="4005" w:type="dxa"/>
            <w:shd w:val="clear" w:color="auto" w:fill="FFFFFF"/>
            <w:vAlign w:val="center"/>
          </w:tcPr>
          <w:p w14:paraId="0DC4EA8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1334" w:type="dxa"/>
            <w:shd w:val="clear" w:color="auto" w:fill="FFFFFF"/>
            <w:vAlign w:val="center"/>
          </w:tcPr>
          <w:p w14:paraId="10629E9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9134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39F5573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33</w:t>
            </w:r>
          </w:p>
        </w:tc>
        <w:tc>
          <w:tcPr>
            <w:tcW w:w="981" w:type="dxa"/>
            <w:shd w:val="clear" w:color="auto" w:fill="FFFFFF"/>
            <w:vAlign w:val="center"/>
          </w:tcPr>
          <w:p w14:paraId="70BD15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2B2126C3">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04A8D1F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★电源功率</w:t>
            </w:r>
          </w:p>
        </w:tc>
        <w:tc>
          <w:tcPr>
            <w:tcW w:w="4005" w:type="dxa"/>
            <w:shd w:val="clear" w:color="auto" w:fill="FFFFFF"/>
            <w:vAlign w:val="center"/>
          </w:tcPr>
          <w:p w14:paraId="54469F1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电源模块功率应有一定冗余，满足处理器满载时的需求</w:t>
            </w:r>
          </w:p>
        </w:tc>
        <w:tc>
          <w:tcPr>
            <w:tcW w:w="1334" w:type="dxa"/>
            <w:shd w:val="clear" w:color="auto" w:fill="FFFFFF"/>
            <w:vAlign w:val="center"/>
          </w:tcPr>
          <w:p w14:paraId="2944B38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53B7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00" w:type="dxa"/>
            <w:shd w:val="clear" w:color="auto" w:fill="FFFFFF"/>
            <w:vAlign w:val="center"/>
          </w:tcPr>
          <w:p w14:paraId="7CED4A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34</w:t>
            </w:r>
          </w:p>
        </w:tc>
        <w:tc>
          <w:tcPr>
            <w:tcW w:w="981" w:type="dxa"/>
            <w:shd w:val="clear" w:color="auto" w:fill="FFFFFF"/>
            <w:vAlign w:val="center"/>
          </w:tcPr>
          <w:p w14:paraId="3D9F498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077C5511">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7CCA04B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电源指示灯</w:t>
            </w:r>
          </w:p>
        </w:tc>
        <w:tc>
          <w:tcPr>
            <w:tcW w:w="4005" w:type="dxa"/>
            <w:shd w:val="clear" w:color="auto" w:fill="FFFFFF"/>
            <w:vAlign w:val="center"/>
          </w:tcPr>
          <w:p w14:paraId="18DC566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配备电源指示灯，指示待机、工作异常等状态</w:t>
            </w:r>
          </w:p>
        </w:tc>
        <w:tc>
          <w:tcPr>
            <w:tcW w:w="1334" w:type="dxa"/>
            <w:shd w:val="clear" w:color="auto" w:fill="FFFFFF"/>
            <w:vAlign w:val="center"/>
          </w:tcPr>
          <w:p w14:paraId="1CE7264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2FA6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600" w:type="dxa"/>
            <w:shd w:val="clear" w:color="auto" w:fill="FFFFFF"/>
            <w:vAlign w:val="center"/>
          </w:tcPr>
          <w:p w14:paraId="795B60E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35</w:t>
            </w:r>
          </w:p>
        </w:tc>
        <w:tc>
          <w:tcPr>
            <w:tcW w:w="981" w:type="dxa"/>
            <w:shd w:val="clear" w:color="auto" w:fill="FFFFFF"/>
            <w:vAlign w:val="center"/>
          </w:tcPr>
          <w:p w14:paraId="5E19CC4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restart"/>
            <w:shd w:val="clear" w:color="auto" w:fill="FFFFFF"/>
            <w:vAlign w:val="center"/>
          </w:tcPr>
          <w:p w14:paraId="2D79227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整机规格</w:t>
            </w:r>
          </w:p>
        </w:tc>
        <w:tc>
          <w:tcPr>
            <w:tcW w:w="1515" w:type="dxa"/>
            <w:shd w:val="clear" w:color="auto" w:fill="FFFFFF"/>
            <w:vAlign w:val="center"/>
          </w:tcPr>
          <w:p w14:paraId="5125342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★外观和结构</w:t>
            </w:r>
          </w:p>
        </w:tc>
        <w:tc>
          <w:tcPr>
            <w:tcW w:w="4005" w:type="dxa"/>
            <w:shd w:val="clear" w:color="auto" w:fill="FFFFFF"/>
            <w:vAlign w:val="center"/>
          </w:tcPr>
          <w:p w14:paraId="41BF1BD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服务器的零部件应紧固无松动，可插拔部件应可靠连接，开关、按钮和其他控制部件应灵活可靠，布局应方便使用；b）产品表面不应有明显的凹痕、划伤、裂缝、变形和污染等。表面涂层均匀，不应起泡、龟裂、脱落和磨损，金属零部件无锈蚀及其它机械损伤；c）产品表面说明功能的文字、符号和标志应清晰、端正且牢固；d）应在服务器的显著位置提供运行状态的指示功能，并在技术文件或者技术白皮书中明确具体含义；e）机架、机箱的尺寸应符合通用机柜的安装要求，插入总线插座的电路板接口外形尺寸应符合有关总线标准的规定，将机箱固定在机柜上，机箱底面最大下垂变形不得干涉相邻机体；f）服务器尺寸具体要求在技术文件或者技术白皮书中明确</w:t>
            </w:r>
          </w:p>
        </w:tc>
        <w:tc>
          <w:tcPr>
            <w:tcW w:w="1334" w:type="dxa"/>
            <w:shd w:val="clear" w:color="auto" w:fill="FFFFFF"/>
            <w:vAlign w:val="center"/>
          </w:tcPr>
          <w:p w14:paraId="20652E6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284A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0" w:type="dxa"/>
            <w:shd w:val="clear" w:color="auto" w:fill="FFFFFF"/>
            <w:vAlign w:val="center"/>
          </w:tcPr>
          <w:p w14:paraId="4954ECE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36</w:t>
            </w:r>
          </w:p>
        </w:tc>
        <w:tc>
          <w:tcPr>
            <w:tcW w:w="981" w:type="dxa"/>
            <w:shd w:val="clear" w:color="auto" w:fill="FFFFFF"/>
            <w:vAlign w:val="center"/>
          </w:tcPr>
          <w:p w14:paraId="0B6C425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515C7DAB">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59AF0F0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★尺寸（高×宽×深）</w:t>
            </w:r>
          </w:p>
        </w:tc>
        <w:tc>
          <w:tcPr>
            <w:tcW w:w="4005" w:type="dxa"/>
            <w:shd w:val="clear" w:color="auto" w:fill="FFFFFF"/>
            <w:vAlign w:val="center"/>
          </w:tcPr>
          <w:p w14:paraId="56F7F53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供应商给出产品尺寸；设计应遵循标准化、系列化的要求；机箱的内部结构符合通用部件的安装需要</w:t>
            </w:r>
          </w:p>
        </w:tc>
        <w:tc>
          <w:tcPr>
            <w:tcW w:w="1334" w:type="dxa"/>
            <w:shd w:val="clear" w:color="auto" w:fill="FFFFFF"/>
            <w:vAlign w:val="center"/>
          </w:tcPr>
          <w:p w14:paraId="6A86E82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91B6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00" w:type="dxa"/>
            <w:shd w:val="clear" w:color="auto" w:fill="FFFFFF"/>
            <w:vAlign w:val="center"/>
          </w:tcPr>
          <w:p w14:paraId="3E50934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37</w:t>
            </w:r>
          </w:p>
        </w:tc>
        <w:tc>
          <w:tcPr>
            <w:tcW w:w="981" w:type="dxa"/>
            <w:shd w:val="clear" w:color="auto" w:fill="FFFFFF"/>
            <w:vAlign w:val="center"/>
          </w:tcPr>
          <w:p w14:paraId="5FD4EC3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34957541">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43F9A6E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服务器导轨</w:t>
            </w:r>
          </w:p>
        </w:tc>
        <w:tc>
          <w:tcPr>
            <w:tcW w:w="4005" w:type="dxa"/>
            <w:shd w:val="clear" w:color="auto" w:fill="FFFFFF"/>
            <w:vAlign w:val="center"/>
          </w:tcPr>
          <w:p w14:paraId="39649EA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供应商给出导轨尺寸、安装方式等信息</w:t>
            </w:r>
          </w:p>
        </w:tc>
        <w:tc>
          <w:tcPr>
            <w:tcW w:w="1334" w:type="dxa"/>
            <w:shd w:val="clear" w:color="auto" w:fill="FFFFFF"/>
            <w:vAlign w:val="center"/>
          </w:tcPr>
          <w:p w14:paraId="1D63892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E08F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66D8FAA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38</w:t>
            </w:r>
          </w:p>
        </w:tc>
        <w:tc>
          <w:tcPr>
            <w:tcW w:w="981" w:type="dxa"/>
            <w:shd w:val="clear" w:color="auto" w:fill="FFFFFF"/>
            <w:vAlign w:val="center"/>
          </w:tcPr>
          <w:p w14:paraId="618631B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08613516">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65BAC0E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CPU个数与机柜高度单位（U）比</w:t>
            </w:r>
          </w:p>
        </w:tc>
        <w:tc>
          <w:tcPr>
            <w:tcW w:w="4005" w:type="dxa"/>
            <w:shd w:val="clear" w:color="auto" w:fill="FFFFFF"/>
            <w:vAlign w:val="center"/>
          </w:tcPr>
          <w:p w14:paraId="311A9D3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供应商给出CPU个数与机柜高度</w:t>
            </w:r>
          </w:p>
        </w:tc>
        <w:tc>
          <w:tcPr>
            <w:tcW w:w="1334" w:type="dxa"/>
            <w:shd w:val="clear" w:color="auto" w:fill="FFFFFF"/>
            <w:vAlign w:val="center"/>
          </w:tcPr>
          <w:p w14:paraId="730F9C9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1207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00" w:type="dxa"/>
            <w:shd w:val="clear" w:color="auto" w:fill="FFFFFF"/>
            <w:vAlign w:val="center"/>
          </w:tcPr>
          <w:p w14:paraId="4E528E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39</w:t>
            </w:r>
          </w:p>
        </w:tc>
        <w:tc>
          <w:tcPr>
            <w:tcW w:w="981" w:type="dxa"/>
            <w:shd w:val="clear" w:color="auto" w:fill="FFFFFF"/>
            <w:vAlign w:val="center"/>
          </w:tcPr>
          <w:p w14:paraId="5F7CDF5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19F0EE92">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4A30F64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★环境适应性</w:t>
            </w:r>
          </w:p>
        </w:tc>
        <w:tc>
          <w:tcPr>
            <w:tcW w:w="4005" w:type="dxa"/>
            <w:shd w:val="clear" w:color="auto" w:fill="FFFFFF"/>
            <w:vAlign w:val="center"/>
          </w:tcPr>
          <w:p w14:paraId="3B533ED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气候环境适应性应符合GB/T9813.3的有关规定，工作温度10~35℃,贮存运输温度-40～55℃;工作相对湿度35%～80%，贮存运输相对湿度20％～93%（40℃）;大气压86～106kPa</w:t>
            </w:r>
          </w:p>
        </w:tc>
        <w:tc>
          <w:tcPr>
            <w:tcW w:w="1334" w:type="dxa"/>
            <w:shd w:val="clear" w:color="auto" w:fill="FFFFFF"/>
            <w:vAlign w:val="center"/>
          </w:tcPr>
          <w:p w14:paraId="20C2E4C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6A08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0" w:type="dxa"/>
            <w:shd w:val="clear" w:color="auto" w:fill="FFFFFF"/>
            <w:vAlign w:val="center"/>
          </w:tcPr>
          <w:p w14:paraId="6769734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40</w:t>
            </w:r>
          </w:p>
        </w:tc>
        <w:tc>
          <w:tcPr>
            <w:tcW w:w="981" w:type="dxa"/>
            <w:shd w:val="clear" w:color="auto" w:fill="FFFFFF"/>
            <w:vAlign w:val="center"/>
          </w:tcPr>
          <w:p w14:paraId="57FBCB6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0776A921">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63D1C07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特殊机型环境适应性</w:t>
            </w:r>
          </w:p>
        </w:tc>
        <w:tc>
          <w:tcPr>
            <w:tcW w:w="4005" w:type="dxa"/>
            <w:shd w:val="clear" w:color="auto" w:fill="FFFFFF"/>
            <w:vAlign w:val="center"/>
          </w:tcPr>
          <w:p w14:paraId="6FDB30E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边缘应用服务器，工作环境温度宜为0～45℃,短期工作可承受环境温度宜为-5～55℃,液冷服务器贮存运输温度宜为-30～55℃</w:t>
            </w:r>
          </w:p>
        </w:tc>
        <w:tc>
          <w:tcPr>
            <w:tcW w:w="1334" w:type="dxa"/>
            <w:shd w:val="clear" w:color="auto" w:fill="FFFFFF"/>
            <w:vAlign w:val="center"/>
          </w:tcPr>
          <w:p w14:paraId="2ADBBEF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A377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0070F1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41</w:t>
            </w:r>
          </w:p>
        </w:tc>
        <w:tc>
          <w:tcPr>
            <w:tcW w:w="981" w:type="dxa"/>
            <w:shd w:val="clear" w:color="auto" w:fill="FFFFFF"/>
            <w:vAlign w:val="center"/>
          </w:tcPr>
          <w:p w14:paraId="225BD3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6E18739C">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3A10DED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★机械环境适应性</w:t>
            </w:r>
          </w:p>
        </w:tc>
        <w:tc>
          <w:tcPr>
            <w:tcW w:w="4005" w:type="dxa"/>
            <w:shd w:val="clear" w:color="auto" w:fill="FFFFFF"/>
            <w:vAlign w:val="center"/>
          </w:tcPr>
          <w:p w14:paraId="4FF602A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机械环境适应性应符合GB/T9813.3的有关规定</w:t>
            </w:r>
          </w:p>
        </w:tc>
        <w:tc>
          <w:tcPr>
            <w:tcW w:w="1334" w:type="dxa"/>
            <w:shd w:val="clear" w:color="auto" w:fill="FFFFFF"/>
            <w:vAlign w:val="center"/>
          </w:tcPr>
          <w:p w14:paraId="31904A0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9EEF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7B233F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42</w:t>
            </w:r>
          </w:p>
        </w:tc>
        <w:tc>
          <w:tcPr>
            <w:tcW w:w="981" w:type="dxa"/>
            <w:shd w:val="clear" w:color="auto" w:fill="FFFFFF"/>
            <w:vAlign w:val="center"/>
          </w:tcPr>
          <w:p w14:paraId="6A6B377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54A532B3">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62701E1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★噪声</w:t>
            </w:r>
          </w:p>
        </w:tc>
        <w:tc>
          <w:tcPr>
            <w:tcW w:w="4005" w:type="dxa"/>
            <w:shd w:val="clear" w:color="auto" w:fill="FFFFFF"/>
            <w:vAlign w:val="center"/>
          </w:tcPr>
          <w:p w14:paraId="128369E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符合GB/T9813.3的有关规定，在产品说明中给出具体测试值塔式服务器噪声在空闲状态下≤50dB</w:t>
            </w:r>
          </w:p>
        </w:tc>
        <w:tc>
          <w:tcPr>
            <w:tcW w:w="1334" w:type="dxa"/>
            <w:shd w:val="clear" w:color="auto" w:fill="FFFFFF"/>
            <w:vAlign w:val="center"/>
          </w:tcPr>
          <w:p w14:paraId="092E8E2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7D20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600" w:type="dxa"/>
            <w:shd w:val="clear" w:color="auto" w:fill="FFFFFF"/>
            <w:vAlign w:val="center"/>
          </w:tcPr>
          <w:p w14:paraId="5C5F94C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43</w:t>
            </w:r>
          </w:p>
        </w:tc>
        <w:tc>
          <w:tcPr>
            <w:tcW w:w="981" w:type="dxa"/>
            <w:shd w:val="clear" w:color="auto" w:fill="FFFFFF"/>
            <w:vAlign w:val="center"/>
          </w:tcPr>
          <w:p w14:paraId="3DEE803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restart"/>
            <w:shd w:val="clear" w:color="auto" w:fill="FFFFFF"/>
            <w:vAlign w:val="center"/>
          </w:tcPr>
          <w:p w14:paraId="237953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AI计算单元规格</w:t>
            </w:r>
          </w:p>
        </w:tc>
        <w:tc>
          <w:tcPr>
            <w:tcW w:w="1515" w:type="dxa"/>
            <w:shd w:val="clear" w:color="auto" w:fill="FFFFFF"/>
            <w:vAlign w:val="center"/>
          </w:tcPr>
          <w:p w14:paraId="0CAEC67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AI计算单元</w:t>
            </w:r>
          </w:p>
        </w:tc>
        <w:tc>
          <w:tcPr>
            <w:tcW w:w="4005" w:type="dxa"/>
            <w:shd w:val="clear" w:color="auto" w:fill="FFFFFF"/>
            <w:vAlign w:val="center"/>
          </w:tcPr>
          <w:p w14:paraId="13CA801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AI计算单元应符合如下要求：a）具备人工智能加速处理器，计算精度至少支持FP16、BF16、FP32、FP64、INT8和INT16等中的1种；b）单推理卡或模块，具备视频解析、文本识别、语音分析等推理能力；在视觉场景下配备可直接调用的接口实现视觉计算加速，路数不小于64（1080P30FPS）</w:t>
            </w:r>
          </w:p>
        </w:tc>
        <w:tc>
          <w:tcPr>
            <w:tcW w:w="1334" w:type="dxa"/>
            <w:shd w:val="clear" w:color="auto" w:fill="FFFFFF"/>
            <w:vAlign w:val="center"/>
          </w:tcPr>
          <w:p w14:paraId="55726F5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66CB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1AEBEFE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44</w:t>
            </w:r>
          </w:p>
        </w:tc>
        <w:tc>
          <w:tcPr>
            <w:tcW w:w="981" w:type="dxa"/>
            <w:shd w:val="clear" w:color="auto" w:fill="FFFFFF"/>
            <w:vAlign w:val="center"/>
          </w:tcPr>
          <w:p w14:paraId="4CD6B5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399676FB">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7D483EE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一键式迁移</w:t>
            </w:r>
          </w:p>
        </w:tc>
        <w:tc>
          <w:tcPr>
            <w:tcW w:w="4005" w:type="dxa"/>
            <w:shd w:val="clear" w:color="auto" w:fill="FFFFFF"/>
            <w:vAlign w:val="center"/>
          </w:tcPr>
          <w:p w14:paraId="17EEFBC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若服务器配备AI计算单元，提供训练脚本迁移工具</w:t>
            </w:r>
          </w:p>
        </w:tc>
        <w:tc>
          <w:tcPr>
            <w:tcW w:w="1334" w:type="dxa"/>
            <w:shd w:val="clear" w:color="auto" w:fill="FFFFFF"/>
            <w:vAlign w:val="center"/>
          </w:tcPr>
          <w:p w14:paraId="1119A88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3F3C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00" w:type="dxa"/>
            <w:shd w:val="clear" w:color="auto" w:fill="FFFFFF"/>
            <w:vAlign w:val="center"/>
          </w:tcPr>
          <w:p w14:paraId="2D578F4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45</w:t>
            </w:r>
          </w:p>
        </w:tc>
        <w:tc>
          <w:tcPr>
            <w:tcW w:w="981" w:type="dxa"/>
            <w:shd w:val="clear" w:color="auto" w:fill="FFFFFF"/>
            <w:vAlign w:val="center"/>
          </w:tcPr>
          <w:p w14:paraId="0BB774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restart"/>
            <w:shd w:val="clear" w:color="auto" w:fill="FFFFFF"/>
            <w:vAlign w:val="center"/>
          </w:tcPr>
          <w:p w14:paraId="0810A1A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机柜规格</w:t>
            </w:r>
          </w:p>
        </w:tc>
        <w:tc>
          <w:tcPr>
            <w:tcW w:w="1515" w:type="dxa"/>
            <w:shd w:val="clear" w:color="auto" w:fill="FFFFFF"/>
            <w:vAlign w:val="center"/>
          </w:tcPr>
          <w:p w14:paraId="4F5967F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★机柜尺寸</w:t>
            </w:r>
          </w:p>
        </w:tc>
        <w:tc>
          <w:tcPr>
            <w:tcW w:w="4005" w:type="dxa"/>
            <w:shd w:val="clear" w:color="auto" w:fill="FFFFFF"/>
            <w:vAlign w:val="center"/>
          </w:tcPr>
          <w:p w14:paraId="10F4BC7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供应商给出长度、高度和深度</w:t>
            </w:r>
          </w:p>
        </w:tc>
        <w:tc>
          <w:tcPr>
            <w:tcW w:w="1334" w:type="dxa"/>
            <w:shd w:val="clear" w:color="auto" w:fill="FFFFFF"/>
            <w:vAlign w:val="center"/>
          </w:tcPr>
          <w:p w14:paraId="526532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69FD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00" w:type="dxa"/>
            <w:shd w:val="clear" w:color="auto" w:fill="FFFFFF"/>
            <w:vAlign w:val="center"/>
          </w:tcPr>
          <w:p w14:paraId="36F5DB8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46</w:t>
            </w:r>
          </w:p>
        </w:tc>
        <w:tc>
          <w:tcPr>
            <w:tcW w:w="981" w:type="dxa"/>
            <w:shd w:val="clear" w:color="auto" w:fill="FFFFFF"/>
            <w:vAlign w:val="center"/>
          </w:tcPr>
          <w:p w14:paraId="5BDC603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656873B2">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7A15F76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机柜管理板</w:t>
            </w:r>
          </w:p>
        </w:tc>
        <w:tc>
          <w:tcPr>
            <w:tcW w:w="4005" w:type="dxa"/>
            <w:shd w:val="clear" w:color="auto" w:fill="FFFFFF"/>
            <w:vAlign w:val="center"/>
          </w:tcPr>
          <w:p w14:paraId="0843E4E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配备机柜管理板</w:t>
            </w:r>
          </w:p>
        </w:tc>
        <w:tc>
          <w:tcPr>
            <w:tcW w:w="1334" w:type="dxa"/>
            <w:shd w:val="clear" w:color="auto" w:fill="FFFFFF"/>
            <w:vAlign w:val="center"/>
          </w:tcPr>
          <w:p w14:paraId="038359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EBAF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3E4D48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47</w:t>
            </w:r>
          </w:p>
        </w:tc>
        <w:tc>
          <w:tcPr>
            <w:tcW w:w="981" w:type="dxa"/>
            <w:shd w:val="clear" w:color="auto" w:fill="FFFFFF"/>
            <w:vAlign w:val="center"/>
          </w:tcPr>
          <w:p w14:paraId="3F271BF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57CE4BEC">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077F2DB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机柜电源规格</w:t>
            </w:r>
          </w:p>
        </w:tc>
        <w:tc>
          <w:tcPr>
            <w:tcW w:w="4005" w:type="dxa"/>
            <w:shd w:val="clear" w:color="auto" w:fill="FFFFFF"/>
            <w:vAlign w:val="center"/>
          </w:tcPr>
          <w:p w14:paraId="219B9C4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a）机柜电源支持集中供电，电源输入≥2路且支持自动切换；b）机柜电源模块支持N+1冗余配置，电源模块可独立更换</w:t>
            </w:r>
          </w:p>
        </w:tc>
        <w:tc>
          <w:tcPr>
            <w:tcW w:w="1334" w:type="dxa"/>
            <w:shd w:val="clear" w:color="auto" w:fill="FFFFFF"/>
            <w:vAlign w:val="center"/>
          </w:tcPr>
          <w:p w14:paraId="0E09E47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6ED5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0" w:type="dxa"/>
            <w:shd w:val="clear" w:color="auto" w:fill="FFFFFF"/>
            <w:vAlign w:val="center"/>
          </w:tcPr>
          <w:p w14:paraId="1CB5ED4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48</w:t>
            </w:r>
          </w:p>
        </w:tc>
        <w:tc>
          <w:tcPr>
            <w:tcW w:w="981" w:type="dxa"/>
            <w:shd w:val="clear" w:color="auto" w:fill="FFFFFF"/>
            <w:vAlign w:val="center"/>
          </w:tcPr>
          <w:p w14:paraId="32207A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restart"/>
            <w:shd w:val="clear" w:color="auto" w:fill="FFFFFF"/>
            <w:vAlign w:val="center"/>
          </w:tcPr>
          <w:p w14:paraId="52BB044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主板功能</w:t>
            </w:r>
          </w:p>
        </w:tc>
        <w:tc>
          <w:tcPr>
            <w:tcW w:w="1515" w:type="dxa"/>
            <w:shd w:val="clear" w:color="auto" w:fill="FFFFFF"/>
            <w:vAlign w:val="center"/>
          </w:tcPr>
          <w:p w14:paraId="72B4AA8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★主板外部接口种类</w:t>
            </w:r>
          </w:p>
        </w:tc>
        <w:tc>
          <w:tcPr>
            <w:tcW w:w="4005" w:type="dxa"/>
            <w:shd w:val="clear" w:color="auto" w:fill="FFFFFF"/>
            <w:vAlign w:val="center"/>
          </w:tcPr>
          <w:p w14:paraId="4BBD50C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支持USB、显示、管理等接口，如：VGA、DP、HDMI、USB3.0、PS/2接口、BMC管理端口</w:t>
            </w:r>
          </w:p>
        </w:tc>
        <w:tc>
          <w:tcPr>
            <w:tcW w:w="1334" w:type="dxa"/>
            <w:shd w:val="clear" w:color="auto" w:fill="FFFFFF"/>
            <w:vAlign w:val="center"/>
          </w:tcPr>
          <w:p w14:paraId="1AD5B4F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FA72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0" w:type="dxa"/>
            <w:shd w:val="clear" w:color="auto" w:fill="FFFFFF"/>
            <w:vAlign w:val="center"/>
          </w:tcPr>
          <w:p w14:paraId="138AAE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49</w:t>
            </w:r>
          </w:p>
        </w:tc>
        <w:tc>
          <w:tcPr>
            <w:tcW w:w="981" w:type="dxa"/>
            <w:shd w:val="clear" w:color="auto" w:fill="FFFFFF"/>
            <w:vAlign w:val="center"/>
          </w:tcPr>
          <w:p w14:paraId="0AD4DEB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continue"/>
            <w:shd w:val="clear" w:color="auto" w:fill="FFFFFF"/>
            <w:vAlign w:val="center"/>
          </w:tcPr>
          <w:p w14:paraId="7285C1D4">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1127596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主板防烧板设计</w:t>
            </w:r>
          </w:p>
        </w:tc>
        <w:tc>
          <w:tcPr>
            <w:tcW w:w="4005" w:type="dxa"/>
            <w:shd w:val="clear" w:color="auto" w:fill="FFFFFF"/>
            <w:vAlign w:val="center"/>
          </w:tcPr>
          <w:p w14:paraId="351A457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支持主板防烧板设计，保证电源故障后不扩散</w:t>
            </w:r>
          </w:p>
        </w:tc>
        <w:tc>
          <w:tcPr>
            <w:tcW w:w="1334" w:type="dxa"/>
            <w:shd w:val="clear" w:color="auto" w:fill="FFFFFF"/>
            <w:vAlign w:val="center"/>
          </w:tcPr>
          <w:p w14:paraId="1A1455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EEBD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04CC43C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50</w:t>
            </w:r>
          </w:p>
        </w:tc>
        <w:tc>
          <w:tcPr>
            <w:tcW w:w="981" w:type="dxa"/>
            <w:shd w:val="clear" w:color="auto" w:fill="FFFFFF"/>
            <w:vAlign w:val="center"/>
          </w:tcPr>
          <w:p w14:paraId="7DF53D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continue"/>
            <w:shd w:val="clear" w:color="auto" w:fill="FFFFFF"/>
            <w:vAlign w:val="center"/>
          </w:tcPr>
          <w:p w14:paraId="56E20124">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0CA6F8A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扩展功能</w:t>
            </w:r>
          </w:p>
        </w:tc>
        <w:tc>
          <w:tcPr>
            <w:tcW w:w="4005" w:type="dxa"/>
            <w:shd w:val="clear" w:color="auto" w:fill="FFFFFF"/>
            <w:vAlign w:val="center"/>
          </w:tcPr>
          <w:p w14:paraId="4F52EA0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实现至少一种扩展功能，如存储功能卡、显示功能卡、运算加速功能卡及网络功能卡等扩展功能</w:t>
            </w:r>
          </w:p>
        </w:tc>
        <w:tc>
          <w:tcPr>
            <w:tcW w:w="1334" w:type="dxa"/>
            <w:shd w:val="clear" w:color="auto" w:fill="FFFFFF"/>
            <w:vAlign w:val="center"/>
          </w:tcPr>
          <w:p w14:paraId="426B9A1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C80B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0" w:type="dxa"/>
            <w:shd w:val="clear" w:color="auto" w:fill="FFFFFF"/>
            <w:vAlign w:val="center"/>
          </w:tcPr>
          <w:p w14:paraId="17F941A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51</w:t>
            </w:r>
          </w:p>
        </w:tc>
        <w:tc>
          <w:tcPr>
            <w:tcW w:w="981" w:type="dxa"/>
            <w:shd w:val="clear" w:color="auto" w:fill="FFFFFF"/>
            <w:vAlign w:val="center"/>
          </w:tcPr>
          <w:p w14:paraId="3251090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shd w:val="clear" w:color="auto" w:fill="FFFFFF"/>
            <w:vAlign w:val="center"/>
          </w:tcPr>
          <w:p w14:paraId="6F092E4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网络功能</w:t>
            </w:r>
          </w:p>
        </w:tc>
        <w:tc>
          <w:tcPr>
            <w:tcW w:w="1515" w:type="dxa"/>
            <w:shd w:val="clear" w:color="auto" w:fill="FFFFFF"/>
            <w:vAlign w:val="center"/>
          </w:tcPr>
          <w:p w14:paraId="354E85A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★网络功能</w:t>
            </w:r>
          </w:p>
        </w:tc>
        <w:tc>
          <w:tcPr>
            <w:tcW w:w="4005" w:type="dxa"/>
            <w:shd w:val="clear" w:color="auto" w:fill="FFFFFF"/>
            <w:vAlign w:val="center"/>
          </w:tcPr>
          <w:p w14:paraId="267D0F4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支持网络连接、网络访问、数据交换和网络管控功能</w:t>
            </w:r>
          </w:p>
        </w:tc>
        <w:tc>
          <w:tcPr>
            <w:tcW w:w="1334" w:type="dxa"/>
            <w:shd w:val="clear" w:color="auto" w:fill="FFFFFF"/>
            <w:vAlign w:val="center"/>
          </w:tcPr>
          <w:p w14:paraId="188E0D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9063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080" w:hRule="atLeast"/>
        </w:trPr>
        <w:tc>
          <w:tcPr>
            <w:tcW w:w="600" w:type="dxa"/>
            <w:shd w:val="clear" w:color="auto" w:fill="FFFFFF"/>
            <w:vAlign w:val="center"/>
          </w:tcPr>
          <w:p w14:paraId="3D1AF2C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52</w:t>
            </w:r>
          </w:p>
        </w:tc>
        <w:tc>
          <w:tcPr>
            <w:tcW w:w="981" w:type="dxa"/>
            <w:shd w:val="clear" w:color="auto" w:fill="FFFFFF"/>
            <w:vAlign w:val="center"/>
          </w:tcPr>
          <w:p w14:paraId="747F86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restart"/>
            <w:shd w:val="clear" w:color="auto" w:fill="FFFFFF"/>
            <w:vAlign w:val="center"/>
          </w:tcPr>
          <w:p w14:paraId="1C8CEF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CPU功能</w:t>
            </w:r>
          </w:p>
        </w:tc>
        <w:tc>
          <w:tcPr>
            <w:tcW w:w="1515" w:type="dxa"/>
            <w:shd w:val="clear" w:color="auto" w:fill="FFFFFF"/>
            <w:vAlign w:val="center"/>
          </w:tcPr>
          <w:p w14:paraId="6ACA0EE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★计算处理</w:t>
            </w:r>
          </w:p>
        </w:tc>
        <w:tc>
          <w:tcPr>
            <w:tcW w:w="4005" w:type="dxa"/>
            <w:shd w:val="clear" w:color="auto" w:fill="FFFFFF"/>
            <w:vAlign w:val="center"/>
          </w:tcPr>
          <w:p w14:paraId="7AB42F2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支持通用计算及虚拟化功能。处理器需集成整型计算单元、浮点计算单元、内存控制器、I/O模块等，处理器与存储部件、网络部件、I/O部件等组成计算系统，提供数据处理、网络接入等计算相关功能</w:t>
            </w:r>
          </w:p>
        </w:tc>
        <w:tc>
          <w:tcPr>
            <w:tcW w:w="1334" w:type="dxa"/>
            <w:shd w:val="clear" w:color="auto" w:fill="FFFFFF"/>
            <w:vAlign w:val="center"/>
          </w:tcPr>
          <w:p w14:paraId="2BBBC50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FA28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6206AF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53</w:t>
            </w:r>
          </w:p>
        </w:tc>
        <w:tc>
          <w:tcPr>
            <w:tcW w:w="981" w:type="dxa"/>
            <w:shd w:val="clear" w:color="auto" w:fill="FFFFFF"/>
            <w:vAlign w:val="center"/>
          </w:tcPr>
          <w:p w14:paraId="7A8E1E6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continue"/>
            <w:shd w:val="clear" w:color="auto" w:fill="FFFFFF"/>
            <w:vAlign w:val="center"/>
          </w:tcPr>
          <w:p w14:paraId="606691D2">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4794DC5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★密码算法实现</w:t>
            </w:r>
          </w:p>
        </w:tc>
        <w:tc>
          <w:tcPr>
            <w:tcW w:w="4005" w:type="dxa"/>
            <w:shd w:val="clear" w:color="auto" w:fill="FFFFFF"/>
            <w:vAlign w:val="center"/>
          </w:tcPr>
          <w:p w14:paraId="67E9DBA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CPU芯片应符合GM/T0008的相关规定，或芯片密码模块应符合GB/T37092或GM/T0028的相关规定</w:t>
            </w:r>
          </w:p>
        </w:tc>
        <w:tc>
          <w:tcPr>
            <w:tcW w:w="1334" w:type="dxa"/>
            <w:shd w:val="clear" w:color="auto" w:fill="FFFFFF"/>
            <w:vAlign w:val="center"/>
          </w:tcPr>
          <w:p w14:paraId="5A5EE2A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9ACD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00" w:type="dxa"/>
            <w:shd w:val="clear" w:color="auto" w:fill="FFFFFF"/>
            <w:vAlign w:val="center"/>
          </w:tcPr>
          <w:p w14:paraId="4C53817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54</w:t>
            </w:r>
          </w:p>
        </w:tc>
        <w:tc>
          <w:tcPr>
            <w:tcW w:w="981" w:type="dxa"/>
            <w:shd w:val="clear" w:color="auto" w:fill="FFFFFF"/>
            <w:vAlign w:val="center"/>
          </w:tcPr>
          <w:p w14:paraId="509D9AE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restart"/>
            <w:shd w:val="clear" w:color="auto" w:fill="FFFFFF"/>
            <w:vAlign w:val="center"/>
          </w:tcPr>
          <w:p w14:paraId="016375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存储功能</w:t>
            </w:r>
          </w:p>
        </w:tc>
        <w:tc>
          <w:tcPr>
            <w:tcW w:w="1515" w:type="dxa"/>
            <w:shd w:val="clear" w:color="auto" w:fill="FFFFFF"/>
            <w:vAlign w:val="center"/>
          </w:tcPr>
          <w:p w14:paraId="453006E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内存校验</w:t>
            </w:r>
          </w:p>
        </w:tc>
        <w:tc>
          <w:tcPr>
            <w:tcW w:w="4005" w:type="dxa"/>
            <w:shd w:val="clear" w:color="auto" w:fill="FFFFFF"/>
            <w:vAlign w:val="center"/>
          </w:tcPr>
          <w:p w14:paraId="4DCEA67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支持内存校验或内存增强型纠错功能</w:t>
            </w:r>
          </w:p>
        </w:tc>
        <w:tc>
          <w:tcPr>
            <w:tcW w:w="1334" w:type="dxa"/>
            <w:shd w:val="clear" w:color="auto" w:fill="FFFFFF"/>
            <w:vAlign w:val="center"/>
          </w:tcPr>
          <w:p w14:paraId="31A5AD4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F051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0" w:type="dxa"/>
            <w:shd w:val="clear" w:color="auto" w:fill="FFFFFF"/>
            <w:vAlign w:val="center"/>
          </w:tcPr>
          <w:p w14:paraId="3C351A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55</w:t>
            </w:r>
          </w:p>
        </w:tc>
        <w:tc>
          <w:tcPr>
            <w:tcW w:w="981" w:type="dxa"/>
            <w:shd w:val="clear" w:color="auto" w:fill="FFFFFF"/>
            <w:vAlign w:val="center"/>
          </w:tcPr>
          <w:p w14:paraId="11CB76A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continue"/>
            <w:shd w:val="clear" w:color="auto" w:fill="FFFFFF"/>
            <w:vAlign w:val="center"/>
          </w:tcPr>
          <w:p w14:paraId="0C89AF75">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1D726F1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SATASSDNAND健康状态上报</w:t>
            </w:r>
          </w:p>
        </w:tc>
        <w:tc>
          <w:tcPr>
            <w:tcW w:w="4005" w:type="dxa"/>
            <w:shd w:val="clear" w:color="auto" w:fill="FFFFFF"/>
            <w:vAlign w:val="center"/>
          </w:tcPr>
          <w:p w14:paraId="2DD4D7A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支持关键外部存储器（硬磁盘、SSD等）的健康状态上报并进行故障诊断</w:t>
            </w:r>
          </w:p>
        </w:tc>
        <w:tc>
          <w:tcPr>
            <w:tcW w:w="1334" w:type="dxa"/>
            <w:shd w:val="clear" w:color="auto" w:fill="FFFFFF"/>
            <w:vAlign w:val="center"/>
          </w:tcPr>
          <w:p w14:paraId="68AEF91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69D7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0" w:type="dxa"/>
            <w:shd w:val="clear" w:color="auto" w:fill="FFFFFF"/>
            <w:vAlign w:val="center"/>
          </w:tcPr>
          <w:p w14:paraId="6832170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56</w:t>
            </w:r>
          </w:p>
        </w:tc>
        <w:tc>
          <w:tcPr>
            <w:tcW w:w="981" w:type="dxa"/>
            <w:shd w:val="clear" w:color="auto" w:fill="FFFFFF"/>
            <w:vAlign w:val="center"/>
          </w:tcPr>
          <w:p w14:paraId="2B72E9E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continue"/>
            <w:shd w:val="clear" w:color="auto" w:fill="FFFFFF"/>
            <w:vAlign w:val="center"/>
          </w:tcPr>
          <w:p w14:paraId="30F99A99">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491EFC1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SATASSD单die故障隔离</w:t>
            </w:r>
          </w:p>
        </w:tc>
        <w:tc>
          <w:tcPr>
            <w:tcW w:w="4005" w:type="dxa"/>
            <w:shd w:val="clear" w:color="auto" w:fill="FFFFFF"/>
            <w:vAlign w:val="center"/>
          </w:tcPr>
          <w:p w14:paraId="7EC4E76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支持SSD关键外部存储器中单存储晶元故障隔离</w:t>
            </w:r>
          </w:p>
        </w:tc>
        <w:tc>
          <w:tcPr>
            <w:tcW w:w="1334" w:type="dxa"/>
            <w:shd w:val="clear" w:color="auto" w:fill="FFFFFF"/>
            <w:vAlign w:val="center"/>
          </w:tcPr>
          <w:p w14:paraId="04137A1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21B1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6B6515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57</w:t>
            </w:r>
          </w:p>
        </w:tc>
        <w:tc>
          <w:tcPr>
            <w:tcW w:w="981" w:type="dxa"/>
            <w:shd w:val="clear" w:color="auto" w:fill="FFFFFF"/>
            <w:vAlign w:val="center"/>
          </w:tcPr>
          <w:p w14:paraId="00EEA0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restart"/>
            <w:shd w:val="clear" w:color="auto" w:fill="FFFFFF"/>
            <w:vAlign w:val="center"/>
          </w:tcPr>
          <w:p w14:paraId="0BD1394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RAID卡功能</w:t>
            </w:r>
          </w:p>
        </w:tc>
        <w:tc>
          <w:tcPr>
            <w:tcW w:w="1515" w:type="dxa"/>
            <w:shd w:val="clear" w:color="auto" w:fill="FFFFFF"/>
            <w:vAlign w:val="center"/>
          </w:tcPr>
          <w:p w14:paraId="28F63F6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RAID卡配置及RAID级别支持</w:t>
            </w:r>
          </w:p>
        </w:tc>
        <w:tc>
          <w:tcPr>
            <w:tcW w:w="4005" w:type="dxa"/>
            <w:shd w:val="clear" w:color="auto" w:fill="FFFFFF"/>
            <w:vAlign w:val="center"/>
          </w:tcPr>
          <w:p w14:paraId="7726E6F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RAID模式支持RAID0/1/10/5；</w:t>
            </w:r>
          </w:p>
        </w:tc>
        <w:tc>
          <w:tcPr>
            <w:tcW w:w="1334" w:type="dxa"/>
            <w:shd w:val="clear" w:color="auto" w:fill="FFFFFF"/>
            <w:vAlign w:val="center"/>
          </w:tcPr>
          <w:p w14:paraId="084C131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0AA9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53428AB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58</w:t>
            </w:r>
          </w:p>
        </w:tc>
        <w:tc>
          <w:tcPr>
            <w:tcW w:w="981" w:type="dxa"/>
            <w:shd w:val="clear" w:color="auto" w:fill="FFFFFF"/>
            <w:vAlign w:val="center"/>
          </w:tcPr>
          <w:p w14:paraId="42C3BAD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continue"/>
            <w:shd w:val="clear" w:color="auto" w:fill="FFFFFF"/>
            <w:vAlign w:val="center"/>
          </w:tcPr>
          <w:p w14:paraId="49A6DD9E">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67EF9A7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RAID卡BBU单元</w:t>
            </w:r>
          </w:p>
        </w:tc>
        <w:tc>
          <w:tcPr>
            <w:tcW w:w="4005" w:type="dxa"/>
            <w:shd w:val="clear" w:color="auto" w:fill="FFFFFF"/>
            <w:vAlign w:val="center"/>
          </w:tcPr>
          <w:p w14:paraId="495CB5B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RAID卡支持电池或电容备份单元</w:t>
            </w:r>
          </w:p>
        </w:tc>
        <w:tc>
          <w:tcPr>
            <w:tcW w:w="1334" w:type="dxa"/>
            <w:shd w:val="clear" w:color="auto" w:fill="FFFFFF"/>
            <w:vAlign w:val="center"/>
          </w:tcPr>
          <w:p w14:paraId="1D5275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03AF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00" w:type="dxa"/>
            <w:shd w:val="clear" w:color="auto" w:fill="FFFFFF"/>
            <w:vAlign w:val="center"/>
          </w:tcPr>
          <w:p w14:paraId="03BF2DA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59</w:t>
            </w:r>
          </w:p>
        </w:tc>
        <w:tc>
          <w:tcPr>
            <w:tcW w:w="981" w:type="dxa"/>
            <w:shd w:val="clear" w:color="auto" w:fill="FFFFFF"/>
            <w:vAlign w:val="center"/>
          </w:tcPr>
          <w:p w14:paraId="5229980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shd w:val="clear" w:color="auto" w:fill="FFFFFF"/>
            <w:vAlign w:val="center"/>
          </w:tcPr>
          <w:p w14:paraId="1ABBB6C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光驱功能</w:t>
            </w:r>
          </w:p>
        </w:tc>
        <w:tc>
          <w:tcPr>
            <w:tcW w:w="1515" w:type="dxa"/>
            <w:shd w:val="clear" w:color="auto" w:fill="FFFFFF"/>
            <w:vAlign w:val="center"/>
          </w:tcPr>
          <w:p w14:paraId="206DCBA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光驱类型（是否支持RW，以及光盘类型CD/DVD）</w:t>
            </w:r>
          </w:p>
        </w:tc>
        <w:tc>
          <w:tcPr>
            <w:tcW w:w="4005" w:type="dxa"/>
            <w:shd w:val="clear" w:color="auto" w:fill="FFFFFF"/>
            <w:vAlign w:val="center"/>
          </w:tcPr>
          <w:p w14:paraId="21418BF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若配备光驱，应提供光驱的安装形式（如内置、外置）、光驱读写类型（如只读、可刻录等）、光盘类型的兼容列表（如CD-ROM、CD-RW、DVD±RW等）</w:t>
            </w:r>
          </w:p>
        </w:tc>
        <w:tc>
          <w:tcPr>
            <w:tcW w:w="1334" w:type="dxa"/>
            <w:shd w:val="clear" w:color="auto" w:fill="FFFFFF"/>
            <w:vAlign w:val="center"/>
          </w:tcPr>
          <w:p w14:paraId="790A97B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EEDE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0" w:type="dxa"/>
            <w:shd w:val="clear" w:color="auto" w:fill="FFFFFF"/>
            <w:vAlign w:val="center"/>
          </w:tcPr>
          <w:p w14:paraId="435F130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60</w:t>
            </w:r>
          </w:p>
        </w:tc>
        <w:tc>
          <w:tcPr>
            <w:tcW w:w="981" w:type="dxa"/>
            <w:shd w:val="clear" w:color="auto" w:fill="FFFFFF"/>
            <w:vAlign w:val="center"/>
          </w:tcPr>
          <w:p w14:paraId="78C431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restart"/>
            <w:shd w:val="clear" w:color="auto" w:fill="FFFFFF"/>
            <w:vAlign w:val="center"/>
          </w:tcPr>
          <w:p w14:paraId="3A49533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电源功能</w:t>
            </w:r>
          </w:p>
        </w:tc>
        <w:tc>
          <w:tcPr>
            <w:tcW w:w="1515" w:type="dxa"/>
            <w:shd w:val="clear" w:color="auto" w:fill="FFFFFF"/>
            <w:vAlign w:val="center"/>
          </w:tcPr>
          <w:p w14:paraId="6D7B4E2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★电源热插拔</w:t>
            </w:r>
          </w:p>
        </w:tc>
        <w:tc>
          <w:tcPr>
            <w:tcW w:w="4005" w:type="dxa"/>
            <w:shd w:val="clear" w:color="auto" w:fill="FFFFFF"/>
            <w:vAlign w:val="center"/>
          </w:tcPr>
          <w:p w14:paraId="122EC40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整机电源模块应具备热插拔功能</w:t>
            </w:r>
          </w:p>
        </w:tc>
        <w:tc>
          <w:tcPr>
            <w:tcW w:w="1334" w:type="dxa"/>
            <w:shd w:val="clear" w:color="auto" w:fill="FFFFFF"/>
            <w:vAlign w:val="center"/>
          </w:tcPr>
          <w:p w14:paraId="059137C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80D0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272C5C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61</w:t>
            </w:r>
          </w:p>
        </w:tc>
        <w:tc>
          <w:tcPr>
            <w:tcW w:w="981" w:type="dxa"/>
            <w:shd w:val="clear" w:color="auto" w:fill="FFFFFF"/>
            <w:vAlign w:val="center"/>
          </w:tcPr>
          <w:p w14:paraId="34A1826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continue"/>
            <w:shd w:val="clear" w:color="auto" w:fill="FFFFFF"/>
            <w:vAlign w:val="center"/>
          </w:tcPr>
          <w:p w14:paraId="79D9CFA2">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09558F9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★电源过流保护</w:t>
            </w:r>
          </w:p>
        </w:tc>
        <w:tc>
          <w:tcPr>
            <w:tcW w:w="4005" w:type="dxa"/>
            <w:shd w:val="clear" w:color="auto" w:fill="FFFFFF"/>
            <w:vAlign w:val="center"/>
          </w:tcPr>
          <w:p w14:paraId="68745D3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支持过流及短路保护的功能</w:t>
            </w:r>
          </w:p>
        </w:tc>
        <w:tc>
          <w:tcPr>
            <w:tcW w:w="1334" w:type="dxa"/>
            <w:shd w:val="clear" w:color="auto" w:fill="FFFFFF"/>
            <w:vAlign w:val="center"/>
          </w:tcPr>
          <w:p w14:paraId="37FF31D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6604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00" w:type="dxa"/>
            <w:shd w:val="clear" w:color="auto" w:fill="FFFFFF"/>
            <w:vAlign w:val="center"/>
          </w:tcPr>
          <w:p w14:paraId="24FF2AA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62</w:t>
            </w:r>
          </w:p>
        </w:tc>
        <w:tc>
          <w:tcPr>
            <w:tcW w:w="981" w:type="dxa"/>
            <w:shd w:val="clear" w:color="auto" w:fill="FFFFFF"/>
            <w:vAlign w:val="center"/>
          </w:tcPr>
          <w:p w14:paraId="119939B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restart"/>
            <w:shd w:val="clear" w:color="auto" w:fill="FFFFFF"/>
            <w:vAlign w:val="center"/>
          </w:tcPr>
          <w:p w14:paraId="6B3BFA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整机功能</w:t>
            </w:r>
          </w:p>
        </w:tc>
        <w:tc>
          <w:tcPr>
            <w:tcW w:w="1515" w:type="dxa"/>
            <w:shd w:val="clear" w:color="auto" w:fill="FFFFFF"/>
            <w:vAlign w:val="center"/>
          </w:tcPr>
          <w:p w14:paraId="0FC097B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★散热方式</w:t>
            </w:r>
          </w:p>
        </w:tc>
        <w:tc>
          <w:tcPr>
            <w:tcW w:w="4005" w:type="dxa"/>
            <w:shd w:val="clear" w:color="auto" w:fill="FFFFFF"/>
            <w:vAlign w:val="center"/>
          </w:tcPr>
          <w:p w14:paraId="1E38903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支持风冷或液冷等散热方式</w:t>
            </w:r>
          </w:p>
        </w:tc>
        <w:tc>
          <w:tcPr>
            <w:tcW w:w="1334" w:type="dxa"/>
            <w:shd w:val="clear" w:color="auto" w:fill="FFFFFF"/>
            <w:vAlign w:val="center"/>
          </w:tcPr>
          <w:p w14:paraId="492EA54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192E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2474AE0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63</w:t>
            </w:r>
          </w:p>
        </w:tc>
        <w:tc>
          <w:tcPr>
            <w:tcW w:w="981" w:type="dxa"/>
            <w:shd w:val="clear" w:color="auto" w:fill="FFFFFF"/>
            <w:vAlign w:val="center"/>
          </w:tcPr>
          <w:p w14:paraId="5691E49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continue"/>
            <w:shd w:val="clear" w:color="auto" w:fill="FFFFFF"/>
            <w:vAlign w:val="center"/>
          </w:tcPr>
          <w:p w14:paraId="53900729">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1A2BDC5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其他功能</w:t>
            </w:r>
          </w:p>
        </w:tc>
        <w:tc>
          <w:tcPr>
            <w:tcW w:w="4005" w:type="dxa"/>
            <w:shd w:val="clear" w:color="auto" w:fill="FFFFFF"/>
            <w:vAlign w:val="center"/>
          </w:tcPr>
          <w:p w14:paraId="40BE6D3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a）支持关键部件冗余（包括电源、风扇等）；b）支持熔断保护与恢复功能</w:t>
            </w:r>
          </w:p>
        </w:tc>
        <w:tc>
          <w:tcPr>
            <w:tcW w:w="1334" w:type="dxa"/>
            <w:shd w:val="clear" w:color="auto" w:fill="FFFFFF"/>
            <w:vAlign w:val="center"/>
          </w:tcPr>
          <w:p w14:paraId="4647765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44C0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696" w:hRule="atLeast"/>
        </w:trPr>
        <w:tc>
          <w:tcPr>
            <w:tcW w:w="600" w:type="dxa"/>
            <w:shd w:val="clear" w:color="auto" w:fill="FFFFFF"/>
            <w:vAlign w:val="center"/>
          </w:tcPr>
          <w:p w14:paraId="0A04B1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64</w:t>
            </w:r>
          </w:p>
        </w:tc>
        <w:tc>
          <w:tcPr>
            <w:tcW w:w="981" w:type="dxa"/>
            <w:shd w:val="clear" w:color="auto" w:fill="FFFFFF"/>
            <w:vAlign w:val="center"/>
          </w:tcPr>
          <w:p w14:paraId="086293E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shd w:val="clear" w:color="auto" w:fill="FFFFFF"/>
            <w:vAlign w:val="center"/>
          </w:tcPr>
          <w:p w14:paraId="46C293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管理系统功能</w:t>
            </w:r>
          </w:p>
        </w:tc>
        <w:tc>
          <w:tcPr>
            <w:tcW w:w="1515" w:type="dxa"/>
            <w:shd w:val="clear" w:color="auto" w:fill="FFFFFF"/>
            <w:vAlign w:val="center"/>
          </w:tcPr>
          <w:p w14:paraId="21B9179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★BMC固件基础功能</w:t>
            </w:r>
          </w:p>
        </w:tc>
        <w:tc>
          <w:tcPr>
            <w:tcW w:w="4005" w:type="dxa"/>
            <w:shd w:val="clear" w:color="auto" w:fill="FFFFFF"/>
            <w:vAlign w:val="center"/>
          </w:tcPr>
          <w:p w14:paraId="5B6C3C1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支持DHCP设置网络功能；2）支持静态IP设置网络功能；3）支持设备日志记录，包括但不限于登录日志、操作日志和报警日志等功能；4）支持日志信息导出和记录删除功能；5）支持通过管理接口向外输出准确的报警信息功能；6）设备的BMC管理软件应能够按报警的严重程度进行区分；7）支持IPMI2.0、SNMP或Redfish等接口功能；8）支持键盘、鼠标和视频的重定向、文本控制台的重定向、远程虚拟媒体、高可靠的硬件监控和管理功能；9）支持基于网络开启、关闭和重启设备的功能，并查询当前设备开机运行状态；10）支持故障提示功能，并可通过接口读取服务器故障信息；11）支持基于网络的固件更新功能，包括BMC和BIOS等；12）支持基于网络安装操作系统的功能，并可通过网络控制台访问设备；13）支持通过本地的硬盘或光驱等存储设备，基于网络完成设备的操作系统安装功能；14）支持通过浏览器打开管理界面并登录功能；15）支持设置口令策略功能；16）支持访问权限设置功能，并通过日志记录访问事件；17）支持对出厂默认的用户名及口令进行安全保护功能，并提供默认口令修改提示；18）支持读取设备主板的工作环境温度功能；19）支持读取服务器CPU等核心器件的温度功能；20）支持通过外部管理工具进行BMC参数设置的功能，并可基于网络通过外部管理工具对BMC进行管理；21）应支持固件版本查询、固件升级22）支持基于网络实现开关机和复位控制的功能；23)BMC启动时间应不超过180s，实现功能包括网络、IPMI、散热、传感器服务可用；24）支持BMC固件设置的恢复出厂功能</w:t>
            </w:r>
          </w:p>
        </w:tc>
        <w:tc>
          <w:tcPr>
            <w:tcW w:w="1334" w:type="dxa"/>
            <w:shd w:val="clear" w:color="auto" w:fill="FFFFFF"/>
            <w:vAlign w:val="center"/>
          </w:tcPr>
          <w:p w14:paraId="1F3784F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6C30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00" w:type="dxa"/>
            <w:shd w:val="clear" w:color="auto" w:fill="FFFFFF"/>
            <w:vAlign w:val="center"/>
          </w:tcPr>
          <w:p w14:paraId="645AB2A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65</w:t>
            </w:r>
          </w:p>
        </w:tc>
        <w:tc>
          <w:tcPr>
            <w:tcW w:w="981" w:type="dxa"/>
            <w:shd w:val="clear" w:color="auto" w:fill="FFFFFF"/>
            <w:vAlign w:val="center"/>
          </w:tcPr>
          <w:p w14:paraId="34897F9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restart"/>
            <w:shd w:val="clear" w:color="auto" w:fill="FFFFFF"/>
            <w:vAlign w:val="center"/>
          </w:tcPr>
          <w:p w14:paraId="48F36CDC">
            <w:pPr>
              <w:widowControl/>
              <w:jc w:val="center"/>
              <w:rPr>
                <w:rFonts w:asciiTheme="minorEastAsia" w:hAnsiTheme="minorEastAsia" w:eastAsiaTheme="minorEastAsia" w:cstheme="minorEastAsia"/>
                <w:kern w:val="0"/>
                <w:sz w:val="24"/>
              </w:rPr>
            </w:pPr>
          </w:p>
        </w:tc>
        <w:tc>
          <w:tcPr>
            <w:tcW w:w="1515" w:type="dxa"/>
            <w:shd w:val="clear" w:color="auto" w:fill="FFFFFF"/>
            <w:vAlign w:val="center"/>
          </w:tcPr>
          <w:p w14:paraId="6F71CD2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BMC固件增强功能</w:t>
            </w:r>
          </w:p>
        </w:tc>
        <w:tc>
          <w:tcPr>
            <w:tcW w:w="4005" w:type="dxa"/>
            <w:shd w:val="clear" w:color="auto" w:fill="FFFFFF"/>
            <w:vAlign w:val="center"/>
          </w:tcPr>
          <w:p w14:paraId="1965E4D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a）网络控制、安装提供图形访问界面网络；b）设备的BMC管理软件界面显示报警信息，且能够按报警的严重程度进行区分；c）WebGUI采用BMC端口直连，平均响应时间为≤1s</w:t>
            </w:r>
          </w:p>
        </w:tc>
        <w:tc>
          <w:tcPr>
            <w:tcW w:w="1334" w:type="dxa"/>
            <w:shd w:val="clear" w:color="auto" w:fill="FFFFFF"/>
            <w:vAlign w:val="center"/>
          </w:tcPr>
          <w:p w14:paraId="14B0D7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4B8A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0" w:hRule="atLeast"/>
        </w:trPr>
        <w:tc>
          <w:tcPr>
            <w:tcW w:w="600" w:type="dxa"/>
            <w:shd w:val="clear" w:color="auto" w:fill="FFFFFF"/>
            <w:vAlign w:val="center"/>
          </w:tcPr>
          <w:p w14:paraId="2335BB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66</w:t>
            </w:r>
          </w:p>
        </w:tc>
        <w:tc>
          <w:tcPr>
            <w:tcW w:w="981" w:type="dxa"/>
            <w:shd w:val="clear" w:color="auto" w:fill="FFFFFF"/>
            <w:vAlign w:val="center"/>
          </w:tcPr>
          <w:p w14:paraId="19958FC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continue"/>
            <w:shd w:val="clear" w:color="auto" w:fill="FFFFFF"/>
            <w:vAlign w:val="center"/>
          </w:tcPr>
          <w:p w14:paraId="759B5098">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61A3F58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★BIOS固件基础功能</w:t>
            </w:r>
          </w:p>
        </w:tc>
        <w:tc>
          <w:tcPr>
            <w:tcW w:w="4005" w:type="dxa"/>
            <w:shd w:val="clear" w:color="auto" w:fill="FFFFFF"/>
            <w:vAlign w:val="center"/>
          </w:tcPr>
          <w:p w14:paraId="7D3E1C2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查看固件版本、内存信息、主板信息、处理器信息和系统时间信息功能；b）支持上电初始化界面显示CPU信息、内存信息、固件版本和部分快捷键信息功能；c）支持设置界面中英文显示切换功能；d）支持查看PCIe设备信息，SATA设备信息功能；e）支持操作系统安装和引导功能，应并向操作系统提供计算机主板信息和服务接口；f）支持设置启动顺序，并按照设置的启动顺序启动功能；g）支持安全启动功能；h）支持设置口令、修改口令、验证口令功能；i）支持板载显示控制或独立显卡的显示控制功能；j）支持RAID识别和启动功能；k）支持串口重定向功能；l）支持固件更新功能；m）支持BIOS固件设置的恢复出厂功能；n）支持网络引导启用和关闭功能</w:t>
            </w:r>
          </w:p>
        </w:tc>
        <w:tc>
          <w:tcPr>
            <w:tcW w:w="1334" w:type="dxa"/>
            <w:shd w:val="clear" w:color="auto" w:fill="FFFFFF"/>
            <w:vAlign w:val="center"/>
          </w:tcPr>
          <w:p w14:paraId="07DB1FE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F597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00" w:type="dxa"/>
            <w:shd w:val="clear" w:color="auto" w:fill="FFFFFF"/>
            <w:vAlign w:val="center"/>
          </w:tcPr>
          <w:p w14:paraId="19FB6FB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67</w:t>
            </w:r>
          </w:p>
        </w:tc>
        <w:tc>
          <w:tcPr>
            <w:tcW w:w="981" w:type="dxa"/>
            <w:shd w:val="clear" w:color="auto" w:fill="FFFFFF"/>
            <w:vAlign w:val="center"/>
          </w:tcPr>
          <w:p w14:paraId="2D00318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continue"/>
            <w:shd w:val="clear" w:color="auto" w:fill="FFFFFF"/>
            <w:vAlign w:val="center"/>
          </w:tcPr>
          <w:p w14:paraId="0F6187CB">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3DA5C36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★远程控制</w:t>
            </w:r>
          </w:p>
        </w:tc>
        <w:tc>
          <w:tcPr>
            <w:tcW w:w="4005" w:type="dxa"/>
            <w:shd w:val="clear" w:color="auto" w:fill="FFFFFF"/>
            <w:vAlign w:val="center"/>
          </w:tcPr>
          <w:p w14:paraId="76A9EB7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支持远程关机和重新启动功能</w:t>
            </w:r>
          </w:p>
        </w:tc>
        <w:tc>
          <w:tcPr>
            <w:tcW w:w="1334" w:type="dxa"/>
            <w:shd w:val="clear" w:color="auto" w:fill="FFFFFF"/>
            <w:vAlign w:val="center"/>
          </w:tcPr>
          <w:p w14:paraId="156E71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1CCC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01B00A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68</w:t>
            </w:r>
          </w:p>
        </w:tc>
        <w:tc>
          <w:tcPr>
            <w:tcW w:w="981" w:type="dxa"/>
            <w:shd w:val="clear" w:color="auto" w:fill="FFFFFF"/>
            <w:vAlign w:val="center"/>
          </w:tcPr>
          <w:p w14:paraId="2B3CE27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restart"/>
            <w:shd w:val="clear" w:color="auto" w:fill="FFFFFF"/>
            <w:vAlign w:val="center"/>
          </w:tcPr>
          <w:p w14:paraId="367D83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操作系统及驱动功能</w:t>
            </w:r>
          </w:p>
        </w:tc>
        <w:tc>
          <w:tcPr>
            <w:tcW w:w="1515" w:type="dxa"/>
            <w:shd w:val="clear" w:color="auto" w:fill="FFFFFF"/>
            <w:vAlign w:val="center"/>
          </w:tcPr>
          <w:p w14:paraId="51D6E6F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★操作系统及驱动的升级</w:t>
            </w:r>
          </w:p>
        </w:tc>
        <w:tc>
          <w:tcPr>
            <w:tcW w:w="4005" w:type="dxa"/>
            <w:shd w:val="clear" w:color="auto" w:fill="FFFFFF"/>
            <w:vAlign w:val="center"/>
          </w:tcPr>
          <w:p w14:paraId="3F14401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支持通过网络、闪存盘对操作系统、驱动进行升级</w:t>
            </w:r>
          </w:p>
        </w:tc>
        <w:tc>
          <w:tcPr>
            <w:tcW w:w="1334" w:type="dxa"/>
            <w:shd w:val="clear" w:color="auto" w:fill="FFFFFF"/>
            <w:vAlign w:val="center"/>
          </w:tcPr>
          <w:p w14:paraId="4AFC36A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E9D5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0" w:type="dxa"/>
            <w:shd w:val="clear" w:color="auto" w:fill="FFFFFF"/>
            <w:vAlign w:val="center"/>
          </w:tcPr>
          <w:p w14:paraId="31D984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69</w:t>
            </w:r>
          </w:p>
        </w:tc>
        <w:tc>
          <w:tcPr>
            <w:tcW w:w="981" w:type="dxa"/>
            <w:shd w:val="clear" w:color="auto" w:fill="FFFFFF"/>
            <w:vAlign w:val="center"/>
          </w:tcPr>
          <w:p w14:paraId="3EC41BB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continue"/>
            <w:shd w:val="clear" w:color="auto" w:fill="FFFFFF"/>
            <w:vAlign w:val="center"/>
          </w:tcPr>
          <w:p w14:paraId="01D18FC7">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5AC933D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操作系统及驱动的备份还原</w:t>
            </w:r>
          </w:p>
        </w:tc>
        <w:tc>
          <w:tcPr>
            <w:tcW w:w="4005" w:type="dxa"/>
            <w:shd w:val="clear" w:color="auto" w:fill="FFFFFF"/>
            <w:vAlign w:val="center"/>
          </w:tcPr>
          <w:p w14:paraId="347A5CC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支持操作系统备份及还原功能</w:t>
            </w:r>
          </w:p>
        </w:tc>
        <w:tc>
          <w:tcPr>
            <w:tcW w:w="1334" w:type="dxa"/>
            <w:shd w:val="clear" w:color="auto" w:fill="FFFFFF"/>
            <w:vAlign w:val="center"/>
          </w:tcPr>
          <w:p w14:paraId="4394895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5292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27EBD07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70</w:t>
            </w:r>
          </w:p>
        </w:tc>
        <w:tc>
          <w:tcPr>
            <w:tcW w:w="981" w:type="dxa"/>
            <w:shd w:val="clear" w:color="auto" w:fill="FFFFFF"/>
            <w:vAlign w:val="center"/>
          </w:tcPr>
          <w:p w14:paraId="18FE045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continue"/>
            <w:shd w:val="clear" w:color="auto" w:fill="FFFFFF"/>
            <w:vAlign w:val="center"/>
          </w:tcPr>
          <w:p w14:paraId="0D9CF6B2">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781D3B0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★操作系统功能</w:t>
            </w:r>
          </w:p>
        </w:tc>
        <w:tc>
          <w:tcPr>
            <w:tcW w:w="4005" w:type="dxa"/>
            <w:shd w:val="clear" w:color="auto" w:fill="FFFFFF"/>
            <w:vAlign w:val="center"/>
          </w:tcPr>
          <w:p w14:paraId="4544499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a）支持访问控制、安全审计、网络接入鉴别等功能；b）操作系统其他功能应满足操作系统政府采购需求标准中加*的指标要求</w:t>
            </w:r>
          </w:p>
        </w:tc>
        <w:tc>
          <w:tcPr>
            <w:tcW w:w="1334" w:type="dxa"/>
            <w:shd w:val="clear" w:color="auto" w:fill="FFFFFF"/>
            <w:vAlign w:val="center"/>
          </w:tcPr>
          <w:p w14:paraId="6B8F83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9BE6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58C7F15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71</w:t>
            </w:r>
          </w:p>
        </w:tc>
        <w:tc>
          <w:tcPr>
            <w:tcW w:w="981" w:type="dxa"/>
            <w:shd w:val="clear" w:color="auto" w:fill="FFFFFF"/>
            <w:vAlign w:val="center"/>
          </w:tcPr>
          <w:p w14:paraId="04F43A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shd w:val="clear" w:color="auto" w:fill="FFFFFF"/>
            <w:vAlign w:val="center"/>
          </w:tcPr>
          <w:p w14:paraId="66A2274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中文信息处理功能</w:t>
            </w:r>
          </w:p>
        </w:tc>
        <w:tc>
          <w:tcPr>
            <w:tcW w:w="1515" w:type="dxa"/>
            <w:shd w:val="clear" w:color="auto" w:fill="FFFFFF"/>
            <w:vAlign w:val="center"/>
          </w:tcPr>
          <w:p w14:paraId="572391F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★中文信息处理</w:t>
            </w:r>
          </w:p>
        </w:tc>
        <w:tc>
          <w:tcPr>
            <w:tcW w:w="4005" w:type="dxa"/>
            <w:shd w:val="clear" w:color="auto" w:fill="FFFFFF"/>
            <w:vAlign w:val="center"/>
          </w:tcPr>
          <w:p w14:paraId="4DF6D89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符合GB18030的有关规定</w:t>
            </w:r>
          </w:p>
        </w:tc>
        <w:tc>
          <w:tcPr>
            <w:tcW w:w="1334" w:type="dxa"/>
            <w:shd w:val="clear" w:color="auto" w:fill="FFFFFF"/>
            <w:vAlign w:val="center"/>
          </w:tcPr>
          <w:p w14:paraId="6A80ADC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D0E0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60F4C90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72</w:t>
            </w:r>
          </w:p>
        </w:tc>
        <w:tc>
          <w:tcPr>
            <w:tcW w:w="981" w:type="dxa"/>
            <w:shd w:val="clear" w:color="auto" w:fill="FFFFFF"/>
            <w:vAlign w:val="center"/>
          </w:tcPr>
          <w:p w14:paraId="42293D6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restart"/>
            <w:shd w:val="clear" w:color="auto" w:fill="FFFFFF"/>
            <w:vAlign w:val="center"/>
          </w:tcPr>
          <w:p w14:paraId="728CB9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机柜功能</w:t>
            </w:r>
          </w:p>
        </w:tc>
        <w:tc>
          <w:tcPr>
            <w:tcW w:w="1515" w:type="dxa"/>
            <w:shd w:val="clear" w:color="auto" w:fill="FFFFFF"/>
            <w:vAlign w:val="center"/>
          </w:tcPr>
          <w:p w14:paraId="0A9CADD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机柜管理功能</w:t>
            </w:r>
          </w:p>
        </w:tc>
        <w:tc>
          <w:tcPr>
            <w:tcW w:w="4005" w:type="dxa"/>
            <w:shd w:val="clear" w:color="auto" w:fill="FFFFFF"/>
            <w:vAlign w:val="center"/>
          </w:tcPr>
          <w:p w14:paraId="0858FCA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机柜管理系统包括服务器节点BMC管理系统、机柜管理系统或交换节点管理系统</w:t>
            </w:r>
          </w:p>
        </w:tc>
        <w:tc>
          <w:tcPr>
            <w:tcW w:w="1334" w:type="dxa"/>
            <w:shd w:val="clear" w:color="auto" w:fill="FFFFFF"/>
            <w:vAlign w:val="center"/>
          </w:tcPr>
          <w:p w14:paraId="1AEDCD6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30BA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7D237A9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73</w:t>
            </w:r>
          </w:p>
        </w:tc>
        <w:tc>
          <w:tcPr>
            <w:tcW w:w="981" w:type="dxa"/>
            <w:shd w:val="clear" w:color="auto" w:fill="FFFFFF"/>
            <w:vAlign w:val="center"/>
          </w:tcPr>
          <w:p w14:paraId="584D43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continue"/>
            <w:shd w:val="clear" w:color="auto" w:fill="FFFFFF"/>
            <w:vAlign w:val="center"/>
          </w:tcPr>
          <w:p w14:paraId="7B4E0A96">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62DEE29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机柜通信方式</w:t>
            </w:r>
          </w:p>
        </w:tc>
        <w:tc>
          <w:tcPr>
            <w:tcW w:w="4005" w:type="dxa"/>
            <w:shd w:val="clear" w:color="auto" w:fill="FFFFFF"/>
            <w:vAlign w:val="center"/>
          </w:tcPr>
          <w:p w14:paraId="3A625A1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若配备机柜管理板可实现包括：资产管理、电源模块、功耗管理和液冷漏液检测等功能</w:t>
            </w:r>
          </w:p>
        </w:tc>
        <w:tc>
          <w:tcPr>
            <w:tcW w:w="1334" w:type="dxa"/>
            <w:shd w:val="clear" w:color="auto" w:fill="FFFFFF"/>
            <w:vAlign w:val="center"/>
          </w:tcPr>
          <w:p w14:paraId="098B63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2BE3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491876E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74</w:t>
            </w:r>
          </w:p>
        </w:tc>
        <w:tc>
          <w:tcPr>
            <w:tcW w:w="981" w:type="dxa"/>
            <w:shd w:val="clear" w:color="auto" w:fill="FFFFFF"/>
            <w:vAlign w:val="center"/>
          </w:tcPr>
          <w:p w14:paraId="45CC041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continue"/>
            <w:shd w:val="clear" w:color="auto" w:fill="FFFFFF"/>
            <w:vAlign w:val="center"/>
          </w:tcPr>
          <w:p w14:paraId="22FEF0DB">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62DCF69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多集群作业管理</w:t>
            </w:r>
          </w:p>
        </w:tc>
        <w:tc>
          <w:tcPr>
            <w:tcW w:w="4005" w:type="dxa"/>
            <w:shd w:val="clear" w:color="auto" w:fill="FFFFFF"/>
            <w:vAlign w:val="center"/>
          </w:tcPr>
          <w:p w14:paraId="3A78BD9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支持多集群作业管理功能</w:t>
            </w:r>
          </w:p>
        </w:tc>
        <w:tc>
          <w:tcPr>
            <w:tcW w:w="1334" w:type="dxa"/>
            <w:shd w:val="clear" w:color="auto" w:fill="FFFFFF"/>
            <w:vAlign w:val="center"/>
          </w:tcPr>
          <w:p w14:paraId="6EF9F9B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6E0A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0" w:type="dxa"/>
            <w:shd w:val="clear" w:color="auto" w:fill="FFFFFF"/>
            <w:vAlign w:val="center"/>
          </w:tcPr>
          <w:p w14:paraId="3A088F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75</w:t>
            </w:r>
          </w:p>
        </w:tc>
        <w:tc>
          <w:tcPr>
            <w:tcW w:w="981" w:type="dxa"/>
            <w:shd w:val="clear" w:color="auto" w:fill="FFFFFF"/>
            <w:vAlign w:val="center"/>
          </w:tcPr>
          <w:p w14:paraId="08AB899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shd w:val="clear" w:color="auto" w:fill="FFFFFF"/>
            <w:vAlign w:val="center"/>
          </w:tcPr>
          <w:p w14:paraId="2B8F286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关键部件安全要求</w:t>
            </w:r>
          </w:p>
        </w:tc>
        <w:tc>
          <w:tcPr>
            <w:tcW w:w="1515" w:type="dxa"/>
            <w:shd w:val="clear" w:color="auto" w:fill="FFFFFF"/>
            <w:vAlign w:val="center"/>
          </w:tcPr>
          <w:p w14:paraId="355077E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★关键部件安全要求</w:t>
            </w:r>
          </w:p>
        </w:tc>
        <w:tc>
          <w:tcPr>
            <w:tcW w:w="4005" w:type="dxa"/>
            <w:shd w:val="clear" w:color="auto" w:fill="FFFFFF"/>
            <w:vAlign w:val="center"/>
          </w:tcPr>
          <w:p w14:paraId="712E67B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CPU和操作系统等关键部件应当符合安全可靠测评要求</w:t>
            </w:r>
          </w:p>
        </w:tc>
        <w:tc>
          <w:tcPr>
            <w:tcW w:w="1334" w:type="dxa"/>
            <w:shd w:val="clear" w:color="auto" w:fill="FFFFFF"/>
            <w:vAlign w:val="center"/>
          </w:tcPr>
          <w:p w14:paraId="40A822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0F79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0" w:type="dxa"/>
            <w:shd w:val="clear" w:color="auto" w:fill="FFFFFF"/>
            <w:vAlign w:val="center"/>
          </w:tcPr>
          <w:p w14:paraId="2017710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76</w:t>
            </w:r>
          </w:p>
        </w:tc>
        <w:tc>
          <w:tcPr>
            <w:tcW w:w="981" w:type="dxa"/>
            <w:shd w:val="clear" w:color="auto" w:fill="FFFFFF"/>
            <w:vAlign w:val="center"/>
          </w:tcPr>
          <w:p w14:paraId="1E744B5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restart"/>
            <w:shd w:val="clear" w:color="auto" w:fill="FFFFFF"/>
            <w:vAlign w:val="center"/>
          </w:tcPr>
          <w:p w14:paraId="487BBFE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固件安全要求</w:t>
            </w:r>
          </w:p>
        </w:tc>
        <w:tc>
          <w:tcPr>
            <w:tcW w:w="1515" w:type="dxa"/>
            <w:shd w:val="clear" w:color="auto" w:fill="FFFFFF"/>
            <w:vAlign w:val="center"/>
          </w:tcPr>
          <w:p w14:paraId="656339A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★故障检测</w:t>
            </w:r>
          </w:p>
        </w:tc>
        <w:tc>
          <w:tcPr>
            <w:tcW w:w="4005" w:type="dxa"/>
            <w:shd w:val="clear" w:color="auto" w:fill="FFFFFF"/>
            <w:vAlign w:val="center"/>
          </w:tcPr>
          <w:p w14:paraId="55D84A6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支持故障检测功能，可以检测到具体的FRU（内存、硬盘等）的故障并发出告警</w:t>
            </w:r>
          </w:p>
        </w:tc>
        <w:tc>
          <w:tcPr>
            <w:tcW w:w="1334" w:type="dxa"/>
            <w:shd w:val="clear" w:color="auto" w:fill="FFFFFF"/>
            <w:vAlign w:val="center"/>
          </w:tcPr>
          <w:p w14:paraId="7863E7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E2F0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7FAD7D5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77</w:t>
            </w:r>
          </w:p>
        </w:tc>
        <w:tc>
          <w:tcPr>
            <w:tcW w:w="981" w:type="dxa"/>
            <w:shd w:val="clear" w:color="auto" w:fill="FFFFFF"/>
            <w:vAlign w:val="center"/>
          </w:tcPr>
          <w:p w14:paraId="2AD905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6B5DF8E9">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2200430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内存故障智能预测和自愈修复</w:t>
            </w:r>
          </w:p>
        </w:tc>
        <w:tc>
          <w:tcPr>
            <w:tcW w:w="4005" w:type="dxa"/>
            <w:shd w:val="clear" w:color="auto" w:fill="FFFFFF"/>
            <w:vAlign w:val="center"/>
          </w:tcPr>
          <w:p w14:paraId="716FA98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支持内存故障智能预测和自愈修复，提前自动硬隔离，避免内存故障引起的非预期宕机以及内存寿命的降低</w:t>
            </w:r>
          </w:p>
        </w:tc>
        <w:tc>
          <w:tcPr>
            <w:tcW w:w="1334" w:type="dxa"/>
            <w:shd w:val="clear" w:color="auto" w:fill="FFFFFF"/>
            <w:vAlign w:val="center"/>
          </w:tcPr>
          <w:p w14:paraId="2D7DD5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C9AE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317858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78</w:t>
            </w:r>
          </w:p>
        </w:tc>
        <w:tc>
          <w:tcPr>
            <w:tcW w:w="981" w:type="dxa"/>
            <w:shd w:val="clear" w:color="auto" w:fill="FFFFFF"/>
            <w:vAlign w:val="center"/>
          </w:tcPr>
          <w:p w14:paraId="7213949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3AFF6C95">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2A04634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硬盘故障智能预测</w:t>
            </w:r>
          </w:p>
        </w:tc>
        <w:tc>
          <w:tcPr>
            <w:tcW w:w="4005" w:type="dxa"/>
            <w:shd w:val="clear" w:color="auto" w:fill="FFFFFF"/>
            <w:vAlign w:val="center"/>
          </w:tcPr>
          <w:p w14:paraId="540185D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支持硬盘故障智能预测，基于故障模型预测出硬盘的故障</w:t>
            </w:r>
          </w:p>
        </w:tc>
        <w:tc>
          <w:tcPr>
            <w:tcW w:w="1334" w:type="dxa"/>
            <w:shd w:val="clear" w:color="auto" w:fill="FFFFFF"/>
            <w:vAlign w:val="center"/>
          </w:tcPr>
          <w:p w14:paraId="1B96BF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C6EA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7C6638B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79</w:t>
            </w:r>
          </w:p>
        </w:tc>
        <w:tc>
          <w:tcPr>
            <w:tcW w:w="981" w:type="dxa"/>
            <w:shd w:val="clear" w:color="auto" w:fill="FFFFFF"/>
            <w:vAlign w:val="center"/>
          </w:tcPr>
          <w:p w14:paraId="067E5B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195635DB">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67B0F9A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PCIe链路故障智能诊断</w:t>
            </w:r>
          </w:p>
        </w:tc>
        <w:tc>
          <w:tcPr>
            <w:tcW w:w="4005" w:type="dxa"/>
            <w:shd w:val="clear" w:color="auto" w:fill="FFFFFF"/>
            <w:vAlign w:val="center"/>
          </w:tcPr>
          <w:p w14:paraId="48CBB2E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支持PCIe链路故障智能诊断，判断出现故障的PCIe链路</w:t>
            </w:r>
          </w:p>
        </w:tc>
        <w:tc>
          <w:tcPr>
            <w:tcW w:w="1334" w:type="dxa"/>
            <w:shd w:val="clear" w:color="auto" w:fill="FFFFFF"/>
            <w:vAlign w:val="center"/>
          </w:tcPr>
          <w:p w14:paraId="336DCD0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53D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7009C0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80</w:t>
            </w:r>
          </w:p>
        </w:tc>
        <w:tc>
          <w:tcPr>
            <w:tcW w:w="981" w:type="dxa"/>
            <w:shd w:val="clear" w:color="auto" w:fill="FFFFFF"/>
            <w:vAlign w:val="center"/>
          </w:tcPr>
          <w:p w14:paraId="31EB456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23232C03">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7B21AEB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内存故障隔离</w:t>
            </w:r>
          </w:p>
        </w:tc>
        <w:tc>
          <w:tcPr>
            <w:tcW w:w="4005" w:type="dxa"/>
            <w:shd w:val="clear" w:color="auto" w:fill="FFFFFF"/>
            <w:vAlign w:val="center"/>
          </w:tcPr>
          <w:p w14:paraId="583F417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支持内存故障隔离，在内存产生CE故障时，内存地址被隔离成功，服务器正常运行，业务系统不中断</w:t>
            </w:r>
          </w:p>
        </w:tc>
        <w:tc>
          <w:tcPr>
            <w:tcW w:w="1334" w:type="dxa"/>
            <w:shd w:val="clear" w:color="auto" w:fill="FFFFFF"/>
            <w:vAlign w:val="center"/>
          </w:tcPr>
          <w:p w14:paraId="09EEBD4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83D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00" w:type="dxa"/>
            <w:shd w:val="clear" w:color="auto" w:fill="FFFFFF"/>
            <w:vAlign w:val="center"/>
          </w:tcPr>
          <w:p w14:paraId="0B01626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81</w:t>
            </w:r>
          </w:p>
        </w:tc>
        <w:tc>
          <w:tcPr>
            <w:tcW w:w="981" w:type="dxa"/>
            <w:shd w:val="clear" w:color="auto" w:fill="FFFFFF"/>
            <w:vAlign w:val="center"/>
          </w:tcPr>
          <w:p w14:paraId="12B60F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4BEEB8BF">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521CC9A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内存、PCIe卡的故障精准告警功能</w:t>
            </w:r>
          </w:p>
        </w:tc>
        <w:tc>
          <w:tcPr>
            <w:tcW w:w="4005" w:type="dxa"/>
            <w:shd w:val="clear" w:color="auto" w:fill="FFFFFF"/>
            <w:vAlign w:val="center"/>
          </w:tcPr>
          <w:p w14:paraId="5F0355A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支持内存、PCIe卡的故障精准告警功能，触发告警并明确指示具体的故障位置</w:t>
            </w:r>
          </w:p>
        </w:tc>
        <w:tc>
          <w:tcPr>
            <w:tcW w:w="1334" w:type="dxa"/>
            <w:shd w:val="clear" w:color="auto" w:fill="FFFFFF"/>
            <w:vAlign w:val="center"/>
          </w:tcPr>
          <w:p w14:paraId="5C2E71F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5AFC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0" w:type="dxa"/>
            <w:shd w:val="clear" w:color="auto" w:fill="FFFFFF"/>
            <w:vAlign w:val="center"/>
          </w:tcPr>
          <w:p w14:paraId="67DA1DE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82</w:t>
            </w:r>
          </w:p>
        </w:tc>
        <w:tc>
          <w:tcPr>
            <w:tcW w:w="981" w:type="dxa"/>
            <w:shd w:val="clear" w:color="auto" w:fill="FFFFFF"/>
            <w:vAlign w:val="center"/>
          </w:tcPr>
          <w:p w14:paraId="4E8CFC9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63DF133E">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12CA781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异常下电关键数据保护</w:t>
            </w:r>
          </w:p>
        </w:tc>
        <w:tc>
          <w:tcPr>
            <w:tcW w:w="4005" w:type="dxa"/>
            <w:shd w:val="clear" w:color="auto" w:fill="FFFFFF"/>
            <w:vAlign w:val="center"/>
          </w:tcPr>
          <w:p w14:paraId="5F0CDBC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支持异常掉电关键数据保护，支持数据备份恢复机制，防止系统异常掉电导致的数据文件丢失</w:t>
            </w:r>
          </w:p>
        </w:tc>
        <w:tc>
          <w:tcPr>
            <w:tcW w:w="1334" w:type="dxa"/>
            <w:shd w:val="clear" w:color="auto" w:fill="FFFFFF"/>
            <w:vAlign w:val="center"/>
          </w:tcPr>
          <w:p w14:paraId="017CEEE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BAE8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5B3F68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83</w:t>
            </w:r>
          </w:p>
        </w:tc>
        <w:tc>
          <w:tcPr>
            <w:tcW w:w="981" w:type="dxa"/>
            <w:shd w:val="clear" w:color="auto" w:fill="FFFFFF"/>
            <w:vAlign w:val="center"/>
          </w:tcPr>
          <w:p w14:paraId="0C8272C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568C5F5F">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7AB256C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BMC/BIOS固件双镜像保护</w:t>
            </w:r>
          </w:p>
        </w:tc>
        <w:tc>
          <w:tcPr>
            <w:tcW w:w="4005" w:type="dxa"/>
            <w:shd w:val="clear" w:color="auto" w:fill="FFFFFF"/>
            <w:vAlign w:val="center"/>
          </w:tcPr>
          <w:p w14:paraId="6F4D4D6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支持BMC/BIOS固件双镜像保护，运行异常时自动切换到备份镜像运行，提升系统稳定性</w:t>
            </w:r>
          </w:p>
        </w:tc>
        <w:tc>
          <w:tcPr>
            <w:tcW w:w="1334" w:type="dxa"/>
            <w:shd w:val="clear" w:color="auto" w:fill="FFFFFF"/>
            <w:vAlign w:val="center"/>
          </w:tcPr>
          <w:p w14:paraId="6466F23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3EB7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002CEF6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84</w:t>
            </w:r>
          </w:p>
        </w:tc>
        <w:tc>
          <w:tcPr>
            <w:tcW w:w="981" w:type="dxa"/>
            <w:shd w:val="clear" w:color="auto" w:fill="FFFFFF"/>
            <w:vAlign w:val="center"/>
          </w:tcPr>
          <w:p w14:paraId="07480F9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3695CF63">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146E9AF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CPU核重启隔离</w:t>
            </w:r>
          </w:p>
        </w:tc>
        <w:tc>
          <w:tcPr>
            <w:tcW w:w="4005" w:type="dxa"/>
            <w:shd w:val="clear" w:color="auto" w:fill="FFFFFF"/>
            <w:vAlign w:val="center"/>
          </w:tcPr>
          <w:p w14:paraId="660FE51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支持CPU核发生不可纠正故障后，重启后由BIOS隔离该故障核，OS不可见，防止OS再次使用导致系统异常，核0除外</w:t>
            </w:r>
          </w:p>
        </w:tc>
        <w:tc>
          <w:tcPr>
            <w:tcW w:w="1334" w:type="dxa"/>
            <w:shd w:val="clear" w:color="auto" w:fill="FFFFFF"/>
            <w:vAlign w:val="center"/>
          </w:tcPr>
          <w:p w14:paraId="41F9BBD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4DC1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1288BB8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85</w:t>
            </w:r>
          </w:p>
        </w:tc>
        <w:tc>
          <w:tcPr>
            <w:tcW w:w="981" w:type="dxa"/>
            <w:shd w:val="clear" w:color="auto" w:fill="FFFFFF"/>
            <w:vAlign w:val="center"/>
          </w:tcPr>
          <w:p w14:paraId="353506D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545F4554">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079226B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内存地址隔离</w:t>
            </w:r>
          </w:p>
        </w:tc>
        <w:tc>
          <w:tcPr>
            <w:tcW w:w="4005" w:type="dxa"/>
            <w:shd w:val="clear" w:color="auto" w:fill="FFFFFF"/>
            <w:vAlign w:val="center"/>
          </w:tcPr>
          <w:p w14:paraId="29F5AC2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在硬件支持的情况下，支持故障内存地址重启后隔离</w:t>
            </w:r>
          </w:p>
        </w:tc>
        <w:tc>
          <w:tcPr>
            <w:tcW w:w="1334" w:type="dxa"/>
            <w:shd w:val="clear" w:color="auto" w:fill="FFFFFF"/>
            <w:vAlign w:val="center"/>
          </w:tcPr>
          <w:p w14:paraId="310CCEB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5C2A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16BC05C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86</w:t>
            </w:r>
          </w:p>
        </w:tc>
        <w:tc>
          <w:tcPr>
            <w:tcW w:w="981" w:type="dxa"/>
            <w:shd w:val="clear" w:color="auto" w:fill="FFFFFF"/>
            <w:vAlign w:val="center"/>
          </w:tcPr>
          <w:p w14:paraId="2181C59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7431396A">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2550405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内存存储阵列替换</w:t>
            </w:r>
          </w:p>
        </w:tc>
        <w:tc>
          <w:tcPr>
            <w:tcW w:w="4005" w:type="dxa"/>
            <w:shd w:val="clear" w:color="auto" w:fill="FFFFFF"/>
            <w:vAlign w:val="center"/>
          </w:tcPr>
          <w:p w14:paraId="6DF882B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在硬件支持的情况下，支持故障内存存储阵列替换</w:t>
            </w:r>
          </w:p>
        </w:tc>
        <w:tc>
          <w:tcPr>
            <w:tcW w:w="1334" w:type="dxa"/>
            <w:shd w:val="clear" w:color="auto" w:fill="FFFFFF"/>
            <w:vAlign w:val="center"/>
          </w:tcPr>
          <w:p w14:paraId="590C739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12F0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7DBBD2A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87</w:t>
            </w:r>
          </w:p>
        </w:tc>
        <w:tc>
          <w:tcPr>
            <w:tcW w:w="981" w:type="dxa"/>
            <w:shd w:val="clear" w:color="auto" w:fill="FFFFFF"/>
            <w:vAlign w:val="center"/>
          </w:tcPr>
          <w:p w14:paraId="0AC7563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56CAB49E">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1288BF3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安全启动</w:t>
            </w:r>
          </w:p>
        </w:tc>
        <w:tc>
          <w:tcPr>
            <w:tcW w:w="4005" w:type="dxa"/>
            <w:shd w:val="clear" w:color="auto" w:fill="FFFFFF"/>
            <w:vAlign w:val="center"/>
          </w:tcPr>
          <w:p w14:paraId="0484FFE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支持执行环境要求在整个系统启动的过程中，系统应提供一个机制来保护平台的完整性</w:t>
            </w:r>
          </w:p>
        </w:tc>
        <w:tc>
          <w:tcPr>
            <w:tcW w:w="1334" w:type="dxa"/>
            <w:shd w:val="clear" w:color="auto" w:fill="FFFFFF"/>
            <w:vAlign w:val="center"/>
          </w:tcPr>
          <w:p w14:paraId="16FC43D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D0B1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66E4D5B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88</w:t>
            </w:r>
          </w:p>
        </w:tc>
        <w:tc>
          <w:tcPr>
            <w:tcW w:w="981" w:type="dxa"/>
            <w:shd w:val="clear" w:color="auto" w:fill="FFFFFF"/>
            <w:vAlign w:val="center"/>
          </w:tcPr>
          <w:p w14:paraId="2C9F782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restart"/>
            <w:shd w:val="clear" w:color="auto" w:fill="FFFFFF"/>
            <w:vAlign w:val="center"/>
          </w:tcPr>
          <w:p w14:paraId="12D0CD4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系统安全要求</w:t>
            </w:r>
          </w:p>
        </w:tc>
        <w:tc>
          <w:tcPr>
            <w:tcW w:w="1515" w:type="dxa"/>
            <w:shd w:val="clear" w:color="auto" w:fill="FFFFFF"/>
            <w:vAlign w:val="center"/>
          </w:tcPr>
          <w:p w14:paraId="2209B06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syslog双向鉴别</w:t>
            </w:r>
          </w:p>
        </w:tc>
        <w:tc>
          <w:tcPr>
            <w:tcW w:w="4005" w:type="dxa"/>
            <w:shd w:val="clear" w:color="auto" w:fill="FFFFFF"/>
            <w:vAlign w:val="center"/>
          </w:tcPr>
          <w:p w14:paraId="535415A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支持系统日志双向鉴别，对服务器根证书和客户端根证书进行鉴别</w:t>
            </w:r>
          </w:p>
        </w:tc>
        <w:tc>
          <w:tcPr>
            <w:tcW w:w="1334" w:type="dxa"/>
            <w:shd w:val="clear" w:color="auto" w:fill="FFFFFF"/>
            <w:vAlign w:val="center"/>
          </w:tcPr>
          <w:p w14:paraId="24B1A0B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92F8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51E8167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89</w:t>
            </w:r>
          </w:p>
        </w:tc>
        <w:tc>
          <w:tcPr>
            <w:tcW w:w="981" w:type="dxa"/>
            <w:shd w:val="clear" w:color="auto" w:fill="FFFFFF"/>
            <w:vAlign w:val="center"/>
          </w:tcPr>
          <w:p w14:paraId="12D103A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7165BCFD">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7E1DF5B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★弱口令字典检查</w:t>
            </w:r>
          </w:p>
        </w:tc>
        <w:tc>
          <w:tcPr>
            <w:tcW w:w="4005" w:type="dxa"/>
            <w:shd w:val="clear" w:color="auto" w:fill="FFFFFF"/>
            <w:vAlign w:val="center"/>
          </w:tcPr>
          <w:p w14:paraId="40B601A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支持弱口令字典检查功能，出现在弱口令字典中的字符串不能被设置为用户口令</w:t>
            </w:r>
          </w:p>
        </w:tc>
        <w:tc>
          <w:tcPr>
            <w:tcW w:w="1334" w:type="dxa"/>
            <w:shd w:val="clear" w:color="auto" w:fill="FFFFFF"/>
            <w:vAlign w:val="center"/>
          </w:tcPr>
          <w:p w14:paraId="30EA7BC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453B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51C87CC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90</w:t>
            </w:r>
          </w:p>
        </w:tc>
        <w:tc>
          <w:tcPr>
            <w:tcW w:w="981" w:type="dxa"/>
            <w:shd w:val="clear" w:color="auto" w:fill="FFFFFF"/>
            <w:vAlign w:val="center"/>
          </w:tcPr>
          <w:p w14:paraId="2A3BB02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3EFA74D9">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6C02953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★白名单访问控制</w:t>
            </w:r>
          </w:p>
        </w:tc>
        <w:tc>
          <w:tcPr>
            <w:tcW w:w="4005" w:type="dxa"/>
            <w:shd w:val="clear" w:color="auto" w:fill="FFFFFF"/>
            <w:vAlign w:val="center"/>
          </w:tcPr>
          <w:p w14:paraId="0973055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支持基于时间、IP或MAC白名单访问控制</w:t>
            </w:r>
          </w:p>
        </w:tc>
        <w:tc>
          <w:tcPr>
            <w:tcW w:w="1334" w:type="dxa"/>
            <w:shd w:val="clear" w:color="auto" w:fill="FFFFFF"/>
            <w:vAlign w:val="center"/>
          </w:tcPr>
          <w:p w14:paraId="4E646D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2D98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68F610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91</w:t>
            </w:r>
          </w:p>
        </w:tc>
        <w:tc>
          <w:tcPr>
            <w:tcW w:w="981" w:type="dxa"/>
            <w:shd w:val="clear" w:color="auto" w:fill="FFFFFF"/>
            <w:vAlign w:val="center"/>
          </w:tcPr>
          <w:p w14:paraId="20ED7FE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6B4F3588">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2BD739C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双因素鉴别</w:t>
            </w:r>
          </w:p>
        </w:tc>
        <w:tc>
          <w:tcPr>
            <w:tcW w:w="4005" w:type="dxa"/>
            <w:shd w:val="clear" w:color="auto" w:fill="FFFFFF"/>
            <w:vAlign w:val="center"/>
          </w:tcPr>
          <w:p w14:paraId="2C8D8E9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支持使用客户端证书和证书密码的双因素鉴别方式登录管理系统</w:t>
            </w:r>
          </w:p>
        </w:tc>
        <w:tc>
          <w:tcPr>
            <w:tcW w:w="1334" w:type="dxa"/>
            <w:shd w:val="clear" w:color="auto" w:fill="FFFFFF"/>
            <w:vAlign w:val="center"/>
          </w:tcPr>
          <w:p w14:paraId="26D8FD5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2C5A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682389C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92</w:t>
            </w:r>
          </w:p>
        </w:tc>
        <w:tc>
          <w:tcPr>
            <w:tcW w:w="981" w:type="dxa"/>
            <w:shd w:val="clear" w:color="auto" w:fill="FFFFFF"/>
            <w:vAlign w:val="center"/>
          </w:tcPr>
          <w:p w14:paraId="65489D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18FF7A0B">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17DFFC5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★二次鉴别</w:t>
            </w:r>
          </w:p>
        </w:tc>
        <w:tc>
          <w:tcPr>
            <w:tcW w:w="4005" w:type="dxa"/>
            <w:shd w:val="clear" w:color="auto" w:fill="FFFFFF"/>
            <w:vAlign w:val="center"/>
          </w:tcPr>
          <w:p w14:paraId="41FF176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支持二次鉴别功能。对于用户配置、权限配置、公钥导入等重要的管理操作，已登录用户应通过二次鉴别后，才能执行操作</w:t>
            </w:r>
          </w:p>
        </w:tc>
        <w:tc>
          <w:tcPr>
            <w:tcW w:w="1334" w:type="dxa"/>
            <w:shd w:val="clear" w:color="auto" w:fill="FFFFFF"/>
            <w:vAlign w:val="center"/>
          </w:tcPr>
          <w:p w14:paraId="0BC9443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D90C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65E2A7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93</w:t>
            </w:r>
          </w:p>
        </w:tc>
        <w:tc>
          <w:tcPr>
            <w:tcW w:w="981" w:type="dxa"/>
            <w:shd w:val="clear" w:color="auto" w:fill="FFFFFF"/>
            <w:vAlign w:val="center"/>
          </w:tcPr>
          <w:p w14:paraId="5BB0CE8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660DB6AE">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453D5C8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匿名化用户告警接收邮箱</w:t>
            </w:r>
          </w:p>
        </w:tc>
        <w:tc>
          <w:tcPr>
            <w:tcW w:w="4005" w:type="dxa"/>
            <w:shd w:val="clear" w:color="auto" w:fill="FFFFFF"/>
            <w:vAlign w:val="center"/>
          </w:tcPr>
          <w:p w14:paraId="1FD86E4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支持带外管理系统中的用户告警接收邮箱进行匿名化处理</w:t>
            </w:r>
          </w:p>
        </w:tc>
        <w:tc>
          <w:tcPr>
            <w:tcW w:w="1334" w:type="dxa"/>
            <w:shd w:val="clear" w:color="auto" w:fill="FFFFFF"/>
            <w:vAlign w:val="center"/>
          </w:tcPr>
          <w:p w14:paraId="779905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FE5D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494135C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94</w:t>
            </w:r>
          </w:p>
        </w:tc>
        <w:tc>
          <w:tcPr>
            <w:tcW w:w="981" w:type="dxa"/>
            <w:shd w:val="clear" w:color="auto" w:fill="FFFFFF"/>
            <w:vAlign w:val="center"/>
          </w:tcPr>
          <w:p w14:paraId="6A7097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262FD41F">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1EFD1A2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★密码证书安全加密存储</w:t>
            </w:r>
          </w:p>
        </w:tc>
        <w:tc>
          <w:tcPr>
            <w:tcW w:w="4005" w:type="dxa"/>
            <w:shd w:val="clear" w:color="auto" w:fill="FFFFFF"/>
            <w:vAlign w:val="center"/>
          </w:tcPr>
          <w:p w14:paraId="51B0F76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支持对带外管理系统中的用户口令和证书等敏感信息进行加密存储，禁止使用私有的和业界已知不安全的密码算法</w:t>
            </w:r>
          </w:p>
        </w:tc>
        <w:tc>
          <w:tcPr>
            <w:tcW w:w="1334" w:type="dxa"/>
            <w:shd w:val="clear" w:color="auto" w:fill="FFFFFF"/>
            <w:vAlign w:val="center"/>
          </w:tcPr>
          <w:p w14:paraId="26CD2C9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A66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3414EB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95</w:t>
            </w:r>
          </w:p>
        </w:tc>
        <w:tc>
          <w:tcPr>
            <w:tcW w:w="981" w:type="dxa"/>
            <w:shd w:val="clear" w:color="auto" w:fill="FFFFFF"/>
            <w:vAlign w:val="center"/>
          </w:tcPr>
          <w:p w14:paraId="3D62916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422D1A92">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48596E9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★敏感信息安全加密传输</w:t>
            </w:r>
          </w:p>
        </w:tc>
        <w:tc>
          <w:tcPr>
            <w:tcW w:w="4005" w:type="dxa"/>
            <w:shd w:val="clear" w:color="auto" w:fill="FFFFFF"/>
            <w:vAlign w:val="center"/>
          </w:tcPr>
          <w:p w14:paraId="4DEA5BD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支持使用安全的传输加密协议（如SSH或HTTPS等）传输用户的敏感信息</w:t>
            </w:r>
          </w:p>
        </w:tc>
        <w:tc>
          <w:tcPr>
            <w:tcW w:w="1334" w:type="dxa"/>
            <w:shd w:val="clear" w:color="auto" w:fill="FFFFFF"/>
            <w:vAlign w:val="center"/>
          </w:tcPr>
          <w:p w14:paraId="4263A70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212E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00" w:type="dxa"/>
            <w:shd w:val="clear" w:color="auto" w:fill="FFFFFF"/>
            <w:vAlign w:val="center"/>
          </w:tcPr>
          <w:p w14:paraId="00611C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96</w:t>
            </w:r>
          </w:p>
        </w:tc>
        <w:tc>
          <w:tcPr>
            <w:tcW w:w="981" w:type="dxa"/>
            <w:shd w:val="clear" w:color="auto" w:fill="FFFFFF"/>
            <w:vAlign w:val="center"/>
          </w:tcPr>
          <w:p w14:paraId="11F6EE8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restart"/>
            <w:shd w:val="clear" w:color="auto" w:fill="FFFFFF"/>
            <w:vAlign w:val="center"/>
          </w:tcPr>
          <w:p w14:paraId="7D80FDA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信息安全要求</w:t>
            </w:r>
          </w:p>
        </w:tc>
        <w:tc>
          <w:tcPr>
            <w:tcW w:w="1515" w:type="dxa"/>
            <w:shd w:val="clear" w:color="auto" w:fill="FFFFFF"/>
            <w:vAlign w:val="center"/>
          </w:tcPr>
          <w:p w14:paraId="3006EF3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★研发过程安全</w:t>
            </w:r>
          </w:p>
        </w:tc>
        <w:tc>
          <w:tcPr>
            <w:tcW w:w="4005" w:type="dxa"/>
            <w:shd w:val="clear" w:color="auto" w:fill="FFFFFF"/>
            <w:vAlign w:val="center"/>
          </w:tcPr>
          <w:p w14:paraId="37D7850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供应商承诺，生产商已建立从需求、设计、开发、测试、维护端到端的开发流程管理机制，输出和保存开发流程中每个阶段的产品需求清单、设计文档、开发文档、测试记录等材料，保证各个流程可追溯</w:t>
            </w:r>
            <w:r>
              <w:rPr>
                <w:rFonts w:hint="eastAsia"/>
                <w:b/>
                <w:bCs/>
              </w:rPr>
              <w:t>（需提供加盖投标人公章的承诺书</w:t>
            </w:r>
            <w:r>
              <w:rPr>
                <w:rFonts w:hint="eastAsia"/>
                <w:b/>
                <w:bCs/>
                <w:lang w:eastAsia="zh-CN"/>
              </w:rPr>
              <w:t>）</w:t>
            </w:r>
          </w:p>
        </w:tc>
        <w:tc>
          <w:tcPr>
            <w:tcW w:w="1334" w:type="dxa"/>
            <w:shd w:val="clear" w:color="auto" w:fill="FFFFFF"/>
            <w:vAlign w:val="center"/>
          </w:tcPr>
          <w:p w14:paraId="0B6B1E4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68B84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7380ABD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97</w:t>
            </w:r>
          </w:p>
        </w:tc>
        <w:tc>
          <w:tcPr>
            <w:tcW w:w="981" w:type="dxa"/>
            <w:shd w:val="clear" w:color="auto" w:fill="FFFFFF"/>
            <w:vAlign w:val="center"/>
          </w:tcPr>
          <w:p w14:paraId="2FDE0AC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5927BD4F">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7B8E3D2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漏洞管理</w:t>
            </w:r>
          </w:p>
        </w:tc>
        <w:tc>
          <w:tcPr>
            <w:tcW w:w="4005" w:type="dxa"/>
            <w:shd w:val="clear" w:color="auto" w:fill="FFFFFF"/>
            <w:vAlign w:val="center"/>
          </w:tcPr>
          <w:p w14:paraId="029401B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供应商承诺，生产商已建立漏洞全量视图，保证产品版本涉及到的所有漏洞（如驱动程序、BMC软件等）都可以查看</w:t>
            </w:r>
            <w:r>
              <w:rPr>
                <w:rFonts w:hint="eastAsia"/>
                <w:b/>
                <w:bCs/>
              </w:rPr>
              <w:t>（需提供加盖投标人公章的承诺书</w:t>
            </w:r>
            <w:r>
              <w:rPr>
                <w:rFonts w:hint="eastAsia"/>
                <w:b/>
                <w:bCs/>
                <w:lang w:eastAsia="zh-CN"/>
              </w:rPr>
              <w:t>）</w:t>
            </w:r>
          </w:p>
        </w:tc>
        <w:tc>
          <w:tcPr>
            <w:tcW w:w="1334" w:type="dxa"/>
            <w:shd w:val="clear" w:color="auto" w:fill="FFFFFF"/>
            <w:vAlign w:val="center"/>
          </w:tcPr>
          <w:p w14:paraId="7AE2AB9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03904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0" w:type="dxa"/>
            <w:shd w:val="clear" w:color="auto" w:fill="FFFFFF"/>
            <w:vAlign w:val="center"/>
          </w:tcPr>
          <w:p w14:paraId="44B2FEE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98</w:t>
            </w:r>
          </w:p>
        </w:tc>
        <w:tc>
          <w:tcPr>
            <w:tcW w:w="981" w:type="dxa"/>
            <w:shd w:val="clear" w:color="auto" w:fill="FFFFFF"/>
            <w:vAlign w:val="center"/>
          </w:tcPr>
          <w:p w14:paraId="3CC13A5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4CF3E76E">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0C9F07C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网络关键设备服务器要求</w:t>
            </w:r>
          </w:p>
        </w:tc>
        <w:tc>
          <w:tcPr>
            <w:tcW w:w="4005" w:type="dxa"/>
            <w:shd w:val="clear" w:color="auto" w:fill="FFFFFF"/>
            <w:vAlign w:val="center"/>
          </w:tcPr>
          <w:p w14:paraId="32BCA7E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作为网络关键设备的服务器应符合GB40050的相关规定</w:t>
            </w:r>
          </w:p>
        </w:tc>
        <w:tc>
          <w:tcPr>
            <w:tcW w:w="1334" w:type="dxa"/>
            <w:shd w:val="clear" w:color="auto" w:fill="FFFFFF"/>
            <w:vAlign w:val="center"/>
          </w:tcPr>
          <w:p w14:paraId="16A7AAC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0E8A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76" w:hRule="atLeast"/>
        </w:trPr>
        <w:tc>
          <w:tcPr>
            <w:tcW w:w="600" w:type="dxa"/>
            <w:shd w:val="clear" w:color="auto" w:fill="FFFFFF"/>
            <w:vAlign w:val="center"/>
          </w:tcPr>
          <w:p w14:paraId="7AF317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99</w:t>
            </w:r>
          </w:p>
        </w:tc>
        <w:tc>
          <w:tcPr>
            <w:tcW w:w="981" w:type="dxa"/>
            <w:shd w:val="clear" w:color="auto" w:fill="FFFFFF"/>
            <w:vAlign w:val="center"/>
          </w:tcPr>
          <w:p w14:paraId="2A01CD6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5722C509">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044CF72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增强要求</w:t>
            </w:r>
          </w:p>
        </w:tc>
        <w:tc>
          <w:tcPr>
            <w:tcW w:w="4005" w:type="dxa"/>
            <w:shd w:val="clear" w:color="auto" w:fill="FFFFFF"/>
            <w:vAlign w:val="center"/>
          </w:tcPr>
          <w:p w14:paraId="4BFFCD6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嵌入物理可信根，实现设备的信任链构建；b）支持可信平台控制模块（TPCM）；c）支持在固件系统（BMC、BIOS）启动前实现对固件度量的功能，支持物理可信根对BMC固件或BIOS固件进行完整性检测、更新和恢复；d）支持对CPU、网络控制器等关键处理器进行身份识别与度量的功能；e）支持基于处理器或可信计算模块度量的功能；f）所采用的可信密码模块接口应符合GM/T0012的相关规定；g）可信安全管理模块、处理器等硬件载体应通过国家相关部门的认证和许可</w:t>
            </w:r>
          </w:p>
        </w:tc>
        <w:tc>
          <w:tcPr>
            <w:tcW w:w="1334" w:type="dxa"/>
            <w:shd w:val="clear" w:color="auto" w:fill="FFFFFF"/>
            <w:vAlign w:val="center"/>
          </w:tcPr>
          <w:p w14:paraId="4BFBAB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258E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00" w:type="dxa"/>
            <w:shd w:val="clear" w:color="auto" w:fill="FFFFFF"/>
            <w:vAlign w:val="center"/>
          </w:tcPr>
          <w:p w14:paraId="5C0DC55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100</w:t>
            </w:r>
          </w:p>
        </w:tc>
        <w:tc>
          <w:tcPr>
            <w:tcW w:w="981" w:type="dxa"/>
            <w:shd w:val="clear" w:color="auto" w:fill="FFFFFF"/>
            <w:vAlign w:val="center"/>
          </w:tcPr>
          <w:p w14:paraId="13F8B23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shd w:val="clear" w:color="auto" w:fill="FFFFFF"/>
            <w:vAlign w:val="center"/>
          </w:tcPr>
          <w:p w14:paraId="044608B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物理安全</w:t>
            </w:r>
          </w:p>
        </w:tc>
        <w:tc>
          <w:tcPr>
            <w:tcW w:w="1515" w:type="dxa"/>
            <w:shd w:val="clear" w:color="auto" w:fill="FFFFFF"/>
            <w:vAlign w:val="center"/>
          </w:tcPr>
          <w:p w14:paraId="54728ED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★物理安全</w:t>
            </w:r>
          </w:p>
        </w:tc>
        <w:tc>
          <w:tcPr>
            <w:tcW w:w="4005" w:type="dxa"/>
            <w:shd w:val="clear" w:color="auto" w:fill="FFFFFF"/>
            <w:vAlign w:val="center"/>
          </w:tcPr>
          <w:p w14:paraId="00390CD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安全要求应符合GB4943.1的规定</w:t>
            </w:r>
          </w:p>
        </w:tc>
        <w:tc>
          <w:tcPr>
            <w:tcW w:w="1334" w:type="dxa"/>
            <w:shd w:val="clear" w:color="auto" w:fill="FFFFFF"/>
            <w:vAlign w:val="center"/>
          </w:tcPr>
          <w:p w14:paraId="1DBD86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7350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1F612F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101</w:t>
            </w:r>
          </w:p>
        </w:tc>
        <w:tc>
          <w:tcPr>
            <w:tcW w:w="981" w:type="dxa"/>
            <w:shd w:val="clear" w:color="auto" w:fill="FFFFFF"/>
            <w:vAlign w:val="center"/>
          </w:tcPr>
          <w:p w14:paraId="787787E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shd w:val="clear" w:color="auto" w:fill="FFFFFF"/>
            <w:vAlign w:val="center"/>
          </w:tcPr>
          <w:p w14:paraId="72FA924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限用物质的限量要求</w:t>
            </w:r>
          </w:p>
        </w:tc>
        <w:tc>
          <w:tcPr>
            <w:tcW w:w="1515" w:type="dxa"/>
            <w:shd w:val="clear" w:color="auto" w:fill="FFFFFF"/>
            <w:vAlign w:val="center"/>
          </w:tcPr>
          <w:p w14:paraId="2DF562E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★限用物质的限量要求</w:t>
            </w:r>
          </w:p>
        </w:tc>
        <w:tc>
          <w:tcPr>
            <w:tcW w:w="4005" w:type="dxa"/>
            <w:shd w:val="clear" w:color="auto" w:fill="FFFFFF"/>
            <w:vAlign w:val="center"/>
          </w:tcPr>
          <w:p w14:paraId="0E816AB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限用物质的限量应符合GB/T26572的要求</w:t>
            </w:r>
          </w:p>
        </w:tc>
        <w:tc>
          <w:tcPr>
            <w:tcW w:w="1334" w:type="dxa"/>
            <w:shd w:val="clear" w:color="auto" w:fill="FFFFFF"/>
            <w:vAlign w:val="center"/>
          </w:tcPr>
          <w:p w14:paraId="66B0ABB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793F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00" w:type="dxa"/>
            <w:shd w:val="clear" w:color="auto" w:fill="FFFFFF"/>
            <w:vAlign w:val="center"/>
          </w:tcPr>
          <w:p w14:paraId="7185A04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102</w:t>
            </w:r>
          </w:p>
        </w:tc>
        <w:tc>
          <w:tcPr>
            <w:tcW w:w="981" w:type="dxa"/>
            <w:shd w:val="clear" w:color="auto" w:fill="FFFFFF"/>
            <w:vAlign w:val="center"/>
          </w:tcPr>
          <w:p w14:paraId="467C54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74" w:type="dxa"/>
            <w:vMerge w:val="restart"/>
            <w:shd w:val="clear" w:color="auto" w:fill="FFFFFF"/>
            <w:vAlign w:val="center"/>
          </w:tcPr>
          <w:p w14:paraId="60136BB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CPU性能</w:t>
            </w:r>
          </w:p>
        </w:tc>
        <w:tc>
          <w:tcPr>
            <w:tcW w:w="1515" w:type="dxa"/>
            <w:shd w:val="clear" w:color="auto" w:fill="FFFFFF"/>
            <w:vAlign w:val="center"/>
          </w:tcPr>
          <w:p w14:paraId="67026A6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★CPU主频</w:t>
            </w:r>
          </w:p>
        </w:tc>
        <w:tc>
          <w:tcPr>
            <w:tcW w:w="4005" w:type="dxa"/>
            <w:shd w:val="clear" w:color="auto" w:fill="FFFFFF"/>
            <w:vAlign w:val="center"/>
          </w:tcPr>
          <w:p w14:paraId="2E83176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≥2.7GHz</w:t>
            </w:r>
          </w:p>
        </w:tc>
        <w:tc>
          <w:tcPr>
            <w:tcW w:w="1334" w:type="dxa"/>
            <w:shd w:val="clear" w:color="auto" w:fill="FFFFFF"/>
            <w:vAlign w:val="center"/>
          </w:tcPr>
          <w:p w14:paraId="6E9B648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1FDA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304DCBA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103</w:t>
            </w:r>
          </w:p>
        </w:tc>
        <w:tc>
          <w:tcPr>
            <w:tcW w:w="981" w:type="dxa"/>
            <w:shd w:val="clear" w:color="auto" w:fill="FFFFFF"/>
            <w:vAlign w:val="center"/>
          </w:tcPr>
          <w:p w14:paraId="6A80B1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74" w:type="dxa"/>
            <w:vMerge w:val="continue"/>
            <w:shd w:val="clear" w:color="auto" w:fill="FFFFFF"/>
            <w:vAlign w:val="center"/>
          </w:tcPr>
          <w:p w14:paraId="6FBDD5F7">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1A26E79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★单CPU核数</w:t>
            </w:r>
          </w:p>
        </w:tc>
        <w:tc>
          <w:tcPr>
            <w:tcW w:w="4005" w:type="dxa"/>
            <w:shd w:val="clear" w:color="auto" w:fill="FFFFFF"/>
            <w:vAlign w:val="center"/>
          </w:tcPr>
          <w:p w14:paraId="2A91117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≥32核；</w:t>
            </w:r>
            <w:r>
              <w:rPr>
                <w:rFonts w:hint="eastAsia" w:asciiTheme="minorEastAsia" w:hAnsiTheme="minorEastAsia" w:eastAsiaTheme="minorEastAsia" w:cstheme="minorEastAsia"/>
                <w:sz w:val="24"/>
              </w:rPr>
              <w:t>≥2颗</w:t>
            </w:r>
          </w:p>
        </w:tc>
        <w:tc>
          <w:tcPr>
            <w:tcW w:w="1334" w:type="dxa"/>
            <w:shd w:val="clear" w:color="auto" w:fill="FFFFFF"/>
            <w:vAlign w:val="center"/>
          </w:tcPr>
          <w:p w14:paraId="69F39F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0CAF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3184405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104</w:t>
            </w:r>
          </w:p>
        </w:tc>
        <w:tc>
          <w:tcPr>
            <w:tcW w:w="981" w:type="dxa"/>
            <w:shd w:val="clear" w:color="auto" w:fill="FFFFFF"/>
            <w:vAlign w:val="center"/>
          </w:tcPr>
          <w:p w14:paraId="14CA77D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74" w:type="dxa"/>
            <w:vMerge w:val="continue"/>
            <w:shd w:val="clear" w:color="auto" w:fill="FFFFFF"/>
            <w:vAlign w:val="center"/>
          </w:tcPr>
          <w:p w14:paraId="5C5075EB">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312A7E7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★单CPU末级缓存容量</w:t>
            </w:r>
          </w:p>
        </w:tc>
        <w:tc>
          <w:tcPr>
            <w:tcW w:w="4005" w:type="dxa"/>
            <w:shd w:val="clear" w:color="auto" w:fill="FFFFFF"/>
            <w:vAlign w:val="center"/>
          </w:tcPr>
          <w:p w14:paraId="5618B53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≥8MB</w:t>
            </w:r>
          </w:p>
        </w:tc>
        <w:tc>
          <w:tcPr>
            <w:tcW w:w="1334" w:type="dxa"/>
            <w:shd w:val="clear" w:color="auto" w:fill="FFFFFF"/>
            <w:vAlign w:val="center"/>
          </w:tcPr>
          <w:p w14:paraId="00C597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1B81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00" w:type="dxa"/>
            <w:shd w:val="clear" w:color="auto" w:fill="FFFFFF"/>
            <w:vAlign w:val="center"/>
          </w:tcPr>
          <w:p w14:paraId="0ACBC88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105</w:t>
            </w:r>
          </w:p>
        </w:tc>
        <w:tc>
          <w:tcPr>
            <w:tcW w:w="981" w:type="dxa"/>
            <w:shd w:val="clear" w:color="auto" w:fill="FFFFFF"/>
            <w:vAlign w:val="center"/>
          </w:tcPr>
          <w:p w14:paraId="7C98B43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74" w:type="dxa"/>
            <w:vMerge w:val="restart"/>
            <w:shd w:val="clear" w:color="auto" w:fill="FFFFFF"/>
            <w:vAlign w:val="center"/>
          </w:tcPr>
          <w:p w14:paraId="367E0C6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内存性能</w:t>
            </w:r>
          </w:p>
        </w:tc>
        <w:tc>
          <w:tcPr>
            <w:tcW w:w="1515" w:type="dxa"/>
            <w:shd w:val="clear" w:color="auto" w:fill="FFFFFF"/>
            <w:vAlign w:val="center"/>
          </w:tcPr>
          <w:p w14:paraId="36A9836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★单内存模块容量</w:t>
            </w:r>
          </w:p>
        </w:tc>
        <w:tc>
          <w:tcPr>
            <w:tcW w:w="4005" w:type="dxa"/>
            <w:shd w:val="clear" w:color="auto" w:fill="FFFFFF"/>
            <w:vAlign w:val="center"/>
          </w:tcPr>
          <w:p w14:paraId="1646DF2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≥32GB；</w:t>
            </w:r>
          </w:p>
        </w:tc>
        <w:tc>
          <w:tcPr>
            <w:tcW w:w="1334" w:type="dxa"/>
            <w:shd w:val="clear" w:color="auto" w:fill="FFFFFF"/>
            <w:vAlign w:val="center"/>
          </w:tcPr>
          <w:p w14:paraId="5573035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9D44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00" w:type="dxa"/>
            <w:shd w:val="clear" w:color="auto" w:fill="FFFFFF"/>
            <w:vAlign w:val="center"/>
          </w:tcPr>
          <w:p w14:paraId="6C098D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106</w:t>
            </w:r>
          </w:p>
        </w:tc>
        <w:tc>
          <w:tcPr>
            <w:tcW w:w="981" w:type="dxa"/>
            <w:shd w:val="clear" w:color="auto" w:fill="FFFFFF"/>
            <w:vAlign w:val="center"/>
          </w:tcPr>
          <w:p w14:paraId="2B25FFF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74" w:type="dxa"/>
            <w:vMerge w:val="continue"/>
            <w:shd w:val="clear" w:color="auto" w:fill="FFFFFF"/>
            <w:vAlign w:val="center"/>
          </w:tcPr>
          <w:p w14:paraId="33EF0314">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0240487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★内存速率</w:t>
            </w:r>
          </w:p>
        </w:tc>
        <w:tc>
          <w:tcPr>
            <w:tcW w:w="4005" w:type="dxa"/>
            <w:shd w:val="clear" w:color="auto" w:fill="FFFFFF"/>
            <w:vAlign w:val="center"/>
          </w:tcPr>
          <w:p w14:paraId="464066B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≥3200MT/s</w:t>
            </w:r>
          </w:p>
        </w:tc>
        <w:tc>
          <w:tcPr>
            <w:tcW w:w="1334" w:type="dxa"/>
            <w:shd w:val="clear" w:color="auto" w:fill="FFFFFF"/>
            <w:vAlign w:val="center"/>
          </w:tcPr>
          <w:p w14:paraId="767EB9C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57AB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00" w:type="dxa"/>
            <w:shd w:val="clear" w:color="auto" w:fill="FFFFFF"/>
            <w:vAlign w:val="center"/>
          </w:tcPr>
          <w:p w14:paraId="20D4C90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107</w:t>
            </w:r>
          </w:p>
        </w:tc>
        <w:tc>
          <w:tcPr>
            <w:tcW w:w="981" w:type="dxa"/>
            <w:shd w:val="clear" w:color="auto" w:fill="FFFFFF"/>
            <w:vAlign w:val="center"/>
          </w:tcPr>
          <w:p w14:paraId="3008B9D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74" w:type="dxa"/>
            <w:shd w:val="clear" w:color="auto" w:fill="FFFFFF"/>
            <w:vAlign w:val="center"/>
          </w:tcPr>
          <w:p w14:paraId="0785943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存储性能</w:t>
            </w:r>
          </w:p>
        </w:tc>
        <w:tc>
          <w:tcPr>
            <w:tcW w:w="1515" w:type="dxa"/>
            <w:shd w:val="clear" w:color="auto" w:fill="FFFFFF"/>
            <w:vAlign w:val="center"/>
          </w:tcPr>
          <w:p w14:paraId="7B459BF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硬盘转速</w:t>
            </w:r>
          </w:p>
        </w:tc>
        <w:tc>
          <w:tcPr>
            <w:tcW w:w="4005" w:type="dxa"/>
            <w:shd w:val="clear" w:color="auto" w:fill="FFFFFF"/>
            <w:vAlign w:val="center"/>
          </w:tcPr>
          <w:p w14:paraId="50720B6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安装的硬磁盘转速不小于7200rpm</w:t>
            </w:r>
          </w:p>
        </w:tc>
        <w:tc>
          <w:tcPr>
            <w:tcW w:w="1334" w:type="dxa"/>
            <w:shd w:val="clear" w:color="auto" w:fill="FFFFFF"/>
            <w:vAlign w:val="center"/>
          </w:tcPr>
          <w:p w14:paraId="44199A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29C8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0" w:type="dxa"/>
            <w:shd w:val="clear" w:color="auto" w:fill="FFFFFF"/>
            <w:vAlign w:val="center"/>
          </w:tcPr>
          <w:p w14:paraId="1E07CE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108</w:t>
            </w:r>
          </w:p>
        </w:tc>
        <w:tc>
          <w:tcPr>
            <w:tcW w:w="981" w:type="dxa"/>
            <w:shd w:val="clear" w:color="auto" w:fill="FFFFFF"/>
            <w:vAlign w:val="center"/>
          </w:tcPr>
          <w:p w14:paraId="215AA9F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74" w:type="dxa"/>
            <w:shd w:val="clear" w:color="auto" w:fill="FFFFFF"/>
            <w:vAlign w:val="center"/>
          </w:tcPr>
          <w:p w14:paraId="34C3EBF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RAID卡性能</w:t>
            </w:r>
          </w:p>
        </w:tc>
        <w:tc>
          <w:tcPr>
            <w:tcW w:w="1515" w:type="dxa"/>
            <w:shd w:val="clear" w:color="auto" w:fill="FFFFFF"/>
            <w:vAlign w:val="center"/>
          </w:tcPr>
          <w:p w14:paraId="7DB3589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RAID卡缓存容量大小</w:t>
            </w:r>
          </w:p>
        </w:tc>
        <w:tc>
          <w:tcPr>
            <w:tcW w:w="4005" w:type="dxa"/>
            <w:shd w:val="clear" w:color="auto" w:fill="FFFFFF"/>
            <w:vAlign w:val="center"/>
          </w:tcPr>
          <w:p w14:paraId="432BEBF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≥2GB</w:t>
            </w:r>
          </w:p>
        </w:tc>
        <w:tc>
          <w:tcPr>
            <w:tcW w:w="1334" w:type="dxa"/>
            <w:shd w:val="clear" w:color="auto" w:fill="FFFFFF"/>
            <w:vAlign w:val="center"/>
          </w:tcPr>
          <w:p w14:paraId="1D09DCB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F97F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622613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109</w:t>
            </w:r>
          </w:p>
        </w:tc>
        <w:tc>
          <w:tcPr>
            <w:tcW w:w="981" w:type="dxa"/>
            <w:shd w:val="clear" w:color="auto" w:fill="FFFFFF"/>
            <w:vAlign w:val="center"/>
          </w:tcPr>
          <w:p w14:paraId="70A6E7E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74" w:type="dxa"/>
            <w:shd w:val="clear" w:color="auto" w:fill="FFFFFF"/>
            <w:vAlign w:val="center"/>
          </w:tcPr>
          <w:p w14:paraId="1CD368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FCHBA卡性能</w:t>
            </w:r>
          </w:p>
        </w:tc>
        <w:tc>
          <w:tcPr>
            <w:tcW w:w="1515" w:type="dxa"/>
            <w:shd w:val="clear" w:color="auto" w:fill="FFFFFF"/>
            <w:vAlign w:val="center"/>
          </w:tcPr>
          <w:p w14:paraId="4E94025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FCHBA卡速率</w:t>
            </w:r>
          </w:p>
        </w:tc>
        <w:tc>
          <w:tcPr>
            <w:tcW w:w="4005" w:type="dxa"/>
            <w:shd w:val="clear" w:color="auto" w:fill="FFFFFF"/>
            <w:vAlign w:val="center"/>
          </w:tcPr>
          <w:p w14:paraId="277F79C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若配备FCHBA卡，单端口最大的连接速率≥8Gb/s（不涉及）</w:t>
            </w:r>
          </w:p>
        </w:tc>
        <w:tc>
          <w:tcPr>
            <w:tcW w:w="1334" w:type="dxa"/>
            <w:shd w:val="clear" w:color="auto" w:fill="FFFFFF"/>
            <w:vAlign w:val="center"/>
          </w:tcPr>
          <w:p w14:paraId="3EF271B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D547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0" w:type="dxa"/>
            <w:shd w:val="clear" w:color="auto" w:fill="FFFFFF"/>
            <w:vAlign w:val="center"/>
          </w:tcPr>
          <w:p w14:paraId="4867DE4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110</w:t>
            </w:r>
          </w:p>
        </w:tc>
        <w:tc>
          <w:tcPr>
            <w:tcW w:w="981" w:type="dxa"/>
            <w:shd w:val="clear" w:color="auto" w:fill="FFFFFF"/>
            <w:vAlign w:val="center"/>
          </w:tcPr>
          <w:p w14:paraId="7F5EC2B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74" w:type="dxa"/>
            <w:vMerge w:val="restart"/>
            <w:shd w:val="clear" w:color="auto" w:fill="FFFFFF"/>
            <w:vAlign w:val="center"/>
          </w:tcPr>
          <w:p w14:paraId="0FF739B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网络性能</w:t>
            </w:r>
          </w:p>
        </w:tc>
        <w:tc>
          <w:tcPr>
            <w:tcW w:w="1515" w:type="dxa"/>
            <w:shd w:val="clear" w:color="auto" w:fill="FFFFFF"/>
            <w:vAlign w:val="center"/>
          </w:tcPr>
          <w:p w14:paraId="6E7E23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独立网卡速率</w:t>
            </w:r>
          </w:p>
        </w:tc>
        <w:tc>
          <w:tcPr>
            <w:tcW w:w="4005" w:type="dxa"/>
            <w:shd w:val="clear" w:color="auto" w:fill="FFFFFF"/>
            <w:vAlign w:val="center"/>
          </w:tcPr>
          <w:p w14:paraId="09D8F75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端口速率≥10GE</w:t>
            </w:r>
          </w:p>
        </w:tc>
        <w:tc>
          <w:tcPr>
            <w:tcW w:w="1334" w:type="dxa"/>
            <w:shd w:val="clear" w:color="auto" w:fill="FFFFFF"/>
            <w:vAlign w:val="center"/>
          </w:tcPr>
          <w:p w14:paraId="1EE782A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AEDD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3534F85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111</w:t>
            </w:r>
          </w:p>
        </w:tc>
        <w:tc>
          <w:tcPr>
            <w:tcW w:w="981" w:type="dxa"/>
            <w:shd w:val="clear" w:color="auto" w:fill="FFFFFF"/>
            <w:vAlign w:val="center"/>
          </w:tcPr>
          <w:p w14:paraId="4DC590C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74" w:type="dxa"/>
            <w:vMerge w:val="continue"/>
            <w:shd w:val="clear" w:color="auto" w:fill="FFFFFF"/>
            <w:vAlign w:val="center"/>
          </w:tcPr>
          <w:p w14:paraId="3AE7427D">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5D19DA9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板载网卡速率</w:t>
            </w:r>
          </w:p>
        </w:tc>
        <w:tc>
          <w:tcPr>
            <w:tcW w:w="4005" w:type="dxa"/>
            <w:shd w:val="clear" w:color="auto" w:fill="FFFFFF"/>
            <w:vAlign w:val="center"/>
          </w:tcPr>
          <w:p w14:paraId="740C5C0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端口速率≥1GE</w:t>
            </w:r>
          </w:p>
        </w:tc>
        <w:tc>
          <w:tcPr>
            <w:tcW w:w="1334" w:type="dxa"/>
            <w:shd w:val="clear" w:color="auto" w:fill="FFFFFF"/>
            <w:vAlign w:val="center"/>
          </w:tcPr>
          <w:p w14:paraId="7DB79CF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975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00" w:type="dxa"/>
            <w:shd w:val="clear" w:color="auto" w:fill="FFFFFF"/>
            <w:vAlign w:val="center"/>
          </w:tcPr>
          <w:p w14:paraId="22C486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112</w:t>
            </w:r>
          </w:p>
        </w:tc>
        <w:tc>
          <w:tcPr>
            <w:tcW w:w="981" w:type="dxa"/>
            <w:shd w:val="clear" w:color="auto" w:fill="FFFFFF"/>
            <w:vAlign w:val="center"/>
          </w:tcPr>
          <w:p w14:paraId="7702D5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74" w:type="dxa"/>
            <w:shd w:val="clear" w:color="auto" w:fill="FFFFFF"/>
            <w:vAlign w:val="center"/>
          </w:tcPr>
          <w:p w14:paraId="59D791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电源能耗</w:t>
            </w:r>
          </w:p>
        </w:tc>
        <w:tc>
          <w:tcPr>
            <w:tcW w:w="1515" w:type="dxa"/>
            <w:shd w:val="clear" w:color="auto" w:fill="FFFFFF"/>
            <w:vAlign w:val="center"/>
          </w:tcPr>
          <w:p w14:paraId="1428AA3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★电源能耗</w:t>
            </w:r>
          </w:p>
        </w:tc>
        <w:tc>
          <w:tcPr>
            <w:tcW w:w="4005" w:type="dxa"/>
            <w:shd w:val="clear" w:color="auto" w:fill="FFFFFF"/>
            <w:vAlign w:val="center"/>
          </w:tcPr>
          <w:p w14:paraId="0806E42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符合GB/T9813.3的有关规定</w:t>
            </w:r>
          </w:p>
        </w:tc>
        <w:tc>
          <w:tcPr>
            <w:tcW w:w="1334" w:type="dxa"/>
            <w:shd w:val="clear" w:color="auto" w:fill="FFFFFF"/>
            <w:vAlign w:val="center"/>
          </w:tcPr>
          <w:p w14:paraId="069033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8EB9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339F07B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113</w:t>
            </w:r>
          </w:p>
        </w:tc>
        <w:tc>
          <w:tcPr>
            <w:tcW w:w="981" w:type="dxa"/>
            <w:shd w:val="clear" w:color="auto" w:fill="FFFFFF"/>
            <w:vAlign w:val="center"/>
          </w:tcPr>
          <w:p w14:paraId="25A60D7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74" w:type="dxa"/>
            <w:vMerge w:val="restart"/>
            <w:shd w:val="clear" w:color="auto" w:fill="FFFFFF"/>
            <w:vAlign w:val="center"/>
          </w:tcPr>
          <w:p w14:paraId="61FAD7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部件兼容性要求</w:t>
            </w:r>
          </w:p>
        </w:tc>
        <w:tc>
          <w:tcPr>
            <w:tcW w:w="1515" w:type="dxa"/>
            <w:shd w:val="clear" w:color="auto" w:fill="FFFFFF"/>
            <w:vAlign w:val="center"/>
          </w:tcPr>
          <w:p w14:paraId="352FB4F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内存兼容性</w:t>
            </w:r>
          </w:p>
        </w:tc>
        <w:tc>
          <w:tcPr>
            <w:tcW w:w="4005" w:type="dxa"/>
            <w:shd w:val="clear" w:color="auto" w:fill="FFFFFF"/>
            <w:vAlign w:val="center"/>
          </w:tcPr>
          <w:p w14:paraId="17879D1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适配3种及以上厂商的内存产品，且均不低于产品支持的内存规格</w:t>
            </w:r>
          </w:p>
        </w:tc>
        <w:tc>
          <w:tcPr>
            <w:tcW w:w="1334" w:type="dxa"/>
            <w:shd w:val="clear" w:color="auto" w:fill="FFFFFF"/>
            <w:vAlign w:val="center"/>
          </w:tcPr>
          <w:p w14:paraId="67FEB3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01B2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0566B11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114</w:t>
            </w:r>
          </w:p>
        </w:tc>
        <w:tc>
          <w:tcPr>
            <w:tcW w:w="981" w:type="dxa"/>
            <w:shd w:val="clear" w:color="auto" w:fill="FFFFFF"/>
            <w:vAlign w:val="center"/>
          </w:tcPr>
          <w:p w14:paraId="4F7AE3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74" w:type="dxa"/>
            <w:vMerge w:val="continue"/>
            <w:shd w:val="clear" w:color="auto" w:fill="FFFFFF"/>
            <w:vAlign w:val="center"/>
          </w:tcPr>
          <w:p w14:paraId="27CCDCE8">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7B918D6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★固态存储兼容性</w:t>
            </w:r>
          </w:p>
        </w:tc>
        <w:tc>
          <w:tcPr>
            <w:tcW w:w="4005" w:type="dxa"/>
            <w:shd w:val="clear" w:color="auto" w:fill="FFFFFF"/>
            <w:vAlign w:val="center"/>
          </w:tcPr>
          <w:p w14:paraId="582D9D0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适配3种或以上厂商的固态存储产品，且均不低于产品支持的固态存储设备规格</w:t>
            </w:r>
          </w:p>
        </w:tc>
        <w:tc>
          <w:tcPr>
            <w:tcW w:w="1334" w:type="dxa"/>
            <w:shd w:val="clear" w:color="auto" w:fill="FFFFFF"/>
            <w:vAlign w:val="center"/>
          </w:tcPr>
          <w:p w14:paraId="749D09F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7222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6D3E8CF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115</w:t>
            </w:r>
          </w:p>
        </w:tc>
        <w:tc>
          <w:tcPr>
            <w:tcW w:w="981" w:type="dxa"/>
            <w:shd w:val="clear" w:color="auto" w:fill="FFFFFF"/>
            <w:vAlign w:val="center"/>
          </w:tcPr>
          <w:p w14:paraId="20E9942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74" w:type="dxa"/>
            <w:vMerge w:val="continue"/>
            <w:shd w:val="clear" w:color="auto" w:fill="FFFFFF"/>
            <w:vAlign w:val="center"/>
          </w:tcPr>
          <w:p w14:paraId="5CC06AA8">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26EFEBB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FCHBA卡兼容性</w:t>
            </w:r>
          </w:p>
        </w:tc>
        <w:tc>
          <w:tcPr>
            <w:tcW w:w="4005" w:type="dxa"/>
            <w:shd w:val="clear" w:color="auto" w:fill="FFFFFF"/>
            <w:vAlign w:val="center"/>
          </w:tcPr>
          <w:p w14:paraId="12167EC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FCHBA应适配两种或以上厂商产品</w:t>
            </w:r>
          </w:p>
        </w:tc>
        <w:tc>
          <w:tcPr>
            <w:tcW w:w="1334" w:type="dxa"/>
            <w:shd w:val="clear" w:color="auto" w:fill="FFFFFF"/>
            <w:vAlign w:val="center"/>
          </w:tcPr>
          <w:p w14:paraId="5C5BB4E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1478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3A99BFF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116</w:t>
            </w:r>
          </w:p>
        </w:tc>
        <w:tc>
          <w:tcPr>
            <w:tcW w:w="981" w:type="dxa"/>
            <w:shd w:val="clear" w:color="auto" w:fill="FFFFFF"/>
            <w:vAlign w:val="center"/>
          </w:tcPr>
          <w:p w14:paraId="33E32B7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74" w:type="dxa"/>
            <w:vMerge w:val="continue"/>
            <w:shd w:val="clear" w:color="auto" w:fill="FFFFFF"/>
            <w:vAlign w:val="center"/>
          </w:tcPr>
          <w:p w14:paraId="33F417DC">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0937510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RAID卡兼容性</w:t>
            </w:r>
          </w:p>
        </w:tc>
        <w:tc>
          <w:tcPr>
            <w:tcW w:w="4005" w:type="dxa"/>
            <w:shd w:val="clear" w:color="auto" w:fill="FFFFFF"/>
            <w:vAlign w:val="center"/>
          </w:tcPr>
          <w:p w14:paraId="6EF6FA6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RAID卡应适配两种或以上厂商产品</w:t>
            </w:r>
          </w:p>
        </w:tc>
        <w:tc>
          <w:tcPr>
            <w:tcW w:w="1334" w:type="dxa"/>
            <w:shd w:val="clear" w:color="auto" w:fill="FFFFFF"/>
            <w:vAlign w:val="center"/>
          </w:tcPr>
          <w:p w14:paraId="7BD0C5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C3A9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065CF62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117</w:t>
            </w:r>
          </w:p>
        </w:tc>
        <w:tc>
          <w:tcPr>
            <w:tcW w:w="981" w:type="dxa"/>
            <w:shd w:val="clear" w:color="auto" w:fill="FFFFFF"/>
            <w:vAlign w:val="center"/>
          </w:tcPr>
          <w:p w14:paraId="326EE99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74" w:type="dxa"/>
            <w:vMerge w:val="restart"/>
            <w:shd w:val="clear" w:color="auto" w:fill="FFFFFF"/>
            <w:vAlign w:val="center"/>
          </w:tcPr>
          <w:p w14:paraId="254737EF">
            <w:pPr>
              <w:widowControl/>
              <w:jc w:val="center"/>
              <w:rPr>
                <w:rFonts w:asciiTheme="minorEastAsia" w:hAnsiTheme="minorEastAsia" w:eastAsiaTheme="minorEastAsia" w:cstheme="minorEastAsia"/>
                <w:kern w:val="0"/>
                <w:sz w:val="24"/>
              </w:rPr>
            </w:pPr>
          </w:p>
        </w:tc>
        <w:tc>
          <w:tcPr>
            <w:tcW w:w="1515" w:type="dxa"/>
            <w:shd w:val="clear" w:color="auto" w:fill="FFFFFF"/>
            <w:vAlign w:val="center"/>
          </w:tcPr>
          <w:p w14:paraId="2AEA252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★网卡兼容性</w:t>
            </w:r>
          </w:p>
        </w:tc>
        <w:tc>
          <w:tcPr>
            <w:tcW w:w="4005" w:type="dxa"/>
            <w:shd w:val="clear" w:color="auto" w:fill="FFFFFF"/>
            <w:vAlign w:val="center"/>
          </w:tcPr>
          <w:p w14:paraId="318229C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网卡应适配两种或以上厂商产品</w:t>
            </w:r>
          </w:p>
        </w:tc>
        <w:tc>
          <w:tcPr>
            <w:tcW w:w="1334" w:type="dxa"/>
            <w:shd w:val="clear" w:color="auto" w:fill="FFFFFF"/>
            <w:vAlign w:val="center"/>
          </w:tcPr>
          <w:p w14:paraId="18B730F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7BFD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56C36F9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118</w:t>
            </w:r>
          </w:p>
        </w:tc>
        <w:tc>
          <w:tcPr>
            <w:tcW w:w="981" w:type="dxa"/>
            <w:shd w:val="clear" w:color="auto" w:fill="FFFFFF"/>
            <w:vAlign w:val="center"/>
          </w:tcPr>
          <w:p w14:paraId="0C26298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74" w:type="dxa"/>
            <w:vMerge w:val="continue"/>
            <w:shd w:val="clear" w:color="auto" w:fill="FFFFFF"/>
            <w:vAlign w:val="center"/>
          </w:tcPr>
          <w:p w14:paraId="42FB7511">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60C962E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★功能卡兼容性</w:t>
            </w:r>
          </w:p>
        </w:tc>
        <w:tc>
          <w:tcPr>
            <w:tcW w:w="4005" w:type="dxa"/>
            <w:shd w:val="clear" w:color="auto" w:fill="FFFFFF"/>
            <w:vAlign w:val="center"/>
          </w:tcPr>
          <w:p w14:paraId="0EDF579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内置或适配符合PCIe的功能卡，如：网络功能卡、存储功能卡及图形显示功能卡</w:t>
            </w:r>
          </w:p>
        </w:tc>
        <w:tc>
          <w:tcPr>
            <w:tcW w:w="1334" w:type="dxa"/>
            <w:shd w:val="clear" w:color="auto" w:fill="FFFFFF"/>
            <w:vAlign w:val="center"/>
          </w:tcPr>
          <w:p w14:paraId="3668356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29F2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600" w:type="dxa"/>
            <w:shd w:val="clear" w:color="auto" w:fill="FFFFFF"/>
            <w:vAlign w:val="center"/>
          </w:tcPr>
          <w:p w14:paraId="393585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119</w:t>
            </w:r>
          </w:p>
        </w:tc>
        <w:tc>
          <w:tcPr>
            <w:tcW w:w="981" w:type="dxa"/>
            <w:shd w:val="clear" w:color="auto" w:fill="FFFFFF"/>
            <w:vAlign w:val="center"/>
          </w:tcPr>
          <w:p w14:paraId="1B38AF2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74" w:type="dxa"/>
            <w:shd w:val="clear" w:color="auto" w:fill="FFFFFF"/>
            <w:vAlign w:val="center"/>
          </w:tcPr>
          <w:p w14:paraId="67760C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外设兼容性</w:t>
            </w:r>
          </w:p>
        </w:tc>
        <w:tc>
          <w:tcPr>
            <w:tcW w:w="1515" w:type="dxa"/>
            <w:shd w:val="clear" w:color="auto" w:fill="FFFFFF"/>
            <w:vAlign w:val="center"/>
          </w:tcPr>
          <w:p w14:paraId="5240930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★外设兼容性</w:t>
            </w:r>
          </w:p>
        </w:tc>
        <w:tc>
          <w:tcPr>
            <w:tcW w:w="4005" w:type="dxa"/>
            <w:shd w:val="clear" w:color="auto" w:fill="FFFFFF"/>
            <w:vAlign w:val="center"/>
          </w:tcPr>
          <w:p w14:paraId="2EAD842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兼容多种主流生产商的外部设备，包括显示器、键盘、鼠标、闪存盘、移动硬盘、USB光驱及KVM等，要求使用不同厂商的外部设备时，系统均能正常识别和安装驱动</w:t>
            </w:r>
          </w:p>
        </w:tc>
        <w:tc>
          <w:tcPr>
            <w:tcW w:w="1334" w:type="dxa"/>
            <w:shd w:val="clear" w:color="auto" w:fill="FFFFFF"/>
            <w:vAlign w:val="center"/>
          </w:tcPr>
          <w:p w14:paraId="3A95AE1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9D12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6E000A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120</w:t>
            </w:r>
          </w:p>
        </w:tc>
        <w:tc>
          <w:tcPr>
            <w:tcW w:w="981" w:type="dxa"/>
            <w:shd w:val="clear" w:color="auto" w:fill="FFFFFF"/>
            <w:vAlign w:val="center"/>
          </w:tcPr>
          <w:p w14:paraId="7A62214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74" w:type="dxa"/>
            <w:vMerge w:val="restart"/>
            <w:shd w:val="clear" w:color="auto" w:fill="FFFFFF"/>
            <w:vAlign w:val="center"/>
          </w:tcPr>
          <w:p w14:paraId="131D82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软件兼容性</w:t>
            </w:r>
          </w:p>
        </w:tc>
        <w:tc>
          <w:tcPr>
            <w:tcW w:w="1515" w:type="dxa"/>
            <w:shd w:val="clear" w:color="auto" w:fill="FFFFFF"/>
            <w:vAlign w:val="center"/>
          </w:tcPr>
          <w:p w14:paraId="17F8527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★数据库兼容</w:t>
            </w:r>
          </w:p>
        </w:tc>
        <w:tc>
          <w:tcPr>
            <w:tcW w:w="4005" w:type="dxa"/>
            <w:shd w:val="clear" w:color="auto" w:fill="FFFFFF"/>
            <w:vAlign w:val="center"/>
          </w:tcPr>
          <w:p w14:paraId="5622A96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兼容3个及以上厂商的数据库产品</w:t>
            </w:r>
          </w:p>
        </w:tc>
        <w:tc>
          <w:tcPr>
            <w:tcW w:w="1334" w:type="dxa"/>
            <w:shd w:val="clear" w:color="auto" w:fill="FFFFFF"/>
            <w:vAlign w:val="center"/>
          </w:tcPr>
          <w:p w14:paraId="4C743F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C2B6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0" w:type="dxa"/>
            <w:shd w:val="clear" w:color="auto" w:fill="FFFFFF"/>
            <w:vAlign w:val="center"/>
          </w:tcPr>
          <w:p w14:paraId="2AE198D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121</w:t>
            </w:r>
          </w:p>
        </w:tc>
        <w:tc>
          <w:tcPr>
            <w:tcW w:w="981" w:type="dxa"/>
            <w:shd w:val="clear" w:color="auto" w:fill="FFFFFF"/>
            <w:vAlign w:val="center"/>
          </w:tcPr>
          <w:p w14:paraId="04D552E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74" w:type="dxa"/>
            <w:vMerge w:val="continue"/>
            <w:shd w:val="clear" w:color="auto" w:fill="FFFFFF"/>
            <w:vAlign w:val="center"/>
          </w:tcPr>
          <w:p w14:paraId="4EC55F1D">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7249DC9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★中间件兼容</w:t>
            </w:r>
          </w:p>
        </w:tc>
        <w:tc>
          <w:tcPr>
            <w:tcW w:w="4005" w:type="dxa"/>
            <w:shd w:val="clear" w:color="auto" w:fill="FFFFFF"/>
            <w:vAlign w:val="center"/>
          </w:tcPr>
          <w:p w14:paraId="7FF3644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兼容3个及以上厂商的中间件产品</w:t>
            </w:r>
          </w:p>
        </w:tc>
        <w:tc>
          <w:tcPr>
            <w:tcW w:w="1334" w:type="dxa"/>
            <w:shd w:val="clear" w:color="auto" w:fill="FFFFFF"/>
            <w:vAlign w:val="center"/>
          </w:tcPr>
          <w:p w14:paraId="622B239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81B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0" w:type="dxa"/>
            <w:shd w:val="clear" w:color="auto" w:fill="FFFFFF"/>
            <w:vAlign w:val="center"/>
          </w:tcPr>
          <w:p w14:paraId="15C2F81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122</w:t>
            </w:r>
          </w:p>
        </w:tc>
        <w:tc>
          <w:tcPr>
            <w:tcW w:w="981" w:type="dxa"/>
            <w:shd w:val="clear" w:color="auto" w:fill="FFFFFF"/>
            <w:vAlign w:val="center"/>
          </w:tcPr>
          <w:p w14:paraId="1FFA75E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74" w:type="dxa"/>
            <w:vMerge w:val="continue"/>
            <w:shd w:val="clear" w:color="auto" w:fill="FFFFFF"/>
            <w:vAlign w:val="center"/>
          </w:tcPr>
          <w:p w14:paraId="55CCD4FB">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0551F9C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★平台软件兼容</w:t>
            </w:r>
          </w:p>
        </w:tc>
        <w:tc>
          <w:tcPr>
            <w:tcW w:w="4005" w:type="dxa"/>
            <w:shd w:val="clear" w:color="auto" w:fill="FFFFFF"/>
            <w:vAlign w:val="center"/>
          </w:tcPr>
          <w:p w14:paraId="5C2C018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兼容3个及以上厂商的大数据平台</w:t>
            </w:r>
          </w:p>
        </w:tc>
        <w:tc>
          <w:tcPr>
            <w:tcW w:w="1334" w:type="dxa"/>
            <w:shd w:val="clear" w:color="auto" w:fill="FFFFFF"/>
            <w:vAlign w:val="center"/>
          </w:tcPr>
          <w:p w14:paraId="27CE50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1F8F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72F4219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123</w:t>
            </w:r>
          </w:p>
        </w:tc>
        <w:tc>
          <w:tcPr>
            <w:tcW w:w="981" w:type="dxa"/>
            <w:shd w:val="clear" w:color="auto" w:fill="FFFFFF"/>
            <w:vAlign w:val="center"/>
          </w:tcPr>
          <w:p w14:paraId="162047D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74" w:type="dxa"/>
            <w:vMerge w:val="continue"/>
            <w:shd w:val="clear" w:color="auto" w:fill="FFFFFF"/>
            <w:vAlign w:val="center"/>
          </w:tcPr>
          <w:p w14:paraId="736B9A0F">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7A7D9E1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虚拟化软件兼容</w:t>
            </w:r>
          </w:p>
        </w:tc>
        <w:tc>
          <w:tcPr>
            <w:tcW w:w="4005" w:type="dxa"/>
            <w:shd w:val="clear" w:color="auto" w:fill="FFFFFF"/>
            <w:vAlign w:val="center"/>
          </w:tcPr>
          <w:p w14:paraId="1A3E819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兼容2款及以上虚拟化软件</w:t>
            </w:r>
          </w:p>
        </w:tc>
        <w:tc>
          <w:tcPr>
            <w:tcW w:w="1334" w:type="dxa"/>
            <w:shd w:val="clear" w:color="auto" w:fill="FFFFFF"/>
            <w:vAlign w:val="center"/>
          </w:tcPr>
          <w:p w14:paraId="4C99647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A434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4C77891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124</w:t>
            </w:r>
          </w:p>
        </w:tc>
        <w:tc>
          <w:tcPr>
            <w:tcW w:w="981" w:type="dxa"/>
            <w:shd w:val="clear" w:color="auto" w:fill="FFFFFF"/>
            <w:vAlign w:val="center"/>
          </w:tcPr>
          <w:p w14:paraId="6BE9B99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1074" w:type="dxa"/>
            <w:shd w:val="clear" w:color="auto" w:fill="FFFFFF"/>
            <w:vAlign w:val="center"/>
          </w:tcPr>
          <w:p w14:paraId="6152B0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存储可靠性要求</w:t>
            </w:r>
          </w:p>
        </w:tc>
        <w:tc>
          <w:tcPr>
            <w:tcW w:w="1515" w:type="dxa"/>
            <w:shd w:val="clear" w:color="auto" w:fill="FFFFFF"/>
            <w:vAlign w:val="center"/>
          </w:tcPr>
          <w:p w14:paraId="07BF80D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SATASSD可靠性</w:t>
            </w:r>
          </w:p>
        </w:tc>
        <w:tc>
          <w:tcPr>
            <w:tcW w:w="4005" w:type="dxa"/>
            <w:shd w:val="clear" w:color="auto" w:fill="FFFFFF"/>
            <w:vAlign w:val="center"/>
          </w:tcPr>
          <w:p w14:paraId="2E8B0A3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SSD的m1值（MTBF的不可接受值）不低于200000h</w:t>
            </w:r>
          </w:p>
        </w:tc>
        <w:tc>
          <w:tcPr>
            <w:tcW w:w="1334" w:type="dxa"/>
            <w:shd w:val="clear" w:color="auto" w:fill="FFFFFF"/>
            <w:vAlign w:val="center"/>
          </w:tcPr>
          <w:p w14:paraId="589F4A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36CF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4EFDC4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125</w:t>
            </w:r>
          </w:p>
        </w:tc>
        <w:tc>
          <w:tcPr>
            <w:tcW w:w="981" w:type="dxa"/>
            <w:shd w:val="clear" w:color="auto" w:fill="FFFFFF"/>
            <w:vAlign w:val="center"/>
          </w:tcPr>
          <w:p w14:paraId="20F2CA8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1074" w:type="dxa"/>
            <w:vMerge w:val="restart"/>
            <w:shd w:val="clear" w:color="auto" w:fill="FFFFFF"/>
            <w:vAlign w:val="center"/>
          </w:tcPr>
          <w:p w14:paraId="7F50E8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整机可靠性要求</w:t>
            </w:r>
          </w:p>
        </w:tc>
        <w:tc>
          <w:tcPr>
            <w:tcW w:w="1515" w:type="dxa"/>
            <w:shd w:val="clear" w:color="auto" w:fill="FFFFFF"/>
            <w:vAlign w:val="center"/>
          </w:tcPr>
          <w:p w14:paraId="1D2D2F8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★整机可靠性</w:t>
            </w:r>
          </w:p>
        </w:tc>
        <w:tc>
          <w:tcPr>
            <w:tcW w:w="4005" w:type="dxa"/>
            <w:shd w:val="clear" w:color="auto" w:fill="FFFFFF"/>
            <w:vAlign w:val="center"/>
          </w:tcPr>
          <w:p w14:paraId="0FF4E52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m1值（MTBF的不可接受值）不得低于30000h</w:t>
            </w:r>
          </w:p>
        </w:tc>
        <w:tc>
          <w:tcPr>
            <w:tcW w:w="1334" w:type="dxa"/>
            <w:shd w:val="clear" w:color="auto" w:fill="FFFFFF"/>
            <w:vAlign w:val="center"/>
          </w:tcPr>
          <w:p w14:paraId="582C963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552B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27CDD5A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126</w:t>
            </w:r>
          </w:p>
        </w:tc>
        <w:tc>
          <w:tcPr>
            <w:tcW w:w="981" w:type="dxa"/>
            <w:shd w:val="clear" w:color="auto" w:fill="FFFFFF"/>
            <w:vAlign w:val="center"/>
          </w:tcPr>
          <w:p w14:paraId="33DC3D1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1074" w:type="dxa"/>
            <w:vMerge w:val="continue"/>
            <w:shd w:val="clear" w:color="auto" w:fill="FFFFFF"/>
            <w:vAlign w:val="center"/>
          </w:tcPr>
          <w:p w14:paraId="2C1A4DE1">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5AB5DD7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★风扇可靠性</w:t>
            </w:r>
          </w:p>
        </w:tc>
        <w:tc>
          <w:tcPr>
            <w:tcW w:w="4005" w:type="dxa"/>
            <w:shd w:val="clear" w:color="auto" w:fill="FFFFFF"/>
            <w:vAlign w:val="center"/>
          </w:tcPr>
          <w:p w14:paraId="443AAF8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风扇寿命应不低于40000h</w:t>
            </w:r>
          </w:p>
        </w:tc>
        <w:tc>
          <w:tcPr>
            <w:tcW w:w="1334" w:type="dxa"/>
            <w:shd w:val="clear" w:color="auto" w:fill="FFFFFF"/>
            <w:vAlign w:val="center"/>
          </w:tcPr>
          <w:p w14:paraId="00EF4D7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DB4B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218B2CB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127</w:t>
            </w:r>
          </w:p>
        </w:tc>
        <w:tc>
          <w:tcPr>
            <w:tcW w:w="981" w:type="dxa"/>
            <w:shd w:val="clear" w:color="auto" w:fill="FFFFFF"/>
            <w:vAlign w:val="center"/>
          </w:tcPr>
          <w:p w14:paraId="66E7C0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1074" w:type="dxa"/>
            <w:vMerge w:val="continue"/>
            <w:shd w:val="clear" w:color="auto" w:fill="FFFFFF"/>
            <w:vAlign w:val="center"/>
          </w:tcPr>
          <w:p w14:paraId="3A39F08F">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52F74FB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★部件可靠性</w:t>
            </w:r>
          </w:p>
        </w:tc>
        <w:tc>
          <w:tcPr>
            <w:tcW w:w="4005" w:type="dxa"/>
            <w:shd w:val="clear" w:color="auto" w:fill="FFFFFF"/>
            <w:vAlign w:val="center"/>
          </w:tcPr>
          <w:p w14:paraId="657DE2E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支持硬盘、电源、风扇热插拔（内置风扇除外）</w:t>
            </w:r>
          </w:p>
        </w:tc>
        <w:tc>
          <w:tcPr>
            <w:tcW w:w="1334" w:type="dxa"/>
            <w:shd w:val="clear" w:color="auto" w:fill="FFFFFF"/>
            <w:vAlign w:val="center"/>
          </w:tcPr>
          <w:p w14:paraId="3D09AB5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7160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07132F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128</w:t>
            </w:r>
          </w:p>
        </w:tc>
        <w:tc>
          <w:tcPr>
            <w:tcW w:w="981" w:type="dxa"/>
            <w:shd w:val="clear" w:color="auto" w:fill="FFFFFF"/>
            <w:vAlign w:val="center"/>
          </w:tcPr>
          <w:p w14:paraId="3D44B24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包装及运输要求</w:t>
            </w:r>
          </w:p>
        </w:tc>
        <w:tc>
          <w:tcPr>
            <w:tcW w:w="1074" w:type="dxa"/>
            <w:shd w:val="clear" w:color="auto" w:fill="FFFFFF"/>
            <w:vAlign w:val="center"/>
          </w:tcPr>
          <w:p w14:paraId="43FDA6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包装及运输要求</w:t>
            </w:r>
          </w:p>
        </w:tc>
        <w:tc>
          <w:tcPr>
            <w:tcW w:w="1515" w:type="dxa"/>
            <w:shd w:val="clear" w:color="auto" w:fill="FFFFFF"/>
            <w:vAlign w:val="center"/>
          </w:tcPr>
          <w:p w14:paraId="3FAD4C6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★标志、包装、运输和贮存</w:t>
            </w:r>
          </w:p>
        </w:tc>
        <w:tc>
          <w:tcPr>
            <w:tcW w:w="4005" w:type="dxa"/>
            <w:shd w:val="clear" w:color="auto" w:fill="FFFFFF"/>
            <w:vAlign w:val="center"/>
          </w:tcPr>
          <w:p w14:paraId="2D48C8E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符合GB/T9813.3和商品包装政府采购需求标准的相关规定</w:t>
            </w:r>
          </w:p>
        </w:tc>
        <w:tc>
          <w:tcPr>
            <w:tcW w:w="1334" w:type="dxa"/>
            <w:shd w:val="clear" w:color="auto" w:fill="FFFFFF"/>
            <w:vAlign w:val="center"/>
          </w:tcPr>
          <w:p w14:paraId="17F2A2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DD14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00" w:type="dxa"/>
            <w:shd w:val="clear" w:color="auto" w:fill="FFFFFF"/>
            <w:vAlign w:val="center"/>
          </w:tcPr>
          <w:p w14:paraId="5064136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129</w:t>
            </w:r>
          </w:p>
        </w:tc>
        <w:tc>
          <w:tcPr>
            <w:tcW w:w="981" w:type="dxa"/>
            <w:shd w:val="clear" w:color="auto" w:fill="FFFFFF"/>
            <w:vAlign w:val="center"/>
          </w:tcPr>
          <w:p w14:paraId="48DACF2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74" w:type="dxa"/>
            <w:vMerge w:val="restart"/>
            <w:shd w:val="clear" w:color="auto" w:fill="FFFFFF"/>
            <w:vAlign w:val="center"/>
          </w:tcPr>
          <w:p w14:paraId="63B7467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服务响应</w:t>
            </w:r>
          </w:p>
        </w:tc>
        <w:tc>
          <w:tcPr>
            <w:tcW w:w="1515" w:type="dxa"/>
            <w:shd w:val="clear" w:color="auto" w:fill="FFFFFF"/>
            <w:vAlign w:val="center"/>
          </w:tcPr>
          <w:p w14:paraId="576639C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★服务响应</w:t>
            </w:r>
          </w:p>
        </w:tc>
        <w:tc>
          <w:tcPr>
            <w:tcW w:w="4005" w:type="dxa"/>
            <w:shd w:val="clear" w:color="auto" w:fill="FFFFFF"/>
            <w:vAlign w:val="center"/>
          </w:tcPr>
          <w:p w14:paraId="729CC9E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提供电话、电子邮件、远程连接等多种形式服务；b）提供同城4h、异地12h技术响应服务，2个工作日解决问题，对于未能解决的问题和故障应提供可行的升级方案，并提供周转设备；c）建立全国技术服务体系和服务团体，符合专业服务体系标准要求，提供原厂中文服务；d）服务周期内提供产品的维修、换件和升级服务</w:t>
            </w:r>
          </w:p>
        </w:tc>
        <w:tc>
          <w:tcPr>
            <w:tcW w:w="1334" w:type="dxa"/>
            <w:shd w:val="clear" w:color="auto" w:fill="FFFFFF"/>
            <w:vAlign w:val="center"/>
          </w:tcPr>
          <w:p w14:paraId="50D2708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8599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0" w:type="dxa"/>
            <w:shd w:val="clear" w:color="auto" w:fill="FFFFFF"/>
            <w:vAlign w:val="center"/>
          </w:tcPr>
          <w:p w14:paraId="287732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130</w:t>
            </w:r>
          </w:p>
        </w:tc>
        <w:tc>
          <w:tcPr>
            <w:tcW w:w="981" w:type="dxa"/>
            <w:shd w:val="clear" w:color="auto" w:fill="FFFFFF"/>
            <w:vAlign w:val="center"/>
          </w:tcPr>
          <w:p w14:paraId="5D84B9E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74" w:type="dxa"/>
            <w:vMerge w:val="continue"/>
            <w:shd w:val="clear" w:color="auto" w:fill="FFFFFF"/>
            <w:vAlign w:val="center"/>
          </w:tcPr>
          <w:p w14:paraId="65677E53">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4CC0B32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★培训服务</w:t>
            </w:r>
          </w:p>
        </w:tc>
        <w:tc>
          <w:tcPr>
            <w:tcW w:w="4005" w:type="dxa"/>
            <w:shd w:val="clear" w:color="auto" w:fill="FFFFFF"/>
            <w:vAlign w:val="center"/>
          </w:tcPr>
          <w:p w14:paraId="3A31856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供应商提供培训材料、产品手册、培训视频等培训相关内容</w:t>
            </w:r>
          </w:p>
        </w:tc>
        <w:tc>
          <w:tcPr>
            <w:tcW w:w="1334" w:type="dxa"/>
            <w:shd w:val="clear" w:color="auto" w:fill="FFFFFF"/>
            <w:vAlign w:val="center"/>
          </w:tcPr>
          <w:p w14:paraId="73F727B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FE74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296" w:hRule="atLeast"/>
        </w:trPr>
        <w:tc>
          <w:tcPr>
            <w:tcW w:w="600" w:type="dxa"/>
            <w:shd w:val="clear" w:color="auto" w:fill="FFFFFF"/>
            <w:vAlign w:val="center"/>
          </w:tcPr>
          <w:p w14:paraId="0AD1235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131</w:t>
            </w:r>
          </w:p>
        </w:tc>
        <w:tc>
          <w:tcPr>
            <w:tcW w:w="981" w:type="dxa"/>
            <w:shd w:val="clear" w:color="auto" w:fill="FFFFFF"/>
            <w:vAlign w:val="center"/>
          </w:tcPr>
          <w:p w14:paraId="6403ED2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74" w:type="dxa"/>
            <w:shd w:val="clear" w:color="auto" w:fill="FFFFFF"/>
            <w:vAlign w:val="center"/>
          </w:tcPr>
          <w:p w14:paraId="4789429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服务周期</w:t>
            </w:r>
          </w:p>
        </w:tc>
        <w:tc>
          <w:tcPr>
            <w:tcW w:w="1515" w:type="dxa"/>
            <w:shd w:val="clear" w:color="auto" w:fill="FFFFFF"/>
            <w:vAlign w:val="center"/>
          </w:tcPr>
          <w:p w14:paraId="25CFC2A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★服务周期</w:t>
            </w:r>
          </w:p>
        </w:tc>
        <w:tc>
          <w:tcPr>
            <w:tcW w:w="4005" w:type="dxa"/>
            <w:shd w:val="clear" w:color="auto" w:fill="FFFFFF"/>
            <w:vAlign w:val="center"/>
          </w:tcPr>
          <w:p w14:paraId="313E837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产品免费服务周期（含换件和维修）应不小于6年；b）设备停产后继续提供质量保障服务（含备品备件），服务终止时间与最后一批设备交付时间间隔不低于6年；c）产品停止服务时间应提前1年告知客户；d）产品发布日期需在技术文件或者技术白皮书中明确</w:t>
            </w:r>
          </w:p>
        </w:tc>
        <w:tc>
          <w:tcPr>
            <w:tcW w:w="1334" w:type="dxa"/>
            <w:shd w:val="clear" w:color="auto" w:fill="FFFFFF"/>
            <w:vAlign w:val="center"/>
          </w:tcPr>
          <w:p w14:paraId="5CF021C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6873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6005F99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132</w:t>
            </w:r>
          </w:p>
        </w:tc>
        <w:tc>
          <w:tcPr>
            <w:tcW w:w="981" w:type="dxa"/>
            <w:shd w:val="clear" w:color="auto" w:fill="FFFFFF"/>
            <w:vAlign w:val="center"/>
          </w:tcPr>
          <w:p w14:paraId="145E4FE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74" w:type="dxa"/>
            <w:vMerge w:val="restart"/>
            <w:shd w:val="clear" w:color="auto" w:fill="FFFFFF"/>
            <w:vAlign w:val="center"/>
          </w:tcPr>
          <w:p w14:paraId="77AA460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服务工具要求</w:t>
            </w:r>
          </w:p>
        </w:tc>
        <w:tc>
          <w:tcPr>
            <w:tcW w:w="1515" w:type="dxa"/>
            <w:shd w:val="clear" w:color="auto" w:fill="FFFFFF"/>
            <w:vAlign w:val="center"/>
          </w:tcPr>
          <w:p w14:paraId="16615DD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★工具要求</w:t>
            </w:r>
          </w:p>
        </w:tc>
        <w:tc>
          <w:tcPr>
            <w:tcW w:w="4005" w:type="dxa"/>
            <w:shd w:val="clear" w:color="auto" w:fill="FFFFFF"/>
            <w:vAlign w:val="center"/>
          </w:tcPr>
          <w:p w14:paraId="040EB8D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供应商提供设置服务器硬件、辅助操作系统安装等功能的辅助工具和管理软件。且随附软件应具有合法授权或版权</w:t>
            </w:r>
          </w:p>
        </w:tc>
        <w:tc>
          <w:tcPr>
            <w:tcW w:w="1334" w:type="dxa"/>
            <w:shd w:val="clear" w:color="auto" w:fill="FFFFFF"/>
            <w:vAlign w:val="center"/>
          </w:tcPr>
          <w:p w14:paraId="3EFBF9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1379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600" w:type="dxa"/>
            <w:shd w:val="clear" w:color="auto" w:fill="FFFFFF"/>
            <w:vAlign w:val="center"/>
          </w:tcPr>
          <w:p w14:paraId="2881434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133</w:t>
            </w:r>
          </w:p>
        </w:tc>
        <w:tc>
          <w:tcPr>
            <w:tcW w:w="981" w:type="dxa"/>
            <w:shd w:val="clear" w:color="auto" w:fill="FFFFFF"/>
            <w:vAlign w:val="center"/>
          </w:tcPr>
          <w:p w14:paraId="3AEAF1C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74" w:type="dxa"/>
            <w:vMerge w:val="continue"/>
            <w:shd w:val="clear" w:color="auto" w:fill="FFFFFF"/>
            <w:vAlign w:val="center"/>
          </w:tcPr>
          <w:p w14:paraId="38933ED2">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7D51F9E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辅助工具</w:t>
            </w:r>
          </w:p>
        </w:tc>
        <w:tc>
          <w:tcPr>
            <w:tcW w:w="4005" w:type="dxa"/>
            <w:shd w:val="clear" w:color="auto" w:fill="FFFFFF"/>
            <w:vAlign w:val="center"/>
          </w:tcPr>
          <w:p w14:paraId="20A0899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支持如下功能a）本地的数据备份和还原功能；b）网络的数据备份和还原功能；c）通用服务器操作系统的自动安装功能；d）服务器所配硬件需要的驱动程序和系统补丁</w:t>
            </w:r>
          </w:p>
        </w:tc>
        <w:tc>
          <w:tcPr>
            <w:tcW w:w="1334" w:type="dxa"/>
            <w:shd w:val="clear" w:color="auto" w:fill="FFFFFF"/>
            <w:vAlign w:val="center"/>
          </w:tcPr>
          <w:p w14:paraId="36BA20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16A4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5050B08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134</w:t>
            </w:r>
          </w:p>
        </w:tc>
        <w:tc>
          <w:tcPr>
            <w:tcW w:w="981" w:type="dxa"/>
            <w:shd w:val="clear" w:color="auto" w:fill="FFFFFF"/>
            <w:vAlign w:val="center"/>
          </w:tcPr>
          <w:p w14:paraId="3A2E573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74" w:type="dxa"/>
            <w:vMerge w:val="continue"/>
            <w:shd w:val="clear" w:color="auto" w:fill="FFFFFF"/>
            <w:vAlign w:val="center"/>
          </w:tcPr>
          <w:p w14:paraId="4AE7BA54">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2A041B3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★驱动安装升级指引</w:t>
            </w:r>
          </w:p>
        </w:tc>
        <w:tc>
          <w:tcPr>
            <w:tcW w:w="4005" w:type="dxa"/>
            <w:shd w:val="clear" w:color="auto" w:fill="FFFFFF"/>
            <w:vAlign w:val="center"/>
          </w:tcPr>
          <w:p w14:paraId="0681723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供应商提供出厂安装的配件所需的驱动程序，形式包括但不限于驱动光盘、驱动下载链接等。其他配件应提供指引</w:t>
            </w:r>
          </w:p>
        </w:tc>
        <w:tc>
          <w:tcPr>
            <w:tcW w:w="1334" w:type="dxa"/>
            <w:shd w:val="clear" w:color="auto" w:fill="FFFFFF"/>
            <w:vAlign w:val="center"/>
          </w:tcPr>
          <w:p w14:paraId="291AE8D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D7BD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1D2E633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135</w:t>
            </w:r>
          </w:p>
        </w:tc>
        <w:tc>
          <w:tcPr>
            <w:tcW w:w="981" w:type="dxa"/>
            <w:shd w:val="clear" w:color="auto" w:fill="FFFFFF"/>
            <w:vAlign w:val="center"/>
          </w:tcPr>
          <w:p w14:paraId="3E88C50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74" w:type="dxa"/>
            <w:vMerge w:val="continue"/>
            <w:shd w:val="clear" w:color="auto" w:fill="FFFFFF"/>
            <w:vAlign w:val="center"/>
          </w:tcPr>
          <w:p w14:paraId="2D105175">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5C94FA7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随机附开盖工具</w:t>
            </w:r>
          </w:p>
        </w:tc>
        <w:tc>
          <w:tcPr>
            <w:tcW w:w="4005" w:type="dxa"/>
            <w:shd w:val="clear" w:color="auto" w:fill="FFFFFF"/>
            <w:vAlign w:val="center"/>
          </w:tcPr>
          <w:p w14:paraId="5A595D5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随服务器打包提供开机箱工具</w:t>
            </w:r>
          </w:p>
        </w:tc>
        <w:tc>
          <w:tcPr>
            <w:tcW w:w="1334" w:type="dxa"/>
            <w:shd w:val="clear" w:color="auto" w:fill="FFFFFF"/>
            <w:vAlign w:val="center"/>
          </w:tcPr>
          <w:p w14:paraId="4916E29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B0F1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600" w:type="dxa"/>
            <w:shd w:val="clear" w:color="auto" w:fill="FFFFFF"/>
            <w:vAlign w:val="center"/>
          </w:tcPr>
          <w:p w14:paraId="366480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136</w:t>
            </w:r>
          </w:p>
        </w:tc>
        <w:tc>
          <w:tcPr>
            <w:tcW w:w="981" w:type="dxa"/>
            <w:shd w:val="clear" w:color="auto" w:fill="FFFFFF"/>
            <w:vAlign w:val="center"/>
          </w:tcPr>
          <w:p w14:paraId="7260E9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74" w:type="dxa"/>
            <w:vMerge w:val="continue"/>
            <w:shd w:val="clear" w:color="auto" w:fill="FFFFFF"/>
            <w:vAlign w:val="center"/>
          </w:tcPr>
          <w:p w14:paraId="15D76259">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21B2472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代码迁移工具</w:t>
            </w:r>
          </w:p>
        </w:tc>
        <w:tc>
          <w:tcPr>
            <w:tcW w:w="4005" w:type="dxa"/>
            <w:shd w:val="clear" w:color="auto" w:fill="FFFFFF"/>
            <w:vAlign w:val="center"/>
          </w:tcPr>
          <w:p w14:paraId="279ACE8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从其他CPU架构到当前服务器CPU架构的软件迁移工具产品，支持软件包迁移评估，对满足产品重构要求的软件包，能重构为当前服务器CPU架构的软件包。提供源码迁移功能，检查分析C/C++/Fortran/Go/解释型语言/汇编等源码文件，基于产品功能给出迁移指导</w:t>
            </w:r>
          </w:p>
        </w:tc>
        <w:tc>
          <w:tcPr>
            <w:tcW w:w="1334" w:type="dxa"/>
            <w:shd w:val="clear" w:color="auto" w:fill="FFFFFF"/>
            <w:vAlign w:val="center"/>
          </w:tcPr>
          <w:p w14:paraId="31624E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5F03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00" w:type="dxa"/>
            <w:shd w:val="clear" w:color="auto" w:fill="FFFFFF"/>
            <w:vAlign w:val="center"/>
          </w:tcPr>
          <w:p w14:paraId="179B826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137</w:t>
            </w:r>
          </w:p>
        </w:tc>
        <w:tc>
          <w:tcPr>
            <w:tcW w:w="981" w:type="dxa"/>
            <w:shd w:val="clear" w:color="auto" w:fill="FFFFFF"/>
            <w:vAlign w:val="center"/>
          </w:tcPr>
          <w:p w14:paraId="24A797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74" w:type="dxa"/>
            <w:vMerge w:val="continue"/>
            <w:shd w:val="clear" w:color="auto" w:fill="FFFFFF"/>
            <w:vAlign w:val="center"/>
          </w:tcPr>
          <w:p w14:paraId="3AD6E1EA">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1E3267E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性能分析工具</w:t>
            </w:r>
          </w:p>
        </w:tc>
        <w:tc>
          <w:tcPr>
            <w:tcW w:w="4005" w:type="dxa"/>
            <w:shd w:val="clear" w:color="auto" w:fill="FFFFFF"/>
            <w:vAlign w:val="center"/>
          </w:tcPr>
          <w:p w14:paraId="1B38F4A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供应商提供支持当前服务器CPU架构的性能分析工具产品，支持系统性能分析、Java性能分析和系统诊断，可分析系统或应用在CPU、内存、IO、网络等方面的性能，并给出优化建议</w:t>
            </w:r>
          </w:p>
        </w:tc>
        <w:tc>
          <w:tcPr>
            <w:tcW w:w="1334" w:type="dxa"/>
            <w:shd w:val="clear" w:color="auto" w:fill="FFFFFF"/>
            <w:vAlign w:val="center"/>
          </w:tcPr>
          <w:p w14:paraId="12DCA0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E75B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0" w:type="dxa"/>
            <w:shd w:val="clear" w:color="auto" w:fill="FFFFFF"/>
            <w:vAlign w:val="center"/>
          </w:tcPr>
          <w:p w14:paraId="649947E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138</w:t>
            </w:r>
          </w:p>
        </w:tc>
        <w:tc>
          <w:tcPr>
            <w:tcW w:w="981" w:type="dxa"/>
            <w:shd w:val="clear" w:color="auto" w:fill="FFFFFF"/>
            <w:vAlign w:val="center"/>
          </w:tcPr>
          <w:p w14:paraId="7B37BA0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74" w:type="dxa"/>
            <w:vMerge w:val="continue"/>
            <w:shd w:val="clear" w:color="auto" w:fill="FFFFFF"/>
            <w:vAlign w:val="center"/>
          </w:tcPr>
          <w:p w14:paraId="0AE2156F">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412C322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跨架构平台应用兼容</w:t>
            </w:r>
          </w:p>
        </w:tc>
        <w:tc>
          <w:tcPr>
            <w:tcW w:w="4005" w:type="dxa"/>
            <w:shd w:val="clear" w:color="auto" w:fill="FFFFFF"/>
            <w:vAlign w:val="center"/>
          </w:tcPr>
          <w:p w14:paraId="642BF52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跨CPU架构平台应用兼容工具，可兼容一种或者一种以上不同架构平台的应用</w:t>
            </w:r>
          </w:p>
        </w:tc>
        <w:tc>
          <w:tcPr>
            <w:tcW w:w="1334" w:type="dxa"/>
            <w:shd w:val="clear" w:color="auto" w:fill="FFFFFF"/>
            <w:vAlign w:val="center"/>
          </w:tcPr>
          <w:p w14:paraId="0D1A7D7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C0E6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549B6C7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139</w:t>
            </w:r>
          </w:p>
        </w:tc>
        <w:tc>
          <w:tcPr>
            <w:tcW w:w="981" w:type="dxa"/>
            <w:shd w:val="clear" w:color="auto" w:fill="FFFFFF"/>
            <w:vAlign w:val="center"/>
          </w:tcPr>
          <w:p w14:paraId="24F683A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74" w:type="dxa"/>
            <w:vMerge w:val="continue"/>
            <w:shd w:val="clear" w:color="auto" w:fill="FFFFFF"/>
            <w:vAlign w:val="center"/>
          </w:tcPr>
          <w:p w14:paraId="010116E5">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3C460AD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★管理软件</w:t>
            </w:r>
          </w:p>
        </w:tc>
        <w:tc>
          <w:tcPr>
            <w:tcW w:w="4005" w:type="dxa"/>
            <w:shd w:val="clear" w:color="auto" w:fill="FFFFFF"/>
            <w:vAlign w:val="center"/>
          </w:tcPr>
          <w:p w14:paraId="7D98F21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具备资源管理、系统管理、性能监控、健康监控、基于网络控制、报警设置功能</w:t>
            </w:r>
          </w:p>
        </w:tc>
        <w:tc>
          <w:tcPr>
            <w:tcW w:w="1334" w:type="dxa"/>
            <w:shd w:val="clear" w:color="auto" w:fill="FFFFFF"/>
            <w:vAlign w:val="center"/>
          </w:tcPr>
          <w:p w14:paraId="7277152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5F2E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07A5B7A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140</w:t>
            </w:r>
          </w:p>
        </w:tc>
        <w:tc>
          <w:tcPr>
            <w:tcW w:w="981" w:type="dxa"/>
            <w:shd w:val="clear" w:color="auto" w:fill="FFFFFF"/>
            <w:vAlign w:val="center"/>
          </w:tcPr>
          <w:p w14:paraId="350C84C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74" w:type="dxa"/>
            <w:vMerge w:val="restart"/>
            <w:shd w:val="clear" w:color="auto" w:fill="FFFFFF"/>
            <w:vAlign w:val="center"/>
          </w:tcPr>
          <w:p w14:paraId="1A5C39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增值服务</w:t>
            </w:r>
          </w:p>
        </w:tc>
        <w:tc>
          <w:tcPr>
            <w:tcW w:w="1515" w:type="dxa"/>
            <w:shd w:val="clear" w:color="auto" w:fill="FFFFFF"/>
            <w:vAlign w:val="center"/>
          </w:tcPr>
          <w:p w14:paraId="73C8521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★厂家升级产品软件与扩容服务</w:t>
            </w:r>
          </w:p>
        </w:tc>
        <w:tc>
          <w:tcPr>
            <w:tcW w:w="4005" w:type="dxa"/>
            <w:shd w:val="clear" w:color="auto" w:fill="FFFFFF"/>
            <w:vAlign w:val="center"/>
          </w:tcPr>
          <w:p w14:paraId="050225B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供应商提供原厂级的部件/软件产品升级和扩容能力</w:t>
            </w:r>
          </w:p>
        </w:tc>
        <w:tc>
          <w:tcPr>
            <w:tcW w:w="1334" w:type="dxa"/>
            <w:shd w:val="clear" w:color="auto" w:fill="FFFFFF"/>
            <w:vAlign w:val="center"/>
          </w:tcPr>
          <w:p w14:paraId="6312680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76A4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354CD2B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141</w:t>
            </w:r>
          </w:p>
        </w:tc>
        <w:tc>
          <w:tcPr>
            <w:tcW w:w="981" w:type="dxa"/>
            <w:shd w:val="clear" w:color="auto" w:fill="FFFFFF"/>
            <w:vAlign w:val="center"/>
          </w:tcPr>
          <w:p w14:paraId="1A35A8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74" w:type="dxa"/>
            <w:vMerge w:val="continue"/>
            <w:shd w:val="clear" w:color="auto" w:fill="FFFFFF"/>
            <w:vAlign w:val="center"/>
          </w:tcPr>
          <w:p w14:paraId="715FBA50">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08D2A85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服务保障升级</w:t>
            </w:r>
          </w:p>
        </w:tc>
        <w:tc>
          <w:tcPr>
            <w:tcW w:w="4005" w:type="dxa"/>
            <w:shd w:val="clear" w:color="auto" w:fill="FFFFFF"/>
            <w:vAlign w:val="center"/>
          </w:tcPr>
          <w:p w14:paraId="7F73116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供应商有偿提供远程技术支持、软件授权服务、备件更换服务、现场支撑服务</w:t>
            </w:r>
          </w:p>
        </w:tc>
        <w:tc>
          <w:tcPr>
            <w:tcW w:w="1334" w:type="dxa"/>
            <w:shd w:val="clear" w:color="auto" w:fill="FFFFFF"/>
            <w:vAlign w:val="center"/>
          </w:tcPr>
          <w:p w14:paraId="14A174B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5704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6796C83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142</w:t>
            </w:r>
          </w:p>
        </w:tc>
        <w:tc>
          <w:tcPr>
            <w:tcW w:w="981" w:type="dxa"/>
            <w:shd w:val="clear" w:color="auto" w:fill="FFFFFF"/>
            <w:vAlign w:val="center"/>
          </w:tcPr>
          <w:p w14:paraId="1280A7C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74" w:type="dxa"/>
            <w:vMerge w:val="continue"/>
            <w:shd w:val="clear" w:color="auto" w:fill="FFFFFF"/>
            <w:vAlign w:val="center"/>
          </w:tcPr>
          <w:p w14:paraId="5564C0CC">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79D3217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★提供上门服务</w:t>
            </w:r>
          </w:p>
        </w:tc>
        <w:tc>
          <w:tcPr>
            <w:tcW w:w="4005" w:type="dxa"/>
            <w:shd w:val="clear" w:color="auto" w:fill="FFFFFF"/>
            <w:vAlign w:val="center"/>
          </w:tcPr>
          <w:p w14:paraId="2BEDD60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供应商具备提供上门服务的能力</w:t>
            </w:r>
          </w:p>
        </w:tc>
        <w:tc>
          <w:tcPr>
            <w:tcW w:w="1334" w:type="dxa"/>
            <w:shd w:val="clear" w:color="auto" w:fill="FFFFFF"/>
            <w:vAlign w:val="center"/>
          </w:tcPr>
          <w:p w14:paraId="71B7A80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A184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600" w:type="dxa"/>
            <w:shd w:val="clear" w:color="auto" w:fill="FFFFFF"/>
            <w:vAlign w:val="center"/>
          </w:tcPr>
          <w:p w14:paraId="6ED3F3F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143</w:t>
            </w:r>
          </w:p>
        </w:tc>
        <w:tc>
          <w:tcPr>
            <w:tcW w:w="981" w:type="dxa"/>
            <w:shd w:val="clear" w:color="auto" w:fill="FFFFFF"/>
            <w:vAlign w:val="center"/>
          </w:tcPr>
          <w:p w14:paraId="4FDF562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74" w:type="dxa"/>
            <w:vMerge w:val="continue"/>
            <w:shd w:val="clear" w:color="auto" w:fill="FFFFFF"/>
            <w:vAlign w:val="center"/>
          </w:tcPr>
          <w:p w14:paraId="25B80FC6">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6D30C2B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业务场景性能优化服务及整体架构升级服务</w:t>
            </w:r>
          </w:p>
        </w:tc>
        <w:tc>
          <w:tcPr>
            <w:tcW w:w="4005" w:type="dxa"/>
            <w:shd w:val="clear" w:color="auto" w:fill="FFFFFF"/>
            <w:vAlign w:val="center"/>
          </w:tcPr>
          <w:p w14:paraId="48C14C1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供应商提供针对特定业务场景性能优化服务及整体架构升级服务</w:t>
            </w:r>
          </w:p>
        </w:tc>
        <w:tc>
          <w:tcPr>
            <w:tcW w:w="1334" w:type="dxa"/>
            <w:shd w:val="clear" w:color="auto" w:fill="FFFFFF"/>
            <w:vAlign w:val="center"/>
          </w:tcPr>
          <w:p w14:paraId="5B31C7A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5D09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710950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144</w:t>
            </w:r>
          </w:p>
        </w:tc>
        <w:tc>
          <w:tcPr>
            <w:tcW w:w="981" w:type="dxa"/>
            <w:shd w:val="clear" w:color="auto" w:fill="FFFFFF"/>
            <w:vAlign w:val="center"/>
          </w:tcPr>
          <w:p w14:paraId="358360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供保要求</w:t>
            </w:r>
          </w:p>
        </w:tc>
        <w:tc>
          <w:tcPr>
            <w:tcW w:w="1074" w:type="dxa"/>
            <w:vMerge w:val="restart"/>
            <w:shd w:val="clear" w:color="auto" w:fill="FFFFFF"/>
            <w:vAlign w:val="center"/>
          </w:tcPr>
          <w:p w14:paraId="11D8B2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供应链质量</w:t>
            </w:r>
          </w:p>
        </w:tc>
        <w:tc>
          <w:tcPr>
            <w:tcW w:w="1515" w:type="dxa"/>
            <w:shd w:val="clear" w:color="auto" w:fill="FFFFFF"/>
            <w:vAlign w:val="center"/>
          </w:tcPr>
          <w:p w14:paraId="7BBA83C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★抗干扰性</w:t>
            </w:r>
          </w:p>
        </w:tc>
        <w:tc>
          <w:tcPr>
            <w:tcW w:w="4005" w:type="dxa"/>
            <w:shd w:val="clear" w:color="auto" w:fill="FFFFFF"/>
            <w:vAlign w:val="center"/>
          </w:tcPr>
          <w:p w14:paraId="3EE18E8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当产品部件出现供应风险时，应通知客户并提供风险应对方案确保产品的服务保障，必要时应停止相关受影响产品的销售</w:t>
            </w:r>
          </w:p>
        </w:tc>
        <w:tc>
          <w:tcPr>
            <w:tcW w:w="1334" w:type="dxa"/>
            <w:shd w:val="clear" w:color="auto" w:fill="FFFFFF"/>
            <w:vAlign w:val="center"/>
          </w:tcPr>
          <w:p w14:paraId="4EFCE4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7DBE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0E3642B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145</w:t>
            </w:r>
          </w:p>
        </w:tc>
        <w:tc>
          <w:tcPr>
            <w:tcW w:w="981" w:type="dxa"/>
            <w:shd w:val="clear" w:color="auto" w:fill="FFFFFF"/>
            <w:vAlign w:val="center"/>
          </w:tcPr>
          <w:p w14:paraId="7258124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供保要求</w:t>
            </w:r>
          </w:p>
        </w:tc>
        <w:tc>
          <w:tcPr>
            <w:tcW w:w="1074" w:type="dxa"/>
            <w:vMerge w:val="continue"/>
            <w:shd w:val="clear" w:color="auto" w:fill="FFFFFF"/>
            <w:vAlign w:val="center"/>
          </w:tcPr>
          <w:p w14:paraId="775B2BED">
            <w:pPr>
              <w:widowControl/>
              <w:jc w:val="left"/>
              <w:rPr>
                <w:rFonts w:asciiTheme="minorEastAsia" w:hAnsiTheme="minorEastAsia" w:eastAsiaTheme="minorEastAsia" w:cstheme="minorEastAsia"/>
                <w:kern w:val="0"/>
                <w:sz w:val="24"/>
              </w:rPr>
            </w:pPr>
          </w:p>
        </w:tc>
        <w:tc>
          <w:tcPr>
            <w:tcW w:w="1515" w:type="dxa"/>
            <w:shd w:val="clear" w:color="auto" w:fill="FFFFFF"/>
            <w:vAlign w:val="center"/>
          </w:tcPr>
          <w:p w14:paraId="3F13C3C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★供应能力证明</w:t>
            </w:r>
          </w:p>
        </w:tc>
        <w:tc>
          <w:tcPr>
            <w:tcW w:w="4005" w:type="dxa"/>
            <w:shd w:val="clear" w:color="auto" w:fill="FFFFFF"/>
            <w:vAlign w:val="center"/>
          </w:tcPr>
          <w:p w14:paraId="1F7924C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b/>
                <w:bCs/>
                <w:kern w:val="0"/>
                <w:sz w:val="24"/>
              </w:rPr>
              <w:t>供应商提供供应链稳定承诺书，确保产品的部件在产品服务周期内稳定供货（需提供加盖投标人公章的承诺书，否则作无效投标处理）</w:t>
            </w:r>
          </w:p>
        </w:tc>
        <w:tc>
          <w:tcPr>
            <w:tcW w:w="1334" w:type="dxa"/>
            <w:shd w:val="clear" w:color="auto" w:fill="FFFFFF"/>
            <w:vAlign w:val="center"/>
          </w:tcPr>
          <w:p w14:paraId="4A0CA41A">
            <w:pPr>
              <w:widowControl/>
              <w:jc w:val="center"/>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kern w:val="0"/>
                <w:sz w:val="24"/>
              </w:rPr>
              <w:t>是</w:t>
            </w:r>
          </w:p>
        </w:tc>
      </w:tr>
      <w:tr w14:paraId="5DA8B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416BE34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146</w:t>
            </w:r>
          </w:p>
        </w:tc>
        <w:tc>
          <w:tcPr>
            <w:tcW w:w="981" w:type="dxa"/>
            <w:shd w:val="clear" w:color="auto" w:fill="FFFFFF"/>
            <w:vAlign w:val="center"/>
          </w:tcPr>
          <w:p w14:paraId="065AEE7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shd w:val="clear" w:color="auto" w:fill="FFFFFF"/>
            <w:vAlign w:val="center"/>
          </w:tcPr>
          <w:p w14:paraId="711D0C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I/O扩展性</w:t>
            </w:r>
          </w:p>
        </w:tc>
        <w:tc>
          <w:tcPr>
            <w:tcW w:w="1515" w:type="dxa"/>
            <w:shd w:val="clear" w:color="auto" w:fill="FFFFFF"/>
            <w:vAlign w:val="center"/>
          </w:tcPr>
          <w:p w14:paraId="1EB9B40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I/O扩展性</w:t>
            </w:r>
          </w:p>
        </w:tc>
        <w:tc>
          <w:tcPr>
            <w:tcW w:w="4005" w:type="dxa"/>
            <w:shd w:val="clear" w:color="auto" w:fill="FFFFFF"/>
            <w:vAlign w:val="center"/>
          </w:tcPr>
          <w:p w14:paraId="2D6E125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主板集成≥2个千兆以太网接口（RJ45），采用国产网络芯片；</w:t>
            </w:r>
          </w:p>
        </w:tc>
        <w:tc>
          <w:tcPr>
            <w:tcW w:w="1334" w:type="dxa"/>
            <w:shd w:val="clear" w:color="auto" w:fill="FFFFFF"/>
            <w:vAlign w:val="center"/>
          </w:tcPr>
          <w:p w14:paraId="582E9F3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F732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7C493B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147</w:t>
            </w:r>
          </w:p>
        </w:tc>
        <w:tc>
          <w:tcPr>
            <w:tcW w:w="981" w:type="dxa"/>
            <w:shd w:val="clear" w:color="auto" w:fill="FFFFFF"/>
            <w:vAlign w:val="center"/>
          </w:tcPr>
          <w:p w14:paraId="614FD0C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shd w:val="clear" w:color="auto" w:fill="FFFFFF"/>
            <w:noWrap/>
            <w:vAlign w:val="center"/>
          </w:tcPr>
          <w:p w14:paraId="28942B2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磁盘扩展性</w:t>
            </w:r>
          </w:p>
        </w:tc>
        <w:tc>
          <w:tcPr>
            <w:tcW w:w="1515" w:type="dxa"/>
            <w:shd w:val="clear" w:color="auto" w:fill="FFFFFF"/>
            <w:vAlign w:val="center"/>
          </w:tcPr>
          <w:p w14:paraId="6DB25F8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支持的磁盘数量和类型</w:t>
            </w:r>
          </w:p>
        </w:tc>
        <w:tc>
          <w:tcPr>
            <w:tcW w:w="4005" w:type="dxa"/>
            <w:shd w:val="clear" w:color="auto" w:fill="FFFFFF"/>
            <w:vAlign w:val="center"/>
          </w:tcPr>
          <w:p w14:paraId="31BC231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机型最大支持≥20块3.5英寸硬盘； 机型最大支持≥24块NVMe SSD硬盘； 机型支持≥2块M.2 SSD硬盘。</w:t>
            </w:r>
          </w:p>
        </w:tc>
        <w:tc>
          <w:tcPr>
            <w:tcW w:w="1334" w:type="dxa"/>
            <w:shd w:val="clear" w:color="auto" w:fill="FFFFFF"/>
            <w:vAlign w:val="center"/>
          </w:tcPr>
          <w:p w14:paraId="578690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9035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4165821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148</w:t>
            </w:r>
          </w:p>
        </w:tc>
        <w:tc>
          <w:tcPr>
            <w:tcW w:w="981" w:type="dxa"/>
            <w:shd w:val="clear" w:color="auto" w:fill="FFFFFF"/>
            <w:vAlign w:val="center"/>
          </w:tcPr>
          <w:p w14:paraId="6072353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shd w:val="clear" w:color="auto" w:fill="FFFFFF"/>
            <w:noWrap/>
            <w:vAlign w:val="center"/>
          </w:tcPr>
          <w:p w14:paraId="3D5EDC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维护性</w:t>
            </w:r>
          </w:p>
        </w:tc>
        <w:tc>
          <w:tcPr>
            <w:tcW w:w="1515" w:type="dxa"/>
            <w:shd w:val="clear" w:color="auto" w:fill="FFFFFF"/>
            <w:vAlign w:val="center"/>
          </w:tcPr>
          <w:p w14:paraId="077C27E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易维护性</w:t>
            </w:r>
          </w:p>
        </w:tc>
        <w:tc>
          <w:tcPr>
            <w:tcW w:w="4005" w:type="dxa"/>
            <w:shd w:val="clear" w:color="auto" w:fill="FFFFFF"/>
            <w:vAlign w:val="center"/>
          </w:tcPr>
          <w:p w14:paraId="54CD772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配置双UID指示灯（前后面板各1个），可通过BMC或UID按键点亮UID指示灯，快速定位服务器。</w:t>
            </w:r>
          </w:p>
        </w:tc>
        <w:tc>
          <w:tcPr>
            <w:tcW w:w="1334" w:type="dxa"/>
            <w:shd w:val="clear" w:color="auto" w:fill="FFFFFF"/>
            <w:vAlign w:val="center"/>
          </w:tcPr>
          <w:p w14:paraId="47E0C44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EAC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7FF0A12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149</w:t>
            </w:r>
          </w:p>
        </w:tc>
        <w:tc>
          <w:tcPr>
            <w:tcW w:w="981" w:type="dxa"/>
            <w:shd w:val="clear" w:color="auto" w:fill="FFFFFF"/>
            <w:vAlign w:val="center"/>
          </w:tcPr>
          <w:p w14:paraId="35CE9BE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74" w:type="dxa"/>
            <w:shd w:val="clear" w:color="auto" w:fill="FFFFFF"/>
            <w:noWrap/>
            <w:vAlign w:val="center"/>
          </w:tcPr>
          <w:p w14:paraId="0D326A7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中央处理器</w:t>
            </w:r>
          </w:p>
        </w:tc>
        <w:tc>
          <w:tcPr>
            <w:tcW w:w="1515" w:type="dxa"/>
            <w:shd w:val="clear" w:color="auto" w:fill="FFFFFF"/>
            <w:vAlign w:val="center"/>
          </w:tcPr>
          <w:p w14:paraId="6365F80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加解密功能</w:t>
            </w:r>
          </w:p>
        </w:tc>
        <w:tc>
          <w:tcPr>
            <w:tcW w:w="4005" w:type="dxa"/>
            <w:shd w:val="clear" w:color="auto" w:fill="FFFFFF"/>
            <w:vAlign w:val="center"/>
          </w:tcPr>
          <w:p w14:paraId="01A2E7B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投标产品所配备的CPU（中央处理器）支持TEE可信执行环境，实现虚拟机在内存读写时的自动加解密功能。</w:t>
            </w:r>
          </w:p>
        </w:tc>
        <w:tc>
          <w:tcPr>
            <w:tcW w:w="1334" w:type="dxa"/>
            <w:shd w:val="clear" w:color="auto" w:fill="FFFFFF"/>
            <w:vAlign w:val="center"/>
          </w:tcPr>
          <w:p w14:paraId="53F607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15BA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0" w:type="dxa"/>
            <w:shd w:val="clear" w:color="auto" w:fill="FFFFFF"/>
            <w:vAlign w:val="center"/>
          </w:tcPr>
          <w:p w14:paraId="5F83A3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150</w:t>
            </w:r>
          </w:p>
        </w:tc>
        <w:tc>
          <w:tcPr>
            <w:tcW w:w="981" w:type="dxa"/>
            <w:shd w:val="clear" w:color="auto" w:fill="FFFFFF"/>
            <w:vAlign w:val="center"/>
          </w:tcPr>
          <w:p w14:paraId="6B4F364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74" w:type="dxa"/>
            <w:shd w:val="clear" w:color="auto" w:fill="FFFFFF"/>
            <w:noWrap/>
            <w:vAlign w:val="center"/>
          </w:tcPr>
          <w:p w14:paraId="435E512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中央处理器</w:t>
            </w:r>
          </w:p>
        </w:tc>
        <w:tc>
          <w:tcPr>
            <w:tcW w:w="1515" w:type="dxa"/>
            <w:shd w:val="clear" w:color="auto" w:fill="FFFFFF"/>
            <w:vAlign w:val="center"/>
          </w:tcPr>
          <w:p w14:paraId="3B8811F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超线程技术</w:t>
            </w:r>
          </w:p>
        </w:tc>
        <w:tc>
          <w:tcPr>
            <w:tcW w:w="4005" w:type="dxa"/>
            <w:shd w:val="clear" w:color="auto" w:fill="FFFFFF"/>
            <w:vAlign w:val="center"/>
          </w:tcPr>
          <w:p w14:paraId="6AF3C61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shd w:val="clear" w:color="auto" w:fill="FFFFFF" w:themeFill="background1"/>
              </w:rPr>
              <w:t>产品所配备的CPU（中央处理器）需支持且配置超线程技术；</w:t>
            </w:r>
          </w:p>
        </w:tc>
        <w:tc>
          <w:tcPr>
            <w:tcW w:w="1334" w:type="dxa"/>
            <w:shd w:val="clear" w:color="auto" w:fill="FFFFFF"/>
            <w:vAlign w:val="center"/>
          </w:tcPr>
          <w:p w14:paraId="3332F20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9AF5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423D645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151</w:t>
            </w:r>
          </w:p>
        </w:tc>
        <w:tc>
          <w:tcPr>
            <w:tcW w:w="981" w:type="dxa"/>
            <w:shd w:val="clear" w:color="auto" w:fill="FFFFFF"/>
            <w:noWrap/>
            <w:vAlign w:val="center"/>
          </w:tcPr>
          <w:p w14:paraId="131836A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74" w:type="dxa"/>
            <w:shd w:val="clear" w:color="auto" w:fill="FFFFFF"/>
            <w:noWrap/>
            <w:vAlign w:val="center"/>
          </w:tcPr>
          <w:p w14:paraId="477D565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15" w:type="dxa"/>
            <w:shd w:val="clear" w:color="auto" w:fill="FFFFFF"/>
            <w:vAlign w:val="center"/>
          </w:tcPr>
          <w:p w14:paraId="1AB3CBF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★授权</w:t>
            </w:r>
          </w:p>
        </w:tc>
        <w:tc>
          <w:tcPr>
            <w:tcW w:w="4005" w:type="dxa"/>
            <w:shd w:val="clear" w:color="auto" w:fill="FFFFFF"/>
            <w:vAlign w:val="center"/>
          </w:tcPr>
          <w:p w14:paraId="7F439AC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配置软件授权（包含≥2颗物理CPU或≥1台物理服务器授权），具备计算虚拟化、存储虚拟化、网络虚拟化功能；</w:t>
            </w:r>
          </w:p>
        </w:tc>
        <w:tc>
          <w:tcPr>
            <w:tcW w:w="1334" w:type="dxa"/>
            <w:shd w:val="clear" w:color="auto" w:fill="FFFFFF"/>
            <w:vAlign w:val="center"/>
          </w:tcPr>
          <w:p w14:paraId="7CA7FDF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2D9A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00" w:type="dxa"/>
            <w:shd w:val="clear" w:color="auto" w:fill="FFFFFF"/>
            <w:vAlign w:val="center"/>
          </w:tcPr>
          <w:p w14:paraId="04A383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152</w:t>
            </w:r>
          </w:p>
        </w:tc>
        <w:tc>
          <w:tcPr>
            <w:tcW w:w="981" w:type="dxa"/>
            <w:shd w:val="clear" w:color="auto" w:fill="FFFFFF"/>
            <w:noWrap/>
            <w:vAlign w:val="center"/>
          </w:tcPr>
          <w:p w14:paraId="5F1E2FD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74" w:type="dxa"/>
            <w:shd w:val="clear" w:color="auto" w:fill="FFFFFF"/>
            <w:noWrap/>
            <w:vAlign w:val="center"/>
          </w:tcPr>
          <w:p w14:paraId="427C95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15" w:type="dxa"/>
            <w:shd w:val="clear" w:color="auto" w:fill="FFFFFF"/>
            <w:vAlign w:val="center"/>
          </w:tcPr>
          <w:p w14:paraId="47D2FB7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4005" w:type="dxa"/>
            <w:shd w:val="clear" w:color="auto" w:fill="FFFFFF"/>
            <w:vAlign w:val="center"/>
          </w:tcPr>
          <w:p w14:paraId="7A14882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软件的代码自主率大于99%（按行数和文件数统计均不低于99%），同时为保证检测产品的代码完整性，要求代码检测量在100万以上；</w:t>
            </w:r>
          </w:p>
        </w:tc>
        <w:tc>
          <w:tcPr>
            <w:tcW w:w="1334" w:type="dxa"/>
            <w:shd w:val="clear" w:color="auto" w:fill="FFFFFF"/>
            <w:vAlign w:val="center"/>
          </w:tcPr>
          <w:p w14:paraId="5053893E">
            <w:pPr>
              <w:widowControl/>
              <w:jc w:val="center"/>
              <w:rPr>
                <w:rFonts w:hint="eastAsia" w:asciiTheme="minorEastAsia" w:hAnsiTheme="minorEastAsia" w:eastAsiaTheme="minorEastAsia" w:cstheme="minorEastAsia"/>
                <w:kern w:val="0"/>
                <w:sz w:val="24"/>
                <w:lang w:eastAsia="zh-CN"/>
              </w:rPr>
            </w:pPr>
            <w:r>
              <w:rPr>
                <w:rFonts w:hint="eastAsia" w:asciiTheme="minorEastAsia" w:hAnsiTheme="minorEastAsia" w:eastAsiaTheme="minorEastAsia" w:cstheme="minorEastAsia"/>
                <w:kern w:val="0"/>
                <w:sz w:val="24"/>
                <w:lang w:val="en-US" w:eastAsia="zh-CN"/>
              </w:rPr>
              <w:t>否</w:t>
            </w:r>
          </w:p>
        </w:tc>
      </w:tr>
      <w:tr w14:paraId="733A2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00" w:type="dxa"/>
            <w:shd w:val="clear" w:color="auto" w:fill="FFFFFF"/>
            <w:vAlign w:val="center"/>
          </w:tcPr>
          <w:p w14:paraId="29D9814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153</w:t>
            </w:r>
          </w:p>
        </w:tc>
        <w:tc>
          <w:tcPr>
            <w:tcW w:w="981" w:type="dxa"/>
            <w:shd w:val="clear" w:color="auto" w:fill="FFFFFF"/>
            <w:noWrap/>
            <w:vAlign w:val="center"/>
          </w:tcPr>
          <w:p w14:paraId="3FCFFD0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74" w:type="dxa"/>
            <w:shd w:val="clear" w:color="auto" w:fill="FFFFFF"/>
            <w:noWrap/>
            <w:vAlign w:val="center"/>
          </w:tcPr>
          <w:p w14:paraId="7C1FF62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15" w:type="dxa"/>
            <w:shd w:val="clear" w:color="auto" w:fill="FFFFFF"/>
            <w:vAlign w:val="center"/>
          </w:tcPr>
          <w:p w14:paraId="00537D8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4005" w:type="dxa"/>
            <w:shd w:val="clear" w:color="auto" w:fill="FFFFFF"/>
            <w:vAlign w:val="center"/>
          </w:tcPr>
          <w:p w14:paraId="39FB7E6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为提升平台虚拟机的部署密度，有效降低硬件部署成本，超融合平台应支持对集群主机内存的分层设置，基于冷热分层实现内存超分，最大超分比≥10倍；虚拟机可按需一键开启或关闭内存超分</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34" w:type="dxa"/>
            <w:shd w:val="clear" w:color="auto" w:fill="FFFFFF"/>
            <w:vAlign w:val="center"/>
          </w:tcPr>
          <w:p w14:paraId="0CD8458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38458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13FA9F0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154</w:t>
            </w:r>
          </w:p>
        </w:tc>
        <w:tc>
          <w:tcPr>
            <w:tcW w:w="981" w:type="dxa"/>
            <w:shd w:val="clear" w:color="auto" w:fill="FFFFFF"/>
            <w:noWrap/>
            <w:vAlign w:val="center"/>
          </w:tcPr>
          <w:p w14:paraId="3E4A227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74" w:type="dxa"/>
            <w:shd w:val="clear" w:color="auto" w:fill="FFFFFF"/>
            <w:noWrap/>
            <w:vAlign w:val="center"/>
          </w:tcPr>
          <w:p w14:paraId="658C40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15" w:type="dxa"/>
            <w:shd w:val="clear" w:color="auto" w:fill="FFFFFF"/>
            <w:vAlign w:val="center"/>
          </w:tcPr>
          <w:p w14:paraId="7A1CAB7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4005" w:type="dxa"/>
            <w:shd w:val="clear" w:color="auto" w:fill="FFFFFF"/>
            <w:vAlign w:val="center"/>
          </w:tcPr>
          <w:p w14:paraId="799799F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支持物理机的全部功能。如：具有自己的资源（CPU，内存，网卡，存储、软驱、光驱、显卡等），可以指定单独的IP地址、MAC地址等；</w:t>
            </w:r>
          </w:p>
        </w:tc>
        <w:tc>
          <w:tcPr>
            <w:tcW w:w="1334" w:type="dxa"/>
            <w:shd w:val="clear" w:color="auto" w:fill="FFFFFF"/>
            <w:vAlign w:val="center"/>
          </w:tcPr>
          <w:p w14:paraId="12C1284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203A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65277E6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155</w:t>
            </w:r>
          </w:p>
        </w:tc>
        <w:tc>
          <w:tcPr>
            <w:tcW w:w="981" w:type="dxa"/>
            <w:shd w:val="clear" w:color="auto" w:fill="FFFFFF"/>
            <w:noWrap/>
            <w:vAlign w:val="center"/>
          </w:tcPr>
          <w:p w14:paraId="627F135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74" w:type="dxa"/>
            <w:shd w:val="clear" w:color="auto" w:fill="FFFFFF"/>
            <w:noWrap/>
            <w:vAlign w:val="center"/>
          </w:tcPr>
          <w:p w14:paraId="3CC484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15" w:type="dxa"/>
            <w:shd w:val="clear" w:color="auto" w:fill="FFFFFF"/>
            <w:vAlign w:val="center"/>
          </w:tcPr>
          <w:p w14:paraId="3091645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4005" w:type="dxa"/>
            <w:shd w:val="clear" w:color="auto" w:fill="FFFFFF"/>
            <w:vAlign w:val="center"/>
          </w:tcPr>
          <w:p w14:paraId="2D960A8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提供B/S和C/S两种虚拟机控制台使用方式，C/S客户端无任何授权限制，支持本地文件托拉拽到虚拟机内部且支持和本地共享粘贴板</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34" w:type="dxa"/>
            <w:shd w:val="clear" w:color="auto" w:fill="FFFFFF"/>
            <w:vAlign w:val="center"/>
          </w:tcPr>
          <w:p w14:paraId="60941C7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39D7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600" w:type="dxa"/>
            <w:shd w:val="clear" w:color="auto" w:fill="FFFFFF"/>
            <w:vAlign w:val="center"/>
          </w:tcPr>
          <w:p w14:paraId="353549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156</w:t>
            </w:r>
          </w:p>
        </w:tc>
        <w:tc>
          <w:tcPr>
            <w:tcW w:w="981" w:type="dxa"/>
            <w:shd w:val="clear" w:color="auto" w:fill="FFFFFF"/>
            <w:noWrap/>
            <w:vAlign w:val="center"/>
          </w:tcPr>
          <w:p w14:paraId="750A714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74" w:type="dxa"/>
            <w:shd w:val="clear" w:color="auto" w:fill="FFFFFF"/>
            <w:noWrap/>
            <w:vAlign w:val="center"/>
          </w:tcPr>
          <w:p w14:paraId="2EDB08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15" w:type="dxa"/>
            <w:shd w:val="clear" w:color="auto" w:fill="FFFFFF"/>
            <w:vAlign w:val="center"/>
          </w:tcPr>
          <w:p w14:paraId="509788F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4005" w:type="dxa"/>
            <w:shd w:val="clear" w:color="auto" w:fill="FFFFFF"/>
            <w:vAlign w:val="center"/>
          </w:tcPr>
          <w:p w14:paraId="10A3742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虚拟机和裸金属服务器统一管理，支持对裸金属服务器远程电源管理、挂载安装ISO镜像等操作，可将虚拟机镜像部署为裸金属服务器操作系统，可查看裸金属服务器电源状态、CPU、内存、硬盘等硬件信息，支持打开裸金属服务器控制台进行运维操作</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34" w:type="dxa"/>
            <w:shd w:val="clear" w:color="auto" w:fill="FFFFFF"/>
            <w:vAlign w:val="center"/>
          </w:tcPr>
          <w:p w14:paraId="422C1C1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3D066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00" w:type="dxa"/>
            <w:shd w:val="clear" w:color="auto" w:fill="FFFFFF"/>
            <w:vAlign w:val="center"/>
          </w:tcPr>
          <w:p w14:paraId="67BB8E8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157</w:t>
            </w:r>
          </w:p>
        </w:tc>
        <w:tc>
          <w:tcPr>
            <w:tcW w:w="981" w:type="dxa"/>
            <w:shd w:val="clear" w:color="auto" w:fill="FFFFFF"/>
            <w:noWrap/>
            <w:vAlign w:val="center"/>
          </w:tcPr>
          <w:p w14:paraId="6AF3AF9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74" w:type="dxa"/>
            <w:shd w:val="clear" w:color="auto" w:fill="FFFFFF"/>
            <w:noWrap/>
            <w:vAlign w:val="center"/>
          </w:tcPr>
          <w:p w14:paraId="23AEE58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15" w:type="dxa"/>
            <w:shd w:val="clear" w:color="auto" w:fill="FFFFFF"/>
            <w:vAlign w:val="center"/>
          </w:tcPr>
          <w:p w14:paraId="4429984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4005" w:type="dxa"/>
            <w:shd w:val="clear" w:color="auto" w:fill="FFFFFF"/>
            <w:vAlign w:val="center"/>
          </w:tcPr>
          <w:p w14:paraId="01ECCB9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支持在线跨云迁移功能，在管理界面内将其它站点虚拟机不中断的迁移到超融合平台内，跨云迁移的站点包括但不限于vSphere、投标品牌虚拟化平台等，迁移过程无需手动关机和重启操作</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34" w:type="dxa"/>
            <w:shd w:val="clear" w:color="auto" w:fill="FFFFFF"/>
            <w:vAlign w:val="center"/>
          </w:tcPr>
          <w:p w14:paraId="0653B91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53BF8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080" w:hRule="atLeast"/>
        </w:trPr>
        <w:tc>
          <w:tcPr>
            <w:tcW w:w="600" w:type="dxa"/>
            <w:shd w:val="clear" w:color="auto" w:fill="FFFFFF"/>
            <w:vAlign w:val="center"/>
          </w:tcPr>
          <w:p w14:paraId="4D242E0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158</w:t>
            </w:r>
          </w:p>
        </w:tc>
        <w:tc>
          <w:tcPr>
            <w:tcW w:w="981" w:type="dxa"/>
            <w:shd w:val="clear" w:color="auto" w:fill="FFFFFF"/>
            <w:noWrap/>
            <w:vAlign w:val="center"/>
          </w:tcPr>
          <w:p w14:paraId="5C4ADFB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74" w:type="dxa"/>
            <w:shd w:val="clear" w:color="auto" w:fill="FFFFFF"/>
            <w:noWrap/>
            <w:vAlign w:val="center"/>
          </w:tcPr>
          <w:p w14:paraId="224C345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15" w:type="dxa"/>
            <w:shd w:val="clear" w:color="auto" w:fill="FFFFFF"/>
            <w:vAlign w:val="center"/>
          </w:tcPr>
          <w:p w14:paraId="70A8741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4005" w:type="dxa"/>
            <w:shd w:val="clear" w:color="auto" w:fill="FFFFFF"/>
            <w:vAlign w:val="center"/>
          </w:tcPr>
          <w:p w14:paraId="11226DE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提供云边协同管理功能，支持中心站点分发应用至各个边缘站点，可一键将中心站点已部署配置完毕的应用虚拟机迁移至各边缘站点，支持基于GIS技术的全局站点展示视图，实时查看各站点资源状态</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34" w:type="dxa"/>
            <w:shd w:val="clear" w:color="auto" w:fill="FFFFFF"/>
            <w:vAlign w:val="center"/>
          </w:tcPr>
          <w:p w14:paraId="1AA2C87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2649C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00" w:type="dxa"/>
            <w:shd w:val="clear" w:color="auto" w:fill="FFFFFF"/>
            <w:vAlign w:val="center"/>
          </w:tcPr>
          <w:p w14:paraId="07050D4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159</w:t>
            </w:r>
          </w:p>
        </w:tc>
        <w:tc>
          <w:tcPr>
            <w:tcW w:w="981" w:type="dxa"/>
            <w:shd w:val="clear" w:color="auto" w:fill="FFFFFF"/>
            <w:noWrap/>
            <w:vAlign w:val="center"/>
          </w:tcPr>
          <w:p w14:paraId="5554DB8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74" w:type="dxa"/>
            <w:shd w:val="clear" w:color="auto" w:fill="FFFFFF"/>
            <w:noWrap/>
            <w:vAlign w:val="center"/>
          </w:tcPr>
          <w:p w14:paraId="2F7873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15" w:type="dxa"/>
            <w:shd w:val="clear" w:color="auto" w:fill="FFFFFF"/>
            <w:vAlign w:val="center"/>
          </w:tcPr>
          <w:p w14:paraId="73E7190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4005" w:type="dxa"/>
            <w:shd w:val="clear" w:color="auto" w:fill="FFFFFF"/>
            <w:vAlign w:val="center"/>
          </w:tcPr>
          <w:p w14:paraId="3B9BBF3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提供无授权限制的备份功能，支持虚拟机CBT模式备份，支持周期性备份和批量备份功能，备份策略可细化到分钟级，支持恢复过程中对虚拟机进行配置</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34" w:type="dxa"/>
            <w:shd w:val="clear" w:color="auto" w:fill="FFFFFF"/>
            <w:vAlign w:val="center"/>
          </w:tcPr>
          <w:p w14:paraId="162FDA3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3E890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600" w:type="dxa"/>
            <w:shd w:val="clear" w:color="auto" w:fill="FFFFFF"/>
            <w:vAlign w:val="center"/>
          </w:tcPr>
          <w:p w14:paraId="1E1007A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160</w:t>
            </w:r>
          </w:p>
        </w:tc>
        <w:tc>
          <w:tcPr>
            <w:tcW w:w="981" w:type="dxa"/>
            <w:shd w:val="clear" w:color="auto" w:fill="FFFFFF"/>
            <w:noWrap/>
            <w:vAlign w:val="center"/>
          </w:tcPr>
          <w:p w14:paraId="0B176DC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74" w:type="dxa"/>
            <w:shd w:val="clear" w:color="auto" w:fill="FFFFFF"/>
            <w:noWrap/>
            <w:vAlign w:val="center"/>
          </w:tcPr>
          <w:p w14:paraId="26ECF74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15" w:type="dxa"/>
            <w:shd w:val="clear" w:color="auto" w:fill="FFFFFF"/>
            <w:vAlign w:val="center"/>
          </w:tcPr>
          <w:p w14:paraId="516E174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4005" w:type="dxa"/>
            <w:shd w:val="clear" w:color="auto" w:fill="FFFFFF"/>
            <w:vAlign w:val="center"/>
          </w:tcPr>
          <w:p w14:paraId="01991F7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常见的虚拟资源和物理资源报警，包括但不限于CPU、内存、网卡和硬盘等资源；平台支持不同类型的报警级别，不同级别的报警需要发出对应级别的报警消息；支持邮件、短信、微信、钉钉、Teams及webhook等工具接收告警消息</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34" w:type="dxa"/>
            <w:shd w:val="clear" w:color="auto" w:fill="FFFFFF"/>
            <w:vAlign w:val="center"/>
          </w:tcPr>
          <w:p w14:paraId="0AFB28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44E3F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214D735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161</w:t>
            </w:r>
          </w:p>
        </w:tc>
        <w:tc>
          <w:tcPr>
            <w:tcW w:w="981" w:type="dxa"/>
            <w:shd w:val="clear" w:color="auto" w:fill="FFFFFF"/>
            <w:noWrap/>
            <w:vAlign w:val="center"/>
          </w:tcPr>
          <w:p w14:paraId="18B1180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74" w:type="dxa"/>
            <w:shd w:val="clear" w:color="auto" w:fill="FFFFFF"/>
            <w:noWrap/>
            <w:vAlign w:val="center"/>
          </w:tcPr>
          <w:p w14:paraId="2670F44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15" w:type="dxa"/>
            <w:shd w:val="clear" w:color="auto" w:fill="FFFFFF"/>
            <w:vAlign w:val="center"/>
          </w:tcPr>
          <w:p w14:paraId="3489BF3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4005" w:type="dxa"/>
            <w:shd w:val="clear" w:color="auto" w:fill="FFFFFF"/>
            <w:vAlign w:val="center"/>
          </w:tcPr>
          <w:p w14:paraId="4AC3FF0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支持虚拟机启动、重置密码、暂停、恢复、重启、关闭、快速克隆、迁移、备份、模板导入导出、快照等功能，支持嵌套虚拟化；</w:t>
            </w:r>
          </w:p>
        </w:tc>
        <w:tc>
          <w:tcPr>
            <w:tcW w:w="1334" w:type="dxa"/>
            <w:shd w:val="clear" w:color="auto" w:fill="FFFFFF"/>
            <w:vAlign w:val="center"/>
          </w:tcPr>
          <w:p w14:paraId="0626853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BF47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00" w:type="dxa"/>
            <w:shd w:val="clear" w:color="auto" w:fill="FFFFFF"/>
            <w:vAlign w:val="center"/>
          </w:tcPr>
          <w:p w14:paraId="0A8B833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162</w:t>
            </w:r>
          </w:p>
        </w:tc>
        <w:tc>
          <w:tcPr>
            <w:tcW w:w="981" w:type="dxa"/>
            <w:shd w:val="clear" w:color="auto" w:fill="FFFFFF"/>
            <w:noWrap/>
            <w:vAlign w:val="center"/>
          </w:tcPr>
          <w:p w14:paraId="2260898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74" w:type="dxa"/>
            <w:shd w:val="clear" w:color="auto" w:fill="FFFFFF"/>
            <w:noWrap/>
            <w:vAlign w:val="center"/>
          </w:tcPr>
          <w:p w14:paraId="4670FF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15" w:type="dxa"/>
            <w:shd w:val="clear" w:color="auto" w:fill="FFFFFF"/>
            <w:vAlign w:val="center"/>
          </w:tcPr>
          <w:p w14:paraId="12BFC94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4005" w:type="dxa"/>
            <w:shd w:val="clear" w:color="auto" w:fill="FFFFFF"/>
            <w:vAlign w:val="center"/>
          </w:tcPr>
          <w:p w14:paraId="583A3A8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支持虚拟机故障HA功能，可配置HA接入控制策略，HA最大尝试次数，且支持HA故障切换主机设置，达到故障隔离的效果，并支持配置虚拟机自启动策略和启动优先级；</w:t>
            </w:r>
          </w:p>
        </w:tc>
        <w:tc>
          <w:tcPr>
            <w:tcW w:w="1334" w:type="dxa"/>
            <w:shd w:val="clear" w:color="auto" w:fill="FFFFFF"/>
            <w:vAlign w:val="center"/>
          </w:tcPr>
          <w:p w14:paraId="42A0559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5315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00" w:type="dxa"/>
            <w:shd w:val="clear" w:color="auto" w:fill="FFFFFF"/>
            <w:vAlign w:val="center"/>
          </w:tcPr>
          <w:p w14:paraId="1B3D5B9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163</w:t>
            </w:r>
          </w:p>
        </w:tc>
        <w:tc>
          <w:tcPr>
            <w:tcW w:w="981" w:type="dxa"/>
            <w:shd w:val="clear" w:color="auto" w:fill="FFFFFF"/>
            <w:noWrap/>
            <w:vAlign w:val="center"/>
          </w:tcPr>
          <w:p w14:paraId="4B17D4A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74" w:type="dxa"/>
            <w:shd w:val="clear" w:color="auto" w:fill="FFFFFF"/>
            <w:noWrap/>
            <w:vAlign w:val="center"/>
          </w:tcPr>
          <w:p w14:paraId="4CAAD4D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15" w:type="dxa"/>
            <w:shd w:val="clear" w:color="auto" w:fill="FFFFFF"/>
            <w:vAlign w:val="center"/>
          </w:tcPr>
          <w:p w14:paraId="2E25E42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4005" w:type="dxa"/>
            <w:shd w:val="clear" w:color="auto" w:fill="FFFFFF"/>
            <w:vAlign w:val="center"/>
          </w:tcPr>
          <w:p w14:paraId="6A4E9F6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虚拟机支持添加串口、双显卡、USB、看门狗、FPGA、自定义PCI等设备以适配丰富的应用需求，虚拟机添加串口设备支持以telnet、网络客户端、网络服务端等模式登录并支持指定telnet端口号</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 xml:space="preserve">； </w:t>
            </w:r>
          </w:p>
        </w:tc>
        <w:tc>
          <w:tcPr>
            <w:tcW w:w="1334" w:type="dxa"/>
            <w:shd w:val="clear" w:color="auto" w:fill="FFFFFF"/>
            <w:vAlign w:val="center"/>
          </w:tcPr>
          <w:p w14:paraId="31B60D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0FD31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00" w:type="dxa"/>
            <w:shd w:val="clear" w:color="auto" w:fill="FFFFFF"/>
            <w:vAlign w:val="center"/>
          </w:tcPr>
          <w:p w14:paraId="76A0A8F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164</w:t>
            </w:r>
          </w:p>
        </w:tc>
        <w:tc>
          <w:tcPr>
            <w:tcW w:w="981" w:type="dxa"/>
            <w:shd w:val="clear" w:color="auto" w:fill="FFFFFF"/>
            <w:noWrap/>
            <w:vAlign w:val="center"/>
          </w:tcPr>
          <w:p w14:paraId="1AA3703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74" w:type="dxa"/>
            <w:shd w:val="clear" w:color="auto" w:fill="FFFFFF"/>
            <w:noWrap/>
            <w:vAlign w:val="center"/>
          </w:tcPr>
          <w:p w14:paraId="11A768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15" w:type="dxa"/>
            <w:shd w:val="clear" w:color="auto" w:fill="FFFFFF"/>
            <w:vAlign w:val="center"/>
          </w:tcPr>
          <w:p w14:paraId="7F41742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4005" w:type="dxa"/>
            <w:shd w:val="clear" w:color="auto" w:fill="FFFFFF"/>
            <w:vAlign w:val="center"/>
          </w:tcPr>
          <w:p w14:paraId="12BE6B4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支持精细化的虚拟机迁移控制，可配置虚拟机迁移速度和虚拟机迁移带宽百分比，通过设置虚拟机迁移带宽百分比可调整虚拟机迁移时所占用的管理网带宽，保障用户业务正常运行</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34" w:type="dxa"/>
            <w:shd w:val="clear" w:color="auto" w:fill="FFFFFF"/>
            <w:vAlign w:val="center"/>
          </w:tcPr>
          <w:p w14:paraId="101511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76602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0" w:type="dxa"/>
            <w:shd w:val="clear" w:color="auto" w:fill="FFFFFF"/>
            <w:vAlign w:val="center"/>
          </w:tcPr>
          <w:p w14:paraId="72F8DE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165</w:t>
            </w:r>
          </w:p>
        </w:tc>
        <w:tc>
          <w:tcPr>
            <w:tcW w:w="981" w:type="dxa"/>
            <w:shd w:val="clear" w:color="auto" w:fill="FFFFFF"/>
            <w:noWrap/>
            <w:vAlign w:val="center"/>
          </w:tcPr>
          <w:p w14:paraId="4D9A56F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74" w:type="dxa"/>
            <w:shd w:val="clear" w:color="auto" w:fill="FFFFFF"/>
            <w:noWrap/>
            <w:vAlign w:val="center"/>
          </w:tcPr>
          <w:p w14:paraId="6ADAE8F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15" w:type="dxa"/>
            <w:shd w:val="clear" w:color="auto" w:fill="FFFFFF"/>
            <w:vAlign w:val="center"/>
          </w:tcPr>
          <w:p w14:paraId="6B98E83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4005" w:type="dxa"/>
            <w:shd w:val="clear" w:color="auto" w:fill="FFFFFF"/>
            <w:vAlign w:val="center"/>
          </w:tcPr>
          <w:p w14:paraId="2D42EF2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支持vAPP功能，可配置若干台虚拟机组成的应用组，可设置虚拟机启动顺序和启动间隔时间，可批量修改虚拟机组的参数</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34" w:type="dxa"/>
            <w:shd w:val="clear" w:color="auto" w:fill="FFFFFF"/>
            <w:vAlign w:val="center"/>
          </w:tcPr>
          <w:p w14:paraId="0064A1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75788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00" w:type="dxa"/>
            <w:shd w:val="clear" w:color="auto" w:fill="FFFFFF"/>
            <w:vAlign w:val="center"/>
          </w:tcPr>
          <w:p w14:paraId="633BB3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166</w:t>
            </w:r>
          </w:p>
        </w:tc>
        <w:tc>
          <w:tcPr>
            <w:tcW w:w="981" w:type="dxa"/>
            <w:shd w:val="clear" w:color="auto" w:fill="FFFFFF"/>
            <w:noWrap/>
            <w:vAlign w:val="center"/>
          </w:tcPr>
          <w:p w14:paraId="1D54B1C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74" w:type="dxa"/>
            <w:shd w:val="clear" w:color="auto" w:fill="FFFFFF"/>
            <w:noWrap/>
            <w:vAlign w:val="center"/>
          </w:tcPr>
          <w:p w14:paraId="535822C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15" w:type="dxa"/>
            <w:shd w:val="clear" w:color="auto" w:fill="FFFFFF"/>
            <w:vAlign w:val="center"/>
          </w:tcPr>
          <w:p w14:paraId="5178F68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4005" w:type="dxa"/>
            <w:shd w:val="clear" w:color="auto" w:fill="FFFFFF"/>
            <w:vAlign w:val="center"/>
          </w:tcPr>
          <w:p w14:paraId="6DA3016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支持一键开启和关闭数据中心内、集群内的所有虚拟机，并设置虚拟机跟随主机启动策略以及虚拟机启动优先级策略，方便机房搬迁或关电运维场景使用</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34" w:type="dxa"/>
            <w:shd w:val="clear" w:color="auto" w:fill="FFFFFF"/>
            <w:vAlign w:val="center"/>
          </w:tcPr>
          <w:p w14:paraId="311CFBF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65707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00" w:type="dxa"/>
            <w:shd w:val="clear" w:color="auto" w:fill="FFFFFF"/>
            <w:vAlign w:val="center"/>
          </w:tcPr>
          <w:p w14:paraId="35A39C4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167</w:t>
            </w:r>
          </w:p>
        </w:tc>
        <w:tc>
          <w:tcPr>
            <w:tcW w:w="981" w:type="dxa"/>
            <w:shd w:val="clear" w:color="auto" w:fill="FFFFFF"/>
            <w:noWrap/>
            <w:vAlign w:val="center"/>
          </w:tcPr>
          <w:p w14:paraId="341DD41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74" w:type="dxa"/>
            <w:shd w:val="clear" w:color="auto" w:fill="FFFFFF"/>
            <w:noWrap/>
            <w:vAlign w:val="center"/>
          </w:tcPr>
          <w:p w14:paraId="777D559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15" w:type="dxa"/>
            <w:shd w:val="clear" w:color="auto" w:fill="FFFFFF"/>
            <w:vAlign w:val="center"/>
          </w:tcPr>
          <w:p w14:paraId="0D6F96A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存储虚拟化</w:t>
            </w:r>
          </w:p>
        </w:tc>
        <w:tc>
          <w:tcPr>
            <w:tcW w:w="4005" w:type="dxa"/>
            <w:shd w:val="clear" w:color="auto" w:fill="FFFFFF"/>
            <w:vAlign w:val="center"/>
          </w:tcPr>
          <w:p w14:paraId="1CAC700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支持自定义存储策略，包括存储精简配置、存储白名单、自定义条带大小和条带数等。存储策略的颗粒度可以具体到存储卷（LUN）、虚拟机磁盘等，支持单虚拟机可配置不同副本和置备策略的虚拟磁盘；</w:t>
            </w:r>
          </w:p>
        </w:tc>
        <w:tc>
          <w:tcPr>
            <w:tcW w:w="1334" w:type="dxa"/>
            <w:shd w:val="clear" w:color="auto" w:fill="FFFFFF"/>
            <w:vAlign w:val="center"/>
          </w:tcPr>
          <w:p w14:paraId="5449397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25F7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600" w:type="dxa"/>
            <w:shd w:val="clear" w:color="auto" w:fill="FFFFFF"/>
            <w:vAlign w:val="center"/>
          </w:tcPr>
          <w:p w14:paraId="6A1DDAE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168</w:t>
            </w:r>
          </w:p>
        </w:tc>
        <w:tc>
          <w:tcPr>
            <w:tcW w:w="981" w:type="dxa"/>
            <w:shd w:val="clear" w:color="auto" w:fill="FFFFFF"/>
            <w:noWrap/>
            <w:vAlign w:val="center"/>
          </w:tcPr>
          <w:p w14:paraId="4AE965E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74" w:type="dxa"/>
            <w:shd w:val="clear" w:color="auto" w:fill="FFFFFF"/>
            <w:noWrap/>
            <w:vAlign w:val="center"/>
          </w:tcPr>
          <w:p w14:paraId="16B1FFE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15" w:type="dxa"/>
            <w:shd w:val="clear" w:color="auto" w:fill="FFFFFF"/>
            <w:vAlign w:val="center"/>
          </w:tcPr>
          <w:p w14:paraId="3DC66DC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#存储虚拟化</w:t>
            </w:r>
          </w:p>
        </w:tc>
        <w:tc>
          <w:tcPr>
            <w:tcW w:w="4005" w:type="dxa"/>
            <w:shd w:val="clear" w:color="auto" w:fill="FFFFFF"/>
            <w:vAlign w:val="center"/>
          </w:tcPr>
          <w:p w14:paraId="221929C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机架感知，可提供基于服务器机架拓扑的存储副本智能分布功能，在超融合平台可以灵活编辑机架和主机拓扑，分布式存储根据拓扑结构自动调整数据副本分布策略，保证数据智能、均衡存储，避免出现由于单一机架的电源或网络故障造成的存储不可用和业务中断</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34" w:type="dxa"/>
            <w:shd w:val="clear" w:color="auto" w:fill="FFFFFF"/>
            <w:vAlign w:val="center"/>
          </w:tcPr>
          <w:p w14:paraId="73E3BF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5F4EE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1DDB4AB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169</w:t>
            </w:r>
          </w:p>
        </w:tc>
        <w:tc>
          <w:tcPr>
            <w:tcW w:w="981" w:type="dxa"/>
            <w:shd w:val="clear" w:color="auto" w:fill="FFFFFF"/>
            <w:noWrap/>
            <w:vAlign w:val="center"/>
          </w:tcPr>
          <w:p w14:paraId="63D2141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74" w:type="dxa"/>
            <w:shd w:val="clear" w:color="auto" w:fill="FFFFFF"/>
            <w:noWrap/>
            <w:vAlign w:val="center"/>
          </w:tcPr>
          <w:p w14:paraId="066C07A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15" w:type="dxa"/>
            <w:shd w:val="clear" w:color="auto" w:fill="FFFFFF"/>
            <w:vAlign w:val="center"/>
          </w:tcPr>
          <w:p w14:paraId="4D6F61A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存储虚拟化</w:t>
            </w:r>
          </w:p>
        </w:tc>
        <w:tc>
          <w:tcPr>
            <w:tcW w:w="4005" w:type="dxa"/>
            <w:shd w:val="clear" w:color="auto" w:fill="FFFFFF"/>
            <w:vAlign w:val="center"/>
          </w:tcPr>
          <w:p w14:paraId="1FAD28E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支持存储清理功能，可批量或单个扫描存储池，一键清理垃圾数据，节省物理资源；</w:t>
            </w:r>
          </w:p>
        </w:tc>
        <w:tc>
          <w:tcPr>
            <w:tcW w:w="1334" w:type="dxa"/>
            <w:shd w:val="clear" w:color="auto" w:fill="FFFFFF"/>
            <w:vAlign w:val="center"/>
          </w:tcPr>
          <w:p w14:paraId="2F6D74E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986C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3F6B897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170</w:t>
            </w:r>
          </w:p>
        </w:tc>
        <w:tc>
          <w:tcPr>
            <w:tcW w:w="981" w:type="dxa"/>
            <w:shd w:val="clear" w:color="auto" w:fill="FFFFFF"/>
            <w:noWrap/>
            <w:vAlign w:val="center"/>
          </w:tcPr>
          <w:p w14:paraId="3C55815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74" w:type="dxa"/>
            <w:shd w:val="clear" w:color="auto" w:fill="FFFFFF"/>
            <w:noWrap/>
            <w:vAlign w:val="center"/>
          </w:tcPr>
          <w:p w14:paraId="6A74A6F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15" w:type="dxa"/>
            <w:shd w:val="clear" w:color="auto" w:fill="FFFFFF"/>
            <w:vAlign w:val="center"/>
          </w:tcPr>
          <w:p w14:paraId="7B1A18B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#网络虚拟化</w:t>
            </w:r>
          </w:p>
        </w:tc>
        <w:tc>
          <w:tcPr>
            <w:tcW w:w="4005" w:type="dxa"/>
            <w:shd w:val="clear" w:color="auto" w:fill="FFFFFF"/>
            <w:vAlign w:val="center"/>
          </w:tcPr>
          <w:p w14:paraId="3D8316F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提供全局分布式SDN功能，以避免SDN控制节点故障，提供分布式SDN硬件加速能力，可提供更高转发性能，SDN支持VLAN/VXLAN模式</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34" w:type="dxa"/>
            <w:shd w:val="clear" w:color="auto" w:fill="FFFFFF"/>
            <w:vAlign w:val="center"/>
          </w:tcPr>
          <w:p w14:paraId="35E0E06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765F2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600" w:type="dxa"/>
            <w:shd w:val="clear" w:color="auto" w:fill="FFFFFF"/>
            <w:vAlign w:val="center"/>
          </w:tcPr>
          <w:p w14:paraId="5CE609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171</w:t>
            </w:r>
          </w:p>
        </w:tc>
        <w:tc>
          <w:tcPr>
            <w:tcW w:w="981" w:type="dxa"/>
            <w:shd w:val="clear" w:color="auto" w:fill="FFFFFF"/>
            <w:noWrap/>
            <w:vAlign w:val="center"/>
          </w:tcPr>
          <w:p w14:paraId="69DA556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74" w:type="dxa"/>
            <w:shd w:val="clear" w:color="auto" w:fill="FFFFFF"/>
            <w:noWrap/>
            <w:vAlign w:val="center"/>
          </w:tcPr>
          <w:p w14:paraId="210F33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15" w:type="dxa"/>
            <w:shd w:val="clear" w:color="auto" w:fill="FFFFFF"/>
            <w:vAlign w:val="center"/>
          </w:tcPr>
          <w:p w14:paraId="6013C2A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#网络虚拟化</w:t>
            </w:r>
          </w:p>
        </w:tc>
        <w:tc>
          <w:tcPr>
            <w:tcW w:w="4005" w:type="dxa"/>
            <w:shd w:val="clear" w:color="auto" w:fill="FFFFFF"/>
            <w:vAlign w:val="center"/>
          </w:tcPr>
          <w:p w14:paraId="7A78AD2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支持全局分布式SDN智能加速，卸载分布式SDN网络的数据平面到硬件网卡，通过对东西向Overlay网络流量和南北向流量卸载，大幅提高网络转发性能并节省主机资源</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34" w:type="dxa"/>
            <w:shd w:val="clear" w:color="auto" w:fill="FFFFFF"/>
            <w:vAlign w:val="center"/>
          </w:tcPr>
          <w:p w14:paraId="1614328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419B6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5D6D24C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172</w:t>
            </w:r>
          </w:p>
        </w:tc>
        <w:tc>
          <w:tcPr>
            <w:tcW w:w="981" w:type="dxa"/>
            <w:shd w:val="clear" w:color="auto" w:fill="FFFFFF"/>
            <w:noWrap/>
            <w:vAlign w:val="center"/>
          </w:tcPr>
          <w:p w14:paraId="01A60C9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74" w:type="dxa"/>
            <w:shd w:val="clear" w:color="auto" w:fill="FFFFFF"/>
            <w:noWrap/>
            <w:vAlign w:val="center"/>
          </w:tcPr>
          <w:p w14:paraId="5A5F70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15" w:type="dxa"/>
            <w:shd w:val="clear" w:color="auto" w:fill="FFFFFF"/>
            <w:vAlign w:val="center"/>
          </w:tcPr>
          <w:p w14:paraId="493E010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网络虚拟化</w:t>
            </w:r>
          </w:p>
        </w:tc>
        <w:tc>
          <w:tcPr>
            <w:tcW w:w="4005" w:type="dxa"/>
            <w:shd w:val="clear" w:color="auto" w:fill="FFFFFF"/>
            <w:vAlign w:val="center"/>
          </w:tcPr>
          <w:p w14:paraId="4796E3B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支持网络图形化编排，编辑网络拓扑及拖拽网元即可完成网络拓扑的创建、变更、属性编辑；</w:t>
            </w:r>
          </w:p>
        </w:tc>
        <w:tc>
          <w:tcPr>
            <w:tcW w:w="1334" w:type="dxa"/>
            <w:shd w:val="clear" w:color="auto" w:fill="FFFFFF"/>
            <w:vAlign w:val="center"/>
          </w:tcPr>
          <w:p w14:paraId="5BD9915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bl>
    <w:p w14:paraId="61612441">
      <w:pPr>
        <w:pStyle w:val="14"/>
        <w:ind w:left="0" w:leftChars="0" w:firstLine="0" w:firstLineChars="0"/>
        <w:rPr>
          <w:rFonts w:asciiTheme="minorEastAsia" w:hAnsiTheme="minorEastAsia" w:eastAsiaTheme="minorEastAsia" w:cstheme="minorEastAsia"/>
          <w:szCs w:val="24"/>
        </w:rPr>
      </w:pPr>
    </w:p>
    <w:p w14:paraId="37C4E70F">
      <w:pPr>
        <w:pStyle w:val="2"/>
        <w:numPr>
          <w:ilvl w:val="0"/>
          <w:numId w:val="2"/>
        </w:numPr>
        <w:ind w:left="442" w:hanging="442"/>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临床数据中心hadoop集群</w:t>
      </w:r>
    </w:p>
    <w:tbl>
      <w:tblPr>
        <w:tblStyle w:val="15"/>
        <w:tblW w:w="9510" w:type="dxa"/>
        <w:tblInd w:w="-4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600"/>
        <w:gridCol w:w="999"/>
        <w:gridCol w:w="1080"/>
        <w:gridCol w:w="1506"/>
        <w:gridCol w:w="3984"/>
        <w:gridCol w:w="1341"/>
      </w:tblGrid>
      <w:tr w14:paraId="0CF6E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85" w:hRule="atLeast"/>
        </w:trPr>
        <w:tc>
          <w:tcPr>
            <w:tcW w:w="600" w:type="dxa"/>
            <w:shd w:val="clear" w:color="auto" w:fill="FFFFFF"/>
            <w:vAlign w:val="center"/>
          </w:tcPr>
          <w:p w14:paraId="7DC514C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序号</w:t>
            </w:r>
          </w:p>
        </w:tc>
        <w:tc>
          <w:tcPr>
            <w:tcW w:w="999" w:type="dxa"/>
            <w:shd w:val="clear" w:color="auto" w:fill="FFFFFF"/>
            <w:vAlign w:val="center"/>
          </w:tcPr>
          <w:p w14:paraId="0DC4C9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指标分类</w:t>
            </w:r>
          </w:p>
        </w:tc>
        <w:tc>
          <w:tcPr>
            <w:tcW w:w="1080" w:type="dxa"/>
            <w:shd w:val="clear" w:color="auto" w:fill="FFFFFF"/>
            <w:vAlign w:val="center"/>
          </w:tcPr>
          <w:p w14:paraId="6637AE3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一级指标</w:t>
            </w:r>
          </w:p>
        </w:tc>
        <w:tc>
          <w:tcPr>
            <w:tcW w:w="1506" w:type="dxa"/>
            <w:shd w:val="clear" w:color="auto" w:fill="FFFFFF"/>
            <w:vAlign w:val="center"/>
          </w:tcPr>
          <w:p w14:paraId="383902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二级指标</w:t>
            </w:r>
          </w:p>
        </w:tc>
        <w:tc>
          <w:tcPr>
            <w:tcW w:w="3984" w:type="dxa"/>
            <w:shd w:val="clear" w:color="auto" w:fill="FFFFFF"/>
            <w:vAlign w:val="center"/>
          </w:tcPr>
          <w:p w14:paraId="5D0831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指标要求</w:t>
            </w:r>
          </w:p>
        </w:tc>
        <w:tc>
          <w:tcPr>
            <w:tcW w:w="1341" w:type="dxa"/>
            <w:shd w:val="clear" w:color="auto" w:fill="FFFFFF"/>
            <w:vAlign w:val="center"/>
          </w:tcPr>
          <w:p w14:paraId="5DE8055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是否提供证明材料</w:t>
            </w:r>
          </w:p>
        </w:tc>
      </w:tr>
      <w:tr w14:paraId="1828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0" w:type="dxa"/>
            <w:shd w:val="clear" w:color="auto" w:fill="FFFFFF"/>
            <w:vAlign w:val="center"/>
          </w:tcPr>
          <w:p w14:paraId="660F86D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w:t>
            </w:r>
          </w:p>
        </w:tc>
        <w:tc>
          <w:tcPr>
            <w:tcW w:w="999" w:type="dxa"/>
            <w:shd w:val="clear" w:color="auto" w:fill="FFFFFF"/>
            <w:vAlign w:val="center"/>
          </w:tcPr>
          <w:p w14:paraId="6566EA2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shd w:val="clear" w:color="auto" w:fill="FFFFFF"/>
            <w:vAlign w:val="center"/>
          </w:tcPr>
          <w:p w14:paraId="6E52A4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CPU规格</w:t>
            </w:r>
          </w:p>
        </w:tc>
        <w:tc>
          <w:tcPr>
            <w:tcW w:w="1506" w:type="dxa"/>
            <w:shd w:val="clear" w:color="auto" w:fill="FFFFFF"/>
            <w:vAlign w:val="center"/>
          </w:tcPr>
          <w:p w14:paraId="5C479D2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★CPU信息</w:t>
            </w:r>
          </w:p>
        </w:tc>
        <w:tc>
          <w:tcPr>
            <w:tcW w:w="3984" w:type="dxa"/>
            <w:shd w:val="clear" w:color="auto" w:fill="FFFFFF"/>
            <w:vAlign w:val="center"/>
          </w:tcPr>
          <w:p w14:paraId="44AA9B1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供应商应给出CPU信息，包含CPU型号、物理核心数、主频、末级缓存容量、线程数、热设计功耗及支持内存的最高速率、通道数和位宽</w:t>
            </w:r>
          </w:p>
        </w:tc>
        <w:tc>
          <w:tcPr>
            <w:tcW w:w="1341" w:type="dxa"/>
            <w:shd w:val="clear" w:color="auto" w:fill="FFFFFF"/>
            <w:vAlign w:val="center"/>
          </w:tcPr>
          <w:p w14:paraId="4D64215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33DB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188B8D8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999" w:type="dxa"/>
            <w:shd w:val="clear" w:color="auto" w:fill="FFFFFF"/>
            <w:vAlign w:val="center"/>
          </w:tcPr>
          <w:p w14:paraId="279088E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restart"/>
            <w:shd w:val="clear" w:color="auto" w:fill="FFFFFF"/>
            <w:vAlign w:val="center"/>
          </w:tcPr>
          <w:p w14:paraId="00F1EBC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主板规格</w:t>
            </w:r>
          </w:p>
        </w:tc>
        <w:tc>
          <w:tcPr>
            <w:tcW w:w="1506" w:type="dxa"/>
            <w:shd w:val="clear" w:color="auto" w:fill="FFFFFF"/>
            <w:vAlign w:val="center"/>
          </w:tcPr>
          <w:p w14:paraId="6C9297E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★主板支持的CPU和内存情况</w:t>
            </w:r>
          </w:p>
        </w:tc>
        <w:tc>
          <w:tcPr>
            <w:tcW w:w="3984" w:type="dxa"/>
            <w:shd w:val="clear" w:color="auto" w:fill="FFFFFF"/>
            <w:vAlign w:val="center"/>
          </w:tcPr>
          <w:p w14:paraId="1B8CE5B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供应商给出主板支持的CPU和内存的型号数量</w:t>
            </w:r>
          </w:p>
        </w:tc>
        <w:tc>
          <w:tcPr>
            <w:tcW w:w="1341" w:type="dxa"/>
            <w:shd w:val="clear" w:color="auto" w:fill="FFFFFF"/>
            <w:vAlign w:val="center"/>
          </w:tcPr>
          <w:p w14:paraId="7F69127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BEBC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1CB13A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w:t>
            </w:r>
          </w:p>
        </w:tc>
        <w:tc>
          <w:tcPr>
            <w:tcW w:w="999" w:type="dxa"/>
            <w:shd w:val="clear" w:color="auto" w:fill="FFFFFF"/>
            <w:vAlign w:val="center"/>
          </w:tcPr>
          <w:p w14:paraId="6541EF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30341EF2">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4648499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★主板内存槽数量</w:t>
            </w:r>
          </w:p>
        </w:tc>
        <w:tc>
          <w:tcPr>
            <w:tcW w:w="3984" w:type="dxa"/>
            <w:shd w:val="clear" w:color="auto" w:fill="FFFFFF"/>
            <w:vAlign w:val="center"/>
          </w:tcPr>
          <w:p w14:paraId="3A7FF3E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非板载内存的可扩展插槽数量应≥4个</w:t>
            </w:r>
          </w:p>
        </w:tc>
        <w:tc>
          <w:tcPr>
            <w:tcW w:w="1341" w:type="dxa"/>
            <w:shd w:val="clear" w:color="auto" w:fill="FFFFFF"/>
            <w:vAlign w:val="center"/>
          </w:tcPr>
          <w:p w14:paraId="2CB8AF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6F4F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0ED5F25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w:t>
            </w:r>
          </w:p>
        </w:tc>
        <w:tc>
          <w:tcPr>
            <w:tcW w:w="999" w:type="dxa"/>
            <w:shd w:val="clear" w:color="auto" w:fill="FFFFFF"/>
            <w:vAlign w:val="center"/>
          </w:tcPr>
          <w:p w14:paraId="31B5CB7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23A4C43A">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7950FD4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★主板存储接口</w:t>
            </w:r>
          </w:p>
        </w:tc>
        <w:tc>
          <w:tcPr>
            <w:tcW w:w="3984" w:type="dxa"/>
            <w:shd w:val="clear" w:color="auto" w:fill="FFFFFF"/>
            <w:vAlign w:val="center"/>
          </w:tcPr>
          <w:p w14:paraId="1B60295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至少支持SATA、SAS、M.2、U.2等存储接口中的1种</w:t>
            </w:r>
          </w:p>
        </w:tc>
        <w:tc>
          <w:tcPr>
            <w:tcW w:w="1341" w:type="dxa"/>
            <w:shd w:val="clear" w:color="auto" w:fill="FFFFFF"/>
            <w:vAlign w:val="center"/>
          </w:tcPr>
          <w:p w14:paraId="7BD582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13BD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0" w:type="dxa"/>
            <w:shd w:val="clear" w:color="auto" w:fill="FFFFFF"/>
            <w:vAlign w:val="center"/>
          </w:tcPr>
          <w:p w14:paraId="233738E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w:t>
            </w:r>
          </w:p>
        </w:tc>
        <w:tc>
          <w:tcPr>
            <w:tcW w:w="999" w:type="dxa"/>
            <w:shd w:val="clear" w:color="auto" w:fill="FFFFFF"/>
            <w:vAlign w:val="center"/>
          </w:tcPr>
          <w:p w14:paraId="4B99D4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06FF2F37">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5910B07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★PCIe插槽接口</w:t>
            </w:r>
          </w:p>
        </w:tc>
        <w:tc>
          <w:tcPr>
            <w:tcW w:w="3984" w:type="dxa"/>
            <w:shd w:val="clear" w:color="auto" w:fill="FFFFFF"/>
            <w:vAlign w:val="center"/>
          </w:tcPr>
          <w:p w14:paraId="47BBEE2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符合PCIe3.0或以上的高速串行计算机扩展总线标准，PCIe的接口速率与位宽需保证向下兼容</w:t>
            </w:r>
          </w:p>
        </w:tc>
        <w:tc>
          <w:tcPr>
            <w:tcW w:w="1341" w:type="dxa"/>
            <w:shd w:val="clear" w:color="auto" w:fill="FFFFFF"/>
            <w:vAlign w:val="center"/>
          </w:tcPr>
          <w:p w14:paraId="05340FB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AD95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0" w:type="dxa"/>
            <w:shd w:val="clear" w:color="auto" w:fill="FFFFFF"/>
            <w:vAlign w:val="center"/>
          </w:tcPr>
          <w:p w14:paraId="0997B82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w:t>
            </w:r>
          </w:p>
        </w:tc>
        <w:tc>
          <w:tcPr>
            <w:tcW w:w="999" w:type="dxa"/>
            <w:shd w:val="clear" w:color="auto" w:fill="FFFFFF"/>
            <w:vAlign w:val="center"/>
          </w:tcPr>
          <w:p w14:paraId="2C4E68B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004947B4">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5AA90F0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★主板PCIe插槽数量及规格</w:t>
            </w:r>
          </w:p>
        </w:tc>
        <w:tc>
          <w:tcPr>
            <w:tcW w:w="3984" w:type="dxa"/>
            <w:shd w:val="clear" w:color="auto" w:fill="FFFFFF"/>
            <w:vAlign w:val="center"/>
          </w:tcPr>
          <w:p w14:paraId="6452B9E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a）高度大于44.45mm双路或以上服务器PCIe插槽或接口应≥5个；</w:t>
            </w:r>
          </w:p>
          <w:p w14:paraId="1ADEE9E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b）单路服务器PCIe插槽或接口应≥4个，可通过扩展卡进行插槽扩展</w:t>
            </w:r>
          </w:p>
        </w:tc>
        <w:tc>
          <w:tcPr>
            <w:tcW w:w="1341" w:type="dxa"/>
            <w:shd w:val="clear" w:color="auto" w:fill="FFFFFF"/>
            <w:vAlign w:val="center"/>
          </w:tcPr>
          <w:p w14:paraId="02D74B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AAAE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8" w:hRule="atLeast"/>
        </w:trPr>
        <w:tc>
          <w:tcPr>
            <w:tcW w:w="600" w:type="dxa"/>
            <w:shd w:val="clear" w:color="auto" w:fill="FFFFFF"/>
            <w:vAlign w:val="center"/>
          </w:tcPr>
          <w:p w14:paraId="4E84FC7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w:t>
            </w:r>
          </w:p>
        </w:tc>
        <w:tc>
          <w:tcPr>
            <w:tcW w:w="999" w:type="dxa"/>
            <w:shd w:val="clear" w:color="auto" w:fill="FFFFFF"/>
            <w:vAlign w:val="center"/>
          </w:tcPr>
          <w:p w14:paraId="4D574C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546512C7">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1E3240E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特殊孔位及接口</w:t>
            </w:r>
          </w:p>
        </w:tc>
        <w:tc>
          <w:tcPr>
            <w:tcW w:w="3984" w:type="dxa"/>
            <w:shd w:val="clear" w:color="auto" w:fill="FFFFFF"/>
            <w:vAlign w:val="center"/>
          </w:tcPr>
          <w:p w14:paraId="6631277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服务器机箱内主板可根据用户实际使用需求支持安装多功能导入装置板卡，机箱内需预留多功能导入装置板卡安装位置，容量不小于55mm×45mm×15mm（长×宽×高，单位毫米）；b）服务器主板可根据用户实际使用需求预留满足USB2.0或USB3.0数据传输规范的接口，工作电压5V，采用USB2.0时，最大过电流应不小于0.5A，采用USB3.0时，最大过电流应不小于1A</w:t>
            </w:r>
          </w:p>
        </w:tc>
        <w:tc>
          <w:tcPr>
            <w:tcW w:w="1341" w:type="dxa"/>
            <w:shd w:val="clear" w:color="auto" w:fill="FFFFFF"/>
            <w:vAlign w:val="center"/>
          </w:tcPr>
          <w:p w14:paraId="259E34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436C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6A0BF3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999" w:type="dxa"/>
            <w:shd w:val="clear" w:color="auto" w:fill="FFFFFF"/>
            <w:vAlign w:val="center"/>
          </w:tcPr>
          <w:p w14:paraId="2F34AF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5D1920B3">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4EEF545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板载网络接口</w:t>
            </w:r>
          </w:p>
        </w:tc>
        <w:tc>
          <w:tcPr>
            <w:tcW w:w="3984" w:type="dxa"/>
            <w:shd w:val="clear" w:color="auto" w:fill="FFFFFF"/>
            <w:vAlign w:val="center"/>
          </w:tcPr>
          <w:p w14:paraId="4E9A778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若支持板载网络接口应≥2个1GE网口</w:t>
            </w:r>
          </w:p>
        </w:tc>
        <w:tc>
          <w:tcPr>
            <w:tcW w:w="1341" w:type="dxa"/>
            <w:shd w:val="clear" w:color="auto" w:fill="FFFFFF"/>
            <w:vAlign w:val="center"/>
          </w:tcPr>
          <w:p w14:paraId="1CCBE4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D23A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0" w:type="dxa"/>
            <w:shd w:val="clear" w:color="auto" w:fill="FFFFFF"/>
            <w:vAlign w:val="center"/>
          </w:tcPr>
          <w:p w14:paraId="05DB53D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w:t>
            </w:r>
          </w:p>
        </w:tc>
        <w:tc>
          <w:tcPr>
            <w:tcW w:w="999" w:type="dxa"/>
            <w:shd w:val="clear" w:color="auto" w:fill="FFFFFF"/>
            <w:vAlign w:val="center"/>
          </w:tcPr>
          <w:p w14:paraId="1A650E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07127E59">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227AF46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主板OCP插槽数量</w:t>
            </w:r>
          </w:p>
        </w:tc>
        <w:tc>
          <w:tcPr>
            <w:tcW w:w="3984" w:type="dxa"/>
            <w:shd w:val="clear" w:color="auto" w:fill="FFFFFF"/>
            <w:vAlign w:val="center"/>
          </w:tcPr>
          <w:p w14:paraId="5CABDAD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支持OCP2.0及以上插槽的数量≥1个</w:t>
            </w:r>
          </w:p>
        </w:tc>
        <w:tc>
          <w:tcPr>
            <w:tcW w:w="1341" w:type="dxa"/>
            <w:shd w:val="clear" w:color="auto" w:fill="FFFFFF"/>
            <w:vAlign w:val="center"/>
          </w:tcPr>
          <w:p w14:paraId="7545102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07C0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00" w:type="dxa"/>
            <w:shd w:val="clear" w:color="auto" w:fill="FFFFFF"/>
            <w:vAlign w:val="center"/>
          </w:tcPr>
          <w:p w14:paraId="4142685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w:t>
            </w:r>
          </w:p>
        </w:tc>
        <w:tc>
          <w:tcPr>
            <w:tcW w:w="999" w:type="dxa"/>
            <w:shd w:val="clear" w:color="auto" w:fill="FFFFFF"/>
            <w:vAlign w:val="center"/>
          </w:tcPr>
          <w:p w14:paraId="687E9FA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restart"/>
            <w:shd w:val="clear" w:color="auto" w:fill="FFFFFF"/>
            <w:vAlign w:val="center"/>
          </w:tcPr>
          <w:p w14:paraId="0EF3ED3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内存规格</w:t>
            </w:r>
          </w:p>
        </w:tc>
        <w:tc>
          <w:tcPr>
            <w:tcW w:w="1506" w:type="dxa"/>
            <w:shd w:val="clear" w:color="auto" w:fill="FFFFFF"/>
            <w:vAlign w:val="center"/>
          </w:tcPr>
          <w:p w14:paraId="7A7ECFE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★内存数量</w:t>
            </w:r>
          </w:p>
        </w:tc>
        <w:tc>
          <w:tcPr>
            <w:tcW w:w="3984" w:type="dxa"/>
            <w:shd w:val="clear" w:color="auto" w:fill="FFFFFF"/>
            <w:vAlign w:val="center"/>
          </w:tcPr>
          <w:p w14:paraId="36C1A64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1341" w:type="dxa"/>
            <w:shd w:val="clear" w:color="auto" w:fill="FFFFFF"/>
            <w:vAlign w:val="center"/>
          </w:tcPr>
          <w:p w14:paraId="1A59C1A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AD79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00" w:type="dxa"/>
            <w:shd w:val="clear" w:color="auto" w:fill="FFFFFF"/>
            <w:vAlign w:val="center"/>
          </w:tcPr>
          <w:p w14:paraId="4E01675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w:t>
            </w:r>
          </w:p>
        </w:tc>
        <w:tc>
          <w:tcPr>
            <w:tcW w:w="999" w:type="dxa"/>
            <w:shd w:val="clear" w:color="auto" w:fill="FFFFFF"/>
            <w:vAlign w:val="center"/>
          </w:tcPr>
          <w:p w14:paraId="543E75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3E15CF0A">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270028F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★内存规格</w:t>
            </w:r>
          </w:p>
        </w:tc>
        <w:tc>
          <w:tcPr>
            <w:tcW w:w="3984" w:type="dxa"/>
            <w:shd w:val="clear" w:color="auto" w:fill="FFFFFF"/>
            <w:vAlign w:val="center"/>
          </w:tcPr>
          <w:p w14:paraId="4E349B7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≥DDR4</w:t>
            </w:r>
          </w:p>
        </w:tc>
        <w:tc>
          <w:tcPr>
            <w:tcW w:w="1341" w:type="dxa"/>
            <w:shd w:val="clear" w:color="auto" w:fill="FFFFFF"/>
            <w:vAlign w:val="center"/>
          </w:tcPr>
          <w:p w14:paraId="3F0AE7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9D8B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6A4FF81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w:t>
            </w:r>
          </w:p>
        </w:tc>
        <w:tc>
          <w:tcPr>
            <w:tcW w:w="999" w:type="dxa"/>
            <w:shd w:val="clear" w:color="auto" w:fill="FFFFFF"/>
            <w:vAlign w:val="center"/>
          </w:tcPr>
          <w:p w14:paraId="2D6446C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26782DE8">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0128A38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★内存通道</w:t>
            </w:r>
          </w:p>
        </w:tc>
        <w:tc>
          <w:tcPr>
            <w:tcW w:w="3984" w:type="dxa"/>
            <w:shd w:val="clear" w:color="auto" w:fill="FFFFFF"/>
            <w:vAlign w:val="center"/>
          </w:tcPr>
          <w:p w14:paraId="7B6E877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支持多个内存接口通道，每个通道可支持1DPC或2DPC，当支持2DPC时，印制电路板上应具备插槽的序号标识，具体通道数应在随机文件中明确</w:t>
            </w:r>
          </w:p>
        </w:tc>
        <w:tc>
          <w:tcPr>
            <w:tcW w:w="1341" w:type="dxa"/>
            <w:shd w:val="clear" w:color="auto" w:fill="FFFFFF"/>
            <w:vAlign w:val="center"/>
          </w:tcPr>
          <w:p w14:paraId="1E5CD39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E47C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36E299B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w:t>
            </w:r>
          </w:p>
        </w:tc>
        <w:tc>
          <w:tcPr>
            <w:tcW w:w="999" w:type="dxa"/>
            <w:shd w:val="clear" w:color="auto" w:fill="FFFFFF"/>
            <w:vAlign w:val="center"/>
          </w:tcPr>
          <w:p w14:paraId="5215DC7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restart"/>
            <w:shd w:val="clear" w:color="auto" w:fill="FFFFFF"/>
            <w:vAlign w:val="center"/>
          </w:tcPr>
          <w:p w14:paraId="25024D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存储规格</w:t>
            </w:r>
          </w:p>
        </w:tc>
        <w:tc>
          <w:tcPr>
            <w:tcW w:w="1506" w:type="dxa"/>
            <w:shd w:val="clear" w:color="auto" w:fill="FFFFFF"/>
            <w:vAlign w:val="center"/>
          </w:tcPr>
          <w:p w14:paraId="0C67C71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硬盘类型</w:t>
            </w:r>
          </w:p>
        </w:tc>
        <w:tc>
          <w:tcPr>
            <w:tcW w:w="3984" w:type="dxa"/>
            <w:shd w:val="clear" w:color="auto" w:fill="FFFFFF"/>
            <w:vAlign w:val="center"/>
          </w:tcPr>
          <w:p w14:paraId="344D55C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供应商给出服务器支持硬磁盘和固态盘类型及规格</w:t>
            </w:r>
          </w:p>
        </w:tc>
        <w:tc>
          <w:tcPr>
            <w:tcW w:w="1341" w:type="dxa"/>
            <w:shd w:val="clear" w:color="auto" w:fill="FFFFFF"/>
            <w:vAlign w:val="center"/>
          </w:tcPr>
          <w:p w14:paraId="30C9D1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0B5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0" w:type="dxa"/>
            <w:shd w:val="clear" w:color="auto" w:fill="FFFFFF"/>
            <w:vAlign w:val="center"/>
          </w:tcPr>
          <w:p w14:paraId="10B7234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w:t>
            </w:r>
          </w:p>
        </w:tc>
        <w:tc>
          <w:tcPr>
            <w:tcW w:w="999" w:type="dxa"/>
            <w:shd w:val="clear" w:color="auto" w:fill="FFFFFF"/>
            <w:vAlign w:val="center"/>
          </w:tcPr>
          <w:p w14:paraId="5B3BF5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7208AE19">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3F18026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★硬磁盘实配容量</w:t>
            </w:r>
          </w:p>
        </w:tc>
        <w:tc>
          <w:tcPr>
            <w:tcW w:w="3984" w:type="dxa"/>
            <w:shd w:val="clear" w:color="auto" w:fill="FFFFFF"/>
            <w:vAlign w:val="center"/>
          </w:tcPr>
          <w:p w14:paraId="7DD6476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硬盘1：≥960G SATA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硬盘2：≥3.2T NVMe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硬盘3：≥3.84T SATA SSD</w:t>
            </w:r>
          </w:p>
        </w:tc>
        <w:tc>
          <w:tcPr>
            <w:tcW w:w="1341" w:type="dxa"/>
            <w:shd w:val="clear" w:color="auto" w:fill="FFFFFF"/>
            <w:vAlign w:val="center"/>
          </w:tcPr>
          <w:p w14:paraId="43F4E8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F0C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38A55B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w:t>
            </w:r>
          </w:p>
        </w:tc>
        <w:tc>
          <w:tcPr>
            <w:tcW w:w="999" w:type="dxa"/>
            <w:shd w:val="clear" w:color="auto" w:fill="FFFFFF"/>
            <w:vAlign w:val="center"/>
          </w:tcPr>
          <w:p w14:paraId="74D4629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4079B5C9">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558679C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硬盘接口类型</w:t>
            </w:r>
          </w:p>
        </w:tc>
        <w:tc>
          <w:tcPr>
            <w:tcW w:w="3984" w:type="dxa"/>
            <w:shd w:val="clear" w:color="auto" w:fill="FFFFFF"/>
            <w:vAlign w:val="center"/>
          </w:tcPr>
          <w:p w14:paraId="363E952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a）若配备硬磁盘，应提供SAS3.0或SATA3.0及以上接口；b）若配备固态盘，应提供至少1种类型固态盘接口，如UFS、SATA、PCIe等</w:t>
            </w:r>
          </w:p>
        </w:tc>
        <w:tc>
          <w:tcPr>
            <w:tcW w:w="1341" w:type="dxa"/>
            <w:shd w:val="clear" w:color="auto" w:fill="FFFFFF"/>
            <w:vAlign w:val="center"/>
          </w:tcPr>
          <w:p w14:paraId="0A169B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A7E0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52529DA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w:t>
            </w:r>
          </w:p>
        </w:tc>
        <w:tc>
          <w:tcPr>
            <w:tcW w:w="999" w:type="dxa"/>
            <w:shd w:val="clear" w:color="auto" w:fill="FFFFFF"/>
            <w:vAlign w:val="center"/>
          </w:tcPr>
          <w:p w14:paraId="46F69A6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59B5A51F">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69F267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★硬盘实配数量</w:t>
            </w:r>
          </w:p>
        </w:tc>
        <w:tc>
          <w:tcPr>
            <w:tcW w:w="3984" w:type="dxa"/>
            <w:shd w:val="clear" w:color="auto" w:fill="FFFFFF"/>
            <w:vAlign w:val="center"/>
          </w:tcPr>
          <w:p w14:paraId="2FAC35D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硬盘1：≥2块960G SATA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硬盘2：≥2块3.2T NVMe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硬盘3：≥8块3.84T SATA SSD</w:t>
            </w:r>
          </w:p>
        </w:tc>
        <w:tc>
          <w:tcPr>
            <w:tcW w:w="1341" w:type="dxa"/>
            <w:shd w:val="clear" w:color="auto" w:fill="FFFFFF"/>
            <w:vAlign w:val="center"/>
          </w:tcPr>
          <w:p w14:paraId="506FA2A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E4D4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600" w:type="dxa"/>
            <w:shd w:val="clear" w:color="auto" w:fill="FFFFFF"/>
            <w:vAlign w:val="center"/>
          </w:tcPr>
          <w:p w14:paraId="23952FF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17</w:t>
            </w:r>
          </w:p>
        </w:tc>
        <w:tc>
          <w:tcPr>
            <w:tcW w:w="999" w:type="dxa"/>
            <w:shd w:val="clear" w:color="auto" w:fill="FFFFFF"/>
            <w:vAlign w:val="center"/>
          </w:tcPr>
          <w:p w14:paraId="7933B2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3D2AAE56">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2D477CC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★硬盘插槽数量及规格</w:t>
            </w:r>
          </w:p>
        </w:tc>
        <w:tc>
          <w:tcPr>
            <w:tcW w:w="3984" w:type="dxa"/>
            <w:shd w:val="clear" w:color="auto" w:fill="FFFFFF"/>
            <w:vAlign w:val="center"/>
          </w:tcPr>
          <w:p w14:paraId="0ADBB6F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供应商应给出配置的硬盘尺寸，如2.5英寸、3.5英寸硬磁盘；b）机箱高度为88.9mm的服务器可支持的硬盘数量应≥8块，机箱高度为44.45mm的服务器可支持的硬盘数量应≥4块。c）存储型服务器可支持硬盘数量应≥24块</w:t>
            </w:r>
          </w:p>
        </w:tc>
        <w:tc>
          <w:tcPr>
            <w:tcW w:w="1341" w:type="dxa"/>
            <w:shd w:val="clear" w:color="auto" w:fill="FFFFFF"/>
            <w:vAlign w:val="center"/>
          </w:tcPr>
          <w:p w14:paraId="0D2854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04AA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00" w:type="dxa"/>
            <w:shd w:val="clear" w:color="auto" w:fill="FFFFFF"/>
            <w:vAlign w:val="center"/>
          </w:tcPr>
          <w:p w14:paraId="073801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18</w:t>
            </w:r>
          </w:p>
        </w:tc>
        <w:tc>
          <w:tcPr>
            <w:tcW w:w="999" w:type="dxa"/>
            <w:shd w:val="clear" w:color="auto" w:fill="FFFFFF"/>
            <w:vAlign w:val="center"/>
          </w:tcPr>
          <w:p w14:paraId="6C1E1F3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16461CA7">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09FFD5F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硬盘其他参数要求</w:t>
            </w:r>
          </w:p>
        </w:tc>
        <w:tc>
          <w:tcPr>
            <w:tcW w:w="3984" w:type="dxa"/>
            <w:shd w:val="clear" w:color="auto" w:fill="FFFFFF"/>
            <w:vAlign w:val="center"/>
          </w:tcPr>
          <w:p w14:paraId="73625CF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drawing>
                <wp:anchor distT="0" distB="0" distL="114300" distR="114300" simplePos="0" relativeHeight="251660288" behindDoc="0" locked="0" layoutInCell="1" allowOverlap="1">
                  <wp:simplePos x="0" y="0"/>
                  <wp:positionH relativeFrom="column">
                    <wp:posOffset>9525</wp:posOffset>
                  </wp:positionH>
                  <wp:positionV relativeFrom="paragraph">
                    <wp:posOffset>471170</wp:posOffset>
                  </wp:positionV>
                  <wp:extent cx="76200" cy="47625"/>
                  <wp:effectExtent l="0" t="0" r="0" b="0"/>
                  <wp:wrapNone/>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5"/>
                          <a:stretch>
                            <a:fillRect/>
                          </a:stretch>
                        </pic:blipFill>
                        <pic:spPr>
                          <a:xfrm>
                            <a:off x="0" y="0"/>
                            <a:ext cx="76200" cy="47625"/>
                          </a:xfrm>
                          <a:prstGeom prst="rect">
                            <a:avLst/>
                          </a:prstGeom>
                          <a:noFill/>
                          <a:ln>
                            <a:noFill/>
                          </a:ln>
                        </pic:spPr>
                      </pic:pic>
                    </a:graphicData>
                  </a:graphic>
                </wp:anchor>
              </w:drawing>
            </w:r>
            <w:r>
              <w:rPr>
                <w:rFonts w:hint="eastAsia" w:asciiTheme="minorEastAsia" w:hAnsiTheme="minorEastAsia" w:eastAsiaTheme="minorEastAsia" w:cstheme="minorEastAsia"/>
                <w:kern w:val="0"/>
                <w:sz w:val="24"/>
              </w:rPr>
              <w:t>a）机械硬盘准备时间应≤30s；侧面固定螺丝孔数量可为4孔或6孔；工作状态环境温度应满足5℃55℃,其他参数应符合GB/T12628的相关规定；b）若服务器支持固态盘，固态盘符合SJ/T11654相关规定</w:t>
            </w:r>
          </w:p>
        </w:tc>
        <w:tc>
          <w:tcPr>
            <w:tcW w:w="1341" w:type="dxa"/>
            <w:shd w:val="clear" w:color="auto" w:fill="FFFFFF"/>
            <w:vAlign w:val="center"/>
          </w:tcPr>
          <w:p w14:paraId="7B6047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3BDC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0" w:type="dxa"/>
            <w:shd w:val="clear" w:color="auto" w:fill="FFFFFF"/>
            <w:vAlign w:val="center"/>
          </w:tcPr>
          <w:p w14:paraId="247828A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19</w:t>
            </w:r>
          </w:p>
        </w:tc>
        <w:tc>
          <w:tcPr>
            <w:tcW w:w="999" w:type="dxa"/>
            <w:shd w:val="clear" w:color="auto" w:fill="FFFFFF"/>
            <w:vAlign w:val="center"/>
          </w:tcPr>
          <w:p w14:paraId="01A7018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shd w:val="clear" w:color="auto" w:fill="FFFFFF"/>
            <w:vAlign w:val="center"/>
          </w:tcPr>
          <w:p w14:paraId="3BBF069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RAID卡规格（若支持RAID卡）</w:t>
            </w:r>
          </w:p>
        </w:tc>
        <w:tc>
          <w:tcPr>
            <w:tcW w:w="1506" w:type="dxa"/>
            <w:shd w:val="clear" w:color="auto" w:fill="FFFFFF"/>
            <w:vAlign w:val="center"/>
          </w:tcPr>
          <w:p w14:paraId="3D14E9B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RAID卡支持的SAS接口数</w:t>
            </w:r>
          </w:p>
        </w:tc>
        <w:tc>
          <w:tcPr>
            <w:tcW w:w="3984" w:type="dxa"/>
            <w:shd w:val="clear" w:color="auto" w:fill="FFFFFF"/>
            <w:vAlign w:val="center"/>
          </w:tcPr>
          <w:p w14:paraId="3D278AB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1341" w:type="dxa"/>
            <w:shd w:val="clear" w:color="auto" w:fill="FFFFFF"/>
            <w:vAlign w:val="center"/>
          </w:tcPr>
          <w:p w14:paraId="212DE3A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7ECF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00" w:type="dxa"/>
            <w:shd w:val="clear" w:color="auto" w:fill="FFFFFF"/>
            <w:vAlign w:val="center"/>
          </w:tcPr>
          <w:p w14:paraId="1B4660F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20</w:t>
            </w:r>
          </w:p>
        </w:tc>
        <w:tc>
          <w:tcPr>
            <w:tcW w:w="999" w:type="dxa"/>
            <w:shd w:val="clear" w:color="auto" w:fill="FFFFFF"/>
            <w:vAlign w:val="center"/>
          </w:tcPr>
          <w:p w14:paraId="4516236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shd w:val="clear" w:color="auto" w:fill="FFFFFF"/>
            <w:vAlign w:val="center"/>
          </w:tcPr>
          <w:p w14:paraId="070D780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SAS直通卡规格（若支持SAS直通卡）</w:t>
            </w:r>
          </w:p>
        </w:tc>
        <w:tc>
          <w:tcPr>
            <w:tcW w:w="1506" w:type="dxa"/>
            <w:shd w:val="clear" w:color="auto" w:fill="FFFFFF"/>
            <w:vAlign w:val="center"/>
          </w:tcPr>
          <w:p w14:paraId="74AACC5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SAS直通卡SAS接口数量</w:t>
            </w:r>
          </w:p>
        </w:tc>
        <w:tc>
          <w:tcPr>
            <w:tcW w:w="3984" w:type="dxa"/>
            <w:shd w:val="clear" w:color="auto" w:fill="FFFFFF"/>
            <w:vAlign w:val="center"/>
          </w:tcPr>
          <w:p w14:paraId="54081D2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≥0</w:t>
            </w:r>
          </w:p>
        </w:tc>
        <w:tc>
          <w:tcPr>
            <w:tcW w:w="1341" w:type="dxa"/>
            <w:shd w:val="clear" w:color="auto" w:fill="FFFFFF"/>
            <w:vAlign w:val="center"/>
          </w:tcPr>
          <w:p w14:paraId="645C115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5587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0" w:type="dxa"/>
            <w:shd w:val="clear" w:color="auto" w:fill="FFFFFF"/>
            <w:vAlign w:val="center"/>
          </w:tcPr>
          <w:p w14:paraId="4ECE9C7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21</w:t>
            </w:r>
          </w:p>
        </w:tc>
        <w:tc>
          <w:tcPr>
            <w:tcW w:w="999" w:type="dxa"/>
            <w:shd w:val="clear" w:color="auto" w:fill="FFFFFF"/>
            <w:vAlign w:val="center"/>
          </w:tcPr>
          <w:p w14:paraId="700EDD9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shd w:val="clear" w:color="auto" w:fill="FFFFFF"/>
            <w:vAlign w:val="center"/>
          </w:tcPr>
          <w:p w14:paraId="49A6A86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HBA卡规格（若支HBA直通卡）</w:t>
            </w:r>
          </w:p>
        </w:tc>
        <w:tc>
          <w:tcPr>
            <w:tcW w:w="1506" w:type="dxa"/>
            <w:shd w:val="clear" w:color="auto" w:fill="FFFFFF"/>
            <w:vAlign w:val="center"/>
          </w:tcPr>
          <w:p w14:paraId="3AB23E9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HBA卡端口数量</w:t>
            </w:r>
          </w:p>
        </w:tc>
        <w:tc>
          <w:tcPr>
            <w:tcW w:w="3984" w:type="dxa"/>
            <w:shd w:val="clear" w:color="auto" w:fill="FFFFFF"/>
            <w:vAlign w:val="center"/>
          </w:tcPr>
          <w:p w14:paraId="1C8D2E6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≥0</w:t>
            </w:r>
          </w:p>
        </w:tc>
        <w:tc>
          <w:tcPr>
            <w:tcW w:w="1341" w:type="dxa"/>
            <w:shd w:val="clear" w:color="auto" w:fill="FFFFFF"/>
            <w:vAlign w:val="center"/>
          </w:tcPr>
          <w:p w14:paraId="095A4C9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410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01B5B22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22</w:t>
            </w:r>
          </w:p>
        </w:tc>
        <w:tc>
          <w:tcPr>
            <w:tcW w:w="999" w:type="dxa"/>
            <w:shd w:val="clear" w:color="auto" w:fill="FFFFFF"/>
            <w:vAlign w:val="center"/>
          </w:tcPr>
          <w:p w14:paraId="7A10CB0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restart"/>
            <w:shd w:val="clear" w:color="auto" w:fill="FFFFFF"/>
            <w:vAlign w:val="center"/>
          </w:tcPr>
          <w:p w14:paraId="4C20558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网络规格</w:t>
            </w:r>
          </w:p>
        </w:tc>
        <w:tc>
          <w:tcPr>
            <w:tcW w:w="1506" w:type="dxa"/>
            <w:shd w:val="clear" w:color="auto" w:fill="FFFFFF"/>
            <w:vAlign w:val="center"/>
          </w:tcPr>
          <w:p w14:paraId="5F97199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★网口速率和数量</w:t>
            </w:r>
          </w:p>
        </w:tc>
        <w:tc>
          <w:tcPr>
            <w:tcW w:w="3984" w:type="dxa"/>
            <w:shd w:val="clear" w:color="auto" w:fill="FFFFFF"/>
            <w:vAlign w:val="center"/>
          </w:tcPr>
          <w:p w14:paraId="7361E33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配置10GE光口≥4个（满配10GE多模光模块）</w:t>
            </w:r>
          </w:p>
          <w:p w14:paraId="0F47EA44">
            <w:pPr>
              <w:widowControl/>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配置1GE电口≥2个</w:t>
            </w:r>
          </w:p>
        </w:tc>
        <w:tc>
          <w:tcPr>
            <w:tcW w:w="1341" w:type="dxa"/>
            <w:shd w:val="clear" w:color="auto" w:fill="FFFFFF"/>
            <w:vAlign w:val="center"/>
          </w:tcPr>
          <w:p w14:paraId="558B7BC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ACAA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0" w:type="dxa"/>
            <w:shd w:val="clear" w:color="auto" w:fill="FFFFFF"/>
            <w:vAlign w:val="center"/>
          </w:tcPr>
          <w:p w14:paraId="7C442F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23</w:t>
            </w:r>
          </w:p>
        </w:tc>
        <w:tc>
          <w:tcPr>
            <w:tcW w:w="999" w:type="dxa"/>
            <w:shd w:val="clear" w:color="auto" w:fill="FFFFFF"/>
            <w:vAlign w:val="center"/>
          </w:tcPr>
          <w:p w14:paraId="28835AF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05ACB234">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5740C9D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存储型服务器网口速率和数量</w:t>
            </w:r>
          </w:p>
        </w:tc>
        <w:tc>
          <w:tcPr>
            <w:tcW w:w="3984" w:type="dxa"/>
            <w:shd w:val="clear" w:color="auto" w:fill="FFFFFF"/>
            <w:vAlign w:val="center"/>
          </w:tcPr>
          <w:p w14:paraId="5C755B8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存储型服务器1GE 网口数量≥2 个，10GE 以上网口数量≥2个（不涉及）</w:t>
            </w:r>
          </w:p>
        </w:tc>
        <w:tc>
          <w:tcPr>
            <w:tcW w:w="1341" w:type="dxa"/>
            <w:shd w:val="clear" w:color="auto" w:fill="FFFFFF"/>
            <w:vAlign w:val="center"/>
          </w:tcPr>
          <w:p w14:paraId="0E4577C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FEED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0325F8D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24</w:t>
            </w:r>
          </w:p>
        </w:tc>
        <w:tc>
          <w:tcPr>
            <w:tcW w:w="999" w:type="dxa"/>
            <w:shd w:val="clear" w:color="auto" w:fill="FFFFFF"/>
            <w:vAlign w:val="center"/>
          </w:tcPr>
          <w:p w14:paraId="55B70E0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2C96BD79">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1230A1D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独立网卡网口数量</w:t>
            </w:r>
          </w:p>
        </w:tc>
        <w:tc>
          <w:tcPr>
            <w:tcW w:w="3984" w:type="dxa"/>
            <w:shd w:val="clear" w:color="auto" w:fill="FFFFFF"/>
            <w:vAlign w:val="center"/>
          </w:tcPr>
          <w:p w14:paraId="544CBD9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配备10GE独立网卡，独立网卡网口数量≥2</w:t>
            </w:r>
          </w:p>
        </w:tc>
        <w:tc>
          <w:tcPr>
            <w:tcW w:w="1341" w:type="dxa"/>
            <w:shd w:val="clear" w:color="auto" w:fill="FFFFFF"/>
            <w:vAlign w:val="center"/>
          </w:tcPr>
          <w:p w14:paraId="2CA1FA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B6DB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25B08C9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25</w:t>
            </w:r>
          </w:p>
        </w:tc>
        <w:tc>
          <w:tcPr>
            <w:tcW w:w="999" w:type="dxa"/>
            <w:shd w:val="clear" w:color="auto" w:fill="FFFFFF"/>
            <w:vAlign w:val="center"/>
          </w:tcPr>
          <w:p w14:paraId="485D1CA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52816BED">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5D3DDBC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独立网卡接口类型</w:t>
            </w:r>
          </w:p>
        </w:tc>
        <w:tc>
          <w:tcPr>
            <w:tcW w:w="3984" w:type="dxa"/>
            <w:shd w:val="clear" w:color="auto" w:fill="FFFFFF"/>
            <w:vAlign w:val="center"/>
          </w:tcPr>
          <w:p w14:paraId="73E1127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支持RJ45/QSFP/SFP等</w:t>
            </w:r>
          </w:p>
        </w:tc>
        <w:tc>
          <w:tcPr>
            <w:tcW w:w="1341" w:type="dxa"/>
            <w:shd w:val="clear" w:color="auto" w:fill="FFFFFF"/>
            <w:vAlign w:val="center"/>
          </w:tcPr>
          <w:p w14:paraId="63D988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4792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0" w:type="dxa"/>
            <w:shd w:val="clear" w:color="auto" w:fill="FFFFFF"/>
            <w:vAlign w:val="center"/>
          </w:tcPr>
          <w:p w14:paraId="5F39E2C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26</w:t>
            </w:r>
          </w:p>
        </w:tc>
        <w:tc>
          <w:tcPr>
            <w:tcW w:w="999" w:type="dxa"/>
            <w:shd w:val="clear" w:color="auto" w:fill="FFFFFF"/>
            <w:vAlign w:val="center"/>
          </w:tcPr>
          <w:p w14:paraId="0F2545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0000B38D">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4ED5549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板载网卡接口类型</w:t>
            </w:r>
          </w:p>
        </w:tc>
        <w:tc>
          <w:tcPr>
            <w:tcW w:w="3984" w:type="dxa"/>
            <w:shd w:val="clear" w:color="auto" w:fill="FFFFFF"/>
            <w:vAlign w:val="center"/>
          </w:tcPr>
          <w:p w14:paraId="6D8A068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支持RJ45/QSFP/SFP等</w:t>
            </w:r>
          </w:p>
        </w:tc>
        <w:tc>
          <w:tcPr>
            <w:tcW w:w="1341" w:type="dxa"/>
            <w:shd w:val="clear" w:color="auto" w:fill="FFFFFF"/>
            <w:vAlign w:val="center"/>
          </w:tcPr>
          <w:p w14:paraId="4007D0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D1F8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4EB40B9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27</w:t>
            </w:r>
          </w:p>
        </w:tc>
        <w:tc>
          <w:tcPr>
            <w:tcW w:w="999" w:type="dxa"/>
            <w:shd w:val="clear" w:color="auto" w:fill="FFFFFF"/>
            <w:vAlign w:val="center"/>
          </w:tcPr>
          <w:p w14:paraId="3AEE88B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restart"/>
            <w:shd w:val="clear" w:color="auto" w:fill="FFFFFF"/>
            <w:vAlign w:val="center"/>
          </w:tcPr>
          <w:p w14:paraId="0502DE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外部接口规格</w:t>
            </w:r>
          </w:p>
        </w:tc>
        <w:tc>
          <w:tcPr>
            <w:tcW w:w="1506" w:type="dxa"/>
            <w:shd w:val="clear" w:color="auto" w:fill="FFFFFF"/>
            <w:vAlign w:val="center"/>
          </w:tcPr>
          <w:p w14:paraId="6C2121A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★显示接口</w:t>
            </w:r>
          </w:p>
        </w:tc>
        <w:tc>
          <w:tcPr>
            <w:tcW w:w="3984" w:type="dxa"/>
            <w:shd w:val="clear" w:color="auto" w:fill="FFFFFF"/>
            <w:vAlign w:val="center"/>
          </w:tcPr>
          <w:p w14:paraId="51E6AD1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显示接口类型应≥1种，如：VGA、DP、HDMI等</w:t>
            </w:r>
          </w:p>
        </w:tc>
        <w:tc>
          <w:tcPr>
            <w:tcW w:w="1341" w:type="dxa"/>
            <w:shd w:val="clear" w:color="auto" w:fill="FFFFFF"/>
            <w:vAlign w:val="center"/>
          </w:tcPr>
          <w:p w14:paraId="385DCC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45A7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00" w:type="dxa"/>
            <w:shd w:val="clear" w:color="auto" w:fill="FFFFFF"/>
            <w:vAlign w:val="center"/>
          </w:tcPr>
          <w:p w14:paraId="23A7E4D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28</w:t>
            </w:r>
          </w:p>
        </w:tc>
        <w:tc>
          <w:tcPr>
            <w:tcW w:w="999" w:type="dxa"/>
            <w:shd w:val="clear" w:color="auto" w:fill="FFFFFF"/>
            <w:vAlign w:val="center"/>
          </w:tcPr>
          <w:p w14:paraId="3D773D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57A4FD2A">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618E453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★USB接口</w:t>
            </w:r>
          </w:p>
        </w:tc>
        <w:tc>
          <w:tcPr>
            <w:tcW w:w="3984" w:type="dxa"/>
            <w:shd w:val="clear" w:color="auto" w:fill="FFFFFF"/>
            <w:vAlign w:val="center"/>
          </w:tcPr>
          <w:p w14:paraId="0E9BD37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配备USB接口，如USB2.0、USB3.0等</w:t>
            </w:r>
          </w:p>
        </w:tc>
        <w:tc>
          <w:tcPr>
            <w:tcW w:w="1341" w:type="dxa"/>
            <w:shd w:val="clear" w:color="auto" w:fill="FFFFFF"/>
            <w:vAlign w:val="center"/>
          </w:tcPr>
          <w:p w14:paraId="12D331F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9DAF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4576AC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29</w:t>
            </w:r>
          </w:p>
        </w:tc>
        <w:tc>
          <w:tcPr>
            <w:tcW w:w="999" w:type="dxa"/>
            <w:shd w:val="clear" w:color="auto" w:fill="FFFFFF"/>
            <w:vAlign w:val="center"/>
          </w:tcPr>
          <w:p w14:paraId="16B588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052A76FC">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48AA399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特殊接口及孔位</w:t>
            </w:r>
          </w:p>
        </w:tc>
        <w:tc>
          <w:tcPr>
            <w:tcW w:w="3984" w:type="dxa"/>
            <w:shd w:val="clear" w:color="auto" w:fill="FFFFFF"/>
            <w:vAlign w:val="center"/>
          </w:tcPr>
          <w:p w14:paraId="27367CF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前面板预留1个专用USB母座接口孔位</w:t>
            </w:r>
          </w:p>
        </w:tc>
        <w:tc>
          <w:tcPr>
            <w:tcW w:w="1341" w:type="dxa"/>
            <w:shd w:val="clear" w:color="auto" w:fill="FFFFFF"/>
            <w:vAlign w:val="center"/>
          </w:tcPr>
          <w:p w14:paraId="36957C1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1BA2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00" w:type="dxa"/>
            <w:shd w:val="clear" w:color="auto" w:fill="FFFFFF"/>
            <w:vAlign w:val="center"/>
          </w:tcPr>
          <w:p w14:paraId="71D1156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30</w:t>
            </w:r>
          </w:p>
        </w:tc>
        <w:tc>
          <w:tcPr>
            <w:tcW w:w="999" w:type="dxa"/>
            <w:shd w:val="clear" w:color="auto" w:fill="FFFFFF"/>
            <w:vAlign w:val="center"/>
          </w:tcPr>
          <w:p w14:paraId="7948ABA9">
            <w:pPr>
              <w:widowControl/>
              <w:jc w:val="center"/>
              <w:rPr>
                <w:rFonts w:asciiTheme="minorEastAsia" w:hAnsiTheme="minorEastAsia" w:eastAsiaTheme="minorEastAsia" w:cstheme="minorEastAsia"/>
                <w:kern w:val="0"/>
                <w:sz w:val="24"/>
              </w:rPr>
            </w:pPr>
          </w:p>
        </w:tc>
        <w:tc>
          <w:tcPr>
            <w:tcW w:w="1080" w:type="dxa"/>
            <w:vMerge w:val="continue"/>
            <w:shd w:val="clear" w:color="auto" w:fill="FFFFFF"/>
            <w:vAlign w:val="center"/>
          </w:tcPr>
          <w:p w14:paraId="65915866">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4561243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其他接口</w:t>
            </w:r>
          </w:p>
        </w:tc>
        <w:tc>
          <w:tcPr>
            <w:tcW w:w="3984" w:type="dxa"/>
            <w:shd w:val="clear" w:color="auto" w:fill="FFFFFF"/>
            <w:vAlign w:val="center"/>
          </w:tcPr>
          <w:p w14:paraId="1B2D1E7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a）串口数量≥1个，并可实现GB/T6107或GB/T26803.2的相关功能；b）服务器主机前面板可根据用户实际使用需求预留1个专用USB母座接口孔位</w:t>
            </w:r>
          </w:p>
        </w:tc>
        <w:tc>
          <w:tcPr>
            <w:tcW w:w="1341" w:type="dxa"/>
            <w:shd w:val="clear" w:color="auto" w:fill="FFFFFF"/>
            <w:vAlign w:val="center"/>
          </w:tcPr>
          <w:p w14:paraId="74D0D6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6847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3BE9CF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31</w:t>
            </w:r>
          </w:p>
        </w:tc>
        <w:tc>
          <w:tcPr>
            <w:tcW w:w="999" w:type="dxa"/>
            <w:shd w:val="clear" w:color="auto" w:fill="FFFFFF"/>
            <w:vAlign w:val="center"/>
          </w:tcPr>
          <w:p w14:paraId="408E52E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restart"/>
            <w:shd w:val="clear" w:color="auto" w:fill="FFFFFF"/>
            <w:vAlign w:val="center"/>
          </w:tcPr>
          <w:p w14:paraId="2D809A2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电源规格</w:t>
            </w:r>
          </w:p>
        </w:tc>
        <w:tc>
          <w:tcPr>
            <w:tcW w:w="1506" w:type="dxa"/>
            <w:shd w:val="clear" w:color="auto" w:fill="FFFFFF"/>
            <w:vAlign w:val="center"/>
          </w:tcPr>
          <w:p w14:paraId="5A899C6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电源冗余模式</w:t>
            </w:r>
          </w:p>
        </w:tc>
        <w:tc>
          <w:tcPr>
            <w:tcW w:w="3984" w:type="dxa"/>
            <w:shd w:val="clear" w:color="auto" w:fill="FFFFFF"/>
            <w:vAlign w:val="center"/>
          </w:tcPr>
          <w:p w14:paraId="33BD097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整机电源模块按1+1冗余或N+1冗余配置</w:t>
            </w:r>
          </w:p>
        </w:tc>
        <w:tc>
          <w:tcPr>
            <w:tcW w:w="1341" w:type="dxa"/>
            <w:shd w:val="clear" w:color="auto" w:fill="FFFFFF"/>
            <w:vAlign w:val="center"/>
          </w:tcPr>
          <w:p w14:paraId="1C40B0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34B3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0D6222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w:t>
            </w:r>
          </w:p>
        </w:tc>
        <w:tc>
          <w:tcPr>
            <w:tcW w:w="999" w:type="dxa"/>
            <w:shd w:val="clear" w:color="auto" w:fill="FFFFFF"/>
            <w:vAlign w:val="center"/>
          </w:tcPr>
          <w:p w14:paraId="326736D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6D6DD93D">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4754C08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★电源模块数量</w:t>
            </w:r>
          </w:p>
        </w:tc>
        <w:tc>
          <w:tcPr>
            <w:tcW w:w="3984" w:type="dxa"/>
            <w:shd w:val="clear" w:color="auto" w:fill="FFFFFF"/>
            <w:vAlign w:val="center"/>
          </w:tcPr>
          <w:p w14:paraId="7405D2A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1341" w:type="dxa"/>
            <w:shd w:val="clear" w:color="auto" w:fill="FFFFFF"/>
            <w:vAlign w:val="center"/>
          </w:tcPr>
          <w:p w14:paraId="707EBF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19FE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39FF79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33</w:t>
            </w:r>
          </w:p>
        </w:tc>
        <w:tc>
          <w:tcPr>
            <w:tcW w:w="999" w:type="dxa"/>
            <w:shd w:val="clear" w:color="auto" w:fill="FFFFFF"/>
            <w:vAlign w:val="center"/>
          </w:tcPr>
          <w:p w14:paraId="455AD7A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2B7FB2AC">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4130875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★电源功率</w:t>
            </w:r>
          </w:p>
        </w:tc>
        <w:tc>
          <w:tcPr>
            <w:tcW w:w="3984" w:type="dxa"/>
            <w:shd w:val="clear" w:color="auto" w:fill="FFFFFF"/>
            <w:vAlign w:val="center"/>
          </w:tcPr>
          <w:p w14:paraId="35930AA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电源模块功率应有一定冗余，满足处理器满载时的需求</w:t>
            </w:r>
          </w:p>
        </w:tc>
        <w:tc>
          <w:tcPr>
            <w:tcW w:w="1341" w:type="dxa"/>
            <w:shd w:val="clear" w:color="auto" w:fill="FFFFFF"/>
            <w:vAlign w:val="center"/>
          </w:tcPr>
          <w:p w14:paraId="11AD6C2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F578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00" w:type="dxa"/>
            <w:shd w:val="clear" w:color="auto" w:fill="FFFFFF"/>
            <w:vAlign w:val="center"/>
          </w:tcPr>
          <w:p w14:paraId="449B3FA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34</w:t>
            </w:r>
          </w:p>
        </w:tc>
        <w:tc>
          <w:tcPr>
            <w:tcW w:w="999" w:type="dxa"/>
            <w:shd w:val="clear" w:color="auto" w:fill="FFFFFF"/>
            <w:vAlign w:val="center"/>
          </w:tcPr>
          <w:p w14:paraId="101071D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69B91B9B">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5F51694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电源指示灯</w:t>
            </w:r>
          </w:p>
        </w:tc>
        <w:tc>
          <w:tcPr>
            <w:tcW w:w="3984" w:type="dxa"/>
            <w:shd w:val="clear" w:color="auto" w:fill="FFFFFF"/>
            <w:vAlign w:val="center"/>
          </w:tcPr>
          <w:p w14:paraId="233165A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配备电源指示灯，指示待机、工作异常等状态</w:t>
            </w:r>
          </w:p>
        </w:tc>
        <w:tc>
          <w:tcPr>
            <w:tcW w:w="1341" w:type="dxa"/>
            <w:shd w:val="clear" w:color="auto" w:fill="FFFFFF"/>
            <w:vAlign w:val="center"/>
          </w:tcPr>
          <w:p w14:paraId="3FA9D1F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3187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24" w:hRule="atLeast"/>
        </w:trPr>
        <w:tc>
          <w:tcPr>
            <w:tcW w:w="600" w:type="dxa"/>
            <w:shd w:val="clear" w:color="auto" w:fill="FFFFFF"/>
            <w:vAlign w:val="center"/>
          </w:tcPr>
          <w:p w14:paraId="30AAB27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35</w:t>
            </w:r>
          </w:p>
        </w:tc>
        <w:tc>
          <w:tcPr>
            <w:tcW w:w="999" w:type="dxa"/>
            <w:shd w:val="clear" w:color="auto" w:fill="FFFFFF"/>
            <w:vAlign w:val="center"/>
          </w:tcPr>
          <w:p w14:paraId="1DBBA55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restart"/>
            <w:shd w:val="clear" w:color="auto" w:fill="FFFFFF"/>
            <w:vAlign w:val="center"/>
          </w:tcPr>
          <w:p w14:paraId="465656D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整机规格</w:t>
            </w:r>
          </w:p>
        </w:tc>
        <w:tc>
          <w:tcPr>
            <w:tcW w:w="1506" w:type="dxa"/>
            <w:shd w:val="clear" w:color="auto" w:fill="FFFFFF"/>
            <w:vAlign w:val="center"/>
          </w:tcPr>
          <w:p w14:paraId="67DD54A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★外观和结构</w:t>
            </w:r>
          </w:p>
        </w:tc>
        <w:tc>
          <w:tcPr>
            <w:tcW w:w="3984" w:type="dxa"/>
            <w:shd w:val="clear" w:color="auto" w:fill="FFFFFF"/>
            <w:vAlign w:val="center"/>
          </w:tcPr>
          <w:p w14:paraId="311E0F3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服务器的零部件应紧固无松动，可插拔部件应可靠连接，开关、按钮和其他控制部件应灵活可靠，布局应方便使用；b）产品表面不应有明显的凹痕、划伤、裂缝、变形和污染等。表面涂层均匀，不应起泡、龟裂、脱落和磨损，金属零部件无锈蚀及其它机械损伤；c）产品表面说明功能的文字、符号和标志应清晰、端正且牢固；d）应在服务器的显著位置提供运行状态的指示功能，并在技术文件或者技术白皮书中明确具体含义；e）机架、机箱的尺寸应符合通用机柜的安装要求，插入总线插座的电路板接口外形尺寸应符合有关总线标准的规定，将机箱固定在机柜上，机箱底面最大下垂变形不得干涉相邻机体；f）服务器尺寸具体要求在技术文件或者技术白皮书中明确</w:t>
            </w:r>
          </w:p>
        </w:tc>
        <w:tc>
          <w:tcPr>
            <w:tcW w:w="1341" w:type="dxa"/>
            <w:shd w:val="clear" w:color="auto" w:fill="FFFFFF"/>
            <w:vAlign w:val="center"/>
          </w:tcPr>
          <w:p w14:paraId="5D08AFB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90F4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0" w:type="dxa"/>
            <w:shd w:val="clear" w:color="auto" w:fill="FFFFFF"/>
            <w:vAlign w:val="center"/>
          </w:tcPr>
          <w:p w14:paraId="65CE2AB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36</w:t>
            </w:r>
          </w:p>
        </w:tc>
        <w:tc>
          <w:tcPr>
            <w:tcW w:w="999" w:type="dxa"/>
            <w:shd w:val="clear" w:color="auto" w:fill="FFFFFF"/>
            <w:vAlign w:val="center"/>
          </w:tcPr>
          <w:p w14:paraId="5AB76D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48BAE79E">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28A5B8E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★尺寸（高×宽×深）</w:t>
            </w:r>
          </w:p>
        </w:tc>
        <w:tc>
          <w:tcPr>
            <w:tcW w:w="3984" w:type="dxa"/>
            <w:shd w:val="clear" w:color="auto" w:fill="FFFFFF"/>
            <w:vAlign w:val="center"/>
          </w:tcPr>
          <w:p w14:paraId="549C3FD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供应商给出产品尺寸；设计应遵循标准化、系列化的要求；机箱的内部结构符合通用部件的安装需要</w:t>
            </w:r>
          </w:p>
        </w:tc>
        <w:tc>
          <w:tcPr>
            <w:tcW w:w="1341" w:type="dxa"/>
            <w:shd w:val="clear" w:color="auto" w:fill="FFFFFF"/>
            <w:vAlign w:val="center"/>
          </w:tcPr>
          <w:p w14:paraId="49BFE70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0C77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00" w:type="dxa"/>
            <w:shd w:val="clear" w:color="auto" w:fill="FFFFFF"/>
            <w:vAlign w:val="center"/>
          </w:tcPr>
          <w:p w14:paraId="6321C70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37</w:t>
            </w:r>
          </w:p>
        </w:tc>
        <w:tc>
          <w:tcPr>
            <w:tcW w:w="999" w:type="dxa"/>
            <w:shd w:val="clear" w:color="auto" w:fill="FFFFFF"/>
            <w:vAlign w:val="center"/>
          </w:tcPr>
          <w:p w14:paraId="3B33BB6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2CDF681C">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0007A1D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服务器导轨</w:t>
            </w:r>
          </w:p>
        </w:tc>
        <w:tc>
          <w:tcPr>
            <w:tcW w:w="3984" w:type="dxa"/>
            <w:shd w:val="clear" w:color="auto" w:fill="FFFFFF"/>
            <w:vAlign w:val="center"/>
          </w:tcPr>
          <w:p w14:paraId="03CADD6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供应商给出导轨尺寸、安装方式等信息</w:t>
            </w:r>
          </w:p>
        </w:tc>
        <w:tc>
          <w:tcPr>
            <w:tcW w:w="1341" w:type="dxa"/>
            <w:shd w:val="clear" w:color="auto" w:fill="FFFFFF"/>
            <w:vAlign w:val="center"/>
          </w:tcPr>
          <w:p w14:paraId="32930C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BEBB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10BE45F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38</w:t>
            </w:r>
          </w:p>
        </w:tc>
        <w:tc>
          <w:tcPr>
            <w:tcW w:w="999" w:type="dxa"/>
            <w:shd w:val="clear" w:color="auto" w:fill="FFFFFF"/>
            <w:vAlign w:val="center"/>
          </w:tcPr>
          <w:p w14:paraId="08E0CC3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0F5009B9">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513105A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CPU个数与机柜高度单位（U）比</w:t>
            </w:r>
          </w:p>
        </w:tc>
        <w:tc>
          <w:tcPr>
            <w:tcW w:w="3984" w:type="dxa"/>
            <w:shd w:val="clear" w:color="auto" w:fill="FFFFFF"/>
            <w:vAlign w:val="center"/>
          </w:tcPr>
          <w:p w14:paraId="19C8B8C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供应商给出CPU个数与机柜高度</w:t>
            </w:r>
          </w:p>
        </w:tc>
        <w:tc>
          <w:tcPr>
            <w:tcW w:w="1341" w:type="dxa"/>
            <w:shd w:val="clear" w:color="auto" w:fill="FFFFFF"/>
            <w:vAlign w:val="center"/>
          </w:tcPr>
          <w:p w14:paraId="7ABCDD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32AC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00" w:type="dxa"/>
            <w:shd w:val="clear" w:color="auto" w:fill="FFFFFF"/>
            <w:vAlign w:val="center"/>
          </w:tcPr>
          <w:p w14:paraId="3F4E8A3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39</w:t>
            </w:r>
          </w:p>
        </w:tc>
        <w:tc>
          <w:tcPr>
            <w:tcW w:w="999" w:type="dxa"/>
            <w:shd w:val="clear" w:color="auto" w:fill="FFFFFF"/>
            <w:vAlign w:val="center"/>
          </w:tcPr>
          <w:p w14:paraId="49FB1FF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3F6310ED">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2724DEA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★环境适应性</w:t>
            </w:r>
          </w:p>
        </w:tc>
        <w:tc>
          <w:tcPr>
            <w:tcW w:w="3984" w:type="dxa"/>
            <w:shd w:val="clear" w:color="auto" w:fill="FFFFFF"/>
            <w:vAlign w:val="center"/>
          </w:tcPr>
          <w:p w14:paraId="092E82D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气候环境适应性应符合GB/T9813.3的有关规定，工作温度10~35℃,贮存运输温度-40～55℃;工作相对湿度35%～80%，贮存运输相对湿度20％～93%（40℃）;大气压86～106kPa</w:t>
            </w:r>
          </w:p>
        </w:tc>
        <w:tc>
          <w:tcPr>
            <w:tcW w:w="1341" w:type="dxa"/>
            <w:shd w:val="clear" w:color="auto" w:fill="FFFFFF"/>
            <w:vAlign w:val="center"/>
          </w:tcPr>
          <w:p w14:paraId="709DB47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898F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7EAD91D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40</w:t>
            </w:r>
          </w:p>
        </w:tc>
        <w:tc>
          <w:tcPr>
            <w:tcW w:w="999" w:type="dxa"/>
            <w:shd w:val="clear" w:color="auto" w:fill="FFFFFF"/>
            <w:vAlign w:val="center"/>
          </w:tcPr>
          <w:p w14:paraId="2584144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443E3CBE">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13C3EC9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特殊机型环境适应性</w:t>
            </w:r>
          </w:p>
        </w:tc>
        <w:tc>
          <w:tcPr>
            <w:tcW w:w="3984" w:type="dxa"/>
            <w:shd w:val="clear" w:color="auto" w:fill="FFFFFF"/>
            <w:vAlign w:val="center"/>
          </w:tcPr>
          <w:p w14:paraId="018ED7C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边缘应用服务器，工作环境温度宜为0～45℃,短期工作可承受环境温度宜为-5～55℃,液冷服务器贮存运输温度宜为-30～55℃</w:t>
            </w:r>
          </w:p>
        </w:tc>
        <w:tc>
          <w:tcPr>
            <w:tcW w:w="1341" w:type="dxa"/>
            <w:shd w:val="clear" w:color="auto" w:fill="FFFFFF"/>
            <w:vAlign w:val="center"/>
          </w:tcPr>
          <w:p w14:paraId="5ED9EB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9695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01181D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41</w:t>
            </w:r>
          </w:p>
        </w:tc>
        <w:tc>
          <w:tcPr>
            <w:tcW w:w="999" w:type="dxa"/>
            <w:shd w:val="clear" w:color="auto" w:fill="FFFFFF"/>
            <w:vAlign w:val="center"/>
          </w:tcPr>
          <w:p w14:paraId="542107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39674A3B">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281B12C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★机械环境适应性</w:t>
            </w:r>
          </w:p>
        </w:tc>
        <w:tc>
          <w:tcPr>
            <w:tcW w:w="3984" w:type="dxa"/>
            <w:shd w:val="clear" w:color="auto" w:fill="FFFFFF"/>
            <w:vAlign w:val="center"/>
          </w:tcPr>
          <w:p w14:paraId="476A1E2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机械环境适应性应符合GB/T9813.3的有关规定</w:t>
            </w:r>
          </w:p>
        </w:tc>
        <w:tc>
          <w:tcPr>
            <w:tcW w:w="1341" w:type="dxa"/>
            <w:shd w:val="clear" w:color="auto" w:fill="FFFFFF"/>
            <w:vAlign w:val="center"/>
          </w:tcPr>
          <w:p w14:paraId="59246D7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5004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1E192C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42</w:t>
            </w:r>
          </w:p>
        </w:tc>
        <w:tc>
          <w:tcPr>
            <w:tcW w:w="999" w:type="dxa"/>
            <w:shd w:val="clear" w:color="auto" w:fill="FFFFFF"/>
            <w:vAlign w:val="center"/>
          </w:tcPr>
          <w:p w14:paraId="163150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16F8083E">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0DF3A34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★噪声</w:t>
            </w:r>
          </w:p>
        </w:tc>
        <w:tc>
          <w:tcPr>
            <w:tcW w:w="3984" w:type="dxa"/>
            <w:shd w:val="clear" w:color="auto" w:fill="FFFFFF"/>
            <w:vAlign w:val="center"/>
          </w:tcPr>
          <w:p w14:paraId="4479FE9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符合GB/T9813.3的有关规定，在产品说明中给出具体测试值塔式服务器噪声在空闲状态下≤50dB</w:t>
            </w:r>
          </w:p>
        </w:tc>
        <w:tc>
          <w:tcPr>
            <w:tcW w:w="1341" w:type="dxa"/>
            <w:shd w:val="clear" w:color="auto" w:fill="FFFFFF"/>
            <w:vAlign w:val="center"/>
          </w:tcPr>
          <w:p w14:paraId="444E4FC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CE8C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512" w:hRule="atLeast"/>
        </w:trPr>
        <w:tc>
          <w:tcPr>
            <w:tcW w:w="600" w:type="dxa"/>
            <w:shd w:val="clear" w:color="auto" w:fill="FFFFFF"/>
            <w:vAlign w:val="center"/>
          </w:tcPr>
          <w:p w14:paraId="2EE4C14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43</w:t>
            </w:r>
          </w:p>
        </w:tc>
        <w:tc>
          <w:tcPr>
            <w:tcW w:w="999" w:type="dxa"/>
            <w:shd w:val="clear" w:color="auto" w:fill="FFFFFF"/>
            <w:vAlign w:val="center"/>
          </w:tcPr>
          <w:p w14:paraId="312C5BE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restart"/>
            <w:shd w:val="clear" w:color="auto" w:fill="FFFFFF"/>
            <w:vAlign w:val="center"/>
          </w:tcPr>
          <w:p w14:paraId="660645C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AI计算单元规格</w:t>
            </w:r>
          </w:p>
        </w:tc>
        <w:tc>
          <w:tcPr>
            <w:tcW w:w="1506" w:type="dxa"/>
            <w:shd w:val="clear" w:color="auto" w:fill="FFFFFF"/>
            <w:vAlign w:val="center"/>
          </w:tcPr>
          <w:p w14:paraId="373ED9E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AI计算单元</w:t>
            </w:r>
          </w:p>
        </w:tc>
        <w:tc>
          <w:tcPr>
            <w:tcW w:w="3984" w:type="dxa"/>
            <w:shd w:val="clear" w:color="auto" w:fill="FFFFFF"/>
            <w:vAlign w:val="center"/>
          </w:tcPr>
          <w:p w14:paraId="51B269C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AI计算单元应符合如下要求：a）具备人工智能加速处理器，计算精度至少支持FP16、BF16、FP32、FP64、INT8和INT16等中的1种；b）单推理卡或模块，具备视频解析、文本识别、语音分析等推理能力；在视觉场景下配备可直接调用的接口实现视觉计算加速，路数不小于64（1080P30FPS）</w:t>
            </w:r>
          </w:p>
        </w:tc>
        <w:tc>
          <w:tcPr>
            <w:tcW w:w="1341" w:type="dxa"/>
            <w:shd w:val="clear" w:color="auto" w:fill="FFFFFF"/>
            <w:vAlign w:val="center"/>
          </w:tcPr>
          <w:p w14:paraId="405E63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9C69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698FF76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44</w:t>
            </w:r>
          </w:p>
        </w:tc>
        <w:tc>
          <w:tcPr>
            <w:tcW w:w="999" w:type="dxa"/>
            <w:shd w:val="clear" w:color="auto" w:fill="FFFFFF"/>
            <w:vAlign w:val="center"/>
          </w:tcPr>
          <w:p w14:paraId="4C3FFF5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708BA12B">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137317A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一键式迁移</w:t>
            </w:r>
          </w:p>
        </w:tc>
        <w:tc>
          <w:tcPr>
            <w:tcW w:w="3984" w:type="dxa"/>
            <w:shd w:val="clear" w:color="auto" w:fill="FFFFFF"/>
            <w:vAlign w:val="center"/>
          </w:tcPr>
          <w:p w14:paraId="1CB2847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若服务器配备AI计算单元，提供训练脚本迁移工具</w:t>
            </w:r>
          </w:p>
        </w:tc>
        <w:tc>
          <w:tcPr>
            <w:tcW w:w="1341" w:type="dxa"/>
            <w:shd w:val="clear" w:color="auto" w:fill="FFFFFF"/>
            <w:vAlign w:val="center"/>
          </w:tcPr>
          <w:p w14:paraId="3FB61D9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ADF3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00" w:type="dxa"/>
            <w:shd w:val="clear" w:color="auto" w:fill="FFFFFF"/>
            <w:vAlign w:val="center"/>
          </w:tcPr>
          <w:p w14:paraId="193A3A2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45</w:t>
            </w:r>
          </w:p>
        </w:tc>
        <w:tc>
          <w:tcPr>
            <w:tcW w:w="999" w:type="dxa"/>
            <w:shd w:val="clear" w:color="auto" w:fill="FFFFFF"/>
            <w:vAlign w:val="center"/>
          </w:tcPr>
          <w:p w14:paraId="1FCE2F4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restart"/>
            <w:shd w:val="clear" w:color="auto" w:fill="FFFFFF"/>
            <w:vAlign w:val="center"/>
          </w:tcPr>
          <w:p w14:paraId="6D6488C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机柜规格</w:t>
            </w:r>
          </w:p>
        </w:tc>
        <w:tc>
          <w:tcPr>
            <w:tcW w:w="1506" w:type="dxa"/>
            <w:shd w:val="clear" w:color="auto" w:fill="FFFFFF"/>
            <w:vAlign w:val="center"/>
          </w:tcPr>
          <w:p w14:paraId="3B962F2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★机柜尺寸</w:t>
            </w:r>
          </w:p>
        </w:tc>
        <w:tc>
          <w:tcPr>
            <w:tcW w:w="3984" w:type="dxa"/>
            <w:shd w:val="clear" w:color="auto" w:fill="FFFFFF"/>
            <w:vAlign w:val="center"/>
          </w:tcPr>
          <w:p w14:paraId="2CCCA3B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供应商给出长度、高度和深度</w:t>
            </w:r>
          </w:p>
        </w:tc>
        <w:tc>
          <w:tcPr>
            <w:tcW w:w="1341" w:type="dxa"/>
            <w:shd w:val="clear" w:color="auto" w:fill="FFFFFF"/>
            <w:vAlign w:val="center"/>
          </w:tcPr>
          <w:p w14:paraId="475FEC1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645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00" w:type="dxa"/>
            <w:shd w:val="clear" w:color="auto" w:fill="FFFFFF"/>
            <w:vAlign w:val="center"/>
          </w:tcPr>
          <w:p w14:paraId="605BDD6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46</w:t>
            </w:r>
          </w:p>
        </w:tc>
        <w:tc>
          <w:tcPr>
            <w:tcW w:w="999" w:type="dxa"/>
            <w:shd w:val="clear" w:color="auto" w:fill="FFFFFF"/>
            <w:vAlign w:val="center"/>
          </w:tcPr>
          <w:p w14:paraId="44DA97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04DD757E">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747F368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机柜管理板</w:t>
            </w:r>
          </w:p>
        </w:tc>
        <w:tc>
          <w:tcPr>
            <w:tcW w:w="3984" w:type="dxa"/>
            <w:shd w:val="clear" w:color="auto" w:fill="FFFFFF"/>
            <w:vAlign w:val="center"/>
          </w:tcPr>
          <w:p w14:paraId="50DCCB6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配备机柜管理板</w:t>
            </w:r>
          </w:p>
        </w:tc>
        <w:tc>
          <w:tcPr>
            <w:tcW w:w="1341" w:type="dxa"/>
            <w:shd w:val="clear" w:color="auto" w:fill="FFFFFF"/>
            <w:vAlign w:val="center"/>
          </w:tcPr>
          <w:p w14:paraId="7A95155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DEDC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134DF5D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47</w:t>
            </w:r>
          </w:p>
        </w:tc>
        <w:tc>
          <w:tcPr>
            <w:tcW w:w="999" w:type="dxa"/>
            <w:shd w:val="clear" w:color="auto" w:fill="FFFFFF"/>
            <w:vAlign w:val="center"/>
          </w:tcPr>
          <w:p w14:paraId="22164F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vMerge w:val="continue"/>
            <w:shd w:val="clear" w:color="auto" w:fill="FFFFFF"/>
            <w:vAlign w:val="center"/>
          </w:tcPr>
          <w:p w14:paraId="4FF0126D">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23E352C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机柜电源规格</w:t>
            </w:r>
          </w:p>
        </w:tc>
        <w:tc>
          <w:tcPr>
            <w:tcW w:w="3984" w:type="dxa"/>
            <w:shd w:val="clear" w:color="auto" w:fill="FFFFFF"/>
            <w:vAlign w:val="center"/>
          </w:tcPr>
          <w:p w14:paraId="5208AA6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a）机柜电源支持集中供电，电源输入≥2路且支持自动切换；b）机柜电源模块支持N+1冗余配置，电源模块可独立更换</w:t>
            </w:r>
          </w:p>
        </w:tc>
        <w:tc>
          <w:tcPr>
            <w:tcW w:w="1341" w:type="dxa"/>
            <w:shd w:val="clear" w:color="auto" w:fill="FFFFFF"/>
            <w:vAlign w:val="center"/>
          </w:tcPr>
          <w:p w14:paraId="74E6F3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17EA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4A00089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48</w:t>
            </w:r>
          </w:p>
        </w:tc>
        <w:tc>
          <w:tcPr>
            <w:tcW w:w="999" w:type="dxa"/>
            <w:shd w:val="clear" w:color="auto" w:fill="FFFFFF"/>
            <w:vAlign w:val="center"/>
          </w:tcPr>
          <w:p w14:paraId="51C49DC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0" w:type="dxa"/>
            <w:vMerge w:val="restart"/>
            <w:shd w:val="clear" w:color="auto" w:fill="FFFFFF"/>
            <w:vAlign w:val="center"/>
          </w:tcPr>
          <w:p w14:paraId="69E3DAB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主板功能</w:t>
            </w:r>
          </w:p>
        </w:tc>
        <w:tc>
          <w:tcPr>
            <w:tcW w:w="1506" w:type="dxa"/>
            <w:shd w:val="clear" w:color="auto" w:fill="FFFFFF"/>
            <w:vAlign w:val="center"/>
          </w:tcPr>
          <w:p w14:paraId="30C7CAA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★主板外部接口种类</w:t>
            </w:r>
          </w:p>
        </w:tc>
        <w:tc>
          <w:tcPr>
            <w:tcW w:w="3984" w:type="dxa"/>
            <w:shd w:val="clear" w:color="auto" w:fill="FFFFFF"/>
            <w:vAlign w:val="center"/>
          </w:tcPr>
          <w:p w14:paraId="52FEC7C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支持USB、显示、管理等接口，如：VGA、DP、HDMI、USB3.0、PS/2接口、BMC管理端口</w:t>
            </w:r>
          </w:p>
        </w:tc>
        <w:tc>
          <w:tcPr>
            <w:tcW w:w="1341" w:type="dxa"/>
            <w:shd w:val="clear" w:color="auto" w:fill="FFFFFF"/>
            <w:vAlign w:val="center"/>
          </w:tcPr>
          <w:p w14:paraId="5BE2D6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A877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5D7FC61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49</w:t>
            </w:r>
          </w:p>
        </w:tc>
        <w:tc>
          <w:tcPr>
            <w:tcW w:w="999" w:type="dxa"/>
            <w:shd w:val="clear" w:color="auto" w:fill="FFFFFF"/>
            <w:vAlign w:val="center"/>
          </w:tcPr>
          <w:p w14:paraId="1086195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0" w:type="dxa"/>
            <w:vMerge w:val="continue"/>
            <w:shd w:val="clear" w:color="auto" w:fill="FFFFFF"/>
            <w:vAlign w:val="center"/>
          </w:tcPr>
          <w:p w14:paraId="096750C3">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4F01152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主板防烧板设计</w:t>
            </w:r>
          </w:p>
        </w:tc>
        <w:tc>
          <w:tcPr>
            <w:tcW w:w="3984" w:type="dxa"/>
            <w:shd w:val="clear" w:color="auto" w:fill="FFFFFF"/>
            <w:vAlign w:val="center"/>
          </w:tcPr>
          <w:p w14:paraId="482416E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支持主板防烧板设计，保证电源故障后不扩散</w:t>
            </w:r>
          </w:p>
        </w:tc>
        <w:tc>
          <w:tcPr>
            <w:tcW w:w="1341" w:type="dxa"/>
            <w:shd w:val="clear" w:color="auto" w:fill="FFFFFF"/>
            <w:vAlign w:val="center"/>
          </w:tcPr>
          <w:p w14:paraId="2BD955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96C5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0" w:type="dxa"/>
            <w:shd w:val="clear" w:color="auto" w:fill="FFFFFF"/>
            <w:vAlign w:val="center"/>
          </w:tcPr>
          <w:p w14:paraId="57F1390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50</w:t>
            </w:r>
          </w:p>
        </w:tc>
        <w:tc>
          <w:tcPr>
            <w:tcW w:w="999" w:type="dxa"/>
            <w:shd w:val="clear" w:color="auto" w:fill="FFFFFF"/>
            <w:vAlign w:val="center"/>
          </w:tcPr>
          <w:p w14:paraId="74DF4F9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0" w:type="dxa"/>
            <w:vMerge w:val="continue"/>
            <w:shd w:val="clear" w:color="auto" w:fill="FFFFFF"/>
            <w:vAlign w:val="center"/>
          </w:tcPr>
          <w:p w14:paraId="2216ED41">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388276F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扩展功能</w:t>
            </w:r>
          </w:p>
        </w:tc>
        <w:tc>
          <w:tcPr>
            <w:tcW w:w="3984" w:type="dxa"/>
            <w:shd w:val="clear" w:color="auto" w:fill="FFFFFF"/>
            <w:vAlign w:val="center"/>
          </w:tcPr>
          <w:p w14:paraId="3EFA0A2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实现至少一种扩展功能，如存储功能卡、显示功能卡、运算加速功能卡及网络功能卡等扩展功能</w:t>
            </w:r>
          </w:p>
        </w:tc>
        <w:tc>
          <w:tcPr>
            <w:tcW w:w="1341" w:type="dxa"/>
            <w:shd w:val="clear" w:color="auto" w:fill="FFFFFF"/>
            <w:vAlign w:val="center"/>
          </w:tcPr>
          <w:p w14:paraId="1054070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2E5E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5C9CD8E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51</w:t>
            </w:r>
          </w:p>
        </w:tc>
        <w:tc>
          <w:tcPr>
            <w:tcW w:w="999" w:type="dxa"/>
            <w:shd w:val="clear" w:color="auto" w:fill="FFFFFF"/>
            <w:vAlign w:val="center"/>
          </w:tcPr>
          <w:p w14:paraId="7A0890B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0" w:type="dxa"/>
            <w:shd w:val="clear" w:color="auto" w:fill="FFFFFF"/>
            <w:vAlign w:val="center"/>
          </w:tcPr>
          <w:p w14:paraId="6AA37BB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网络功能</w:t>
            </w:r>
          </w:p>
        </w:tc>
        <w:tc>
          <w:tcPr>
            <w:tcW w:w="1506" w:type="dxa"/>
            <w:shd w:val="clear" w:color="auto" w:fill="FFFFFF"/>
            <w:vAlign w:val="center"/>
          </w:tcPr>
          <w:p w14:paraId="62F59B3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★网络功能</w:t>
            </w:r>
          </w:p>
        </w:tc>
        <w:tc>
          <w:tcPr>
            <w:tcW w:w="3984" w:type="dxa"/>
            <w:shd w:val="clear" w:color="auto" w:fill="FFFFFF"/>
            <w:vAlign w:val="center"/>
          </w:tcPr>
          <w:p w14:paraId="6A1C160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支持网络连接、网络访问、数据交换和网络管控功能</w:t>
            </w:r>
          </w:p>
        </w:tc>
        <w:tc>
          <w:tcPr>
            <w:tcW w:w="1341" w:type="dxa"/>
            <w:shd w:val="clear" w:color="auto" w:fill="FFFFFF"/>
            <w:vAlign w:val="center"/>
          </w:tcPr>
          <w:p w14:paraId="0BE0BA9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ED53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00" w:type="dxa"/>
            <w:shd w:val="clear" w:color="auto" w:fill="FFFFFF"/>
            <w:vAlign w:val="center"/>
          </w:tcPr>
          <w:p w14:paraId="3841AD9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52</w:t>
            </w:r>
          </w:p>
        </w:tc>
        <w:tc>
          <w:tcPr>
            <w:tcW w:w="999" w:type="dxa"/>
            <w:shd w:val="clear" w:color="auto" w:fill="FFFFFF"/>
            <w:vAlign w:val="center"/>
          </w:tcPr>
          <w:p w14:paraId="7C80542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0" w:type="dxa"/>
            <w:vMerge w:val="restart"/>
            <w:shd w:val="clear" w:color="auto" w:fill="FFFFFF"/>
            <w:vAlign w:val="center"/>
          </w:tcPr>
          <w:p w14:paraId="04C804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CPU功能</w:t>
            </w:r>
          </w:p>
        </w:tc>
        <w:tc>
          <w:tcPr>
            <w:tcW w:w="1506" w:type="dxa"/>
            <w:shd w:val="clear" w:color="auto" w:fill="FFFFFF"/>
            <w:vAlign w:val="center"/>
          </w:tcPr>
          <w:p w14:paraId="096F79D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★计算处理</w:t>
            </w:r>
          </w:p>
        </w:tc>
        <w:tc>
          <w:tcPr>
            <w:tcW w:w="3984" w:type="dxa"/>
            <w:shd w:val="clear" w:color="auto" w:fill="FFFFFF"/>
            <w:vAlign w:val="center"/>
          </w:tcPr>
          <w:p w14:paraId="5AD2E3F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支持通用计算及虚拟化功能。处理器需集成整型计算单元、浮点计算单元、内存控制器、I/O模块等，处理器与存储部件、网络部件、I/O部件等组成计算系统，提供数据处理、网络接入等计算相关功能</w:t>
            </w:r>
          </w:p>
        </w:tc>
        <w:tc>
          <w:tcPr>
            <w:tcW w:w="1341" w:type="dxa"/>
            <w:shd w:val="clear" w:color="auto" w:fill="FFFFFF"/>
            <w:vAlign w:val="center"/>
          </w:tcPr>
          <w:p w14:paraId="7B91434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CB7E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31D895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53</w:t>
            </w:r>
          </w:p>
        </w:tc>
        <w:tc>
          <w:tcPr>
            <w:tcW w:w="999" w:type="dxa"/>
            <w:shd w:val="clear" w:color="auto" w:fill="FFFFFF"/>
            <w:vAlign w:val="center"/>
          </w:tcPr>
          <w:p w14:paraId="0D7914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0" w:type="dxa"/>
            <w:vMerge w:val="continue"/>
            <w:shd w:val="clear" w:color="auto" w:fill="FFFFFF"/>
            <w:vAlign w:val="center"/>
          </w:tcPr>
          <w:p w14:paraId="5189F48B">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5F1C6E2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★密码算法实现</w:t>
            </w:r>
          </w:p>
        </w:tc>
        <w:tc>
          <w:tcPr>
            <w:tcW w:w="3984" w:type="dxa"/>
            <w:shd w:val="clear" w:color="auto" w:fill="FFFFFF"/>
            <w:vAlign w:val="center"/>
          </w:tcPr>
          <w:p w14:paraId="1FDD879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CPU芯片应符合GM/T0008的相关规定，或芯片密码模块应符合GB/T37092或GM/T0028的相关规定</w:t>
            </w:r>
          </w:p>
        </w:tc>
        <w:tc>
          <w:tcPr>
            <w:tcW w:w="1341" w:type="dxa"/>
            <w:shd w:val="clear" w:color="auto" w:fill="FFFFFF"/>
            <w:vAlign w:val="center"/>
          </w:tcPr>
          <w:p w14:paraId="4069F1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924E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00" w:type="dxa"/>
            <w:shd w:val="clear" w:color="auto" w:fill="FFFFFF"/>
            <w:vAlign w:val="center"/>
          </w:tcPr>
          <w:p w14:paraId="6EAFDE6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54</w:t>
            </w:r>
          </w:p>
        </w:tc>
        <w:tc>
          <w:tcPr>
            <w:tcW w:w="999" w:type="dxa"/>
            <w:shd w:val="clear" w:color="auto" w:fill="FFFFFF"/>
            <w:vAlign w:val="center"/>
          </w:tcPr>
          <w:p w14:paraId="25C2F38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0" w:type="dxa"/>
            <w:vMerge w:val="restart"/>
            <w:shd w:val="clear" w:color="auto" w:fill="FFFFFF"/>
            <w:vAlign w:val="center"/>
          </w:tcPr>
          <w:p w14:paraId="715A1C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存储功能</w:t>
            </w:r>
          </w:p>
        </w:tc>
        <w:tc>
          <w:tcPr>
            <w:tcW w:w="1506" w:type="dxa"/>
            <w:shd w:val="clear" w:color="auto" w:fill="FFFFFF"/>
            <w:vAlign w:val="center"/>
          </w:tcPr>
          <w:p w14:paraId="0B5BC26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内存校验</w:t>
            </w:r>
          </w:p>
        </w:tc>
        <w:tc>
          <w:tcPr>
            <w:tcW w:w="3984" w:type="dxa"/>
            <w:shd w:val="clear" w:color="auto" w:fill="FFFFFF"/>
            <w:vAlign w:val="center"/>
          </w:tcPr>
          <w:p w14:paraId="40634FD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支持内存校验或内存增强型纠错功能</w:t>
            </w:r>
          </w:p>
        </w:tc>
        <w:tc>
          <w:tcPr>
            <w:tcW w:w="1341" w:type="dxa"/>
            <w:shd w:val="clear" w:color="auto" w:fill="FFFFFF"/>
            <w:vAlign w:val="center"/>
          </w:tcPr>
          <w:p w14:paraId="57E0C8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164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0" w:type="dxa"/>
            <w:shd w:val="clear" w:color="auto" w:fill="FFFFFF"/>
            <w:vAlign w:val="center"/>
          </w:tcPr>
          <w:p w14:paraId="43A04B3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55</w:t>
            </w:r>
          </w:p>
        </w:tc>
        <w:tc>
          <w:tcPr>
            <w:tcW w:w="999" w:type="dxa"/>
            <w:shd w:val="clear" w:color="auto" w:fill="FFFFFF"/>
            <w:vAlign w:val="center"/>
          </w:tcPr>
          <w:p w14:paraId="1397149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0" w:type="dxa"/>
            <w:vMerge w:val="continue"/>
            <w:shd w:val="clear" w:color="auto" w:fill="FFFFFF"/>
            <w:vAlign w:val="center"/>
          </w:tcPr>
          <w:p w14:paraId="3292EDBE">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43D8D12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SATASSDNAND健康状态上报</w:t>
            </w:r>
          </w:p>
        </w:tc>
        <w:tc>
          <w:tcPr>
            <w:tcW w:w="3984" w:type="dxa"/>
            <w:shd w:val="clear" w:color="auto" w:fill="FFFFFF"/>
            <w:vAlign w:val="center"/>
          </w:tcPr>
          <w:p w14:paraId="0A8AFE3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支持关键外部存储器（硬磁盘、SSD等）的健康状态上报并进行故障诊断</w:t>
            </w:r>
          </w:p>
        </w:tc>
        <w:tc>
          <w:tcPr>
            <w:tcW w:w="1341" w:type="dxa"/>
            <w:shd w:val="clear" w:color="auto" w:fill="FFFFFF"/>
            <w:vAlign w:val="center"/>
          </w:tcPr>
          <w:p w14:paraId="680197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B54D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0" w:type="dxa"/>
            <w:shd w:val="clear" w:color="auto" w:fill="FFFFFF"/>
            <w:vAlign w:val="center"/>
          </w:tcPr>
          <w:p w14:paraId="5E9925F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56</w:t>
            </w:r>
          </w:p>
        </w:tc>
        <w:tc>
          <w:tcPr>
            <w:tcW w:w="999" w:type="dxa"/>
            <w:shd w:val="clear" w:color="auto" w:fill="FFFFFF"/>
            <w:vAlign w:val="center"/>
          </w:tcPr>
          <w:p w14:paraId="5DDE85C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0" w:type="dxa"/>
            <w:vMerge w:val="continue"/>
            <w:shd w:val="clear" w:color="auto" w:fill="FFFFFF"/>
            <w:vAlign w:val="center"/>
          </w:tcPr>
          <w:p w14:paraId="1452BE73">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3F07E2E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SATASSD单die故障隔离</w:t>
            </w:r>
          </w:p>
        </w:tc>
        <w:tc>
          <w:tcPr>
            <w:tcW w:w="3984" w:type="dxa"/>
            <w:shd w:val="clear" w:color="auto" w:fill="FFFFFF"/>
            <w:vAlign w:val="center"/>
          </w:tcPr>
          <w:p w14:paraId="38B7D1F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支持SSD关键外部存储器中单存储晶元故障隔离</w:t>
            </w:r>
          </w:p>
        </w:tc>
        <w:tc>
          <w:tcPr>
            <w:tcW w:w="1341" w:type="dxa"/>
            <w:shd w:val="clear" w:color="auto" w:fill="FFFFFF"/>
            <w:vAlign w:val="center"/>
          </w:tcPr>
          <w:p w14:paraId="21FF674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0055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771BF6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57</w:t>
            </w:r>
          </w:p>
        </w:tc>
        <w:tc>
          <w:tcPr>
            <w:tcW w:w="999" w:type="dxa"/>
            <w:shd w:val="clear" w:color="auto" w:fill="FFFFFF"/>
            <w:vAlign w:val="center"/>
          </w:tcPr>
          <w:p w14:paraId="44C3CDB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0" w:type="dxa"/>
            <w:vMerge w:val="restart"/>
            <w:shd w:val="clear" w:color="auto" w:fill="FFFFFF"/>
            <w:vAlign w:val="center"/>
          </w:tcPr>
          <w:p w14:paraId="6F9445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RAID卡功能</w:t>
            </w:r>
          </w:p>
        </w:tc>
        <w:tc>
          <w:tcPr>
            <w:tcW w:w="1506" w:type="dxa"/>
            <w:shd w:val="clear" w:color="auto" w:fill="FFFFFF"/>
            <w:vAlign w:val="center"/>
          </w:tcPr>
          <w:p w14:paraId="002FECC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RAID卡配置及RAID级别支持</w:t>
            </w:r>
          </w:p>
        </w:tc>
        <w:tc>
          <w:tcPr>
            <w:tcW w:w="3984" w:type="dxa"/>
            <w:shd w:val="clear" w:color="auto" w:fill="FFFFFF"/>
            <w:vAlign w:val="center"/>
          </w:tcPr>
          <w:p w14:paraId="38701F1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RAID模式支持RAID0/1/10/5；</w:t>
            </w:r>
          </w:p>
        </w:tc>
        <w:tc>
          <w:tcPr>
            <w:tcW w:w="1341" w:type="dxa"/>
            <w:shd w:val="clear" w:color="auto" w:fill="FFFFFF"/>
            <w:vAlign w:val="center"/>
          </w:tcPr>
          <w:p w14:paraId="6CCD5B0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EC4E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22ABFC4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58</w:t>
            </w:r>
          </w:p>
        </w:tc>
        <w:tc>
          <w:tcPr>
            <w:tcW w:w="999" w:type="dxa"/>
            <w:shd w:val="clear" w:color="auto" w:fill="FFFFFF"/>
            <w:vAlign w:val="center"/>
          </w:tcPr>
          <w:p w14:paraId="1E11C13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0" w:type="dxa"/>
            <w:vMerge w:val="continue"/>
            <w:shd w:val="clear" w:color="auto" w:fill="FFFFFF"/>
            <w:vAlign w:val="center"/>
          </w:tcPr>
          <w:p w14:paraId="65D06D99">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50C15D6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RAID卡BBU单元</w:t>
            </w:r>
          </w:p>
        </w:tc>
        <w:tc>
          <w:tcPr>
            <w:tcW w:w="3984" w:type="dxa"/>
            <w:shd w:val="clear" w:color="auto" w:fill="FFFFFF"/>
            <w:vAlign w:val="center"/>
          </w:tcPr>
          <w:p w14:paraId="5805595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RAID卡支持电池或电容备份单元</w:t>
            </w:r>
          </w:p>
        </w:tc>
        <w:tc>
          <w:tcPr>
            <w:tcW w:w="1341" w:type="dxa"/>
            <w:shd w:val="clear" w:color="auto" w:fill="FFFFFF"/>
            <w:vAlign w:val="center"/>
          </w:tcPr>
          <w:p w14:paraId="415A6B9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8D92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00" w:type="dxa"/>
            <w:shd w:val="clear" w:color="auto" w:fill="FFFFFF"/>
            <w:vAlign w:val="center"/>
          </w:tcPr>
          <w:p w14:paraId="7C18CD4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59</w:t>
            </w:r>
          </w:p>
        </w:tc>
        <w:tc>
          <w:tcPr>
            <w:tcW w:w="999" w:type="dxa"/>
            <w:shd w:val="clear" w:color="auto" w:fill="FFFFFF"/>
            <w:vAlign w:val="center"/>
          </w:tcPr>
          <w:p w14:paraId="7BDB31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0" w:type="dxa"/>
            <w:shd w:val="clear" w:color="auto" w:fill="FFFFFF"/>
            <w:vAlign w:val="center"/>
          </w:tcPr>
          <w:p w14:paraId="58B685C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光驱功能</w:t>
            </w:r>
          </w:p>
        </w:tc>
        <w:tc>
          <w:tcPr>
            <w:tcW w:w="1506" w:type="dxa"/>
            <w:shd w:val="clear" w:color="auto" w:fill="FFFFFF"/>
            <w:vAlign w:val="center"/>
          </w:tcPr>
          <w:p w14:paraId="366B46E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光驱类型（是否支持RW，以及光盘类型CD/DVD）</w:t>
            </w:r>
          </w:p>
        </w:tc>
        <w:tc>
          <w:tcPr>
            <w:tcW w:w="3984" w:type="dxa"/>
            <w:shd w:val="clear" w:color="auto" w:fill="FFFFFF"/>
            <w:vAlign w:val="center"/>
          </w:tcPr>
          <w:p w14:paraId="741BB1C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若配备光驱，应提供光驱的安装形式（如内置、外置）、光驱读写类型（如只读、可刻录等）、光盘类型的兼容列表（如CD-ROM、CD-RW、DVD±RW等）</w:t>
            </w:r>
          </w:p>
        </w:tc>
        <w:tc>
          <w:tcPr>
            <w:tcW w:w="1341" w:type="dxa"/>
            <w:shd w:val="clear" w:color="auto" w:fill="FFFFFF"/>
            <w:vAlign w:val="center"/>
          </w:tcPr>
          <w:p w14:paraId="3182366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4C2D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3F291E6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60</w:t>
            </w:r>
          </w:p>
        </w:tc>
        <w:tc>
          <w:tcPr>
            <w:tcW w:w="999" w:type="dxa"/>
            <w:shd w:val="clear" w:color="auto" w:fill="FFFFFF"/>
            <w:vAlign w:val="center"/>
          </w:tcPr>
          <w:p w14:paraId="4CEEC79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0" w:type="dxa"/>
            <w:vMerge w:val="restart"/>
            <w:shd w:val="clear" w:color="auto" w:fill="FFFFFF"/>
            <w:vAlign w:val="center"/>
          </w:tcPr>
          <w:p w14:paraId="3DED39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电源功能</w:t>
            </w:r>
          </w:p>
        </w:tc>
        <w:tc>
          <w:tcPr>
            <w:tcW w:w="1506" w:type="dxa"/>
            <w:shd w:val="clear" w:color="auto" w:fill="FFFFFF"/>
            <w:vAlign w:val="center"/>
          </w:tcPr>
          <w:p w14:paraId="3B2A447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★电源热插拔</w:t>
            </w:r>
          </w:p>
        </w:tc>
        <w:tc>
          <w:tcPr>
            <w:tcW w:w="3984" w:type="dxa"/>
            <w:shd w:val="clear" w:color="auto" w:fill="FFFFFF"/>
            <w:vAlign w:val="center"/>
          </w:tcPr>
          <w:p w14:paraId="3F65AD5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整机电源模块应具备热插拔功能</w:t>
            </w:r>
          </w:p>
        </w:tc>
        <w:tc>
          <w:tcPr>
            <w:tcW w:w="1341" w:type="dxa"/>
            <w:shd w:val="clear" w:color="auto" w:fill="FFFFFF"/>
            <w:vAlign w:val="center"/>
          </w:tcPr>
          <w:p w14:paraId="3352EF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C949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7AA6E6B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61</w:t>
            </w:r>
          </w:p>
        </w:tc>
        <w:tc>
          <w:tcPr>
            <w:tcW w:w="999" w:type="dxa"/>
            <w:shd w:val="clear" w:color="auto" w:fill="FFFFFF"/>
            <w:vAlign w:val="center"/>
          </w:tcPr>
          <w:p w14:paraId="0DA62F3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0" w:type="dxa"/>
            <w:vMerge w:val="continue"/>
            <w:shd w:val="clear" w:color="auto" w:fill="FFFFFF"/>
            <w:vAlign w:val="center"/>
          </w:tcPr>
          <w:p w14:paraId="42707C4A">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57A0DED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★电源过流保护</w:t>
            </w:r>
          </w:p>
        </w:tc>
        <w:tc>
          <w:tcPr>
            <w:tcW w:w="3984" w:type="dxa"/>
            <w:shd w:val="clear" w:color="auto" w:fill="FFFFFF"/>
            <w:vAlign w:val="center"/>
          </w:tcPr>
          <w:p w14:paraId="7ECFB80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支持过流及短路保护的功能</w:t>
            </w:r>
          </w:p>
        </w:tc>
        <w:tc>
          <w:tcPr>
            <w:tcW w:w="1341" w:type="dxa"/>
            <w:shd w:val="clear" w:color="auto" w:fill="FFFFFF"/>
            <w:vAlign w:val="center"/>
          </w:tcPr>
          <w:p w14:paraId="3098AC9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4602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00" w:type="dxa"/>
            <w:shd w:val="clear" w:color="auto" w:fill="FFFFFF"/>
            <w:vAlign w:val="center"/>
          </w:tcPr>
          <w:p w14:paraId="7FA4763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62</w:t>
            </w:r>
          </w:p>
        </w:tc>
        <w:tc>
          <w:tcPr>
            <w:tcW w:w="999" w:type="dxa"/>
            <w:shd w:val="clear" w:color="auto" w:fill="FFFFFF"/>
            <w:vAlign w:val="center"/>
          </w:tcPr>
          <w:p w14:paraId="620442E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0" w:type="dxa"/>
            <w:vMerge w:val="restart"/>
            <w:shd w:val="clear" w:color="auto" w:fill="FFFFFF"/>
            <w:vAlign w:val="center"/>
          </w:tcPr>
          <w:p w14:paraId="0CFADD5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整机功能</w:t>
            </w:r>
          </w:p>
        </w:tc>
        <w:tc>
          <w:tcPr>
            <w:tcW w:w="1506" w:type="dxa"/>
            <w:shd w:val="clear" w:color="auto" w:fill="FFFFFF"/>
            <w:vAlign w:val="center"/>
          </w:tcPr>
          <w:p w14:paraId="7A5D2D2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★散热方式</w:t>
            </w:r>
          </w:p>
        </w:tc>
        <w:tc>
          <w:tcPr>
            <w:tcW w:w="3984" w:type="dxa"/>
            <w:shd w:val="clear" w:color="auto" w:fill="FFFFFF"/>
            <w:vAlign w:val="center"/>
          </w:tcPr>
          <w:p w14:paraId="7A2DD37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支持风冷或液冷等散热方式</w:t>
            </w:r>
          </w:p>
        </w:tc>
        <w:tc>
          <w:tcPr>
            <w:tcW w:w="1341" w:type="dxa"/>
            <w:shd w:val="clear" w:color="auto" w:fill="FFFFFF"/>
            <w:vAlign w:val="center"/>
          </w:tcPr>
          <w:p w14:paraId="64C7C5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CF05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002B3A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63</w:t>
            </w:r>
          </w:p>
        </w:tc>
        <w:tc>
          <w:tcPr>
            <w:tcW w:w="999" w:type="dxa"/>
            <w:shd w:val="clear" w:color="auto" w:fill="FFFFFF"/>
            <w:vAlign w:val="center"/>
          </w:tcPr>
          <w:p w14:paraId="0B0F1E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0" w:type="dxa"/>
            <w:vMerge w:val="continue"/>
            <w:shd w:val="clear" w:color="auto" w:fill="FFFFFF"/>
            <w:vAlign w:val="center"/>
          </w:tcPr>
          <w:p w14:paraId="2317ADD6">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3420CEC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其他功能</w:t>
            </w:r>
          </w:p>
        </w:tc>
        <w:tc>
          <w:tcPr>
            <w:tcW w:w="3984" w:type="dxa"/>
            <w:shd w:val="clear" w:color="auto" w:fill="FFFFFF"/>
            <w:vAlign w:val="center"/>
          </w:tcPr>
          <w:p w14:paraId="7A46FE2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a）支持关键部件冗余（包括电源、风扇等）；b）支持熔断保护与恢复功能</w:t>
            </w:r>
          </w:p>
        </w:tc>
        <w:tc>
          <w:tcPr>
            <w:tcW w:w="1341" w:type="dxa"/>
            <w:shd w:val="clear" w:color="auto" w:fill="FFFFFF"/>
            <w:vAlign w:val="center"/>
          </w:tcPr>
          <w:p w14:paraId="3005FCE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7467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600" w:type="dxa"/>
            <w:shd w:val="clear" w:color="auto" w:fill="FFFFFF"/>
            <w:vAlign w:val="center"/>
          </w:tcPr>
          <w:p w14:paraId="176F38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64</w:t>
            </w:r>
          </w:p>
        </w:tc>
        <w:tc>
          <w:tcPr>
            <w:tcW w:w="999" w:type="dxa"/>
            <w:shd w:val="clear" w:color="auto" w:fill="FFFFFF"/>
            <w:vAlign w:val="center"/>
          </w:tcPr>
          <w:p w14:paraId="10D4E5C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0" w:type="dxa"/>
            <w:shd w:val="clear" w:color="auto" w:fill="FFFFFF"/>
            <w:vAlign w:val="center"/>
          </w:tcPr>
          <w:p w14:paraId="1B710AA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管理系统功能</w:t>
            </w:r>
          </w:p>
        </w:tc>
        <w:tc>
          <w:tcPr>
            <w:tcW w:w="1506" w:type="dxa"/>
            <w:shd w:val="clear" w:color="auto" w:fill="FFFFFF"/>
            <w:vAlign w:val="center"/>
          </w:tcPr>
          <w:p w14:paraId="256F641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★BMC固件基础功能</w:t>
            </w:r>
          </w:p>
        </w:tc>
        <w:tc>
          <w:tcPr>
            <w:tcW w:w="3984" w:type="dxa"/>
            <w:shd w:val="clear" w:color="auto" w:fill="FFFFFF"/>
            <w:vAlign w:val="center"/>
          </w:tcPr>
          <w:p w14:paraId="3A29855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支持DHCP设置网络功能；2）支持静态IP设置网络功能；3）支持设备日志记录，包括但不限于登录日志、操作日志和报警日志等功能；4）支持日志信息导出和记录删除功能；5）支持通过管理接口向外输出准确的报警信息功能；6）设备的BMC管理软件应能够按报警的严重程度进行区分；7）支持IPMI2.0、SNMP或Redfish等接口功能；8）支持键盘、鼠标和视频的重定向、文本控制台的重定向、远程虚拟媒体、高可靠的硬件监控和管理功能；9）支持基于网络开启、关闭和重启设备的功能，并查询当前设备开机运行状态；10）支持故障提示功能，并可通过接口读取服务器故障信息；11）支持基于网络的固件更新功能，包括BMC和BIOS等；12）支持基于网络安装操作系统的功能，并可通过网络控制台访问设备；13）支持通过本地的硬盘或光驱等存储设备，基于网络完成设备的操作系统安装功能；14）支持通过浏览器打开管理界面并登录功能；15）支持设置口令策略功能；16）支持访问权限设置功能，并通过日志记录访问事件；17）支持对出厂默认的用户名及口令进行安全保护功能，并提供默认口令修改提示；18）支持读取设备主板的工作环境温度功能；19）支持读取服务器CPU等核心器件的温度功能；20）支持通过外部管理工具进行BMC参数设置的功能，并可基于网络通过外部管理工具对BMC进行管理；21）应支持固件版本查询、固件升级22）支持基于网络实现开关机和复位控制的功能；23)BMC启动时间应不超过180s，实现功能包括网络、IPMI、散热、传感器服务可用；24）支持BMC固件设置的恢复出厂功能</w:t>
            </w:r>
          </w:p>
        </w:tc>
        <w:tc>
          <w:tcPr>
            <w:tcW w:w="1341" w:type="dxa"/>
            <w:shd w:val="clear" w:color="auto" w:fill="FFFFFF"/>
            <w:vAlign w:val="center"/>
          </w:tcPr>
          <w:p w14:paraId="661BA52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52FC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600" w:type="dxa"/>
            <w:shd w:val="clear" w:color="auto" w:fill="FFFFFF"/>
            <w:vAlign w:val="center"/>
          </w:tcPr>
          <w:p w14:paraId="49DAE9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65</w:t>
            </w:r>
          </w:p>
        </w:tc>
        <w:tc>
          <w:tcPr>
            <w:tcW w:w="999" w:type="dxa"/>
            <w:shd w:val="clear" w:color="auto" w:fill="FFFFFF"/>
            <w:vAlign w:val="center"/>
          </w:tcPr>
          <w:p w14:paraId="17C757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0" w:type="dxa"/>
            <w:vMerge w:val="restart"/>
            <w:shd w:val="clear" w:color="auto" w:fill="FFFFFF"/>
            <w:vAlign w:val="center"/>
          </w:tcPr>
          <w:p w14:paraId="589EEAFD">
            <w:pPr>
              <w:widowControl/>
              <w:jc w:val="center"/>
              <w:rPr>
                <w:rFonts w:asciiTheme="minorEastAsia" w:hAnsiTheme="minorEastAsia" w:eastAsiaTheme="minorEastAsia" w:cstheme="minorEastAsia"/>
                <w:kern w:val="0"/>
                <w:sz w:val="24"/>
              </w:rPr>
            </w:pPr>
          </w:p>
        </w:tc>
        <w:tc>
          <w:tcPr>
            <w:tcW w:w="1506" w:type="dxa"/>
            <w:shd w:val="clear" w:color="auto" w:fill="FFFFFF"/>
            <w:vAlign w:val="center"/>
          </w:tcPr>
          <w:p w14:paraId="44948ED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BMC固件增强功能</w:t>
            </w:r>
          </w:p>
        </w:tc>
        <w:tc>
          <w:tcPr>
            <w:tcW w:w="3984" w:type="dxa"/>
            <w:shd w:val="clear" w:color="auto" w:fill="FFFFFF"/>
            <w:vAlign w:val="center"/>
          </w:tcPr>
          <w:p w14:paraId="17E0D45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a）网络控制、安装提供图形访问界面网络；b）设备的BMC管理软件界面显示报警信息，且能够按报警的严重程度进行区分；c）WebGUI采用BMC端口直连，平均响应时间为≤1s</w:t>
            </w:r>
          </w:p>
        </w:tc>
        <w:tc>
          <w:tcPr>
            <w:tcW w:w="1341" w:type="dxa"/>
            <w:shd w:val="clear" w:color="auto" w:fill="FFFFFF"/>
            <w:vAlign w:val="center"/>
          </w:tcPr>
          <w:p w14:paraId="2711CF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74D2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0" w:hRule="atLeast"/>
        </w:trPr>
        <w:tc>
          <w:tcPr>
            <w:tcW w:w="600" w:type="dxa"/>
            <w:shd w:val="clear" w:color="auto" w:fill="FFFFFF"/>
            <w:vAlign w:val="center"/>
          </w:tcPr>
          <w:p w14:paraId="13C2AC1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66</w:t>
            </w:r>
          </w:p>
        </w:tc>
        <w:tc>
          <w:tcPr>
            <w:tcW w:w="999" w:type="dxa"/>
            <w:shd w:val="clear" w:color="auto" w:fill="FFFFFF"/>
            <w:vAlign w:val="center"/>
          </w:tcPr>
          <w:p w14:paraId="0C59E24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0" w:type="dxa"/>
            <w:vMerge w:val="continue"/>
            <w:shd w:val="clear" w:color="auto" w:fill="FFFFFF"/>
            <w:vAlign w:val="center"/>
          </w:tcPr>
          <w:p w14:paraId="1079BFE8">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2B41FA7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★BIOS固件基础功能</w:t>
            </w:r>
          </w:p>
        </w:tc>
        <w:tc>
          <w:tcPr>
            <w:tcW w:w="3984" w:type="dxa"/>
            <w:shd w:val="clear" w:color="auto" w:fill="FFFFFF"/>
            <w:vAlign w:val="center"/>
          </w:tcPr>
          <w:p w14:paraId="25184C2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查看固件版本、内存信息、主板信息、处理器信息和系统时间信息功能；b）支持上电初始化界面显示CPU信息、内存信息、固件版本和部分快捷键信息功能；c）支持设置界面中英文显示切换功能；d）支持查看PCIe设备信息，SATA设备信息功能；e）支持操作系统安装和引导功能，应并向操作系统提供计算机主板信息和服务接口；f）支持设置启动顺序，并按照设置的启动顺序启动功能；g）支持安全启动功能；h）支持设置口令、修改口令、验证口令功能；i）支持板载显示控制或独立显卡的显示控制功能；j）支持RAID识别和启动功能；k）支持串口重定向功能；l）支持固件更新功能；m）支持BIOS固件设置的恢复出厂功能；n）支持网络引导启用和关闭功能</w:t>
            </w:r>
          </w:p>
        </w:tc>
        <w:tc>
          <w:tcPr>
            <w:tcW w:w="1341" w:type="dxa"/>
            <w:shd w:val="clear" w:color="auto" w:fill="FFFFFF"/>
            <w:vAlign w:val="center"/>
          </w:tcPr>
          <w:p w14:paraId="0867419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2277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00" w:type="dxa"/>
            <w:shd w:val="clear" w:color="auto" w:fill="FFFFFF"/>
            <w:vAlign w:val="center"/>
          </w:tcPr>
          <w:p w14:paraId="69F3E00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67</w:t>
            </w:r>
          </w:p>
        </w:tc>
        <w:tc>
          <w:tcPr>
            <w:tcW w:w="999" w:type="dxa"/>
            <w:shd w:val="clear" w:color="auto" w:fill="FFFFFF"/>
            <w:vAlign w:val="center"/>
          </w:tcPr>
          <w:p w14:paraId="234759A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0" w:type="dxa"/>
            <w:vMerge w:val="continue"/>
            <w:shd w:val="clear" w:color="auto" w:fill="FFFFFF"/>
            <w:vAlign w:val="center"/>
          </w:tcPr>
          <w:p w14:paraId="0CF7F635">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2014A7D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★远程控制</w:t>
            </w:r>
          </w:p>
        </w:tc>
        <w:tc>
          <w:tcPr>
            <w:tcW w:w="3984" w:type="dxa"/>
            <w:shd w:val="clear" w:color="auto" w:fill="FFFFFF"/>
            <w:vAlign w:val="center"/>
          </w:tcPr>
          <w:p w14:paraId="1E645DE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支持远程关机和重新启动功能</w:t>
            </w:r>
          </w:p>
        </w:tc>
        <w:tc>
          <w:tcPr>
            <w:tcW w:w="1341" w:type="dxa"/>
            <w:shd w:val="clear" w:color="auto" w:fill="FFFFFF"/>
            <w:vAlign w:val="center"/>
          </w:tcPr>
          <w:p w14:paraId="397CDC0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335A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678D106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68</w:t>
            </w:r>
          </w:p>
        </w:tc>
        <w:tc>
          <w:tcPr>
            <w:tcW w:w="999" w:type="dxa"/>
            <w:shd w:val="clear" w:color="auto" w:fill="FFFFFF"/>
            <w:vAlign w:val="center"/>
          </w:tcPr>
          <w:p w14:paraId="2F90D27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0" w:type="dxa"/>
            <w:vMerge w:val="restart"/>
            <w:shd w:val="clear" w:color="auto" w:fill="FFFFFF"/>
            <w:vAlign w:val="center"/>
          </w:tcPr>
          <w:p w14:paraId="67378DB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操作系统及驱动功能</w:t>
            </w:r>
          </w:p>
        </w:tc>
        <w:tc>
          <w:tcPr>
            <w:tcW w:w="1506" w:type="dxa"/>
            <w:shd w:val="clear" w:color="auto" w:fill="FFFFFF"/>
            <w:vAlign w:val="center"/>
          </w:tcPr>
          <w:p w14:paraId="68C0AC6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★操作系统及驱动的升级</w:t>
            </w:r>
          </w:p>
        </w:tc>
        <w:tc>
          <w:tcPr>
            <w:tcW w:w="3984" w:type="dxa"/>
            <w:shd w:val="clear" w:color="auto" w:fill="FFFFFF"/>
            <w:vAlign w:val="center"/>
          </w:tcPr>
          <w:p w14:paraId="6EF5F96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支持通过网络、闪存盘对操作系统、驱动进行升级</w:t>
            </w:r>
          </w:p>
        </w:tc>
        <w:tc>
          <w:tcPr>
            <w:tcW w:w="1341" w:type="dxa"/>
            <w:shd w:val="clear" w:color="auto" w:fill="FFFFFF"/>
            <w:vAlign w:val="center"/>
          </w:tcPr>
          <w:p w14:paraId="42183C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66A7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36B77D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69</w:t>
            </w:r>
          </w:p>
        </w:tc>
        <w:tc>
          <w:tcPr>
            <w:tcW w:w="999" w:type="dxa"/>
            <w:shd w:val="clear" w:color="auto" w:fill="FFFFFF"/>
            <w:vAlign w:val="center"/>
          </w:tcPr>
          <w:p w14:paraId="3C1DF8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0" w:type="dxa"/>
            <w:vMerge w:val="continue"/>
            <w:shd w:val="clear" w:color="auto" w:fill="FFFFFF"/>
            <w:vAlign w:val="center"/>
          </w:tcPr>
          <w:p w14:paraId="1C968C6D">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51290AD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操作系统及驱动的备份还原</w:t>
            </w:r>
          </w:p>
        </w:tc>
        <w:tc>
          <w:tcPr>
            <w:tcW w:w="3984" w:type="dxa"/>
            <w:shd w:val="clear" w:color="auto" w:fill="FFFFFF"/>
            <w:vAlign w:val="center"/>
          </w:tcPr>
          <w:p w14:paraId="273A655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支持操作系统备份及还原功能</w:t>
            </w:r>
          </w:p>
        </w:tc>
        <w:tc>
          <w:tcPr>
            <w:tcW w:w="1341" w:type="dxa"/>
            <w:shd w:val="clear" w:color="auto" w:fill="FFFFFF"/>
            <w:vAlign w:val="center"/>
          </w:tcPr>
          <w:p w14:paraId="5D63CDC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E4D5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6BBA86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70</w:t>
            </w:r>
          </w:p>
        </w:tc>
        <w:tc>
          <w:tcPr>
            <w:tcW w:w="999" w:type="dxa"/>
            <w:shd w:val="clear" w:color="auto" w:fill="FFFFFF"/>
            <w:vAlign w:val="center"/>
          </w:tcPr>
          <w:p w14:paraId="6B21BB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0" w:type="dxa"/>
            <w:vMerge w:val="continue"/>
            <w:shd w:val="clear" w:color="auto" w:fill="FFFFFF"/>
            <w:vAlign w:val="center"/>
          </w:tcPr>
          <w:p w14:paraId="104BC3A3">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54AC5FA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★操作系统功能</w:t>
            </w:r>
          </w:p>
        </w:tc>
        <w:tc>
          <w:tcPr>
            <w:tcW w:w="3984" w:type="dxa"/>
            <w:shd w:val="clear" w:color="auto" w:fill="FFFFFF"/>
            <w:vAlign w:val="center"/>
          </w:tcPr>
          <w:p w14:paraId="28550BA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a）支持访问控制、安全审计、网络接入鉴别等功能；b）操作系统其他功能应满足操作系统政府采购需求标准中加*的指标要求</w:t>
            </w:r>
          </w:p>
        </w:tc>
        <w:tc>
          <w:tcPr>
            <w:tcW w:w="1341" w:type="dxa"/>
            <w:shd w:val="clear" w:color="auto" w:fill="FFFFFF"/>
            <w:vAlign w:val="center"/>
          </w:tcPr>
          <w:p w14:paraId="6ADDD12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7AB6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64F679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71</w:t>
            </w:r>
          </w:p>
        </w:tc>
        <w:tc>
          <w:tcPr>
            <w:tcW w:w="999" w:type="dxa"/>
            <w:shd w:val="clear" w:color="auto" w:fill="FFFFFF"/>
            <w:vAlign w:val="center"/>
          </w:tcPr>
          <w:p w14:paraId="1DB61E4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0" w:type="dxa"/>
            <w:shd w:val="clear" w:color="auto" w:fill="FFFFFF"/>
            <w:vAlign w:val="center"/>
          </w:tcPr>
          <w:p w14:paraId="2794539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中文信息处理功能</w:t>
            </w:r>
          </w:p>
        </w:tc>
        <w:tc>
          <w:tcPr>
            <w:tcW w:w="1506" w:type="dxa"/>
            <w:shd w:val="clear" w:color="auto" w:fill="FFFFFF"/>
            <w:vAlign w:val="center"/>
          </w:tcPr>
          <w:p w14:paraId="5609B07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★中文信息处理</w:t>
            </w:r>
          </w:p>
        </w:tc>
        <w:tc>
          <w:tcPr>
            <w:tcW w:w="3984" w:type="dxa"/>
            <w:shd w:val="clear" w:color="auto" w:fill="FFFFFF"/>
            <w:vAlign w:val="center"/>
          </w:tcPr>
          <w:p w14:paraId="3DFC80B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符合GB18030的有关规定</w:t>
            </w:r>
          </w:p>
        </w:tc>
        <w:tc>
          <w:tcPr>
            <w:tcW w:w="1341" w:type="dxa"/>
            <w:shd w:val="clear" w:color="auto" w:fill="FFFFFF"/>
            <w:vAlign w:val="center"/>
          </w:tcPr>
          <w:p w14:paraId="10E8A69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2035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0" w:type="dxa"/>
            <w:shd w:val="clear" w:color="auto" w:fill="FFFFFF"/>
            <w:vAlign w:val="center"/>
          </w:tcPr>
          <w:p w14:paraId="5F09E62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72</w:t>
            </w:r>
          </w:p>
        </w:tc>
        <w:tc>
          <w:tcPr>
            <w:tcW w:w="999" w:type="dxa"/>
            <w:shd w:val="clear" w:color="auto" w:fill="FFFFFF"/>
            <w:vAlign w:val="center"/>
          </w:tcPr>
          <w:p w14:paraId="74F6483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0" w:type="dxa"/>
            <w:vMerge w:val="restart"/>
            <w:shd w:val="clear" w:color="auto" w:fill="FFFFFF"/>
            <w:vAlign w:val="center"/>
          </w:tcPr>
          <w:p w14:paraId="7E5396B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机柜功能</w:t>
            </w:r>
          </w:p>
        </w:tc>
        <w:tc>
          <w:tcPr>
            <w:tcW w:w="1506" w:type="dxa"/>
            <w:shd w:val="clear" w:color="auto" w:fill="FFFFFF"/>
            <w:vAlign w:val="center"/>
          </w:tcPr>
          <w:p w14:paraId="74EF399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机柜管理功能</w:t>
            </w:r>
          </w:p>
        </w:tc>
        <w:tc>
          <w:tcPr>
            <w:tcW w:w="3984" w:type="dxa"/>
            <w:shd w:val="clear" w:color="auto" w:fill="FFFFFF"/>
            <w:vAlign w:val="center"/>
          </w:tcPr>
          <w:p w14:paraId="77FA010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机柜管理系统包括服务器节点BMC管理系统、机柜管理系统或交换节点管理系统</w:t>
            </w:r>
          </w:p>
        </w:tc>
        <w:tc>
          <w:tcPr>
            <w:tcW w:w="1341" w:type="dxa"/>
            <w:shd w:val="clear" w:color="auto" w:fill="FFFFFF"/>
            <w:vAlign w:val="center"/>
          </w:tcPr>
          <w:p w14:paraId="57EC642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96A9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4AB6A4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73</w:t>
            </w:r>
          </w:p>
        </w:tc>
        <w:tc>
          <w:tcPr>
            <w:tcW w:w="999" w:type="dxa"/>
            <w:shd w:val="clear" w:color="auto" w:fill="FFFFFF"/>
            <w:vAlign w:val="center"/>
          </w:tcPr>
          <w:p w14:paraId="5D7C014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0" w:type="dxa"/>
            <w:vMerge w:val="continue"/>
            <w:shd w:val="clear" w:color="auto" w:fill="FFFFFF"/>
            <w:vAlign w:val="center"/>
          </w:tcPr>
          <w:p w14:paraId="31253009">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2C27C9C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机柜通信方式</w:t>
            </w:r>
          </w:p>
        </w:tc>
        <w:tc>
          <w:tcPr>
            <w:tcW w:w="3984" w:type="dxa"/>
            <w:shd w:val="clear" w:color="auto" w:fill="FFFFFF"/>
            <w:vAlign w:val="center"/>
          </w:tcPr>
          <w:p w14:paraId="0486829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若配备机柜管理板可实现包括：资产管理、电源模块、功耗管理和液冷漏液检测等功能</w:t>
            </w:r>
          </w:p>
        </w:tc>
        <w:tc>
          <w:tcPr>
            <w:tcW w:w="1341" w:type="dxa"/>
            <w:shd w:val="clear" w:color="auto" w:fill="FFFFFF"/>
            <w:vAlign w:val="center"/>
          </w:tcPr>
          <w:p w14:paraId="1323095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8DF3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5B069C4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74</w:t>
            </w:r>
          </w:p>
        </w:tc>
        <w:tc>
          <w:tcPr>
            <w:tcW w:w="999" w:type="dxa"/>
            <w:shd w:val="clear" w:color="auto" w:fill="FFFFFF"/>
            <w:vAlign w:val="center"/>
          </w:tcPr>
          <w:p w14:paraId="712D6A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0" w:type="dxa"/>
            <w:vMerge w:val="continue"/>
            <w:shd w:val="clear" w:color="auto" w:fill="FFFFFF"/>
            <w:vAlign w:val="center"/>
          </w:tcPr>
          <w:p w14:paraId="21EA1045">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5AD6247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多集群作业管理</w:t>
            </w:r>
          </w:p>
        </w:tc>
        <w:tc>
          <w:tcPr>
            <w:tcW w:w="3984" w:type="dxa"/>
            <w:shd w:val="clear" w:color="auto" w:fill="FFFFFF"/>
            <w:vAlign w:val="center"/>
          </w:tcPr>
          <w:p w14:paraId="795852A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支持多集群作业管理功能</w:t>
            </w:r>
          </w:p>
        </w:tc>
        <w:tc>
          <w:tcPr>
            <w:tcW w:w="1341" w:type="dxa"/>
            <w:shd w:val="clear" w:color="auto" w:fill="FFFFFF"/>
            <w:vAlign w:val="center"/>
          </w:tcPr>
          <w:p w14:paraId="515ED39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F79A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7A38D0F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75</w:t>
            </w:r>
          </w:p>
        </w:tc>
        <w:tc>
          <w:tcPr>
            <w:tcW w:w="999" w:type="dxa"/>
            <w:shd w:val="clear" w:color="auto" w:fill="FFFFFF"/>
            <w:vAlign w:val="center"/>
          </w:tcPr>
          <w:p w14:paraId="0F8402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0" w:type="dxa"/>
            <w:shd w:val="clear" w:color="auto" w:fill="FFFFFF"/>
            <w:vAlign w:val="center"/>
          </w:tcPr>
          <w:p w14:paraId="61AA8BA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关键部件安全要求</w:t>
            </w:r>
          </w:p>
        </w:tc>
        <w:tc>
          <w:tcPr>
            <w:tcW w:w="1506" w:type="dxa"/>
            <w:shd w:val="clear" w:color="auto" w:fill="FFFFFF"/>
            <w:vAlign w:val="center"/>
          </w:tcPr>
          <w:p w14:paraId="2A98830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★关键部件安全要求</w:t>
            </w:r>
          </w:p>
        </w:tc>
        <w:tc>
          <w:tcPr>
            <w:tcW w:w="3984" w:type="dxa"/>
            <w:shd w:val="clear" w:color="auto" w:fill="FFFFFF"/>
            <w:vAlign w:val="center"/>
          </w:tcPr>
          <w:p w14:paraId="47B2220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CPU和操作系统等关键部件应当符合安全可靠测评要求</w:t>
            </w:r>
          </w:p>
        </w:tc>
        <w:tc>
          <w:tcPr>
            <w:tcW w:w="1341" w:type="dxa"/>
            <w:shd w:val="clear" w:color="auto" w:fill="FFFFFF"/>
            <w:vAlign w:val="center"/>
          </w:tcPr>
          <w:p w14:paraId="6044C9E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7DE6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0" w:type="dxa"/>
            <w:shd w:val="clear" w:color="auto" w:fill="FFFFFF"/>
            <w:vAlign w:val="center"/>
          </w:tcPr>
          <w:p w14:paraId="5EF5956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76</w:t>
            </w:r>
          </w:p>
        </w:tc>
        <w:tc>
          <w:tcPr>
            <w:tcW w:w="999" w:type="dxa"/>
            <w:shd w:val="clear" w:color="auto" w:fill="FFFFFF"/>
            <w:vAlign w:val="center"/>
          </w:tcPr>
          <w:p w14:paraId="759ED4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0" w:type="dxa"/>
            <w:vMerge w:val="restart"/>
            <w:shd w:val="clear" w:color="auto" w:fill="FFFFFF"/>
            <w:vAlign w:val="center"/>
          </w:tcPr>
          <w:p w14:paraId="3EAC1D9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固件安全要求</w:t>
            </w:r>
          </w:p>
        </w:tc>
        <w:tc>
          <w:tcPr>
            <w:tcW w:w="1506" w:type="dxa"/>
            <w:shd w:val="clear" w:color="auto" w:fill="FFFFFF"/>
            <w:vAlign w:val="center"/>
          </w:tcPr>
          <w:p w14:paraId="6C6DC95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★故障检测</w:t>
            </w:r>
          </w:p>
        </w:tc>
        <w:tc>
          <w:tcPr>
            <w:tcW w:w="3984" w:type="dxa"/>
            <w:shd w:val="clear" w:color="auto" w:fill="FFFFFF"/>
            <w:vAlign w:val="center"/>
          </w:tcPr>
          <w:p w14:paraId="5C2FE40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支持故障检测功能，可以检测到具体的FRU（内存、硬盘等）的故障并发出告警</w:t>
            </w:r>
          </w:p>
        </w:tc>
        <w:tc>
          <w:tcPr>
            <w:tcW w:w="1341" w:type="dxa"/>
            <w:shd w:val="clear" w:color="auto" w:fill="FFFFFF"/>
            <w:vAlign w:val="center"/>
          </w:tcPr>
          <w:p w14:paraId="70AFC68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02A5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0" w:type="dxa"/>
            <w:shd w:val="clear" w:color="auto" w:fill="FFFFFF"/>
            <w:vAlign w:val="center"/>
          </w:tcPr>
          <w:p w14:paraId="26506A9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77</w:t>
            </w:r>
          </w:p>
        </w:tc>
        <w:tc>
          <w:tcPr>
            <w:tcW w:w="999" w:type="dxa"/>
            <w:shd w:val="clear" w:color="auto" w:fill="FFFFFF"/>
            <w:vAlign w:val="center"/>
          </w:tcPr>
          <w:p w14:paraId="5B49737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0" w:type="dxa"/>
            <w:vMerge w:val="continue"/>
            <w:shd w:val="clear" w:color="auto" w:fill="FFFFFF"/>
            <w:vAlign w:val="center"/>
          </w:tcPr>
          <w:p w14:paraId="7F2FDC1B">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379C05C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内存故障智能预测和自愈修复</w:t>
            </w:r>
          </w:p>
        </w:tc>
        <w:tc>
          <w:tcPr>
            <w:tcW w:w="3984" w:type="dxa"/>
            <w:shd w:val="clear" w:color="auto" w:fill="FFFFFF"/>
            <w:vAlign w:val="center"/>
          </w:tcPr>
          <w:p w14:paraId="016B163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支持内存故障智能预测和自愈修复，提前自动硬隔离，避免内存故障引起的非预期宕机以及内存寿命的降低</w:t>
            </w:r>
          </w:p>
        </w:tc>
        <w:tc>
          <w:tcPr>
            <w:tcW w:w="1341" w:type="dxa"/>
            <w:shd w:val="clear" w:color="auto" w:fill="FFFFFF"/>
            <w:vAlign w:val="center"/>
          </w:tcPr>
          <w:p w14:paraId="0A1F7D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E4BC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0" w:type="dxa"/>
            <w:shd w:val="clear" w:color="auto" w:fill="FFFFFF"/>
            <w:vAlign w:val="center"/>
          </w:tcPr>
          <w:p w14:paraId="1B8E0A4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78</w:t>
            </w:r>
          </w:p>
        </w:tc>
        <w:tc>
          <w:tcPr>
            <w:tcW w:w="999" w:type="dxa"/>
            <w:shd w:val="clear" w:color="auto" w:fill="FFFFFF"/>
            <w:vAlign w:val="center"/>
          </w:tcPr>
          <w:p w14:paraId="485D97B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0" w:type="dxa"/>
            <w:vMerge w:val="continue"/>
            <w:shd w:val="clear" w:color="auto" w:fill="FFFFFF"/>
            <w:vAlign w:val="center"/>
          </w:tcPr>
          <w:p w14:paraId="5319081B">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6E5D1BC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硬盘故障智能预测</w:t>
            </w:r>
          </w:p>
        </w:tc>
        <w:tc>
          <w:tcPr>
            <w:tcW w:w="3984" w:type="dxa"/>
            <w:shd w:val="clear" w:color="auto" w:fill="FFFFFF"/>
            <w:vAlign w:val="center"/>
          </w:tcPr>
          <w:p w14:paraId="78D844E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支持硬盘故障智能预测，基于故障模型预测出硬盘的故障</w:t>
            </w:r>
          </w:p>
        </w:tc>
        <w:tc>
          <w:tcPr>
            <w:tcW w:w="1341" w:type="dxa"/>
            <w:shd w:val="clear" w:color="auto" w:fill="FFFFFF"/>
            <w:vAlign w:val="center"/>
          </w:tcPr>
          <w:p w14:paraId="545410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928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0" w:type="dxa"/>
            <w:shd w:val="clear" w:color="auto" w:fill="FFFFFF"/>
            <w:vAlign w:val="center"/>
          </w:tcPr>
          <w:p w14:paraId="525F8C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79</w:t>
            </w:r>
          </w:p>
        </w:tc>
        <w:tc>
          <w:tcPr>
            <w:tcW w:w="999" w:type="dxa"/>
            <w:shd w:val="clear" w:color="auto" w:fill="FFFFFF"/>
            <w:vAlign w:val="center"/>
          </w:tcPr>
          <w:p w14:paraId="706D2D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0" w:type="dxa"/>
            <w:vMerge w:val="continue"/>
            <w:shd w:val="clear" w:color="auto" w:fill="FFFFFF"/>
            <w:vAlign w:val="center"/>
          </w:tcPr>
          <w:p w14:paraId="7F599938">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284B6F8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PCIe链路故障智能诊断</w:t>
            </w:r>
          </w:p>
        </w:tc>
        <w:tc>
          <w:tcPr>
            <w:tcW w:w="3984" w:type="dxa"/>
            <w:shd w:val="clear" w:color="auto" w:fill="FFFFFF"/>
            <w:vAlign w:val="center"/>
          </w:tcPr>
          <w:p w14:paraId="7DD85F5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支持PCIe链路故障智能诊断，判断出现故障的PCIe链路</w:t>
            </w:r>
          </w:p>
        </w:tc>
        <w:tc>
          <w:tcPr>
            <w:tcW w:w="1341" w:type="dxa"/>
            <w:shd w:val="clear" w:color="auto" w:fill="FFFFFF"/>
            <w:vAlign w:val="center"/>
          </w:tcPr>
          <w:p w14:paraId="579A4C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3408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65FF3F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80</w:t>
            </w:r>
          </w:p>
        </w:tc>
        <w:tc>
          <w:tcPr>
            <w:tcW w:w="999" w:type="dxa"/>
            <w:shd w:val="clear" w:color="auto" w:fill="FFFFFF"/>
            <w:vAlign w:val="center"/>
          </w:tcPr>
          <w:p w14:paraId="42D0E14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0" w:type="dxa"/>
            <w:vMerge w:val="continue"/>
            <w:shd w:val="clear" w:color="auto" w:fill="FFFFFF"/>
            <w:vAlign w:val="center"/>
          </w:tcPr>
          <w:p w14:paraId="589BD483">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111FAE1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内存故障隔离</w:t>
            </w:r>
          </w:p>
        </w:tc>
        <w:tc>
          <w:tcPr>
            <w:tcW w:w="3984" w:type="dxa"/>
            <w:shd w:val="clear" w:color="auto" w:fill="FFFFFF"/>
            <w:vAlign w:val="center"/>
          </w:tcPr>
          <w:p w14:paraId="62EF304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支持内存故障隔离，在内存产生CE故障时，内存地址被隔离成功，服务器正常运行，业务系统不中断</w:t>
            </w:r>
          </w:p>
        </w:tc>
        <w:tc>
          <w:tcPr>
            <w:tcW w:w="1341" w:type="dxa"/>
            <w:shd w:val="clear" w:color="auto" w:fill="FFFFFF"/>
            <w:vAlign w:val="center"/>
          </w:tcPr>
          <w:p w14:paraId="58504C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18C1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00" w:type="dxa"/>
            <w:shd w:val="clear" w:color="auto" w:fill="FFFFFF"/>
            <w:vAlign w:val="center"/>
          </w:tcPr>
          <w:p w14:paraId="1EF6739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81</w:t>
            </w:r>
          </w:p>
        </w:tc>
        <w:tc>
          <w:tcPr>
            <w:tcW w:w="999" w:type="dxa"/>
            <w:shd w:val="clear" w:color="auto" w:fill="FFFFFF"/>
            <w:vAlign w:val="center"/>
          </w:tcPr>
          <w:p w14:paraId="2158938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0" w:type="dxa"/>
            <w:vMerge w:val="continue"/>
            <w:shd w:val="clear" w:color="auto" w:fill="FFFFFF"/>
            <w:vAlign w:val="center"/>
          </w:tcPr>
          <w:p w14:paraId="6CDB3677">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27FFCBC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内存、PCIe卡的故障精准告警功能</w:t>
            </w:r>
          </w:p>
        </w:tc>
        <w:tc>
          <w:tcPr>
            <w:tcW w:w="3984" w:type="dxa"/>
            <w:shd w:val="clear" w:color="auto" w:fill="FFFFFF"/>
            <w:vAlign w:val="center"/>
          </w:tcPr>
          <w:p w14:paraId="484B568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支持内存、PCIe卡的故障精准告警功能，触发告警并明确指示具体的故障位置</w:t>
            </w:r>
          </w:p>
        </w:tc>
        <w:tc>
          <w:tcPr>
            <w:tcW w:w="1341" w:type="dxa"/>
            <w:shd w:val="clear" w:color="auto" w:fill="FFFFFF"/>
            <w:vAlign w:val="center"/>
          </w:tcPr>
          <w:p w14:paraId="10F327A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70D1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6B0FFA4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82</w:t>
            </w:r>
          </w:p>
        </w:tc>
        <w:tc>
          <w:tcPr>
            <w:tcW w:w="999" w:type="dxa"/>
            <w:shd w:val="clear" w:color="auto" w:fill="FFFFFF"/>
            <w:vAlign w:val="center"/>
          </w:tcPr>
          <w:p w14:paraId="279BDCE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0" w:type="dxa"/>
            <w:vMerge w:val="continue"/>
            <w:shd w:val="clear" w:color="auto" w:fill="FFFFFF"/>
            <w:vAlign w:val="center"/>
          </w:tcPr>
          <w:p w14:paraId="00D25C2D">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503CF54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异常下电关键数据保护</w:t>
            </w:r>
          </w:p>
        </w:tc>
        <w:tc>
          <w:tcPr>
            <w:tcW w:w="3984" w:type="dxa"/>
            <w:shd w:val="clear" w:color="auto" w:fill="FFFFFF"/>
            <w:vAlign w:val="center"/>
          </w:tcPr>
          <w:p w14:paraId="1BDFA1B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支持异常掉电关键数据保护，支持数据备份恢复机制，防止系统异常掉电导致的数据文件丢失</w:t>
            </w:r>
          </w:p>
        </w:tc>
        <w:tc>
          <w:tcPr>
            <w:tcW w:w="1341" w:type="dxa"/>
            <w:shd w:val="clear" w:color="auto" w:fill="FFFFFF"/>
            <w:vAlign w:val="center"/>
          </w:tcPr>
          <w:p w14:paraId="6D4A985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B376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28FE0D2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83</w:t>
            </w:r>
          </w:p>
        </w:tc>
        <w:tc>
          <w:tcPr>
            <w:tcW w:w="999" w:type="dxa"/>
            <w:shd w:val="clear" w:color="auto" w:fill="FFFFFF"/>
            <w:vAlign w:val="center"/>
          </w:tcPr>
          <w:p w14:paraId="70A2416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0" w:type="dxa"/>
            <w:vMerge w:val="continue"/>
            <w:shd w:val="clear" w:color="auto" w:fill="FFFFFF"/>
            <w:vAlign w:val="center"/>
          </w:tcPr>
          <w:p w14:paraId="094CED43">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7CC1DED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BMC/BIOS固件双镜像保护</w:t>
            </w:r>
          </w:p>
        </w:tc>
        <w:tc>
          <w:tcPr>
            <w:tcW w:w="3984" w:type="dxa"/>
            <w:shd w:val="clear" w:color="auto" w:fill="FFFFFF"/>
            <w:vAlign w:val="center"/>
          </w:tcPr>
          <w:p w14:paraId="3A75DA4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支持BMC/BIOS固件双镜像保护，运行异常时自动切换到备份镜像运行，提升系统稳定性</w:t>
            </w:r>
          </w:p>
        </w:tc>
        <w:tc>
          <w:tcPr>
            <w:tcW w:w="1341" w:type="dxa"/>
            <w:shd w:val="clear" w:color="auto" w:fill="FFFFFF"/>
            <w:vAlign w:val="center"/>
          </w:tcPr>
          <w:p w14:paraId="4D7EBD0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3F12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38C51BA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84</w:t>
            </w:r>
          </w:p>
        </w:tc>
        <w:tc>
          <w:tcPr>
            <w:tcW w:w="999" w:type="dxa"/>
            <w:shd w:val="clear" w:color="auto" w:fill="FFFFFF"/>
            <w:vAlign w:val="center"/>
          </w:tcPr>
          <w:p w14:paraId="757F704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0" w:type="dxa"/>
            <w:vMerge w:val="continue"/>
            <w:shd w:val="clear" w:color="auto" w:fill="FFFFFF"/>
            <w:vAlign w:val="center"/>
          </w:tcPr>
          <w:p w14:paraId="466E3403">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29CBA9D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CPU核重启隔离</w:t>
            </w:r>
          </w:p>
        </w:tc>
        <w:tc>
          <w:tcPr>
            <w:tcW w:w="3984" w:type="dxa"/>
            <w:shd w:val="clear" w:color="auto" w:fill="FFFFFF"/>
            <w:vAlign w:val="center"/>
          </w:tcPr>
          <w:p w14:paraId="59BC866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支持CPU核发生不可纠正故障后，重启后由BIOS隔离该故障核，OS不可见，防止OS再次使用导致系统异常，核0除外</w:t>
            </w:r>
          </w:p>
        </w:tc>
        <w:tc>
          <w:tcPr>
            <w:tcW w:w="1341" w:type="dxa"/>
            <w:shd w:val="clear" w:color="auto" w:fill="FFFFFF"/>
            <w:vAlign w:val="center"/>
          </w:tcPr>
          <w:p w14:paraId="2CCEA33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397E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3720F78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85</w:t>
            </w:r>
          </w:p>
        </w:tc>
        <w:tc>
          <w:tcPr>
            <w:tcW w:w="999" w:type="dxa"/>
            <w:shd w:val="clear" w:color="auto" w:fill="FFFFFF"/>
            <w:vAlign w:val="center"/>
          </w:tcPr>
          <w:p w14:paraId="27518A3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0" w:type="dxa"/>
            <w:vMerge w:val="continue"/>
            <w:shd w:val="clear" w:color="auto" w:fill="FFFFFF"/>
            <w:vAlign w:val="center"/>
          </w:tcPr>
          <w:p w14:paraId="7B05538A">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00A11E1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内存地址隔离</w:t>
            </w:r>
          </w:p>
        </w:tc>
        <w:tc>
          <w:tcPr>
            <w:tcW w:w="3984" w:type="dxa"/>
            <w:shd w:val="clear" w:color="auto" w:fill="FFFFFF"/>
            <w:vAlign w:val="center"/>
          </w:tcPr>
          <w:p w14:paraId="0C6665B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在硬件支持的情况下，支持故障内存地址重启后隔离</w:t>
            </w:r>
          </w:p>
        </w:tc>
        <w:tc>
          <w:tcPr>
            <w:tcW w:w="1341" w:type="dxa"/>
            <w:shd w:val="clear" w:color="auto" w:fill="FFFFFF"/>
            <w:vAlign w:val="center"/>
          </w:tcPr>
          <w:p w14:paraId="470B277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9771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66B5557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86</w:t>
            </w:r>
          </w:p>
        </w:tc>
        <w:tc>
          <w:tcPr>
            <w:tcW w:w="999" w:type="dxa"/>
            <w:shd w:val="clear" w:color="auto" w:fill="FFFFFF"/>
            <w:vAlign w:val="center"/>
          </w:tcPr>
          <w:p w14:paraId="1DEB2B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0" w:type="dxa"/>
            <w:vMerge w:val="continue"/>
            <w:shd w:val="clear" w:color="auto" w:fill="FFFFFF"/>
            <w:vAlign w:val="center"/>
          </w:tcPr>
          <w:p w14:paraId="061002E7">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298EADB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内存存储阵列替换</w:t>
            </w:r>
          </w:p>
        </w:tc>
        <w:tc>
          <w:tcPr>
            <w:tcW w:w="3984" w:type="dxa"/>
            <w:shd w:val="clear" w:color="auto" w:fill="FFFFFF"/>
            <w:vAlign w:val="center"/>
          </w:tcPr>
          <w:p w14:paraId="39ADAB1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在硬件支持的情况下，支持故障内存存储阵列替换</w:t>
            </w:r>
          </w:p>
        </w:tc>
        <w:tc>
          <w:tcPr>
            <w:tcW w:w="1341" w:type="dxa"/>
            <w:shd w:val="clear" w:color="auto" w:fill="FFFFFF"/>
            <w:vAlign w:val="center"/>
          </w:tcPr>
          <w:p w14:paraId="04A835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B3A1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0" w:type="dxa"/>
            <w:shd w:val="clear" w:color="auto" w:fill="FFFFFF"/>
            <w:vAlign w:val="center"/>
          </w:tcPr>
          <w:p w14:paraId="0D39833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87</w:t>
            </w:r>
          </w:p>
        </w:tc>
        <w:tc>
          <w:tcPr>
            <w:tcW w:w="999" w:type="dxa"/>
            <w:shd w:val="clear" w:color="auto" w:fill="FFFFFF"/>
            <w:vAlign w:val="center"/>
          </w:tcPr>
          <w:p w14:paraId="4C75E39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0" w:type="dxa"/>
            <w:vMerge w:val="continue"/>
            <w:shd w:val="clear" w:color="auto" w:fill="FFFFFF"/>
            <w:vAlign w:val="center"/>
          </w:tcPr>
          <w:p w14:paraId="1E7649C3">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025C98E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安全启动</w:t>
            </w:r>
          </w:p>
        </w:tc>
        <w:tc>
          <w:tcPr>
            <w:tcW w:w="3984" w:type="dxa"/>
            <w:shd w:val="clear" w:color="auto" w:fill="FFFFFF"/>
            <w:vAlign w:val="center"/>
          </w:tcPr>
          <w:p w14:paraId="568EED4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支持执行环境要求在整个系统启动的过程中，系统应提供一个机制来保护平台的完整性</w:t>
            </w:r>
          </w:p>
        </w:tc>
        <w:tc>
          <w:tcPr>
            <w:tcW w:w="1341" w:type="dxa"/>
            <w:shd w:val="clear" w:color="auto" w:fill="FFFFFF"/>
            <w:vAlign w:val="center"/>
          </w:tcPr>
          <w:p w14:paraId="278CF87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A77B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0" w:type="dxa"/>
            <w:shd w:val="clear" w:color="auto" w:fill="FFFFFF"/>
            <w:vAlign w:val="center"/>
          </w:tcPr>
          <w:p w14:paraId="0C74714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88</w:t>
            </w:r>
          </w:p>
        </w:tc>
        <w:tc>
          <w:tcPr>
            <w:tcW w:w="999" w:type="dxa"/>
            <w:shd w:val="clear" w:color="auto" w:fill="FFFFFF"/>
            <w:vAlign w:val="center"/>
          </w:tcPr>
          <w:p w14:paraId="2AA7957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0" w:type="dxa"/>
            <w:vMerge w:val="restart"/>
            <w:shd w:val="clear" w:color="auto" w:fill="FFFFFF"/>
            <w:vAlign w:val="center"/>
          </w:tcPr>
          <w:p w14:paraId="6D5C13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系统安全要求</w:t>
            </w:r>
          </w:p>
        </w:tc>
        <w:tc>
          <w:tcPr>
            <w:tcW w:w="1506" w:type="dxa"/>
            <w:shd w:val="clear" w:color="auto" w:fill="FFFFFF"/>
            <w:vAlign w:val="center"/>
          </w:tcPr>
          <w:p w14:paraId="3ED23F4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syslog双向鉴别</w:t>
            </w:r>
          </w:p>
        </w:tc>
        <w:tc>
          <w:tcPr>
            <w:tcW w:w="3984" w:type="dxa"/>
            <w:shd w:val="clear" w:color="auto" w:fill="FFFFFF"/>
            <w:vAlign w:val="center"/>
          </w:tcPr>
          <w:p w14:paraId="6C3FF15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支持系统日志双向鉴别，对服务器根证书和客户端根证书进行鉴别</w:t>
            </w:r>
          </w:p>
        </w:tc>
        <w:tc>
          <w:tcPr>
            <w:tcW w:w="1341" w:type="dxa"/>
            <w:shd w:val="clear" w:color="auto" w:fill="FFFFFF"/>
            <w:vAlign w:val="center"/>
          </w:tcPr>
          <w:p w14:paraId="5EF8584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46B0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4C53406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89</w:t>
            </w:r>
          </w:p>
        </w:tc>
        <w:tc>
          <w:tcPr>
            <w:tcW w:w="999" w:type="dxa"/>
            <w:shd w:val="clear" w:color="auto" w:fill="FFFFFF"/>
            <w:vAlign w:val="center"/>
          </w:tcPr>
          <w:p w14:paraId="6CB864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0" w:type="dxa"/>
            <w:vMerge w:val="continue"/>
            <w:shd w:val="clear" w:color="auto" w:fill="FFFFFF"/>
            <w:vAlign w:val="center"/>
          </w:tcPr>
          <w:p w14:paraId="25B2323D">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2EBAA51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★弱口令字典检查</w:t>
            </w:r>
          </w:p>
        </w:tc>
        <w:tc>
          <w:tcPr>
            <w:tcW w:w="3984" w:type="dxa"/>
            <w:shd w:val="clear" w:color="auto" w:fill="FFFFFF"/>
            <w:vAlign w:val="center"/>
          </w:tcPr>
          <w:p w14:paraId="33FB44B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支持弱口令字典检查功能，出现在弱口令字典中的字符串不能被设置为用户口令</w:t>
            </w:r>
          </w:p>
        </w:tc>
        <w:tc>
          <w:tcPr>
            <w:tcW w:w="1341" w:type="dxa"/>
            <w:shd w:val="clear" w:color="auto" w:fill="FFFFFF"/>
            <w:vAlign w:val="center"/>
          </w:tcPr>
          <w:p w14:paraId="6A424B5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44A9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7DD2DEC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90</w:t>
            </w:r>
          </w:p>
        </w:tc>
        <w:tc>
          <w:tcPr>
            <w:tcW w:w="999" w:type="dxa"/>
            <w:shd w:val="clear" w:color="auto" w:fill="FFFFFF"/>
            <w:vAlign w:val="center"/>
          </w:tcPr>
          <w:p w14:paraId="60493DF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0" w:type="dxa"/>
            <w:vMerge w:val="continue"/>
            <w:shd w:val="clear" w:color="auto" w:fill="FFFFFF"/>
            <w:vAlign w:val="center"/>
          </w:tcPr>
          <w:p w14:paraId="57A345DF">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6CDB333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★白名单访问控制</w:t>
            </w:r>
          </w:p>
        </w:tc>
        <w:tc>
          <w:tcPr>
            <w:tcW w:w="3984" w:type="dxa"/>
            <w:shd w:val="clear" w:color="auto" w:fill="FFFFFF"/>
            <w:vAlign w:val="center"/>
          </w:tcPr>
          <w:p w14:paraId="78F5E65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支持基于时间、IP或MAC白名单访问控制</w:t>
            </w:r>
          </w:p>
        </w:tc>
        <w:tc>
          <w:tcPr>
            <w:tcW w:w="1341" w:type="dxa"/>
            <w:shd w:val="clear" w:color="auto" w:fill="FFFFFF"/>
            <w:vAlign w:val="center"/>
          </w:tcPr>
          <w:p w14:paraId="3A37A4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724B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3F83F6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91</w:t>
            </w:r>
          </w:p>
        </w:tc>
        <w:tc>
          <w:tcPr>
            <w:tcW w:w="999" w:type="dxa"/>
            <w:shd w:val="clear" w:color="auto" w:fill="FFFFFF"/>
            <w:vAlign w:val="center"/>
          </w:tcPr>
          <w:p w14:paraId="2B20B80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0" w:type="dxa"/>
            <w:vMerge w:val="continue"/>
            <w:shd w:val="clear" w:color="auto" w:fill="FFFFFF"/>
            <w:vAlign w:val="center"/>
          </w:tcPr>
          <w:p w14:paraId="532D0319">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71B857A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双因素鉴别</w:t>
            </w:r>
          </w:p>
        </w:tc>
        <w:tc>
          <w:tcPr>
            <w:tcW w:w="3984" w:type="dxa"/>
            <w:shd w:val="clear" w:color="auto" w:fill="FFFFFF"/>
            <w:vAlign w:val="center"/>
          </w:tcPr>
          <w:p w14:paraId="4C13B0D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支持使用客户端证书和证书密码的双因素鉴别方式登录管理系统</w:t>
            </w:r>
          </w:p>
        </w:tc>
        <w:tc>
          <w:tcPr>
            <w:tcW w:w="1341" w:type="dxa"/>
            <w:shd w:val="clear" w:color="auto" w:fill="FFFFFF"/>
            <w:vAlign w:val="center"/>
          </w:tcPr>
          <w:p w14:paraId="34EEBAB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F380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5636A5E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92</w:t>
            </w:r>
          </w:p>
        </w:tc>
        <w:tc>
          <w:tcPr>
            <w:tcW w:w="999" w:type="dxa"/>
            <w:shd w:val="clear" w:color="auto" w:fill="FFFFFF"/>
            <w:vAlign w:val="center"/>
          </w:tcPr>
          <w:p w14:paraId="0AB483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0" w:type="dxa"/>
            <w:vMerge w:val="continue"/>
            <w:shd w:val="clear" w:color="auto" w:fill="FFFFFF"/>
            <w:vAlign w:val="center"/>
          </w:tcPr>
          <w:p w14:paraId="653520BF">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3082F24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★二次鉴别</w:t>
            </w:r>
          </w:p>
        </w:tc>
        <w:tc>
          <w:tcPr>
            <w:tcW w:w="3984" w:type="dxa"/>
            <w:shd w:val="clear" w:color="auto" w:fill="FFFFFF"/>
            <w:vAlign w:val="center"/>
          </w:tcPr>
          <w:p w14:paraId="033ECC2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支持二次鉴别功能。对于用户配置、权限配置、公钥导入等重要的管理操作，已登录用户应通过二次鉴别后，才能执行操作</w:t>
            </w:r>
          </w:p>
        </w:tc>
        <w:tc>
          <w:tcPr>
            <w:tcW w:w="1341" w:type="dxa"/>
            <w:shd w:val="clear" w:color="auto" w:fill="FFFFFF"/>
            <w:vAlign w:val="center"/>
          </w:tcPr>
          <w:p w14:paraId="369D106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88FE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67588B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93</w:t>
            </w:r>
          </w:p>
        </w:tc>
        <w:tc>
          <w:tcPr>
            <w:tcW w:w="999" w:type="dxa"/>
            <w:shd w:val="clear" w:color="auto" w:fill="FFFFFF"/>
            <w:vAlign w:val="center"/>
          </w:tcPr>
          <w:p w14:paraId="410340C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0" w:type="dxa"/>
            <w:vMerge w:val="continue"/>
            <w:shd w:val="clear" w:color="auto" w:fill="FFFFFF"/>
            <w:vAlign w:val="center"/>
          </w:tcPr>
          <w:p w14:paraId="1236B41E">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030BB5B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匿名化用户告警接收邮箱</w:t>
            </w:r>
          </w:p>
        </w:tc>
        <w:tc>
          <w:tcPr>
            <w:tcW w:w="3984" w:type="dxa"/>
            <w:shd w:val="clear" w:color="auto" w:fill="FFFFFF"/>
            <w:vAlign w:val="center"/>
          </w:tcPr>
          <w:p w14:paraId="42E813C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支持带外管理系统中的用户告警接收邮箱进行匿名化处理</w:t>
            </w:r>
          </w:p>
        </w:tc>
        <w:tc>
          <w:tcPr>
            <w:tcW w:w="1341" w:type="dxa"/>
            <w:shd w:val="clear" w:color="auto" w:fill="FFFFFF"/>
            <w:vAlign w:val="center"/>
          </w:tcPr>
          <w:p w14:paraId="56DC33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760F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3BBF143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94</w:t>
            </w:r>
          </w:p>
        </w:tc>
        <w:tc>
          <w:tcPr>
            <w:tcW w:w="999" w:type="dxa"/>
            <w:shd w:val="clear" w:color="auto" w:fill="FFFFFF"/>
            <w:vAlign w:val="center"/>
          </w:tcPr>
          <w:p w14:paraId="333576A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0" w:type="dxa"/>
            <w:vMerge w:val="continue"/>
            <w:shd w:val="clear" w:color="auto" w:fill="FFFFFF"/>
            <w:vAlign w:val="center"/>
          </w:tcPr>
          <w:p w14:paraId="46A3BBD5">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5227115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★密码证书安全加密存储</w:t>
            </w:r>
          </w:p>
        </w:tc>
        <w:tc>
          <w:tcPr>
            <w:tcW w:w="3984" w:type="dxa"/>
            <w:shd w:val="clear" w:color="auto" w:fill="FFFFFF"/>
            <w:vAlign w:val="center"/>
          </w:tcPr>
          <w:p w14:paraId="2F0D285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支持对带外管理系统中的用户口令和证书等敏感信息进行加密存储，禁止使用私有的和业界已知不安全的密码算法</w:t>
            </w:r>
          </w:p>
        </w:tc>
        <w:tc>
          <w:tcPr>
            <w:tcW w:w="1341" w:type="dxa"/>
            <w:shd w:val="clear" w:color="auto" w:fill="FFFFFF"/>
            <w:vAlign w:val="center"/>
          </w:tcPr>
          <w:p w14:paraId="02051BA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6BE4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7DF9335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95</w:t>
            </w:r>
          </w:p>
        </w:tc>
        <w:tc>
          <w:tcPr>
            <w:tcW w:w="999" w:type="dxa"/>
            <w:shd w:val="clear" w:color="auto" w:fill="FFFFFF"/>
            <w:vAlign w:val="center"/>
          </w:tcPr>
          <w:p w14:paraId="77256C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0" w:type="dxa"/>
            <w:vMerge w:val="continue"/>
            <w:shd w:val="clear" w:color="auto" w:fill="FFFFFF"/>
            <w:vAlign w:val="center"/>
          </w:tcPr>
          <w:p w14:paraId="1EE96291">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5100034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★敏感信息安全加密传输</w:t>
            </w:r>
          </w:p>
        </w:tc>
        <w:tc>
          <w:tcPr>
            <w:tcW w:w="3984" w:type="dxa"/>
            <w:shd w:val="clear" w:color="auto" w:fill="FFFFFF"/>
            <w:vAlign w:val="center"/>
          </w:tcPr>
          <w:p w14:paraId="4DB269F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支持使用安全的传输加密协议（如SSH或HTTPS等）传输用户的敏感信息</w:t>
            </w:r>
          </w:p>
        </w:tc>
        <w:tc>
          <w:tcPr>
            <w:tcW w:w="1341" w:type="dxa"/>
            <w:shd w:val="clear" w:color="auto" w:fill="FFFFFF"/>
            <w:vAlign w:val="center"/>
          </w:tcPr>
          <w:p w14:paraId="26BB697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E27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00" w:type="dxa"/>
            <w:shd w:val="clear" w:color="auto" w:fill="FFFFFF"/>
            <w:vAlign w:val="center"/>
          </w:tcPr>
          <w:p w14:paraId="5014BD0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96</w:t>
            </w:r>
          </w:p>
        </w:tc>
        <w:tc>
          <w:tcPr>
            <w:tcW w:w="999" w:type="dxa"/>
            <w:shd w:val="clear" w:color="auto" w:fill="FFFFFF"/>
            <w:vAlign w:val="center"/>
          </w:tcPr>
          <w:p w14:paraId="7F94EA8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0" w:type="dxa"/>
            <w:vMerge w:val="restart"/>
            <w:shd w:val="clear" w:color="auto" w:fill="FFFFFF"/>
            <w:vAlign w:val="center"/>
          </w:tcPr>
          <w:p w14:paraId="01C3EB7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信息安全要求</w:t>
            </w:r>
          </w:p>
        </w:tc>
        <w:tc>
          <w:tcPr>
            <w:tcW w:w="1506" w:type="dxa"/>
            <w:shd w:val="clear" w:color="auto" w:fill="FFFFFF"/>
            <w:vAlign w:val="center"/>
          </w:tcPr>
          <w:p w14:paraId="36FE181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★研发过程安全</w:t>
            </w:r>
          </w:p>
        </w:tc>
        <w:tc>
          <w:tcPr>
            <w:tcW w:w="3984" w:type="dxa"/>
            <w:shd w:val="clear" w:color="auto" w:fill="FFFFFF"/>
            <w:vAlign w:val="center"/>
          </w:tcPr>
          <w:p w14:paraId="4A87F9D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供应商承诺，生产商已建立从需求、设计、开发、测试、维护端到端的开发流程管理机制，输出和保存开发流程中每个阶段的产品需求清单、设计文档、开发文档、测试记录等材料，保证各个流程可追溯</w:t>
            </w:r>
            <w:r>
              <w:rPr>
                <w:rFonts w:hint="eastAsia"/>
                <w:b/>
                <w:bCs/>
              </w:rPr>
              <w:t>（需提供加盖投标人公章的承诺书</w:t>
            </w:r>
            <w:r>
              <w:rPr>
                <w:rFonts w:hint="eastAsia"/>
                <w:b/>
                <w:bCs/>
                <w:lang w:eastAsia="zh-CN"/>
              </w:rPr>
              <w:t>）</w:t>
            </w:r>
          </w:p>
        </w:tc>
        <w:tc>
          <w:tcPr>
            <w:tcW w:w="1341" w:type="dxa"/>
            <w:shd w:val="clear" w:color="auto" w:fill="FFFFFF"/>
            <w:vAlign w:val="center"/>
          </w:tcPr>
          <w:p w14:paraId="4478BC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382F3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5AD649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97</w:t>
            </w:r>
          </w:p>
        </w:tc>
        <w:tc>
          <w:tcPr>
            <w:tcW w:w="999" w:type="dxa"/>
            <w:shd w:val="clear" w:color="auto" w:fill="FFFFFF"/>
            <w:vAlign w:val="center"/>
          </w:tcPr>
          <w:p w14:paraId="1E9B316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0" w:type="dxa"/>
            <w:vMerge w:val="continue"/>
            <w:shd w:val="clear" w:color="auto" w:fill="FFFFFF"/>
            <w:vAlign w:val="center"/>
          </w:tcPr>
          <w:p w14:paraId="4D80B85E">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500A9B4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漏洞管理</w:t>
            </w:r>
          </w:p>
        </w:tc>
        <w:tc>
          <w:tcPr>
            <w:tcW w:w="3984" w:type="dxa"/>
            <w:shd w:val="clear" w:color="auto" w:fill="FFFFFF"/>
            <w:vAlign w:val="center"/>
          </w:tcPr>
          <w:p w14:paraId="4B20B85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供应商承诺，生产商已建立漏洞全量视图，保证产品版本涉及到的所有漏洞（如驱动程序、BMC软件等）都可以查看</w:t>
            </w:r>
            <w:r>
              <w:rPr>
                <w:rFonts w:hint="eastAsia"/>
                <w:b/>
                <w:bCs/>
              </w:rPr>
              <w:t>（需提供加盖投标人公章的承诺书</w:t>
            </w:r>
            <w:r>
              <w:rPr>
                <w:rFonts w:hint="eastAsia"/>
                <w:b/>
                <w:bCs/>
                <w:lang w:eastAsia="zh-CN"/>
              </w:rPr>
              <w:t>）</w:t>
            </w:r>
          </w:p>
        </w:tc>
        <w:tc>
          <w:tcPr>
            <w:tcW w:w="1341" w:type="dxa"/>
            <w:shd w:val="clear" w:color="auto" w:fill="FFFFFF"/>
            <w:vAlign w:val="center"/>
          </w:tcPr>
          <w:p w14:paraId="5640288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2CA55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0" w:type="dxa"/>
            <w:shd w:val="clear" w:color="auto" w:fill="FFFFFF"/>
            <w:vAlign w:val="center"/>
          </w:tcPr>
          <w:p w14:paraId="310F86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98</w:t>
            </w:r>
          </w:p>
        </w:tc>
        <w:tc>
          <w:tcPr>
            <w:tcW w:w="999" w:type="dxa"/>
            <w:shd w:val="clear" w:color="auto" w:fill="FFFFFF"/>
            <w:vAlign w:val="center"/>
          </w:tcPr>
          <w:p w14:paraId="3D10382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0" w:type="dxa"/>
            <w:vMerge w:val="continue"/>
            <w:shd w:val="clear" w:color="auto" w:fill="FFFFFF"/>
            <w:vAlign w:val="center"/>
          </w:tcPr>
          <w:p w14:paraId="1A921748">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6AA2975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网络关键设备服务器要求</w:t>
            </w:r>
          </w:p>
        </w:tc>
        <w:tc>
          <w:tcPr>
            <w:tcW w:w="3984" w:type="dxa"/>
            <w:shd w:val="clear" w:color="auto" w:fill="FFFFFF"/>
            <w:vAlign w:val="center"/>
          </w:tcPr>
          <w:p w14:paraId="19420B5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作为网络关键设备的服务器应符合GB40050的相关规定</w:t>
            </w:r>
          </w:p>
        </w:tc>
        <w:tc>
          <w:tcPr>
            <w:tcW w:w="1341" w:type="dxa"/>
            <w:shd w:val="clear" w:color="auto" w:fill="FFFFFF"/>
            <w:vAlign w:val="center"/>
          </w:tcPr>
          <w:p w14:paraId="55FAA03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ECF1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6" w:hRule="atLeast"/>
        </w:trPr>
        <w:tc>
          <w:tcPr>
            <w:tcW w:w="600" w:type="dxa"/>
            <w:shd w:val="clear" w:color="auto" w:fill="FFFFFF"/>
            <w:vAlign w:val="center"/>
          </w:tcPr>
          <w:p w14:paraId="3663B9B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99</w:t>
            </w:r>
          </w:p>
        </w:tc>
        <w:tc>
          <w:tcPr>
            <w:tcW w:w="999" w:type="dxa"/>
            <w:shd w:val="clear" w:color="auto" w:fill="FFFFFF"/>
            <w:vAlign w:val="center"/>
          </w:tcPr>
          <w:p w14:paraId="6A2465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0" w:type="dxa"/>
            <w:vMerge w:val="continue"/>
            <w:shd w:val="clear" w:color="auto" w:fill="FFFFFF"/>
            <w:vAlign w:val="center"/>
          </w:tcPr>
          <w:p w14:paraId="42AD45A8">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10D1858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增强要求</w:t>
            </w:r>
          </w:p>
        </w:tc>
        <w:tc>
          <w:tcPr>
            <w:tcW w:w="3984" w:type="dxa"/>
            <w:shd w:val="clear" w:color="auto" w:fill="FFFFFF"/>
            <w:vAlign w:val="center"/>
          </w:tcPr>
          <w:p w14:paraId="51C08E8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嵌入物理可信根，实现设备的信任链构建；b）支持可信平台控制模块（TPCM）；c）支持在固件系统（BMC、BIOS）启动前实现对固件度量的功能，支持物理可信根对BMC固件或BIOS固件进行完整性检测、更新和恢复；d）支持对CPU、网络控制器等关键处理器进行身份识别与度量的功能；e）支持基于处理器或可信计算模块度量的功能；f）所采用的可信密码模块接口应符合GM/T0012的相关规定；g）可信安全管理模块、处理器等硬件载体应通过国家相关部门的认证和许可</w:t>
            </w:r>
          </w:p>
        </w:tc>
        <w:tc>
          <w:tcPr>
            <w:tcW w:w="1341" w:type="dxa"/>
            <w:shd w:val="clear" w:color="auto" w:fill="FFFFFF"/>
            <w:vAlign w:val="center"/>
          </w:tcPr>
          <w:p w14:paraId="555A9B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ADD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00" w:type="dxa"/>
            <w:shd w:val="clear" w:color="auto" w:fill="FFFFFF"/>
            <w:vAlign w:val="center"/>
          </w:tcPr>
          <w:p w14:paraId="26DE04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100</w:t>
            </w:r>
          </w:p>
        </w:tc>
        <w:tc>
          <w:tcPr>
            <w:tcW w:w="999" w:type="dxa"/>
            <w:shd w:val="clear" w:color="auto" w:fill="FFFFFF"/>
            <w:vAlign w:val="center"/>
          </w:tcPr>
          <w:p w14:paraId="60E2C0F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0" w:type="dxa"/>
            <w:shd w:val="clear" w:color="auto" w:fill="FFFFFF"/>
            <w:vAlign w:val="center"/>
          </w:tcPr>
          <w:p w14:paraId="33AAB79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物理安全</w:t>
            </w:r>
          </w:p>
        </w:tc>
        <w:tc>
          <w:tcPr>
            <w:tcW w:w="1506" w:type="dxa"/>
            <w:shd w:val="clear" w:color="auto" w:fill="FFFFFF"/>
            <w:vAlign w:val="center"/>
          </w:tcPr>
          <w:p w14:paraId="3CF5586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★物理安全</w:t>
            </w:r>
          </w:p>
        </w:tc>
        <w:tc>
          <w:tcPr>
            <w:tcW w:w="3984" w:type="dxa"/>
            <w:shd w:val="clear" w:color="auto" w:fill="FFFFFF"/>
            <w:vAlign w:val="center"/>
          </w:tcPr>
          <w:p w14:paraId="5631180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安全要求应符合GB4943.1的规定</w:t>
            </w:r>
          </w:p>
        </w:tc>
        <w:tc>
          <w:tcPr>
            <w:tcW w:w="1341" w:type="dxa"/>
            <w:shd w:val="clear" w:color="auto" w:fill="FFFFFF"/>
            <w:vAlign w:val="center"/>
          </w:tcPr>
          <w:p w14:paraId="77E6962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4560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66CEF29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101</w:t>
            </w:r>
          </w:p>
        </w:tc>
        <w:tc>
          <w:tcPr>
            <w:tcW w:w="999" w:type="dxa"/>
            <w:shd w:val="clear" w:color="auto" w:fill="FFFFFF"/>
            <w:vAlign w:val="center"/>
          </w:tcPr>
          <w:p w14:paraId="5B82D2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0" w:type="dxa"/>
            <w:shd w:val="clear" w:color="auto" w:fill="FFFFFF"/>
            <w:vAlign w:val="center"/>
          </w:tcPr>
          <w:p w14:paraId="6F3A112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限用物质的限量要求</w:t>
            </w:r>
          </w:p>
        </w:tc>
        <w:tc>
          <w:tcPr>
            <w:tcW w:w="1506" w:type="dxa"/>
            <w:shd w:val="clear" w:color="auto" w:fill="FFFFFF"/>
            <w:vAlign w:val="center"/>
          </w:tcPr>
          <w:p w14:paraId="548E09E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★限用物质的限量要求</w:t>
            </w:r>
          </w:p>
        </w:tc>
        <w:tc>
          <w:tcPr>
            <w:tcW w:w="3984" w:type="dxa"/>
            <w:shd w:val="clear" w:color="auto" w:fill="FFFFFF"/>
            <w:vAlign w:val="center"/>
          </w:tcPr>
          <w:p w14:paraId="195C4F1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限用物质的限量应符合GB/T26572的要求</w:t>
            </w:r>
          </w:p>
        </w:tc>
        <w:tc>
          <w:tcPr>
            <w:tcW w:w="1341" w:type="dxa"/>
            <w:shd w:val="clear" w:color="auto" w:fill="FFFFFF"/>
            <w:vAlign w:val="center"/>
          </w:tcPr>
          <w:p w14:paraId="08ABD86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C42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00" w:type="dxa"/>
            <w:shd w:val="clear" w:color="auto" w:fill="FFFFFF"/>
            <w:vAlign w:val="center"/>
          </w:tcPr>
          <w:p w14:paraId="471A868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102</w:t>
            </w:r>
          </w:p>
        </w:tc>
        <w:tc>
          <w:tcPr>
            <w:tcW w:w="999" w:type="dxa"/>
            <w:shd w:val="clear" w:color="auto" w:fill="FFFFFF"/>
            <w:vAlign w:val="center"/>
          </w:tcPr>
          <w:p w14:paraId="486C8A5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80" w:type="dxa"/>
            <w:vMerge w:val="restart"/>
            <w:shd w:val="clear" w:color="auto" w:fill="FFFFFF"/>
            <w:vAlign w:val="center"/>
          </w:tcPr>
          <w:p w14:paraId="46DA25C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CPU性能</w:t>
            </w:r>
          </w:p>
        </w:tc>
        <w:tc>
          <w:tcPr>
            <w:tcW w:w="1506" w:type="dxa"/>
            <w:shd w:val="clear" w:color="auto" w:fill="FFFFFF"/>
            <w:vAlign w:val="center"/>
          </w:tcPr>
          <w:p w14:paraId="1B7A767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★CPU主频</w:t>
            </w:r>
          </w:p>
        </w:tc>
        <w:tc>
          <w:tcPr>
            <w:tcW w:w="3984" w:type="dxa"/>
            <w:shd w:val="clear" w:color="auto" w:fill="FFFFFF"/>
            <w:vAlign w:val="center"/>
          </w:tcPr>
          <w:p w14:paraId="7BE26BF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≥2.2GHz</w:t>
            </w:r>
          </w:p>
        </w:tc>
        <w:tc>
          <w:tcPr>
            <w:tcW w:w="1341" w:type="dxa"/>
            <w:shd w:val="clear" w:color="auto" w:fill="FFFFFF"/>
            <w:vAlign w:val="center"/>
          </w:tcPr>
          <w:p w14:paraId="38C7B0C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32EF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75D8AD3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103</w:t>
            </w:r>
          </w:p>
        </w:tc>
        <w:tc>
          <w:tcPr>
            <w:tcW w:w="999" w:type="dxa"/>
            <w:shd w:val="clear" w:color="auto" w:fill="FFFFFF"/>
            <w:vAlign w:val="center"/>
          </w:tcPr>
          <w:p w14:paraId="0AB4F4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80" w:type="dxa"/>
            <w:vMerge w:val="continue"/>
            <w:shd w:val="clear" w:color="auto" w:fill="FFFFFF"/>
            <w:vAlign w:val="center"/>
          </w:tcPr>
          <w:p w14:paraId="22A99313">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00BB042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★单CPU核数</w:t>
            </w:r>
          </w:p>
        </w:tc>
        <w:tc>
          <w:tcPr>
            <w:tcW w:w="3984" w:type="dxa"/>
            <w:shd w:val="clear" w:color="auto" w:fill="FFFFFF"/>
            <w:vAlign w:val="center"/>
          </w:tcPr>
          <w:p w14:paraId="06E188D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≥24核；</w:t>
            </w:r>
            <w:r>
              <w:rPr>
                <w:rFonts w:hint="eastAsia" w:asciiTheme="minorEastAsia" w:hAnsiTheme="minorEastAsia" w:eastAsiaTheme="minorEastAsia" w:cstheme="minorEastAsia"/>
                <w:sz w:val="24"/>
              </w:rPr>
              <w:t>≥2颗</w:t>
            </w:r>
          </w:p>
        </w:tc>
        <w:tc>
          <w:tcPr>
            <w:tcW w:w="1341" w:type="dxa"/>
            <w:shd w:val="clear" w:color="auto" w:fill="FFFFFF"/>
            <w:vAlign w:val="center"/>
          </w:tcPr>
          <w:p w14:paraId="760433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D6FC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424C596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104</w:t>
            </w:r>
          </w:p>
        </w:tc>
        <w:tc>
          <w:tcPr>
            <w:tcW w:w="999" w:type="dxa"/>
            <w:shd w:val="clear" w:color="auto" w:fill="FFFFFF"/>
            <w:vAlign w:val="center"/>
          </w:tcPr>
          <w:p w14:paraId="148C709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80" w:type="dxa"/>
            <w:vMerge w:val="continue"/>
            <w:shd w:val="clear" w:color="auto" w:fill="FFFFFF"/>
            <w:vAlign w:val="center"/>
          </w:tcPr>
          <w:p w14:paraId="4546BFB8">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3C2935E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★单CPU末级缓存容量</w:t>
            </w:r>
          </w:p>
        </w:tc>
        <w:tc>
          <w:tcPr>
            <w:tcW w:w="3984" w:type="dxa"/>
            <w:shd w:val="clear" w:color="auto" w:fill="FFFFFF"/>
            <w:vAlign w:val="center"/>
          </w:tcPr>
          <w:p w14:paraId="5B613C3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≥8MB</w:t>
            </w:r>
          </w:p>
        </w:tc>
        <w:tc>
          <w:tcPr>
            <w:tcW w:w="1341" w:type="dxa"/>
            <w:shd w:val="clear" w:color="auto" w:fill="FFFFFF"/>
            <w:vAlign w:val="center"/>
          </w:tcPr>
          <w:p w14:paraId="1DB2C95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87DD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00" w:type="dxa"/>
            <w:shd w:val="clear" w:color="auto" w:fill="FFFFFF"/>
            <w:vAlign w:val="center"/>
          </w:tcPr>
          <w:p w14:paraId="3E27893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105</w:t>
            </w:r>
          </w:p>
        </w:tc>
        <w:tc>
          <w:tcPr>
            <w:tcW w:w="999" w:type="dxa"/>
            <w:shd w:val="clear" w:color="auto" w:fill="FFFFFF"/>
            <w:vAlign w:val="center"/>
          </w:tcPr>
          <w:p w14:paraId="1483C35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80" w:type="dxa"/>
            <w:vMerge w:val="restart"/>
            <w:shd w:val="clear" w:color="auto" w:fill="FFFFFF"/>
            <w:vAlign w:val="center"/>
          </w:tcPr>
          <w:p w14:paraId="6F6425B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内存性能</w:t>
            </w:r>
          </w:p>
        </w:tc>
        <w:tc>
          <w:tcPr>
            <w:tcW w:w="1506" w:type="dxa"/>
            <w:shd w:val="clear" w:color="auto" w:fill="FFFFFF"/>
            <w:vAlign w:val="center"/>
          </w:tcPr>
          <w:p w14:paraId="3379C79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★单内存模块容量</w:t>
            </w:r>
          </w:p>
        </w:tc>
        <w:tc>
          <w:tcPr>
            <w:tcW w:w="3984" w:type="dxa"/>
            <w:shd w:val="clear" w:color="auto" w:fill="FFFFFF"/>
            <w:vAlign w:val="center"/>
          </w:tcPr>
          <w:p w14:paraId="6E9B14B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≥32GB；</w:t>
            </w:r>
          </w:p>
        </w:tc>
        <w:tc>
          <w:tcPr>
            <w:tcW w:w="1341" w:type="dxa"/>
            <w:shd w:val="clear" w:color="auto" w:fill="FFFFFF"/>
            <w:vAlign w:val="center"/>
          </w:tcPr>
          <w:p w14:paraId="691F295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3AB9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00" w:type="dxa"/>
            <w:shd w:val="clear" w:color="auto" w:fill="FFFFFF"/>
            <w:vAlign w:val="center"/>
          </w:tcPr>
          <w:p w14:paraId="1A79FD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106</w:t>
            </w:r>
          </w:p>
        </w:tc>
        <w:tc>
          <w:tcPr>
            <w:tcW w:w="999" w:type="dxa"/>
            <w:shd w:val="clear" w:color="auto" w:fill="FFFFFF"/>
            <w:vAlign w:val="center"/>
          </w:tcPr>
          <w:p w14:paraId="16644FB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80" w:type="dxa"/>
            <w:vMerge w:val="continue"/>
            <w:shd w:val="clear" w:color="auto" w:fill="FFFFFF"/>
            <w:vAlign w:val="center"/>
          </w:tcPr>
          <w:p w14:paraId="685FBBAC">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16CBA08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★内存速率</w:t>
            </w:r>
          </w:p>
        </w:tc>
        <w:tc>
          <w:tcPr>
            <w:tcW w:w="3984" w:type="dxa"/>
            <w:shd w:val="clear" w:color="auto" w:fill="FFFFFF"/>
            <w:vAlign w:val="center"/>
          </w:tcPr>
          <w:p w14:paraId="4303628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≥3200MT/s</w:t>
            </w:r>
          </w:p>
        </w:tc>
        <w:tc>
          <w:tcPr>
            <w:tcW w:w="1341" w:type="dxa"/>
            <w:shd w:val="clear" w:color="auto" w:fill="FFFFFF"/>
            <w:vAlign w:val="center"/>
          </w:tcPr>
          <w:p w14:paraId="249D96D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76AC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00" w:type="dxa"/>
            <w:shd w:val="clear" w:color="auto" w:fill="FFFFFF"/>
            <w:vAlign w:val="center"/>
          </w:tcPr>
          <w:p w14:paraId="2266A3D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107</w:t>
            </w:r>
          </w:p>
        </w:tc>
        <w:tc>
          <w:tcPr>
            <w:tcW w:w="999" w:type="dxa"/>
            <w:shd w:val="clear" w:color="auto" w:fill="FFFFFF"/>
            <w:vAlign w:val="center"/>
          </w:tcPr>
          <w:p w14:paraId="3A75D2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80" w:type="dxa"/>
            <w:shd w:val="clear" w:color="auto" w:fill="FFFFFF"/>
            <w:vAlign w:val="center"/>
          </w:tcPr>
          <w:p w14:paraId="3DACF0B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存储性能</w:t>
            </w:r>
          </w:p>
        </w:tc>
        <w:tc>
          <w:tcPr>
            <w:tcW w:w="1506" w:type="dxa"/>
            <w:shd w:val="clear" w:color="auto" w:fill="FFFFFF"/>
            <w:vAlign w:val="center"/>
          </w:tcPr>
          <w:p w14:paraId="3A0F76D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硬盘转速</w:t>
            </w:r>
          </w:p>
        </w:tc>
        <w:tc>
          <w:tcPr>
            <w:tcW w:w="3984" w:type="dxa"/>
            <w:shd w:val="clear" w:color="auto" w:fill="FFFFFF"/>
            <w:vAlign w:val="center"/>
          </w:tcPr>
          <w:p w14:paraId="3D227A5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安装的硬磁盘转速不小于7200rpm</w:t>
            </w:r>
          </w:p>
        </w:tc>
        <w:tc>
          <w:tcPr>
            <w:tcW w:w="1341" w:type="dxa"/>
            <w:shd w:val="clear" w:color="auto" w:fill="FFFFFF"/>
            <w:vAlign w:val="center"/>
          </w:tcPr>
          <w:p w14:paraId="037943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35AE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181B474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108</w:t>
            </w:r>
          </w:p>
        </w:tc>
        <w:tc>
          <w:tcPr>
            <w:tcW w:w="999" w:type="dxa"/>
            <w:shd w:val="clear" w:color="auto" w:fill="FFFFFF"/>
            <w:vAlign w:val="center"/>
          </w:tcPr>
          <w:p w14:paraId="5C67037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80" w:type="dxa"/>
            <w:shd w:val="clear" w:color="auto" w:fill="FFFFFF"/>
            <w:vAlign w:val="center"/>
          </w:tcPr>
          <w:p w14:paraId="362D218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RAID卡性能</w:t>
            </w:r>
          </w:p>
        </w:tc>
        <w:tc>
          <w:tcPr>
            <w:tcW w:w="1506" w:type="dxa"/>
            <w:shd w:val="clear" w:color="auto" w:fill="FFFFFF"/>
            <w:vAlign w:val="center"/>
          </w:tcPr>
          <w:p w14:paraId="28C63FB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RAID卡缓存容量大小</w:t>
            </w:r>
          </w:p>
        </w:tc>
        <w:tc>
          <w:tcPr>
            <w:tcW w:w="3984" w:type="dxa"/>
            <w:shd w:val="clear" w:color="auto" w:fill="FFFFFF"/>
            <w:vAlign w:val="center"/>
          </w:tcPr>
          <w:p w14:paraId="0877039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≥2GB</w:t>
            </w:r>
          </w:p>
        </w:tc>
        <w:tc>
          <w:tcPr>
            <w:tcW w:w="1341" w:type="dxa"/>
            <w:shd w:val="clear" w:color="auto" w:fill="FFFFFF"/>
            <w:vAlign w:val="center"/>
          </w:tcPr>
          <w:p w14:paraId="22BE253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E697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0" w:type="dxa"/>
            <w:shd w:val="clear" w:color="auto" w:fill="FFFFFF"/>
            <w:vAlign w:val="center"/>
          </w:tcPr>
          <w:p w14:paraId="7544B68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109</w:t>
            </w:r>
          </w:p>
        </w:tc>
        <w:tc>
          <w:tcPr>
            <w:tcW w:w="999" w:type="dxa"/>
            <w:shd w:val="clear" w:color="auto" w:fill="FFFFFF"/>
            <w:vAlign w:val="center"/>
          </w:tcPr>
          <w:p w14:paraId="594E140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80" w:type="dxa"/>
            <w:shd w:val="clear" w:color="auto" w:fill="FFFFFF"/>
            <w:vAlign w:val="center"/>
          </w:tcPr>
          <w:p w14:paraId="5477A2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FCHBA卡性能</w:t>
            </w:r>
          </w:p>
        </w:tc>
        <w:tc>
          <w:tcPr>
            <w:tcW w:w="1506" w:type="dxa"/>
            <w:shd w:val="clear" w:color="auto" w:fill="FFFFFF"/>
            <w:vAlign w:val="center"/>
          </w:tcPr>
          <w:p w14:paraId="04B5AD5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FCHBA卡速率</w:t>
            </w:r>
          </w:p>
        </w:tc>
        <w:tc>
          <w:tcPr>
            <w:tcW w:w="3984" w:type="dxa"/>
            <w:shd w:val="clear" w:color="auto" w:fill="FFFFFF"/>
            <w:vAlign w:val="center"/>
          </w:tcPr>
          <w:p w14:paraId="5037679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若配备FCHBA卡，单端口最大的连接速率≥8Gb/s（不涉及）</w:t>
            </w:r>
          </w:p>
        </w:tc>
        <w:tc>
          <w:tcPr>
            <w:tcW w:w="1341" w:type="dxa"/>
            <w:shd w:val="clear" w:color="auto" w:fill="FFFFFF"/>
            <w:vAlign w:val="center"/>
          </w:tcPr>
          <w:p w14:paraId="2062722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E6BA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13E0CD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110</w:t>
            </w:r>
          </w:p>
        </w:tc>
        <w:tc>
          <w:tcPr>
            <w:tcW w:w="999" w:type="dxa"/>
            <w:shd w:val="clear" w:color="auto" w:fill="FFFFFF"/>
            <w:vAlign w:val="center"/>
          </w:tcPr>
          <w:p w14:paraId="3950F0A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80" w:type="dxa"/>
            <w:vMerge w:val="restart"/>
            <w:shd w:val="clear" w:color="auto" w:fill="FFFFFF"/>
            <w:vAlign w:val="center"/>
          </w:tcPr>
          <w:p w14:paraId="2B2C284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网络性能</w:t>
            </w:r>
          </w:p>
        </w:tc>
        <w:tc>
          <w:tcPr>
            <w:tcW w:w="1506" w:type="dxa"/>
            <w:shd w:val="clear" w:color="auto" w:fill="FFFFFF"/>
            <w:vAlign w:val="center"/>
          </w:tcPr>
          <w:p w14:paraId="13E1BE3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独立网卡速率</w:t>
            </w:r>
          </w:p>
        </w:tc>
        <w:tc>
          <w:tcPr>
            <w:tcW w:w="3984" w:type="dxa"/>
            <w:shd w:val="clear" w:color="auto" w:fill="FFFFFF"/>
            <w:vAlign w:val="center"/>
          </w:tcPr>
          <w:p w14:paraId="24BB6F2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端口速率≥10GE</w:t>
            </w:r>
          </w:p>
        </w:tc>
        <w:tc>
          <w:tcPr>
            <w:tcW w:w="1341" w:type="dxa"/>
            <w:shd w:val="clear" w:color="auto" w:fill="FFFFFF"/>
            <w:vAlign w:val="center"/>
          </w:tcPr>
          <w:p w14:paraId="6D3F0D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0F67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772112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111</w:t>
            </w:r>
          </w:p>
        </w:tc>
        <w:tc>
          <w:tcPr>
            <w:tcW w:w="999" w:type="dxa"/>
            <w:shd w:val="clear" w:color="auto" w:fill="FFFFFF"/>
            <w:vAlign w:val="center"/>
          </w:tcPr>
          <w:p w14:paraId="06B4A35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80" w:type="dxa"/>
            <w:vMerge w:val="continue"/>
            <w:shd w:val="clear" w:color="auto" w:fill="FFFFFF"/>
            <w:vAlign w:val="center"/>
          </w:tcPr>
          <w:p w14:paraId="21E47CB2">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38223C5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板载网卡速率</w:t>
            </w:r>
          </w:p>
        </w:tc>
        <w:tc>
          <w:tcPr>
            <w:tcW w:w="3984" w:type="dxa"/>
            <w:shd w:val="clear" w:color="auto" w:fill="FFFFFF"/>
            <w:vAlign w:val="center"/>
          </w:tcPr>
          <w:p w14:paraId="67EEAD9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端口速率≥1GE</w:t>
            </w:r>
          </w:p>
        </w:tc>
        <w:tc>
          <w:tcPr>
            <w:tcW w:w="1341" w:type="dxa"/>
            <w:shd w:val="clear" w:color="auto" w:fill="FFFFFF"/>
            <w:vAlign w:val="center"/>
          </w:tcPr>
          <w:p w14:paraId="4C646EC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CC8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00" w:type="dxa"/>
            <w:shd w:val="clear" w:color="auto" w:fill="FFFFFF"/>
            <w:vAlign w:val="center"/>
          </w:tcPr>
          <w:p w14:paraId="1C7D5C9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112</w:t>
            </w:r>
          </w:p>
        </w:tc>
        <w:tc>
          <w:tcPr>
            <w:tcW w:w="999" w:type="dxa"/>
            <w:shd w:val="clear" w:color="auto" w:fill="FFFFFF"/>
            <w:vAlign w:val="center"/>
          </w:tcPr>
          <w:p w14:paraId="58F7002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80" w:type="dxa"/>
            <w:shd w:val="clear" w:color="auto" w:fill="FFFFFF"/>
            <w:vAlign w:val="center"/>
          </w:tcPr>
          <w:p w14:paraId="798EBF9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电源能耗</w:t>
            </w:r>
          </w:p>
        </w:tc>
        <w:tc>
          <w:tcPr>
            <w:tcW w:w="1506" w:type="dxa"/>
            <w:shd w:val="clear" w:color="auto" w:fill="FFFFFF"/>
            <w:vAlign w:val="center"/>
          </w:tcPr>
          <w:p w14:paraId="7A794F7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★电源能耗</w:t>
            </w:r>
          </w:p>
        </w:tc>
        <w:tc>
          <w:tcPr>
            <w:tcW w:w="3984" w:type="dxa"/>
            <w:shd w:val="clear" w:color="auto" w:fill="FFFFFF"/>
            <w:vAlign w:val="center"/>
          </w:tcPr>
          <w:p w14:paraId="0007986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符合GB/T9813.3的有关规定</w:t>
            </w:r>
          </w:p>
        </w:tc>
        <w:tc>
          <w:tcPr>
            <w:tcW w:w="1341" w:type="dxa"/>
            <w:shd w:val="clear" w:color="auto" w:fill="FFFFFF"/>
            <w:vAlign w:val="center"/>
          </w:tcPr>
          <w:p w14:paraId="27A685E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A9E3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5E21DF9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113</w:t>
            </w:r>
          </w:p>
        </w:tc>
        <w:tc>
          <w:tcPr>
            <w:tcW w:w="999" w:type="dxa"/>
            <w:shd w:val="clear" w:color="auto" w:fill="FFFFFF"/>
            <w:vAlign w:val="center"/>
          </w:tcPr>
          <w:p w14:paraId="168C9DB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80" w:type="dxa"/>
            <w:vMerge w:val="restart"/>
            <w:shd w:val="clear" w:color="auto" w:fill="FFFFFF"/>
            <w:vAlign w:val="center"/>
          </w:tcPr>
          <w:p w14:paraId="427C562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部件兼容性要求</w:t>
            </w:r>
          </w:p>
        </w:tc>
        <w:tc>
          <w:tcPr>
            <w:tcW w:w="1506" w:type="dxa"/>
            <w:shd w:val="clear" w:color="auto" w:fill="FFFFFF"/>
            <w:noWrap/>
            <w:vAlign w:val="center"/>
          </w:tcPr>
          <w:p w14:paraId="05F290B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内存兼容性</w:t>
            </w:r>
          </w:p>
        </w:tc>
        <w:tc>
          <w:tcPr>
            <w:tcW w:w="3984" w:type="dxa"/>
            <w:shd w:val="clear" w:color="auto" w:fill="FFFFFF"/>
            <w:vAlign w:val="center"/>
          </w:tcPr>
          <w:p w14:paraId="12CD5CD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适配3种及以上厂商的内存产品，且均不低于产品支持的内存规格</w:t>
            </w:r>
          </w:p>
        </w:tc>
        <w:tc>
          <w:tcPr>
            <w:tcW w:w="1341" w:type="dxa"/>
            <w:shd w:val="clear" w:color="auto" w:fill="FFFFFF"/>
            <w:vAlign w:val="center"/>
          </w:tcPr>
          <w:p w14:paraId="58FEDBB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7430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2F833EA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114</w:t>
            </w:r>
          </w:p>
        </w:tc>
        <w:tc>
          <w:tcPr>
            <w:tcW w:w="999" w:type="dxa"/>
            <w:shd w:val="clear" w:color="auto" w:fill="FFFFFF"/>
            <w:vAlign w:val="center"/>
          </w:tcPr>
          <w:p w14:paraId="07452C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80" w:type="dxa"/>
            <w:vMerge w:val="continue"/>
            <w:shd w:val="clear" w:color="auto" w:fill="FFFFFF"/>
            <w:vAlign w:val="center"/>
          </w:tcPr>
          <w:p w14:paraId="443A1987">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64F52EE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★固态存储兼容性</w:t>
            </w:r>
          </w:p>
        </w:tc>
        <w:tc>
          <w:tcPr>
            <w:tcW w:w="3984" w:type="dxa"/>
            <w:shd w:val="clear" w:color="auto" w:fill="FFFFFF"/>
            <w:vAlign w:val="center"/>
          </w:tcPr>
          <w:p w14:paraId="1D8E7B7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适配3种或以上厂商的固态存储产品，且均不低于产品支持的固态存储设备规格</w:t>
            </w:r>
          </w:p>
        </w:tc>
        <w:tc>
          <w:tcPr>
            <w:tcW w:w="1341" w:type="dxa"/>
            <w:shd w:val="clear" w:color="auto" w:fill="FFFFFF"/>
            <w:vAlign w:val="center"/>
          </w:tcPr>
          <w:p w14:paraId="221A9D3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1E91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24B7BF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115</w:t>
            </w:r>
          </w:p>
        </w:tc>
        <w:tc>
          <w:tcPr>
            <w:tcW w:w="999" w:type="dxa"/>
            <w:shd w:val="clear" w:color="auto" w:fill="FFFFFF"/>
            <w:vAlign w:val="center"/>
          </w:tcPr>
          <w:p w14:paraId="5FBA7C4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80" w:type="dxa"/>
            <w:vMerge w:val="continue"/>
            <w:shd w:val="clear" w:color="auto" w:fill="FFFFFF"/>
            <w:vAlign w:val="center"/>
          </w:tcPr>
          <w:p w14:paraId="1557AA65">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4C9AD72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FCHBA卡兼容性</w:t>
            </w:r>
          </w:p>
        </w:tc>
        <w:tc>
          <w:tcPr>
            <w:tcW w:w="3984" w:type="dxa"/>
            <w:shd w:val="clear" w:color="auto" w:fill="FFFFFF"/>
            <w:vAlign w:val="center"/>
          </w:tcPr>
          <w:p w14:paraId="1C1F114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FCHBA应适配两种或以上厂商产品</w:t>
            </w:r>
          </w:p>
        </w:tc>
        <w:tc>
          <w:tcPr>
            <w:tcW w:w="1341" w:type="dxa"/>
            <w:shd w:val="clear" w:color="auto" w:fill="FFFFFF"/>
            <w:vAlign w:val="center"/>
          </w:tcPr>
          <w:p w14:paraId="76835E9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5EFE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61EA74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116</w:t>
            </w:r>
          </w:p>
        </w:tc>
        <w:tc>
          <w:tcPr>
            <w:tcW w:w="999" w:type="dxa"/>
            <w:shd w:val="clear" w:color="auto" w:fill="FFFFFF"/>
            <w:vAlign w:val="center"/>
          </w:tcPr>
          <w:p w14:paraId="7590743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80" w:type="dxa"/>
            <w:vMerge w:val="continue"/>
            <w:shd w:val="clear" w:color="auto" w:fill="FFFFFF"/>
            <w:vAlign w:val="center"/>
          </w:tcPr>
          <w:p w14:paraId="548CC30D">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1EBEAAB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RAID卡兼容性</w:t>
            </w:r>
          </w:p>
        </w:tc>
        <w:tc>
          <w:tcPr>
            <w:tcW w:w="3984" w:type="dxa"/>
            <w:shd w:val="clear" w:color="auto" w:fill="FFFFFF"/>
            <w:vAlign w:val="center"/>
          </w:tcPr>
          <w:p w14:paraId="440BA49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RAID卡应适配两种或以上厂商产品</w:t>
            </w:r>
          </w:p>
        </w:tc>
        <w:tc>
          <w:tcPr>
            <w:tcW w:w="1341" w:type="dxa"/>
            <w:shd w:val="clear" w:color="auto" w:fill="FFFFFF"/>
            <w:vAlign w:val="center"/>
          </w:tcPr>
          <w:p w14:paraId="28BA8CC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BF95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020A126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117</w:t>
            </w:r>
          </w:p>
        </w:tc>
        <w:tc>
          <w:tcPr>
            <w:tcW w:w="999" w:type="dxa"/>
            <w:shd w:val="clear" w:color="auto" w:fill="FFFFFF"/>
            <w:vAlign w:val="center"/>
          </w:tcPr>
          <w:p w14:paraId="1A9EDB5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80" w:type="dxa"/>
            <w:vMerge w:val="restart"/>
            <w:shd w:val="clear" w:color="auto" w:fill="FFFFFF"/>
            <w:vAlign w:val="center"/>
          </w:tcPr>
          <w:p w14:paraId="206B05E4">
            <w:pPr>
              <w:widowControl/>
              <w:jc w:val="center"/>
              <w:rPr>
                <w:rFonts w:asciiTheme="minorEastAsia" w:hAnsiTheme="minorEastAsia" w:eastAsiaTheme="minorEastAsia" w:cstheme="minorEastAsia"/>
                <w:kern w:val="0"/>
                <w:sz w:val="24"/>
              </w:rPr>
            </w:pPr>
          </w:p>
        </w:tc>
        <w:tc>
          <w:tcPr>
            <w:tcW w:w="1506" w:type="dxa"/>
            <w:shd w:val="clear" w:color="auto" w:fill="FFFFFF"/>
            <w:vAlign w:val="center"/>
          </w:tcPr>
          <w:p w14:paraId="62CA81D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★网卡兼容性</w:t>
            </w:r>
          </w:p>
        </w:tc>
        <w:tc>
          <w:tcPr>
            <w:tcW w:w="3984" w:type="dxa"/>
            <w:shd w:val="clear" w:color="auto" w:fill="FFFFFF"/>
            <w:vAlign w:val="center"/>
          </w:tcPr>
          <w:p w14:paraId="65668AE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网卡应适配两种或以上厂商产品</w:t>
            </w:r>
          </w:p>
        </w:tc>
        <w:tc>
          <w:tcPr>
            <w:tcW w:w="1341" w:type="dxa"/>
            <w:shd w:val="clear" w:color="auto" w:fill="FFFFFF"/>
            <w:vAlign w:val="center"/>
          </w:tcPr>
          <w:p w14:paraId="3A5B594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1214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54563C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118</w:t>
            </w:r>
          </w:p>
        </w:tc>
        <w:tc>
          <w:tcPr>
            <w:tcW w:w="999" w:type="dxa"/>
            <w:shd w:val="clear" w:color="auto" w:fill="FFFFFF"/>
            <w:vAlign w:val="center"/>
          </w:tcPr>
          <w:p w14:paraId="77D74E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80" w:type="dxa"/>
            <w:vMerge w:val="continue"/>
            <w:shd w:val="clear" w:color="auto" w:fill="FFFFFF"/>
            <w:vAlign w:val="center"/>
          </w:tcPr>
          <w:p w14:paraId="1CC52AA3">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653CBCA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★功能卡兼容性</w:t>
            </w:r>
          </w:p>
        </w:tc>
        <w:tc>
          <w:tcPr>
            <w:tcW w:w="3984" w:type="dxa"/>
            <w:shd w:val="clear" w:color="auto" w:fill="FFFFFF"/>
            <w:vAlign w:val="center"/>
          </w:tcPr>
          <w:p w14:paraId="0DA0D47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内置或适配符合PCIe的功能卡，如：网络功能卡、存储功能卡及图形显示功能卡</w:t>
            </w:r>
          </w:p>
        </w:tc>
        <w:tc>
          <w:tcPr>
            <w:tcW w:w="1341" w:type="dxa"/>
            <w:shd w:val="clear" w:color="auto" w:fill="FFFFFF"/>
            <w:vAlign w:val="center"/>
          </w:tcPr>
          <w:p w14:paraId="3170E37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6E96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600" w:type="dxa"/>
            <w:shd w:val="clear" w:color="auto" w:fill="FFFFFF"/>
            <w:vAlign w:val="center"/>
          </w:tcPr>
          <w:p w14:paraId="36019B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119</w:t>
            </w:r>
          </w:p>
        </w:tc>
        <w:tc>
          <w:tcPr>
            <w:tcW w:w="999" w:type="dxa"/>
            <w:shd w:val="clear" w:color="auto" w:fill="FFFFFF"/>
            <w:vAlign w:val="center"/>
          </w:tcPr>
          <w:p w14:paraId="2CB3037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80" w:type="dxa"/>
            <w:shd w:val="clear" w:color="auto" w:fill="FFFFFF"/>
            <w:vAlign w:val="center"/>
          </w:tcPr>
          <w:p w14:paraId="47DCB1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外设兼容性</w:t>
            </w:r>
          </w:p>
        </w:tc>
        <w:tc>
          <w:tcPr>
            <w:tcW w:w="1506" w:type="dxa"/>
            <w:shd w:val="clear" w:color="auto" w:fill="FFFFFF"/>
            <w:vAlign w:val="center"/>
          </w:tcPr>
          <w:p w14:paraId="30FB8E0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★外设兼容性</w:t>
            </w:r>
          </w:p>
        </w:tc>
        <w:tc>
          <w:tcPr>
            <w:tcW w:w="3984" w:type="dxa"/>
            <w:shd w:val="clear" w:color="auto" w:fill="FFFFFF"/>
            <w:vAlign w:val="center"/>
          </w:tcPr>
          <w:p w14:paraId="1E5384E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兼容多种主流生产商的外部设备，包括显示器、键盘、鼠标、闪存盘、移动硬盘、USB光驱及KVM等，要求使用不同厂商的外部设备时，系统均能正常识别和安装驱动</w:t>
            </w:r>
          </w:p>
        </w:tc>
        <w:tc>
          <w:tcPr>
            <w:tcW w:w="1341" w:type="dxa"/>
            <w:shd w:val="clear" w:color="auto" w:fill="FFFFFF"/>
            <w:vAlign w:val="center"/>
          </w:tcPr>
          <w:p w14:paraId="478E002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A8A5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0" w:type="dxa"/>
            <w:shd w:val="clear" w:color="auto" w:fill="FFFFFF"/>
            <w:vAlign w:val="center"/>
          </w:tcPr>
          <w:p w14:paraId="5359CB8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120</w:t>
            </w:r>
          </w:p>
        </w:tc>
        <w:tc>
          <w:tcPr>
            <w:tcW w:w="999" w:type="dxa"/>
            <w:shd w:val="clear" w:color="auto" w:fill="FFFFFF"/>
            <w:vAlign w:val="center"/>
          </w:tcPr>
          <w:p w14:paraId="6BBB4DC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80" w:type="dxa"/>
            <w:vMerge w:val="restart"/>
            <w:shd w:val="clear" w:color="auto" w:fill="FFFFFF"/>
            <w:vAlign w:val="center"/>
          </w:tcPr>
          <w:p w14:paraId="1731696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软件兼容性</w:t>
            </w:r>
          </w:p>
        </w:tc>
        <w:tc>
          <w:tcPr>
            <w:tcW w:w="1506" w:type="dxa"/>
            <w:shd w:val="clear" w:color="auto" w:fill="FFFFFF"/>
            <w:vAlign w:val="center"/>
          </w:tcPr>
          <w:p w14:paraId="639FD1F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★数据库兼容</w:t>
            </w:r>
          </w:p>
        </w:tc>
        <w:tc>
          <w:tcPr>
            <w:tcW w:w="3984" w:type="dxa"/>
            <w:shd w:val="clear" w:color="auto" w:fill="FFFFFF"/>
            <w:vAlign w:val="center"/>
          </w:tcPr>
          <w:p w14:paraId="5F89F7B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兼容3个及以上厂商的数据库产品</w:t>
            </w:r>
          </w:p>
        </w:tc>
        <w:tc>
          <w:tcPr>
            <w:tcW w:w="1341" w:type="dxa"/>
            <w:shd w:val="clear" w:color="auto" w:fill="FFFFFF"/>
            <w:vAlign w:val="center"/>
          </w:tcPr>
          <w:p w14:paraId="2647AEB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EC21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0" w:type="dxa"/>
            <w:shd w:val="clear" w:color="auto" w:fill="FFFFFF"/>
            <w:vAlign w:val="center"/>
          </w:tcPr>
          <w:p w14:paraId="438671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121</w:t>
            </w:r>
          </w:p>
        </w:tc>
        <w:tc>
          <w:tcPr>
            <w:tcW w:w="999" w:type="dxa"/>
            <w:shd w:val="clear" w:color="auto" w:fill="FFFFFF"/>
            <w:vAlign w:val="center"/>
          </w:tcPr>
          <w:p w14:paraId="0E204A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80" w:type="dxa"/>
            <w:vMerge w:val="continue"/>
            <w:shd w:val="clear" w:color="auto" w:fill="FFFFFF"/>
            <w:vAlign w:val="center"/>
          </w:tcPr>
          <w:p w14:paraId="1B528855">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237B7E4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★中间件兼容</w:t>
            </w:r>
          </w:p>
        </w:tc>
        <w:tc>
          <w:tcPr>
            <w:tcW w:w="3984" w:type="dxa"/>
            <w:shd w:val="clear" w:color="auto" w:fill="FFFFFF"/>
            <w:vAlign w:val="center"/>
          </w:tcPr>
          <w:p w14:paraId="54F5096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兼容3个及以上厂商的中间件产品</w:t>
            </w:r>
          </w:p>
        </w:tc>
        <w:tc>
          <w:tcPr>
            <w:tcW w:w="1341" w:type="dxa"/>
            <w:shd w:val="clear" w:color="auto" w:fill="FFFFFF"/>
            <w:vAlign w:val="center"/>
          </w:tcPr>
          <w:p w14:paraId="1E69CE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6581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26971F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122</w:t>
            </w:r>
          </w:p>
        </w:tc>
        <w:tc>
          <w:tcPr>
            <w:tcW w:w="999" w:type="dxa"/>
            <w:shd w:val="clear" w:color="auto" w:fill="FFFFFF"/>
            <w:vAlign w:val="center"/>
          </w:tcPr>
          <w:p w14:paraId="1D424AB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80" w:type="dxa"/>
            <w:vMerge w:val="continue"/>
            <w:shd w:val="clear" w:color="auto" w:fill="FFFFFF"/>
            <w:vAlign w:val="center"/>
          </w:tcPr>
          <w:p w14:paraId="79C476FD">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2E6978E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★平台软件兼容</w:t>
            </w:r>
          </w:p>
        </w:tc>
        <w:tc>
          <w:tcPr>
            <w:tcW w:w="3984" w:type="dxa"/>
            <w:shd w:val="clear" w:color="auto" w:fill="FFFFFF"/>
            <w:vAlign w:val="center"/>
          </w:tcPr>
          <w:p w14:paraId="2EFA569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兼容3个及以上厂商的大数据平台</w:t>
            </w:r>
          </w:p>
        </w:tc>
        <w:tc>
          <w:tcPr>
            <w:tcW w:w="1341" w:type="dxa"/>
            <w:shd w:val="clear" w:color="auto" w:fill="FFFFFF"/>
            <w:vAlign w:val="center"/>
          </w:tcPr>
          <w:p w14:paraId="28E6264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D896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12790FD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123</w:t>
            </w:r>
          </w:p>
        </w:tc>
        <w:tc>
          <w:tcPr>
            <w:tcW w:w="999" w:type="dxa"/>
            <w:shd w:val="clear" w:color="auto" w:fill="FFFFFF"/>
            <w:vAlign w:val="center"/>
          </w:tcPr>
          <w:p w14:paraId="5962464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80" w:type="dxa"/>
            <w:vMerge w:val="continue"/>
            <w:shd w:val="clear" w:color="auto" w:fill="FFFFFF"/>
            <w:vAlign w:val="center"/>
          </w:tcPr>
          <w:p w14:paraId="45E075B8">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1DF5C60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虚拟化软件兼容</w:t>
            </w:r>
          </w:p>
        </w:tc>
        <w:tc>
          <w:tcPr>
            <w:tcW w:w="3984" w:type="dxa"/>
            <w:shd w:val="clear" w:color="auto" w:fill="FFFFFF"/>
            <w:vAlign w:val="center"/>
          </w:tcPr>
          <w:p w14:paraId="0E33C17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兼容2款及以上虚拟化软件</w:t>
            </w:r>
          </w:p>
        </w:tc>
        <w:tc>
          <w:tcPr>
            <w:tcW w:w="1341" w:type="dxa"/>
            <w:shd w:val="clear" w:color="auto" w:fill="FFFFFF"/>
            <w:vAlign w:val="center"/>
          </w:tcPr>
          <w:p w14:paraId="1B3C0F7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9B2F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5600EB2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124</w:t>
            </w:r>
          </w:p>
        </w:tc>
        <w:tc>
          <w:tcPr>
            <w:tcW w:w="999" w:type="dxa"/>
            <w:shd w:val="clear" w:color="auto" w:fill="FFFFFF"/>
            <w:vAlign w:val="center"/>
          </w:tcPr>
          <w:p w14:paraId="44D61ED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1080" w:type="dxa"/>
            <w:shd w:val="clear" w:color="auto" w:fill="FFFFFF"/>
            <w:vAlign w:val="center"/>
          </w:tcPr>
          <w:p w14:paraId="33760FC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存储可靠性要求</w:t>
            </w:r>
          </w:p>
        </w:tc>
        <w:tc>
          <w:tcPr>
            <w:tcW w:w="1506" w:type="dxa"/>
            <w:shd w:val="clear" w:color="auto" w:fill="FFFFFF"/>
            <w:vAlign w:val="center"/>
          </w:tcPr>
          <w:p w14:paraId="33F1396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SATASSD可靠性</w:t>
            </w:r>
          </w:p>
        </w:tc>
        <w:tc>
          <w:tcPr>
            <w:tcW w:w="3984" w:type="dxa"/>
            <w:shd w:val="clear" w:color="auto" w:fill="FFFFFF"/>
            <w:vAlign w:val="center"/>
          </w:tcPr>
          <w:p w14:paraId="51CEDC8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SSD的m1值（MTBF的不可接受值）不低于200000h</w:t>
            </w:r>
          </w:p>
        </w:tc>
        <w:tc>
          <w:tcPr>
            <w:tcW w:w="1341" w:type="dxa"/>
            <w:shd w:val="clear" w:color="auto" w:fill="FFFFFF"/>
            <w:vAlign w:val="center"/>
          </w:tcPr>
          <w:p w14:paraId="71C278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96AD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411B7EE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125</w:t>
            </w:r>
          </w:p>
        </w:tc>
        <w:tc>
          <w:tcPr>
            <w:tcW w:w="999" w:type="dxa"/>
            <w:shd w:val="clear" w:color="auto" w:fill="FFFFFF"/>
            <w:vAlign w:val="center"/>
          </w:tcPr>
          <w:p w14:paraId="5C05857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1080" w:type="dxa"/>
            <w:vMerge w:val="restart"/>
            <w:shd w:val="clear" w:color="auto" w:fill="FFFFFF"/>
            <w:vAlign w:val="center"/>
          </w:tcPr>
          <w:p w14:paraId="6C96CA9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整机可靠性要求</w:t>
            </w:r>
          </w:p>
        </w:tc>
        <w:tc>
          <w:tcPr>
            <w:tcW w:w="1506" w:type="dxa"/>
            <w:shd w:val="clear" w:color="auto" w:fill="FFFFFF"/>
            <w:vAlign w:val="center"/>
          </w:tcPr>
          <w:p w14:paraId="01DE3C0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★整机可靠性</w:t>
            </w:r>
          </w:p>
        </w:tc>
        <w:tc>
          <w:tcPr>
            <w:tcW w:w="3984" w:type="dxa"/>
            <w:shd w:val="clear" w:color="auto" w:fill="FFFFFF"/>
            <w:vAlign w:val="center"/>
          </w:tcPr>
          <w:p w14:paraId="354A5BB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m1值（MTBF的不可接受值）不得低于30000h</w:t>
            </w:r>
          </w:p>
        </w:tc>
        <w:tc>
          <w:tcPr>
            <w:tcW w:w="1341" w:type="dxa"/>
            <w:shd w:val="clear" w:color="auto" w:fill="FFFFFF"/>
            <w:vAlign w:val="center"/>
          </w:tcPr>
          <w:p w14:paraId="02B4A61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431E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0" w:type="dxa"/>
            <w:shd w:val="clear" w:color="auto" w:fill="FFFFFF"/>
            <w:vAlign w:val="center"/>
          </w:tcPr>
          <w:p w14:paraId="1223B5A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126</w:t>
            </w:r>
          </w:p>
        </w:tc>
        <w:tc>
          <w:tcPr>
            <w:tcW w:w="999" w:type="dxa"/>
            <w:shd w:val="clear" w:color="auto" w:fill="FFFFFF"/>
            <w:vAlign w:val="center"/>
          </w:tcPr>
          <w:p w14:paraId="5EECD80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1080" w:type="dxa"/>
            <w:vMerge w:val="continue"/>
            <w:shd w:val="clear" w:color="auto" w:fill="FFFFFF"/>
            <w:vAlign w:val="center"/>
          </w:tcPr>
          <w:p w14:paraId="3DF66B98">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1028A8D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★风扇可靠性</w:t>
            </w:r>
          </w:p>
        </w:tc>
        <w:tc>
          <w:tcPr>
            <w:tcW w:w="3984" w:type="dxa"/>
            <w:shd w:val="clear" w:color="auto" w:fill="FFFFFF"/>
            <w:vAlign w:val="center"/>
          </w:tcPr>
          <w:p w14:paraId="230CD2E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风扇寿命应不低于40000h</w:t>
            </w:r>
          </w:p>
        </w:tc>
        <w:tc>
          <w:tcPr>
            <w:tcW w:w="1341" w:type="dxa"/>
            <w:shd w:val="clear" w:color="auto" w:fill="FFFFFF"/>
            <w:vAlign w:val="center"/>
          </w:tcPr>
          <w:p w14:paraId="22BD2BB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7596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0" w:type="dxa"/>
            <w:shd w:val="clear" w:color="auto" w:fill="FFFFFF"/>
            <w:vAlign w:val="center"/>
          </w:tcPr>
          <w:p w14:paraId="719B0E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127</w:t>
            </w:r>
          </w:p>
        </w:tc>
        <w:tc>
          <w:tcPr>
            <w:tcW w:w="999" w:type="dxa"/>
            <w:shd w:val="clear" w:color="auto" w:fill="FFFFFF"/>
            <w:vAlign w:val="center"/>
          </w:tcPr>
          <w:p w14:paraId="5428019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1080" w:type="dxa"/>
            <w:vMerge w:val="continue"/>
            <w:shd w:val="clear" w:color="auto" w:fill="FFFFFF"/>
            <w:vAlign w:val="center"/>
          </w:tcPr>
          <w:p w14:paraId="7F94E4FC">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7FF7015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★部件可靠性</w:t>
            </w:r>
          </w:p>
        </w:tc>
        <w:tc>
          <w:tcPr>
            <w:tcW w:w="3984" w:type="dxa"/>
            <w:shd w:val="clear" w:color="auto" w:fill="FFFFFF"/>
            <w:vAlign w:val="center"/>
          </w:tcPr>
          <w:p w14:paraId="1A13CBD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支持硬盘、电源、风扇热插拔（内置风扇除外）</w:t>
            </w:r>
          </w:p>
        </w:tc>
        <w:tc>
          <w:tcPr>
            <w:tcW w:w="1341" w:type="dxa"/>
            <w:shd w:val="clear" w:color="auto" w:fill="FFFFFF"/>
            <w:vAlign w:val="center"/>
          </w:tcPr>
          <w:p w14:paraId="2C5C0FA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D918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0" w:type="dxa"/>
            <w:shd w:val="clear" w:color="auto" w:fill="FFFFFF"/>
            <w:vAlign w:val="center"/>
          </w:tcPr>
          <w:p w14:paraId="4E63667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128</w:t>
            </w:r>
          </w:p>
        </w:tc>
        <w:tc>
          <w:tcPr>
            <w:tcW w:w="999" w:type="dxa"/>
            <w:shd w:val="clear" w:color="auto" w:fill="FFFFFF"/>
            <w:vAlign w:val="center"/>
          </w:tcPr>
          <w:p w14:paraId="3E51235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包装及运输要求</w:t>
            </w:r>
          </w:p>
        </w:tc>
        <w:tc>
          <w:tcPr>
            <w:tcW w:w="1080" w:type="dxa"/>
            <w:shd w:val="clear" w:color="auto" w:fill="FFFFFF"/>
            <w:vAlign w:val="center"/>
          </w:tcPr>
          <w:p w14:paraId="55C5069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包装及运输要求</w:t>
            </w:r>
          </w:p>
        </w:tc>
        <w:tc>
          <w:tcPr>
            <w:tcW w:w="1506" w:type="dxa"/>
            <w:shd w:val="clear" w:color="auto" w:fill="FFFFFF"/>
            <w:vAlign w:val="center"/>
          </w:tcPr>
          <w:p w14:paraId="00BB518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★标志、包装、运输和贮存</w:t>
            </w:r>
          </w:p>
        </w:tc>
        <w:tc>
          <w:tcPr>
            <w:tcW w:w="3984" w:type="dxa"/>
            <w:shd w:val="clear" w:color="auto" w:fill="FFFFFF"/>
            <w:vAlign w:val="center"/>
          </w:tcPr>
          <w:p w14:paraId="5558A20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符合GB/T9813.3和商品包装政府采购需求标准的相关规定</w:t>
            </w:r>
          </w:p>
        </w:tc>
        <w:tc>
          <w:tcPr>
            <w:tcW w:w="1341" w:type="dxa"/>
            <w:shd w:val="clear" w:color="auto" w:fill="FFFFFF"/>
            <w:vAlign w:val="center"/>
          </w:tcPr>
          <w:p w14:paraId="621A47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3072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600" w:type="dxa"/>
            <w:shd w:val="clear" w:color="auto" w:fill="FFFFFF"/>
            <w:vAlign w:val="center"/>
          </w:tcPr>
          <w:p w14:paraId="1B46613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129</w:t>
            </w:r>
          </w:p>
        </w:tc>
        <w:tc>
          <w:tcPr>
            <w:tcW w:w="999" w:type="dxa"/>
            <w:shd w:val="clear" w:color="auto" w:fill="FFFFFF"/>
            <w:vAlign w:val="center"/>
          </w:tcPr>
          <w:p w14:paraId="1DE6C0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80" w:type="dxa"/>
            <w:vMerge w:val="restart"/>
            <w:shd w:val="clear" w:color="auto" w:fill="FFFFFF"/>
            <w:vAlign w:val="center"/>
          </w:tcPr>
          <w:p w14:paraId="2B94B17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服务响应</w:t>
            </w:r>
          </w:p>
        </w:tc>
        <w:tc>
          <w:tcPr>
            <w:tcW w:w="1506" w:type="dxa"/>
            <w:shd w:val="clear" w:color="auto" w:fill="FFFFFF"/>
            <w:vAlign w:val="center"/>
          </w:tcPr>
          <w:p w14:paraId="1C761CD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★服务响应</w:t>
            </w:r>
          </w:p>
        </w:tc>
        <w:tc>
          <w:tcPr>
            <w:tcW w:w="3984" w:type="dxa"/>
            <w:shd w:val="clear" w:color="auto" w:fill="FFFFFF"/>
            <w:vAlign w:val="center"/>
          </w:tcPr>
          <w:p w14:paraId="1E17259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提供电话、电子邮件、远程连接等多种形式服务；b）提供同城4h、异地12h技术响应服务，2个工作日解决问题，对于未能解决的问题和故障应提供可行的升级方案，并提供周转设备；c）建立全国技术服务体系和服务团体，符合专业服务体系标准要求，提供原厂中文服务；d）服务周期内提供产品的维修、换件和升级服务</w:t>
            </w:r>
          </w:p>
        </w:tc>
        <w:tc>
          <w:tcPr>
            <w:tcW w:w="1341" w:type="dxa"/>
            <w:shd w:val="clear" w:color="auto" w:fill="FFFFFF"/>
            <w:vAlign w:val="center"/>
          </w:tcPr>
          <w:p w14:paraId="0CF8781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2352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0" w:type="dxa"/>
            <w:shd w:val="clear" w:color="auto" w:fill="FFFFFF"/>
            <w:vAlign w:val="center"/>
          </w:tcPr>
          <w:p w14:paraId="05D3A57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130</w:t>
            </w:r>
          </w:p>
        </w:tc>
        <w:tc>
          <w:tcPr>
            <w:tcW w:w="999" w:type="dxa"/>
            <w:shd w:val="clear" w:color="auto" w:fill="FFFFFF"/>
            <w:vAlign w:val="center"/>
          </w:tcPr>
          <w:p w14:paraId="20A6A48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80" w:type="dxa"/>
            <w:vMerge w:val="continue"/>
            <w:shd w:val="clear" w:color="auto" w:fill="FFFFFF"/>
            <w:vAlign w:val="center"/>
          </w:tcPr>
          <w:p w14:paraId="67501913">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39595CE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★培训服务</w:t>
            </w:r>
          </w:p>
        </w:tc>
        <w:tc>
          <w:tcPr>
            <w:tcW w:w="3984" w:type="dxa"/>
            <w:shd w:val="clear" w:color="auto" w:fill="FFFFFF"/>
            <w:vAlign w:val="center"/>
          </w:tcPr>
          <w:p w14:paraId="55AC692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供应商提供培训材料、产品手册、培训视频等培训相关内容</w:t>
            </w:r>
          </w:p>
        </w:tc>
        <w:tc>
          <w:tcPr>
            <w:tcW w:w="1341" w:type="dxa"/>
            <w:shd w:val="clear" w:color="auto" w:fill="FFFFFF"/>
            <w:vAlign w:val="center"/>
          </w:tcPr>
          <w:p w14:paraId="393A60D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BB68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296" w:hRule="atLeast"/>
        </w:trPr>
        <w:tc>
          <w:tcPr>
            <w:tcW w:w="600" w:type="dxa"/>
            <w:shd w:val="clear" w:color="auto" w:fill="FFFFFF"/>
            <w:vAlign w:val="center"/>
          </w:tcPr>
          <w:p w14:paraId="6CCC92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131</w:t>
            </w:r>
          </w:p>
        </w:tc>
        <w:tc>
          <w:tcPr>
            <w:tcW w:w="999" w:type="dxa"/>
            <w:shd w:val="clear" w:color="auto" w:fill="FFFFFF"/>
            <w:vAlign w:val="center"/>
          </w:tcPr>
          <w:p w14:paraId="1025F9C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80" w:type="dxa"/>
            <w:shd w:val="clear" w:color="auto" w:fill="FFFFFF"/>
            <w:vAlign w:val="center"/>
          </w:tcPr>
          <w:p w14:paraId="2F1B4A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服务周期</w:t>
            </w:r>
          </w:p>
        </w:tc>
        <w:tc>
          <w:tcPr>
            <w:tcW w:w="1506" w:type="dxa"/>
            <w:shd w:val="clear" w:color="auto" w:fill="FFFFFF"/>
            <w:vAlign w:val="center"/>
          </w:tcPr>
          <w:p w14:paraId="5274A41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★服务周期</w:t>
            </w:r>
          </w:p>
        </w:tc>
        <w:tc>
          <w:tcPr>
            <w:tcW w:w="3984" w:type="dxa"/>
            <w:shd w:val="clear" w:color="auto" w:fill="FFFFFF"/>
            <w:vAlign w:val="center"/>
          </w:tcPr>
          <w:p w14:paraId="6388FD7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产品免费服务周期（含换件和维修）应不小于6年；b）设备停产后继续提供质量保障服务（含备品备件），服务终止时间与最后一批设备交付时间间隔不低于6年；c）产品停止服务时间应提前1年告知客户；d）产品发布日期需在技术文件或者技术白皮书中明确</w:t>
            </w:r>
          </w:p>
        </w:tc>
        <w:tc>
          <w:tcPr>
            <w:tcW w:w="1341" w:type="dxa"/>
            <w:shd w:val="clear" w:color="auto" w:fill="FFFFFF"/>
            <w:vAlign w:val="center"/>
          </w:tcPr>
          <w:p w14:paraId="3ABDEEE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F1E1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6D594F8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132</w:t>
            </w:r>
          </w:p>
        </w:tc>
        <w:tc>
          <w:tcPr>
            <w:tcW w:w="999" w:type="dxa"/>
            <w:shd w:val="clear" w:color="auto" w:fill="FFFFFF"/>
            <w:vAlign w:val="center"/>
          </w:tcPr>
          <w:p w14:paraId="3C4243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80" w:type="dxa"/>
            <w:vMerge w:val="restart"/>
            <w:shd w:val="clear" w:color="auto" w:fill="FFFFFF"/>
            <w:vAlign w:val="center"/>
          </w:tcPr>
          <w:p w14:paraId="02998B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服务工具要求</w:t>
            </w:r>
          </w:p>
        </w:tc>
        <w:tc>
          <w:tcPr>
            <w:tcW w:w="1506" w:type="dxa"/>
            <w:shd w:val="clear" w:color="auto" w:fill="FFFFFF"/>
            <w:vAlign w:val="center"/>
          </w:tcPr>
          <w:p w14:paraId="3129149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★工具要求</w:t>
            </w:r>
          </w:p>
        </w:tc>
        <w:tc>
          <w:tcPr>
            <w:tcW w:w="3984" w:type="dxa"/>
            <w:shd w:val="clear" w:color="auto" w:fill="FFFFFF"/>
            <w:vAlign w:val="center"/>
          </w:tcPr>
          <w:p w14:paraId="2869CF7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供应商提供设置服务器硬件、辅助操作系统安装等功能的辅助工具和管理软件。且随附软件应具有合法授权或版权</w:t>
            </w:r>
          </w:p>
        </w:tc>
        <w:tc>
          <w:tcPr>
            <w:tcW w:w="1341" w:type="dxa"/>
            <w:shd w:val="clear" w:color="auto" w:fill="FFFFFF"/>
            <w:vAlign w:val="center"/>
          </w:tcPr>
          <w:p w14:paraId="0462DE0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B06A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600" w:type="dxa"/>
            <w:shd w:val="clear" w:color="auto" w:fill="FFFFFF"/>
            <w:vAlign w:val="center"/>
          </w:tcPr>
          <w:p w14:paraId="083891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133</w:t>
            </w:r>
          </w:p>
        </w:tc>
        <w:tc>
          <w:tcPr>
            <w:tcW w:w="999" w:type="dxa"/>
            <w:shd w:val="clear" w:color="auto" w:fill="FFFFFF"/>
            <w:vAlign w:val="center"/>
          </w:tcPr>
          <w:p w14:paraId="310DFA4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80" w:type="dxa"/>
            <w:vMerge w:val="continue"/>
            <w:shd w:val="clear" w:color="auto" w:fill="FFFFFF"/>
            <w:vAlign w:val="center"/>
          </w:tcPr>
          <w:p w14:paraId="1682C396">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2D0C4FA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辅助工具</w:t>
            </w:r>
          </w:p>
        </w:tc>
        <w:tc>
          <w:tcPr>
            <w:tcW w:w="3984" w:type="dxa"/>
            <w:shd w:val="clear" w:color="auto" w:fill="FFFFFF"/>
            <w:vAlign w:val="center"/>
          </w:tcPr>
          <w:p w14:paraId="31FF204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支持如下功能a）本地的数据备份和还原功能；b）网络的数据备份和还原功能；c）通用服务器操作系统的自动安装功能；d）服务器所配硬件需要的驱动程序和系统补丁</w:t>
            </w:r>
          </w:p>
        </w:tc>
        <w:tc>
          <w:tcPr>
            <w:tcW w:w="1341" w:type="dxa"/>
            <w:shd w:val="clear" w:color="auto" w:fill="FFFFFF"/>
            <w:vAlign w:val="center"/>
          </w:tcPr>
          <w:p w14:paraId="0075178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828B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5072CD3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134</w:t>
            </w:r>
          </w:p>
        </w:tc>
        <w:tc>
          <w:tcPr>
            <w:tcW w:w="999" w:type="dxa"/>
            <w:shd w:val="clear" w:color="auto" w:fill="FFFFFF"/>
            <w:vAlign w:val="center"/>
          </w:tcPr>
          <w:p w14:paraId="5CC24B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80" w:type="dxa"/>
            <w:vMerge w:val="continue"/>
            <w:shd w:val="clear" w:color="auto" w:fill="FFFFFF"/>
            <w:vAlign w:val="center"/>
          </w:tcPr>
          <w:p w14:paraId="6F9B4E7F">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6153B92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★驱动安装升级指引</w:t>
            </w:r>
          </w:p>
        </w:tc>
        <w:tc>
          <w:tcPr>
            <w:tcW w:w="3984" w:type="dxa"/>
            <w:shd w:val="clear" w:color="auto" w:fill="FFFFFF"/>
            <w:vAlign w:val="center"/>
          </w:tcPr>
          <w:p w14:paraId="3FF782D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供应商提供出厂安装的配件所需的驱动程序，形式包括但不限于驱动光盘、驱动下载链接等。其他配件应提供指引</w:t>
            </w:r>
          </w:p>
        </w:tc>
        <w:tc>
          <w:tcPr>
            <w:tcW w:w="1341" w:type="dxa"/>
            <w:shd w:val="clear" w:color="auto" w:fill="FFFFFF"/>
            <w:vAlign w:val="center"/>
          </w:tcPr>
          <w:p w14:paraId="6C6D3DA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CBFF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74CA6E2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135</w:t>
            </w:r>
          </w:p>
        </w:tc>
        <w:tc>
          <w:tcPr>
            <w:tcW w:w="999" w:type="dxa"/>
            <w:shd w:val="clear" w:color="auto" w:fill="FFFFFF"/>
            <w:vAlign w:val="center"/>
          </w:tcPr>
          <w:p w14:paraId="17C0A3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80" w:type="dxa"/>
            <w:vMerge w:val="continue"/>
            <w:shd w:val="clear" w:color="auto" w:fill="FFFFFF"/>
            <w:vAlign w:val="center"/>
          </w:tcPr>
          <w:p w14:paraId="719DA694">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661B162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随机附开盖工具</w:t>
            </w:r>
          </w:p>
        </w:tc>
        <w:tc>
          <w:tcPr>
            <w:tcW w:w="3984" w:type="dxa"/>
            <w:shd w:val="clear" w:color="auto" w:fill="FFFFFF"/>
            <w:vAlign w:val="center"/>
          </w:tcPr>
          <w:p w14:paraId="3CB0298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随服务器打包提供开机箱工具</w:t>
            </w:r>
          </w:p>
        </w:tc>
        <w:tc>
          <w:tcPr>
            <w:tcW w:w="1341" w:type="dxa"/>
            <w:shd w:val="clear" w:color="auto" w:fill="FFFFFF"/>
            <w:vAlign w:val="center"/>
          </w:tcPr>
          <w:p w14:paraId="7F3C83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C013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600" w:type="dxa"/>
            <w:shd w:val="clear" w:color="auto" w:fill="FFFFFF"/>
            <w:vAlign w:val="center"/>
          </w:tcPr>
          <w:p w14:paraId="3902D29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136</w:t>
            </w:r>
          </w:p>
        </w:tc>
        <w:tc>
          <w:tcPr>
            <w:tcW w:w="999" w:type="dxa"/>
            <w:shd w:val="clear" w:color="auto" w:fill="FFFFFF"/>
            <w:vAlign w:val="center"/>
          </w:tcPr>
          <w:p w14:paraId="7C499E6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80" w:type="dxa"/>
            <w:vMerge w:val="continue"/>
            <w:shd w:val="clear" w:color="auto" w:fill="FFFFFF"/>
            <w:vAlign w:val="center"/>
          </w:tcPr>
          <w:p w14:paraId="6040D08D">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57802EE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代码迁移工具</w:t>
            </w:r>
          </w:p>
        </w:tc>
        <w:tc>
          <w:tcPr>
            <w:tcW w:w="3984" w:type="dxa"/>
            <w:shd w:val="clear" w:color="auto" w:fill="FFFFFF"/>
            <w:vAlign w:val="center"/>
          </w:tcPr>
          <w:p w14:paraId="0F02004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从其他CPU架构到当前服务器CPU架构的软件迁移工具产品，支持软件包迁移评估，对满足产品重构要求的软件包，能重构为当前服务器CPU架构的软件包。提供源码迁移功能，检查分析C/C++/Fortran/Go/解释型语言/汇编等源码文件，基于产品功能给出迁移指导</w:t>
            </w:r>
          </w:p>
        </w:tc>
        <w:tc>
          <w:tcPr>
            <w:tcW w:w="1341" w:type="dxa"/>
            <w:shd w:val="clear" w:color="auto" w:fill="FFFFFF"/>
            <w:vAlign w:val="center"/>
          </w:tcPr>
          <w:p w14:paraId="18E71F4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B2E5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600" w:type="dxa"/>
            <w:shd w:val="clear" w:color="auto" w:fill="FFFFFF"/>
            <w:vAlign w:val="center"/>
          </w:tcPr>
          <w:p w14:paraId="39B8AE5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137</w:t>
            </w:r>
          </w:p>
        </w:tc>
        <w:tc>
          <w:tcPr>
            <w:tcW w:w="999" w:type="dxa"/>
            <w:shd w:val="clear" w:color="auto" w:fill="FFFFFF"/>
            <w:vAlign w:val="center"/>
          </w:tcPr>
          <w:p w14:paraId="2C247E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80" w:type="dxa"/>
            <w:vMerge w:val="continue"/>
            <w:shd w:val="clear" w:color="auto" w:fill="FFFFFF"/>
            <w:vAlign w:val="center"/>
          </w:tcPr>
          <w:p w14:paraId="26A0FDC4">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10ADE22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性能分析工具</w:t>
            </w:r>
          </w:p>
        </w:tc>
        <w:tc>
          <w:tcPr>
            <w:tcW w:w="3984" w:type="dxa"/>
            <w:shd w:val="clear" w:color="auto" w:fill="FFFFFF"/>
            <w:vAlign w:val="center"/>
          </w:tcPr>
          <w:p w14:paraId="789BAF7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供应商提供支持当前服务器CPU架构的性能分析工具产品，支持系统性能分析、Java性能分析和系统诊断，可分析系统或应用在CPU、内存、IO、网络等方面的性能，并给出优化建议</w:t>
            </w:r>
          </w:p>
        </w:tc>
        <w:tc>
          <w:tcPr>
            <w:tcW w:w="1341" w:type="dxa"/>
            <w:shd w:val="clear" w:color="auto" w:fill="FFFFFF"/>
            <w:vAlign w:val="center"/>
          </w:tcPr>
          <w:p w14:paraId="7600EF7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972E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629B02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138</w:t>
            </w:r>
          </w:p>
        </w:tc>
        <w:tc>
          <w:tcPr>
            <w:tcW w:w="999" w:type="dxa"/>
            <w:shd w:val="clear" w:color="auto" w:fill="FFFFFF"/>
            <w:vAlign w:val="center"/>
          </w:tcPr>
          <w:p w14:paraId="0B48C7D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80" w:type="dxa"/>
            <w:vMerge w:val="continue"/>
            <w:shd w:val="clear" w:color="auto" w:fill="FFFFFF"/>
            <w:vAlign w:val="center"/>
          </w:tcPr>
          <w:p w14:paraId="00616244">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34A4EBA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跨架构平台应用兼容</w:t>
            </w:r>
          </w:p>
        </w:tc>
        <w:tc>
          <w:tcPr>
            <w:tcW w:w="3984" w:type="dxa"/>
            <w:shd w:val="clear" w:color="auto" w:fill="FFFFFF"/>
            <w:vAlign w:val="center"/>
          </w:tcPr>
          <w:p w14:paraId="719347D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跨CPU架构平台应用兼容工具，可兼容一种或者一种以上不同架构平台的应用</w:t>
            </w:r>
          </w:p>
        </w:tc>
        <w:tc>
          <w:tcPr>
            <w:tcW w:w="1341" w:type="dxa"/>
            <w:shd w:val="clear" w:color="auto" w:fill="FFFFFF"/>
            <w:vAlign w:val="center"/>
          </w:tcPr>
          <w:p w14:paraId="7DFFBA4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63B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1AF5982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139</w:t>
            </w:r>
          </w:p>
        </w:tc>
        <w:tc>
          <w:tcPr>
            <w:tcW w:w="999" w:type="dxa"/>
            <w:shd w:val="clear" w:color="auto" w:fill="FFFFFF"/>
            <w:vAlign w:val="center"/>
          </w:tcPr>
          <w:p w14:paraId="7D58A6A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80" w:type="dxa"/>
            <w:vMerge w:val="continue"/>
            <w:shd w:val="clear" w:color="auto" w:fill="FFFFFF"/>
            <w:vAlign w:val="center"/>
          </w:tcPr>
          <w:p w14:paraId="575239EF">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2BA0985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★管理软件</w:t>
            </w:r>
          </w:p>
        </w:tc>
        <w:tc>
          <w:tcPr>
            <w:tcW w:w="3984" w:type="dxa"/>
            <w:shd w:val="clear" w:color="auto" w:fill="FFFFFF"/>
            <w:vAlign w:val="center"/>
          </w:tcPr>
          <w:p w14:paraId="2E9E446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具备资源管理、系统管理、性能监控、健康监控、基于网络控制、报警设置功能</w:t>
            </w:r>
          </w:p>
        </w:tc>
        <w:tc>
          <w:tcPr>
            <w:tcW w:w="1341" w:type="dxa"/>
            <w:shd w:val="clear" w:color="auto" w:fill="FFFFFF"/>
            <w:vAlign w:val="center"/>
          </w:tcPr>
          <w:p w14:paraId="17FB671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4F7E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2352E33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140</w:t>
            </w:r>
          </w:p>
        </w:tc>
        <w:tc>
          <w:tcPr>
            <w:tcW w:w="999" w:type="dxa"/>
            <w:shd w:val="clear" w:color="auto" w:fill="FFFFFF"/>
            <w:vAlign w:val="center"/>
          </w:tcPr>
          <w:p w14:paraId="2E6465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80" w:type="dxa"/>
            <w:vMerge w:val="restart"/>
            <w:shd w:val="clear" w:color="auto" w:fill="FFFFFF"/>
            <w:vAlign w:val="center"/>
          </w:tcPr>
          <w:p w14:paraId="7EA537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增值服务</w:t>
            </w:r>
          </w:p>
        </w:tc>
        <w:tc>
          <w:tcPr>
            <w:tcW w:w="1506" w:type="dxa"/>
            <w:shd w:val="clear" w:color="auto" w:fill="FFFFFF"/>
            <w:vAlign w:val="center"/>
          </w:tcPr>
          <w:p w14:paraId="67C888D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★厂家升级产品软件与扩容服务</w:t>
            </w:r>
          </w:p>
        </w:tc>
        <w:tc>
          <w:tcPr>
            <w:tcW w:w="3984" w:type="dxa"/>
            <w:shd w:val="clear" w:color="auto" w:fill="FFFFFF"/>
            <w:vAlign w:val="center"/>
          </w:tcPr>
          <w:p w14:paraId="1DD5096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供应商提供原厂级的部件/软件产品升级和扩容能力</w:t>
            </w:r>
          </w:p>
        </w:tc>
        <w:tc>
          <w:tcPr>
            <w:tcW w:w="1341" w:type="dxa"/>
            <w:shd w:val="clear" w:color="auto" w:fill="FFFFFF"/>
            <w:vAlign w:val="center"/>
          </w:tcPr>
          <w:p w14:paraId="1E7872E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39D2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4CDB176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141</w:t>
            </w:r>
          </w:p>
        </w:tc>
        <w:tc>
          <w:tcPr>
            <w:tcW w:w="999" w:type="dxa"/>
            <w:shd w:val="clear" w:color="auto" w:fill="FFFFFF"/>
            <w:vAlign w:val="center"/>
          </w:tcPr>
          <w:p w14:paraId="52913C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80" w:type="dxa"/>
            <w:vMerge w:val="continue"/>
            <w:shd w:val="clear" w:color="auto" w:fill="FFFFFF"/>
            <w:vAlign w:val="center"/>
          </w:tcPr>
          <w:p w14:paraId="2A980422">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0A0560F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服务保障升级</w:t>
            </w:r>
          </w:p>
        </w:tc>
        <w:tc>
          <w:tcPr>
            <w:tcW w:w="3984" w:type="dxa"/>
            <w:shd w:val="clear" w:color="auto" w:fill="FFFFFF"/>
            <w:vAlign w:val="center"/>
          </w:tcPr>
          <w:p w14:paraId="3266D5A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供应商有偿提供远程技术支持、软件授权服务、备件更换服务、现场支撑服务</w:t>
            </w:r>
          </w:p>
        </w:tc>
        <w:tc>
          <w:tcPr>
            <w:tcW w:w="1341" w:type="dxa"/>
            <w:shd w:val="clear" w:color="auto" w:fill="FFFFFF"/>
            <w:vAlign w:val="center"/>
          </w:tcPr>
          <w:p w14:paraId="552B629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4676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21DE4E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142</w:t>
            </w:r>
          </w:p>
        </w:tc>
        <w:tc>
          <w:tcPr>
            <w:tcW w:w="999" w:type="dxa"/>
            <w:shd w:val="clear" w:color="auto" w:fill="FFFFFF"/>
            <w:vAlign w:val="center"/>
          </w:tcPr>
          <w:p w14:paraId="329356B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80" w:type="dxa"/>
            <w:vMerge w:val="continue"/>
            <w:shd w:val="clear" w:color="auto" w:fill="FFFFFF"/>
            <w:vAlign w:val="center"/>
          </w:tcPr>
          <w:p w14:paraId="4BE2E542">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281E12D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★提供上门服务</w:t>
            </w:r>
          </w:p>
        </w:tc>
        <w:tc>
          <w:tcPr>
            <w:tcW w:w="3984" w:type="dxa"/>
            <w:shd w:val="clear" w:color="auto" w:fill="FFFFFF"/>
            <w:vAlign w:val="center"/>
          </w:tcPr>
          <w:p w14:paraId="74819FE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供应商具备提供上门服务的能力</w:t>
            </w:r>
          </w:p>
        </w:tc>
        <w:tc>
          <w:tcPr>
            <w:tcW w:w="1341" w:type="dxa"/>
            <w:shd w:val="clear" w:color="auto" w:fill="FFFFFF"/>
            <w:vAlign w:val="center"/>
          </w:tcPr>
          <w:p w14:paraId="42D9AA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9241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600" w:type="dxa"/>
            <w:shd w:val="clear" w:color="auto" w:fill="FFFFFF"/>
            <w:vAlign w:val="center"/>
          </w:tcPr>
          <w:p w14:paraId="0AEB364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143</w:t>
            </w:r>
          </w:p>
        </w:tc>
        <w:tc>
          <w:tcPr>
            <w:tcW w:w="999" w:type="dxa"/>
            <w:shd w:val="clear" w:color="auto" w:fill="FFFFFF"/>
            <w:vAlign w:val="center"/>
          </w:tcPr>
          <w:p w14:paraId="6E7585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80" w:type="dxa"/>
            <w:vMerge w:val="continue"/>
            <w:shd w:val="clear" w:color="auto" w:fill="FFFFFF"/>
            <w:vAlign w:val="center"/>
          </w:tcPr>
          <w:p w14:paraId="41F66553">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0D7EAD9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业务场景性能优化服务及整体架构升级服务</w:t>
            </w:r>
          </w:p>
        </w:tc>
        <w:tc>
          <w:tcPr>
            <w:tcW w:w="3984" w:type="dxa"/>
            <w:shd w:val="clear" w:color="auto" w:fill="FFFFFF"/>
            <w:vAlign w:val="center"/>
          </w:tcPr>
          <w:p w14:paraId="4AD5B0F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供应商提供针对特定业务场景性能优化服务及整体架构升级服务</w:t>
            </w:r>
          </w:p>
        </w:tc>
        <w:tc>
          <w:tcPr>
            <w:tcW w:w="1341" w:type="dxa"/>
            <w:shd w:val="clear" w:color="auto" w:fill="FFFFFF"/>
            <w:vAlign w:val="center"/>
          </w:tcPr>
          <w:p w14:paraId="17987F4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F143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28250F8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144</w:t>
            </w:r>
          </w:p>
        </w:tc>
        <w:tc>
          <w:tcPr>
            <w:tcW w:w="999" w:type="dxa"/>
            <w:shd w:val="clear" w:color="auto" w:fill="FFFFFF"/>
            <w:vAlign w:val="center"/>
          </w:tcPr>
          <w:p w14:paraId="00F0F9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供保要求</w:t>
            </w:r>
          </w:p>
        </w:tc>
        <w:tc>
          <w:tcPr>
            <w:tcW w:w="1080" w:type="dxa"/>
            <w:vMerge w:val="restart"/>
            <w:shd w:val="clear" w:color="auto" w:fill="FFFFFF"/>
            <w:vAlign w:val="center"/>
          </w:tcPr>
          <w:p w14:paraId="050F598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供应链质量</w:t>
            </w:r>
          </w:p>
        </w:tc>
        <w:tc>
          <w:tcPr>
            <w:tcW w:w="1506" w:type="dxa"/>
            <w:shd w:val="clear" w:color="auto" w:fill="FFFFFF"/>
            <w:vAlign w:val="center"/>
          </w:tcPr>
          <w:p w14:paraId="5DF0EE7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★抗干扰性</w:t>
            </w:r>
          </w:p>
        </w:tc>
        <w:tc>
          <w:tcPr>
            <w:tcW w:w="3984" w:type="dxa"/>
            <w:shd w:val="clear" w:color="auto" w:fill="FFFFFF"/>
            <w:vAlign w:val="center"/>
          </w:tcPr>
          <w:p w14:paraId="180B2F4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当产品部件出现供应风险时，应通知客户并提供风险应对方案确保产品的服务保障，必要时应停止相关受影响产品的销售</w:t>
            </w:r>
          </w:p>
        </w:tc>
        <w:tc>
          <w:tcPr>
            <w:tcW w:w="1341" w:type="dxa"/>
            <w:shd w:val="clear" w:color="auto" w:fill="FFFFFF"/>
            <w:vAlign w:val="center"/>
          </w:tcPr>
          <w:p w14:paraId="0B9F5F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8FBB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5F01FD8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145</w:t>
            </w:r>
          </w:p>
        </w:tc>
        <w:tc>
          <w:tcPr>
            <w:tcW w:w="999" w:type="dxa"/>
            <w:shd w:val="clear" w:color="auto" w:fill="FFFFFF"/>
            <w:vAlign w:val="center"/>
          </w:tcPr>
          <w:p w14:paraId="0A2274D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供保要求</w:t>
            </w:r>
          </w:p>
        </w:tc>
        <w:tc>
          <w:tcPr>
            <w:tcW w:w="1080" w:type="dxa"/>
            <w:vMerge w:val="continue"/>
            <w:shd w:val="clear" w:color="auto" w:fill="FFFFFF"/>
            <w:vAlign w:val="center"/>
          </w:tcPr>
          <w:p w14:paraId="06A0F5D8">
            <w:pPr>
              <w:widowControl/>
              <w:jc w:val="left"/>
              <w:rPr>
                <w:rFonts w:asciiTheme="minorEastAsia" w:hAnsiTheme="minorEastAsia" w:eastAsiaTheme="minorEastAsia" w:cstheme="minorEastAsia"/>
                <w:kern w:val="0"/>
                <w:sz w:val="24"/>
              </w:rPr>
            </w:pPr>
          </w:p>
        </w:tc>
        <w:tc>
          <w:tcPr>
            <w:tcW w:w="1506" w:type="dxa"/>
            <w:shd w:val="clear" w:color="auto" w:fill="FFFFFF"/>
            <w:vAlign w:val="center"/>
          </w:tcPr>
          <w:p w14:paraId="718359E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★供应能力证明</w:t>
            </w:r>
          </w:p>
        </w:tc>
        <w:tc>
          <w:tcPr>
            <w:tcW w:w="3984" w:type="dxa"/>
            <w:shd w:val="clear" w:color="auto" w:fill="FFFFFF"/>
            <w:vAlign w:val="center"/>
          </w:tcPr>
          <w:p w14:paraId="4B5C3C9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b/>
                <w:bCs/>
                <w:kern w:val="0"/>
                <w:sz w:val="24"/>
              </w:rPr>
              <w:t>供应商提供供应链稳定承诺书，确保产品的部件在产品服务周期内稳定供货（需提供加盖投标人公章的承诺函，否则作无效投标处理）</w:t>
            </w:r>
          </w:p>
        </w:tc>
        <w:tc>
          <w:tcPr>
            <w:tcW w:w="1341" w:type="dxa"/>
            <w:shd w:val="clear" w:color="auto" w:fill="FFFFFF"/>
            <w:vAlign w:val="center"/>
          </w:tcPr>
          <w:p w14:paraId="7FD56C83">
            <w:pPr>
              <w:widowControl/>
              <w:jc w:val="center"/>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kern w:val="0"/>
                <w:sz w:val="24"/>
              </w:rPr>
              <w:t>是</w:t>
            </w:r>
          </w:p>
        </w:tc>
      </w:tr>
      <w:tr w14:paraId="56B61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0" w:type="dxa"/>
            <w:shd w:val="clear" w:color="auto" w:fill="FFFFFF"/>
            <w:vAlign w:val="center"/>
          </w:tcPr>
          <w:p w14:paraId="062874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146</w:t>
            </w:r>
          </w:p>
        </w:tc>
        <w:tc>
          <w:tcPr>
            <w:tcW w:w="999" w:type="dxa"/>
            <w:shd w:val="clear" w:color="auto" w:fill="FFFFFF"/>
            <w:vAlign w:val="center"/>
          </w:tcPr>
          <w:p w14:paraId="08E4B9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shd w:val="clear" w:color="auto" w:fill="FFFFFF"/>
            <w:vAlign w:val="center"/>
          </w:tcPr>
          <w:p w14:paraId="0B7955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I/O扩展性</w:t>
            </w:r>
          </w:p>
        </w:tc>
        <w:tc>
          <w:tcPr>
            <w:tcW w:w="1506" w:type="dxa"/>
            <w:shd w:val="clear" w:color="auto" w:fill="FFFFFF"/>
            <w:vAlign w:val="center"/>
          </w:tcPr>
          <w:p w14:paraId="3712EED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I/O扩展性</w:t>
            </w:r>
          </w:p>
        </w:tc>
        <w:tc>
          <w:tcPr>
            <w:tcW w:w="3984" w:type="dxa"/>
            <w:shd w:val="clear" w:color="auto" w:fill="FFFFFF"/>
            <w:vAlign w:val="center"/>
          </w:tcPr>
          <w:p w14:paraId="3C1F138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主板集成≥2个千兆以太网接口（RJ45），采用国产网络芯片；</w:t>
            </w:r>
          </w:p>
        </w:tc>
        <w:tc>
          <w:tcPr>
            <w:tcW w:w="1341" w:type="dxa"/>
            <w:shd w:val="clear" w:color="auto" w:fill="FFFFFF"/>
            <w:vAlign w:val="center"/>
          </w:tcPr>
          <w:p w14:paraId="0F1AFD7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3FC3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77C977A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147</w:t>
            </w:r>
          </w:p>
        </w:tc>
        <w:tc>
          <w:tcPr>
            <w:tcW w:w="999" w:type="dxa"/>
            <w:shd w:val="clear" w:color="auto" w:fill="FFFFFF"/>
            <w:vAlign w:val="center"/>
          </w:tcPr>
          <w:p w14:paraId="43862E9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shd w:val="clear" w:color="auto" w:fill="FFFFFF"/>
            <w:noWrap/>
            <w:vAlign w:val="center"/>
          </w:tcPr>
          <w:p w14:paraId="5C58860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磁盘扩展性</w:t>
            </w:r>
          </w:p>
        </w:tc>
        <w:tc>
          <w:tcPr>
            <w:tcW w:w="1506" w:type="dxa"/>
            <w:shd w:val="clear" w:color="auto" w:fill="FFFFFF"/>
            <w:vAlign w:val="center"/>
          </w:tcPr>
          <w:p w14:paraId="606D5EE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支持的磁盘数量和类型</w:t>
            </w:r>
          </w:p>
        </w:tc>
        <w:tc>
          <w:tcPr>
            <w:tcW w:w="3984" w:type="dxa"/>
            <w:shd w:val="clear" w:color="auto" w:fill="FFFFFF"/>
            <w:vAlign w:val="center"/>
          </w:tcPr>
          <w:p w14:paraId="5D440D8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机型最大支持≥20块3.5英寸硬盘； 机型最大支持≥24块NVMe SSD硬盘； 机型支持≥2块M.2 SSD硬盘。</w:t>
            </w:r>
          </w:p>
        </w:tc>
        <w:tc>
          <w:tcPr>
            <w:tcW w:w="1341" w:type="dxa"/>
            <w:shd w:val="clear" w:color="auto" w:fill="FFFFFF"/>
            <w:vAlign w:val="center"/>
          </w:tcPr>
          <w:p w14:paraId="5A697F5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364A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0DF6DC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148</w:t>
            </w:r>
          </w:p>
        </w:tc>
        <w:tc>
          <w:tcPr>
            <w:tcW w:w="999" w:type="dxa"/>
            <w:shd w:val="clear" w:color="auto" w:fill="FFFFFF"/>
            <w:vAlign w:val="center"/>
          </w:tcPr>
          <w:p w14:paraId="3EF5E38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0" w:type="dxa"/>
            <w:shd w:val="clear" w:color="auto" w:fill="FFFFFF"/>
            <w:noWrap/>
            <w:vAlign w:val="center"/>
          </w:tcPr>
          <w:p w14:paraId="11F0B8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维护性</w:t>
            </w:r>
          </w:p>
        </w:tc>
        <w:tc>
          <w:tcPr>
            <w:tcW w:w="1506" w:type="dxa"/>
            <w:shd w:val="clear" w:color="auto" w:fill="FFFFFF"/>
            <w:vAlign w:val="center"/>
          </w:tcPr>
          <w:p w14:paraId="442CB37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易维护性</w:t>
            </w:r>
          </w:p>
        </w:tc>
        <w:tc>
          <w:tcPr>
            <w:tcW w:w="3984" w:type="dxa"/>
            <w:shd w:val="clear" w:color="auto" w:fill="FFFFFF"/>
            <w:vAlign w:val="center"/>
          </w:tcPr>
          <w:p w14:paraId="1553FD9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配置双UID指示灯（前后面板各1个），可通过BMC或UID按键点亮UID指示灯，快速定位服务器。</w:t>
            </w:r>
          </w:p>
        </w:tc>
        <w:tc>
          <w:tcPr>
            <w:tcW w:w="1341" w:type="dxa"/>
            <w:shd w:val="clear" w:color="auto" w:fill="FFFFFF"/>
            <w:vAlign w:val="center"/>
          </w:tcPr>
          <w:p w14:paraId="66699DE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7923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0" w:type="dxa"/>
            <w:shd w:val="clear" w:color="auto" w:fill="FFFFFF"/>
            <w:vAlign w:val="center"/>
          </w:tcPr>
          <w:p w14:paraId="7497C76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149</w:t>
            </w:r>
          </w:p>
        </w:tc>
        <w:tc>
          <w:tcPr>
            <w:tcW w:w="999" w:type="dxa"/>
            <w:shd w:val="clear" w:color="auto" w:fill="FFFFFF"/>
            <w:vAlign w:val="center"/>
          </w:tcPr>
          <w:p w14:paraId="3BEA0FD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80" w:type="dxa"/>
            <w:shd w:val="clear" w:color="auto" w:fill="FFFFFF"/>
            <w:noWrap/>
            <w:vAlign w:val="center"/>
          </w:tcPr>
          <w:p w14:paraId="6CFCCAE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中央处理器</w:t>
            </w:r>
          </w:p>
        </w:tc>
        <w:tc>
          <w:tcPr>
            <w:tcW w:w="1506" w:type="dxa"/>
            <w:shd w:val="clear" w:color="auto" w:fill="FFFFFF"/>
            <w:vAlign w:val="center"/>
          </w:tcPr>
          <w:p w14:paraId="4725841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加解密功能</w:t>
            </w:r>
          </w:p>
        </w:tc>
        <w:tc>
          <w:tcPr>
            <w:tcW w:w="3984" w:type="dxa"/>
            <w:shd w:val="clear" w:color="auto" w:fill="FFFFFF"/>
            <w:vAlign w:val="center"/>
          </w:tcPr>
          <w:p w14:paraId="3F01F2C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投标产品所配备的CPU（中央处理器）支持TEE可信执行环境，实现虚拟机在内存读写时的自动加解密功能。</w:t>
            </w:r>
          </w:p>
        </w:tc>
        <w:tc>
          <w:tcPr>
            <w:tcW w:w="1341" w:type="dxa"/>
            <w:shd w:val="clear" w:color="auto" w:fill="FFFFFF"/>
            <w:vAlign w:val="center"/>
          </w:tcPr>
          <w:p w14:paraId="1E70E7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134E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0" w:type="dxa"/>
            <w:shd w:val="clear" w:color="auto" w:fill="FFFFFF"/>
            <w:vAlign w:val="center"/>
          </w:tcPr>
          <w:p w14:paraId="3C0215F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150</w:t>
            </w:r>
          </w:p>
        </w:tc>
        <w:tc>
          <w:tcPr>
            <w:tcW w:w="999" w:type="dxa"/>
            <w:shd w:val="clear" w:color="auto" w:fill="FFFFFF"/>
            <w:vAlign w:val="center"/>
          </w:tcPr>
          <w:p w14:paraId="6C363D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80" w:type="dxa"/>
            <w:shd w:val="clear" w:color="auto" w:fill="FFFFFF"/>
            <w:noWrap/>
            <w:vAlign w:val="center"/>
          </w:tcPr>
          <w:p w14:paraId="2D83709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中央处理器</w:t>
            </w:r>
          </w:p>
        </w:tc>
        <w:tc>
          <w:tcPr>
            <w:tcW w:w="1506" w:type="dxa"/>
            <w:shd w:val="clear" w:color="auto" w:fill="FFFFFF"/>
            <w:vAlign w:val="center"/>
          </w:tcPr>
          <w:p w14:paraId="0435950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超线程技术</w:t>
            </w:r>
          </w:p>
        </w:tc>
        <w:tc>
          <w:tcPr>
            <w:tcW w:w="3984" w:type="dxa"/>
            <w:shd w:val="clear" w:color="auto" w:fill="FFFFFF"/>
            <w:vAlign w:val="center"/>
          </w:tcPr>
          <w:p w14:paraId="6D93CB8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shd w:val="clear" w:color="auto" w:fill="FFFFFF" w:themeFill="background1"/>
              </w:rPr>
              <w:t>产品所配备的CPU（中央处理器）需支持且配置超线程技术；</w:t>
            </w:r>
          </w:p>
        </w:tc>
        <w:tc>
          <w:tcPr>
            <w:tcW w:w="1341" w:type="dxa"/>
            <w:shd w:val="clear" w:color="auto" w:fill="FFFFFF"/>
            <w:vAlign w:val="center"/>
          </w:tcPr>
          <w:p w14:paraId="21C32E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bl>
    <w:p w14:paraId="4C7AB05C">
      <w:pPr>
        <w:pStyle w:val="14"/>
        <w:ind w:firstLine="480"/>
        <w:rPr>
          <w:rFonts w:asciiTheme="minorEastAsia" w:hAnsiTheme="minorEastAsia" w:eastAsiaTheme="minorEastAsia" w:cstheme="minorEastAsia"/>
          <w:szCs w:val="24"/>
        </w:rPr>
      </w:pPr>
    </w:p>
    <w:p w14:paraId="5CB977D9">
      <w:pPr>
        <w:pStyle w:val="2"/>
        <w:numPr>
          <w:ilvl w:val="0"/>
          <w:numId w:val="2"/>
        </w:numPr>
        <w:ind w:left="442" w:hanging="442"/>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其他业务数据库虚拟化服务器</w:t>
      </w:r>
    </w:p>
    <w:tbl>
      <w:tblPr>
        <w:tblStyle w:val="15"/>
        <w:tblW w:w="9525" w:type="dxa"/>
        <w:tblInd w:w="-4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624"/>
        <w:gridCol w:w="981"/>
        <w:gridCol w:w="1074"/>
        <w:gridCol w:w="1545"/>
        <w:gridCol w:w="3945"/>
        <w:gridCol w:w="1356"/>
      </w:tblGrid>
      <w:tr w14:paraId="59A93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85" w:hRule="atLeast"/>
        </w:trPr>
        <w:tc>
          <w:tcPr>
            <w:tcW w:w="624" w:type="dxa"/>
            <w:shd w:val="clear" w:color="auto" w:fill="FFFFFF"/>
            <w:vAlign w:val="center"/>
          </w:tcPr>
          <w:p w14:paraId="5D8DD86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序号</w:t>
            </w:r>
          </w:p>
        </w:tc>
        <w:tc>
          <w:tcPr>
            <w:tcW w:w="981" w:type="dxa"/>
            <w:shd w:val="clear" w:color="auto" w:fill="FFFFFF"/>
            <w:vAlign w:val="center"/>
          </w:tcPr>
          <w:p w14:paraId="3082E9B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指标分类</w:t>
            </w:r>
          </w:p>
        </w:tc>
        <w:tc>
          <w:tcPr>
            <w:tcW w:w="1074" w:type="dxa"/>
            <w:shd w:val="clear" w:color="auto" w:fill="FFFFFF"/>
            <w:vAlign w:val="center"/>
          </w:tcPr>
          <w:p w14:paraId="080A768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一级指标</w:t>
            </w:r>
          </w:p>
        </w:tc>
        <w:tc>
          <w:tcPr>
            <w:tcW w:w="1545" w:type="dxa"/>
            <w:shd w:val="clear" w:color="auto" w:fill="FFFFFF"/>
            <w:vAlign w:val="center"/>
          </w:tcPr>
          <w:p w14:paraId="13E9C8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二级指标</w:t>
            </w:r>
          </w:p>
        </w:tc>
        <w:tc>
          <w:tcPr>
            <w:tcW w:w="3945" w:type="dxa"/>
            <w:shd w:val="clear" w:color="auto" w:fill="FFFFFF"/>
            <w:vAlign w:val="center"/>
          </w:tcPr>
          <w:p w14:paraId="1AC6436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指标要求</w:t>
            </w:r>
          </w:p>
        </w:tc>
        <w:tc>
          <w:tcPr>
            <w:tcW w:w="1356" w:type="dxa"/>
            <w:shd w:val="clear" w:color="auto" w:fill="FFFFFF"/>
            <w:vAlign w:val="center"/>
          </w:tcPr>
          <w:p w14:paraId="2A87550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是否提供证明材料</w:t>
            </w:r>
          </w:p>
        </w:tc>
      </w:tr>
      <w:tr w14:paraId="0D733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0A6CD27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w:t>
            </w:r>
          </w:p>
        </w:tc>
        <w:tc>
          <w:tcPr>
            <w:tcW w:w="981" w:type="dxa"/>
            <w:shd w:val="clear" w:color="auto" w:fill="FFFFFF"/>
            <w:vAlign w:val="center"/>
          </w:tcPr>
          <w:p w14:paraId="64B45F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shd w:val="clear" w:color="auto" w:fill="FFFFFF"/>
            <w:vAlign w:val="center"/>
          </w:tcPr>
          <w:p w14:paraId="31DD62C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CPU规格</w:t>
            </w:r>
          </w:p>
        </w:tc>
        <w:tc>
          <w:tcPr>
            <w:tcW w:w="1545" w:type="dxa"/>
            <w:shd w:val="clear" w:color="auto" w:fill="FFFFFF"/>
            <w:vAlign w:val="center"/>
          </w:tcPr>
          <w:p w14:paraId="43B9CB2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★CPU信息</w:t>
            </w:r>
          </w:p>
        </w:tc>
        <w:tc>
          <w:tcPr>
            <w:tcW w:w="3945" w:type="dxa"/>
            <w:shd w:val="clear" w:color="auto" w:fill="FFFFFF"/>
            <w:vAlign w:val="center"/>
          </w:tcPr>
          <w:p w14:paraId="07DF85E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供应商应给出CPU信息，包含CPU型号、物理核心数、主频、末级缓存容量、线程数、热设计功耗及支持内存的最高速率、通道数和位宽</w:t>
            </w:r>
          </w:p>
        </w:tc>
        <w:tc>
          <w:tcPr>
            <w:tcW w:w="1356" w:type="dxa"/>
            <w:shd w:val="clear" w:color="auto" w:fill="FFFFFF"/>
            <w:vAlign w:val="center"/>
          </w:tcPr>
          <w:p w14:paraId="0BD152E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70C4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36BCCDE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981" w:type="dxa"/>
            <w:shd w:val="clear" w:color="auto" w:fill="FFFFFF"/>
            <w:vAlign w:val="center"/>
          </w:tcPr>
          <w:p w14:paraId="59E529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restart"/>
            <w:shd w:val="clear" w:color="auto" w:fill="FFFFFF"/>
            <w:vAlign w:val="center"/>
          </w:tcPr>
          <w:p w14:paraId="561E89F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主板规格</w:t>
            </w:r>
          </w:p>
        </w:tc>
        <w:tc>
          <w:tcPr>
            <w:tcW w:w="1545" w:type="dxa"/>
            <w:shd w:val="clear" w:color="auto" w:fill="FFFFFF"/>
            <w:vAlign w:val="center"/>
          </w:tcPr>
          <w:p w14:paraId="19918D2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★主板支持的CPU和内存情况</w:t>
            </w:r>
          </w:p>
        </w:tc>
        <w:tc>
          <w:tcPr>
            <w:tcW w:w="3945" w:type="dxa"/>
            <w:shd w:val="clear" w:color="auto" w:fill="FFFFFF"/>
            <w:vAlign w:val="center"/>
          </w:tcPr>
          <w:p w14:paraId="714707E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供应商给出主板支持的CPU和内存的型号数量</w:t>
            </w:r>
          </w:p>
        </w:tc>
        <w:tc>
          <w:tcPr>
            <w:tcW w:w="1356" w:type="dxa"/>
            <w:shd w:val="clear" w:color="auto" w:fill="FFFFFF"/>
            <w:vAlign w:val="center"/>
          </w:tcPr>
          <w:p w14:paraId="3FCBC5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CD31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1EF1007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w:t>
            </w:r>
          </w:p>
        </w:tc>
        <w:tc>
          <w:tcPr>
            <w:tcW w:w="981" w:type="dxa"/>
            <w:shd w:val="clear" w:color="auto" w:fill="FFFFFF"/>
            <w:vAlign w:val="center"/>
          </w:tcPr>
          <w:p w14:paraId="3E7A0E2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51254383">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5105CA6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★主板内存槽数量</w:t>
            </w:r>
          </w:p>
        </w:tc>
        <w:tc>
          <w:tcPr>
            <w:tcW w:w="3945" w:type="dxa"/>
            <w:shd w:val="clear" w:color="auto" w:fill="FFFFFF"/>
            <w:vAlign w:val="center"/>
          </w:tcPr>
          <w:p w14:paraId="06E6134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非板载内存的可扩展插槽数量应≥4个</w:t>
            </w:r>
          </w:p>
        </w:tc>
        <w:tc>
          <w:tcPr>
            <w:tcW w:w="1356" w:type="dxa"/>
            <w:shd w:val="clear" w:color="auto" w:fill="FFFFFF"/>
            <w:vAlign w:val="center"/>
          </w:tcPr>
          <w:p w14:paraId="7A079A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83BC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24" w:type="dxa"/>
            <w:shd w:val="clear" w:color="auto" w:fill="FFFFFF"/>
            <w:vAlign w:val="center"/>
          </w:tcPr>
          <w:p w14:paraId="5732A76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w:t>
            </w:r>
          </w:p>
        </w:tc>
        <w:tc>
          <w:tcPr>
            <w:tcW w:w="981" w:type="dxa"/>
            <w:shd w:val="clear" w:color="auto" w:fill="FFFFFF"/>
            <w:vAlign w:val="center"/>
          </w:tcPr>
          <w:p w14:paraId="19D556A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04F4E9BF">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72F9F96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★主板存储接口</w:t>
            </w:r>
          </w:p>
        </w:tc>
        <w:tc>
          <w:tcPr>
            <w:tcW w:w="3945" w:type="dxa"/>
            <w:shd w:val="clear" w:color="auto" w:fill="FFFFFF"/>
            <w:vAlign w:val="center"/>
          </w:tcPr>
          <w:p w14:paraId="7BCB9CD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至少支持SATA、SAS、M.2、U.2等存储接口中的1种</w:t>
            </w:r>
          </w:p>
        </w:tc>
        <w:tc>
          <w:tcPr>
            <w:tcW w:w="1356" w:type="dxa"/>
            <w:shd w:val="clear" w:color="auto" w:fill="FFFFFF"/>
            <w:vAlign w:val="center"/>
          </w:tcPr>
          <w:p w14:paraId="2046CAB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5A0B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6E21AF6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w:t>
            </w:r>
          </w:p>
        </w:tc>
        <w:tc>
          <w:tcPr>
            <w:tcW w:w="981" w:type="dxa"/>
            <w:shd w:val="clear" w:color="auto" w:fill="FFFFFF"/>
            <w:vAlign w:val="center"/>
          </w:tcPr>
          <w:p w14:paraId="612B94C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2C805F8C">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6CD2E9E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★PCIe插槽接口</w:t>
            </w:r>
          </w:p>
        </w:tc>
        <w:tc>
          <w:tcPr>
            <w:tcW w:w="3945" w:type="dxa"/>
            <w:shd w:val="clear" w:color="auto" w:fill="FFFFFF"/>
            <w:vAlign w:val="center"/>
          </w:tcPr>
          <w:p w14:paraId="6E53821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符合PCIe3.0或以上的高速串行计算机扩展总线标准，PCIe的接口速率与位宽需保证向下兼容</w:t>
            </w:r>
          </w:p>
        </w:tc>
        <w:tc>
          <w:tcPr>
            <w:tcW w:w="1356" w:type="dxa"/>
            <w:shd w:val="clear" w:color="auto" w:fill="FFFFFF"/>
            <w:vAlign w:val="center"/>
          </w:tcPr>
          <w:p w14:paraId="52DA2C0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F093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52ACC88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w:t>
            </w:r>
          </w:p>
        </w:tc>
        <w:tc>
          <w:tcPr>
            <w:tcW w:w="981" w:type="dxa"/>
            <w:shd w:val="clear" w:color="auto" w:fill="FFFFFF"/>
            <w:vAlign w:val="center"/>
          </w:tcPr>
          <w:p w14:paraId="59E1E38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7C5818B2">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711E9D2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★主板PCIe插槽数量及规格</w:t>
            </w:r>
          </w:p>
        </w:tc>
        <w:tc>
          <w:tcPr>
            <w:tcW w:w="3945" w:type="dxa"/>
            <w:shd w:val="clear" w:color="auto" w:fill="FFFFFF"/>
            <w:vAlign w:val="center"/>
          </w:tcPr>
          <w:p w14:paraId="3865523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a）高度大于44.45mm双路或以上服务器PCIe插槽或接口应≥5个；</w:t>
            </w:r>
          </w:p>
          <w:p w14:paraId="36917DF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b）单路服务器PCIe插槽或接口应≥4个，可通过扩展卡进行插槽扩展</w:t>
            </w:r>
          </w:p>
        </w:tc>
        <w:tc>
          <w:tcPr>
            <w:tcW w:w="1356" w:type="dxa"/>
            <w:shd w:val="clear" w:color="auto" w:fill="FFFFFF"/>
            <w:vAlign w:val="center"/>
          </w:tcPr>
          <w:p w14:paraId="2C88E6E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D593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728" w:hRule="atLeast"/>
        </w:trPr>
        <w:tc>
          <w:tcPr>
            <w:tcW w:w="624" w:type="dxa"/>
            <w:shd w:val="clear" w:color="auto" w:fill="FFFFFF"/>
            <w:vAlign w:val="center"/>
          </w:tcPr>
          <w:p w14:paraId="341914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w:t>
            </w:r>
          </w:p>
        </w:tc>
        <w:tc>
          <w:tcPr>
            <w:tcW w:w="981" w:type="dxa"/>
            <w:shd w:val="clear" w:color="auto" w:fill="FFFFFF"/>
            <w:vAlign w:val="center"/>
          </w:tcPr>
          <w:p w14:paraId="59D2632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61635A88">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5A45DF5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特殊孔位及接口</w:t>
            </w:r>
          </w:p>
        </w:tc>
        <w:tc>
          <w:tcPr>
            <w:tcW w:w="3945" w:type="dxa"/>
            <w:shd w:val="clear" w:color="auto" w:fill="FFFFFF"/>
            <w:vAlign w:val="center"/>
          </w:tcPr>
          <w:p w14:paraId="5C08C8A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服务器机箱内主板可根据用户实际使用需求支持安装多功能导入装置板卡，机箱内需预留多功能导入装置板卡安装位置，容量不小于55mm×45mm×15mm（长×宽×高，单位毫米）；b）服务器主板可根据用户实际使用需求预留满足USB2.0或USB3.0数据传输规范的接口，工作电压5V，采用USB2.0时，最大过电流应不小于0.5A，采用USB3.0时，最大过电流应不小于1A</w:t>
            </w:r>
          </w:p>
        </w:tc>
        <w:tc>
          <w:tcPr>
            <w:tcW w:w="1356" w:type="dxa"/>
            <w:shd w:val="clear" w:color="auto" w:fill="FFFFFF"/>
            <w:vAlign w:val="center"/>
          </w:tcPr>
          <w:p w14:paraId="50F2F6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8CA6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24" w:type="dxa"/>
            <w:shd w:val="clear" w:color="auto" w:fill="FFFFFF"/>
            <w:vAlign w:val="center"/>
          </w:tcPr>
          <w:p w14:paraId="0E7879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981" w:type="dxa"/>
            <w:shd w:val="clear" w:color="auto" w:fill="FFFFFF"/>
            <w:vAlign w:val="center"/>
          </w:tcPr>
          <w:p w14:paraId="3CDD8F6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2163D84A">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627DBE8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板载网络接口</w:t>
            </w:r>
          </w:p>
        </w:tc>
        <w:tc>
          <w:tcPr>
            <w:tcW w:w="3945" w:type="dxa"/>
            <w:shd w:val="clear" w:color="auto" w:fill="FFFFFF"/>
            <w:vAlign w:val="center"/>
          </w:tcPr>
          <w:p w14:paraId="5B9BF05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若支持板载网络接口应≥2个1GE网口</w:t>
            </w:r>
          </w:p>
        </w:tc>
        <w:tc>
          <w:tcPr>
            <w:tcW w:w="1356" w:type="dxa"/>
            <w:shd w:val="clear" w:color="auto" w:fill="FFFFFF"/>
            <w:vAlign w:val="center"/>
          </w:tcPr>
          <w:p w14:paraId="01EAE22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5BB8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235AE61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w:t>
            </w:r>
          </w:p>
        </w:tc>
        <w:tc>
          <w:tcPr>
            <w:tcW w:w="981" w:type="dxa"/>
            <w:shd w:val="clear" w:color="auto" w:fill="FFFFFF"/>
            <w:vAlign w:val="center"/>
          </w:tcPr>
          <w:p w14:paraId="27BF69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1D6CE78F">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2E6CA0A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主板OCP插槽数量</w:t>
            </w:r>
          </w:p>
        </w:tc>
        <w:tc>
          <w:tcPr>
            <w:tcW w:w="3945" w:type="dxa"/>
            <w:shd w:val="clear" w:color="auto" w:fill="FFFFFF"/>
            <w:vAlign w:val="center"/>
          </w:tcPr>
          <w:p w14:paraId="1F9FEC7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支持OCP2.0及以上插槽的数量≥1个</w:t>
            </w:r>
          </w:p>
        </w:tc>
        <w:tc>
          <w:tcPr>
            <w:tcW w:w="1356" w:type="dxa"/>
            <w:shd w:val="clear" w:color="auto" w:fill="FFFFFF"/>
            <w:vAlign w:val="center"/>
          </w:tcPr>
          <w:p w14:paraId="1D4C8D3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448C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24" w:type="dxa"/>
            <w:shd w:val="clear" w:color="auto" w:fill="FFFFFF"/>
            <w:vAlign w:val="center"/>
          </w:tcPr>
          <w:p w14:paraId="683537F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w:t>
            </w:r>
          </w:p>
        </w:tc>
        <w:tc>
          <w:tcPr>
            <w:tcW w:w="981" w:type="dxa"/>
            <w:shd w:val="clear" w:color="auto" w:fill="FFFFFF"/>
            <w:vAlign w:val="center"/>
          </w:tcPr>
          <w:p w14:paraId="46FD9FB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restart"/>
            <w:shd w:val="clear" w:color="auto" w:fill="FFFFFF"/>
            <w:vAlign w:val="center"/>
          </w:tcPr>
          <w:p w14:paraId="12212F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内存规格</w:t>
            </w:r>
          </w:p>
        </w:tc>
        <w:tc>
          <w:tcPr>
            <w:tcW w:w="1545" w:type="dxa"/>
            <w:shd w:val="clear" w:color="auto" w:fill="FFFFFF"/>
            <w:vAlign w:val="center"/>
          </w:tcPr>
          <w:p w14:paraId="1E6E4B1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★内存数量</w:t>
            </w:r>
          </w:p>
        </w:tc>
        <w:tc>
          <w:tcPr>
            <w:tcW w:w="3945" w:type="dxa"/>
            <w:shd w:val="clear" w:color="auto" w:fill="FFFFFF"/>
            <w:vAlign w:val="center"/>
          </w:tcPr>
          <w:p w14:paraId="0BA5E9A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≥24</w:t>
            </w:r>
          </w:p>
        </w:tc>
        <w:tc>
          <w:tcPr>
            <w:tcW w:w="1356" w:type="dxa"/>
            <w:shd w:val="clear" w:color="auto" w:fill="FFFFFF"/>
            <w:vAlign w:val="center"/>
          </w:tcPr>
          <w:p w14:paraId="1D0452A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12C8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24" w:type="dxa"/>
            <w:shd w:val="clear" w:color="auto" w:fill="FFFFFF"/>
            <w:vAlign w:val="center"/>
          </w:tcPr>
          <w:p w14:paraId="60AD42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w:t>
            </w:r>
          </w:p>
        </w:tc>
        <w:tc>
          <w:tcPr>
            <w:tcW w:w="981" w:type="dxa"/>
            <w:shd w:val="clear" w:color="auto" w:fill="FFFFFF"/>
            <w:vAlign w:val="center"/>
          </w:tcPr>
          <w:p w14:paraId="6507806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61886CD9">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626F8E8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★内存规格</w:t>
            </w:r>
          </w:p>
        </w:tc>
        <w:tc>
          <w:tcPr>
            <w:tcW w:w="3945" w:type="dxa"/>
            <w:shd w:val="clear" w:color="auto" w:fill="FFFFFF"/>
            <w:vAlign w:val="center"/>
          </w:tcPr>
          <w:p w14:paraId="5B003F0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≥DDR4</w:t>
            </w:r>
          </w:p>
        </w:tc>
        <w:tc>
          <w:tcPr>
            <w:tcW w:w="1356" w:type="dxa"/>
            <w:shd w:val="clear" w:color="auto" w:fill="FFFFFF"/>
            <w:vAlign w:val="center"/>
          </w:tcPr>
          <w:p w14:paraId="31D7943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C022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0B9DB0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w:t>
            </w:r>
          </w:p>
        </w:tc>
        <w:tc>
          <w:tcPr>
            <w:tcW w:w="981" w:type="dxa"/>
            <w:shd w:val="clear" w:color="auto" w:fill="FFFFFF"/>
            <w:vAlign w:val="center"/>
          </w:tcPr>
          <w:p w14:paraId="4D5DB62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45632306">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695D2A5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★内存通道</w:t>
            </w:r>
          </w:p>
        </w:tc>
        <w:tc>
          <w:tcPr>
            <w:tcW w:w="3945" w:type="dxa"/>
            <w:shd w:val="clear" w:color="auto" w:fill="FFFFFF"/>
            <w:vAlign w:val="center"/>
          </w:tcPr>
          <w:p w14:paraId="374E1DC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支持多个内存接口通道，每个通道可支持1DPC或2DPC，当支持2DPC时，印制电路板上应具备插槽的序号标识，具体通道数应在随机文件中明确</w:t>
            </w:r>
          </w:p>
        </w:tc>
        <w:tc>
          <w:tcPr>
            <w:tcW w:w="1356" w:type="dxa"/>
            <w:shd w:val="clear" w:color="auto" w:fill="FFFFFF"/>
            <w:vAlign w:val="center"/>
          </w:tcPr>
          <w:p w14:paraId="26A029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8B7C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72DF257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w:t>
            </w:r>
          </w:p>
        </w:tc>
        <w:tc>
          <w:tcPr>
            <w:tcW w:w="981" w:type="dxa"/>
            <w:shd w:val="clear" w:color="auto" w:fill="FFFFFF"/>
            <w:vAlign w:val="center"/>
          </w:tcPr>
          <w:p w14:paraId="3A505E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restart"/>
            <w:shd w:val="clear" w:color="auto" w:fill="FFFFFF"/>
            <w:vAlign w:val="center"/>
          </w:tcPr>
          <w:p w14:paraId="5A8C100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存储规格</w:t>
            </w:r>
          </w:p>
        </w:tc>
        <w:tc>
          <w:tcPr>
            <w:tcW w:w="1545" w:type="dxa"/>
            <w:shd w:val="clear" w:color="auto" w:fill="FFFFFF"/>
            <w:vAlign w:val="center"/>
          </w:tcPr>
          <w:p w14:paraId="7BD1F69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硬盘类型</w:t>
            </w:r>
          </w:p>
        </w:tc>
        <w:tc>
          <w:tcPr>
            <w:tcW w:w="3945" w:type="dxa"/>
            <w:shd w:val="clear" w:color="auto" w:fill="FFFFFF"/>
            <w:vAlign w:val="center"/>
          </w:tcPr>
          <w:p w14:paraId="1C2D3CD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供应商给出服务器支持硬磁盘和固态盘类型及规格</w:t>
            </w:r>
          </w:p>
        </w:tc>
        <w:tc>
          <w:tcPr>
            <w:tcW w:w="1356" w:type="dxa"/>
            <w:shd w:val="clear" w:color="auto" w:fill="FFFFFF"/>
            <w:vAlign w:val="center"/>
          </w:tcPr>
          <w:p w14:paraId="2BFCF76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6FF8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24" w:type="dxa"/>
            <w:shd w:val="clear" w:color="auto" w:fill="FFFFFF"/>
            <w:vAlign w:val="center"/>
          </w:tcPr>
          <w:p w14:paraId="1572E5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w:t>
            </w:r>
          </w:p>
        </w:tc>
        <w:tc>
          <w:tcPr>
            <w:tcW w:w="981" w:type="dxa"/>
            <w:shd w:val="clear" w:color="auto" w:fill="FFFFFF"/>
            <w:vAlign w:val="center"/>
          </w:tcPr>
          <w:p w14:paraId="49E6F1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142FDFBF">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39B1E5F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★硬磁盘实配容量</w:t>
            </w:r>
          </w:p>
        </w:tc>
        <w:tc>
          <w:tcPr>
            <w:tcW w:w="3945" w:type="dxa"/>
            <w:shd w:val="clear" w:color="auto" w:fill="FFFFFF"/>
            <w:vAlign w:val="center"/>
          </w:tcPr>
          <w:p w14:paraId="61C0B16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硬盘1：≥960G SATA SSD</w:t>
            </w:r>
          </w:p>
        </w:tc>
        <w:tc>
          <w:tcPr>
            <w:tcW w:w="1356" w:type="dxa"/>
            <w:shd w:val="clear" w:color="auto" w:fill="FFFFFF"/>
            <w:vAlign w:val="center"/>
          </w:tcPr>
          <w:p w14:paraId="29C4749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6BC7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37E947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w:t>
            </w:r>
          </w:p>
        </w:tc>
        <w:tc>
          <w:tcPr>
            <w:tcW w:w="981" w:type="dxa"/>
            <w:shd w:val="clear" w:color="auto" w:fill="FFFFFF"/>
            <w:vAlign w:val="center"/>
          </w:tcPr>
          <w:p w14:paraId="1BD530C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63B9F499">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3D8F644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硬盘接口类型</w:t>
            </w:r>
          </w:p>
        </w:tc>
        <w:tc>
          <w:tcPr>
            <w:tcW w:w="3945" w:type="dxa"/>
            <w:shd w:val="clear" w:color="auto" w:fill="FFFFFF"/>
            <w:vAlign w:val="center"/>
          </w:tcPr>
          <w:p w14:paraId="4454630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a）若配备硬磁盘，应提供SAS3.0或SATA3.0及以上接口；b）若配备固态盘，应提供至少1种类型固态盘接口，如UFS、SATA、PCIe等</w:t>
            </w:r>
          </w:p>
        </w:tc>
        <w:tc>
          <w:tcPr>
            <w:tcW w:w="1356" w:type="dxa"/>
            <w:shd w:val="clear" w:color="auto" w:fill="FFFFFF"/>
            <w:vAlign w:val="center"/>
          </w:tcPr>
          <w:p w14:paraId="7714156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5787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63E8827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w:t>
            </w:r>
          </w:p>
        </w:tc>
        <w:tc>
          <w:tcPr>
            <w:tcW w:w="981" w:type="dxa"/>
            <w:shd w:val="clear" w:color="auto" w:fill="FFFFFF"/>
            <w:vAlign w:val="center"/>
          </w:tcPr>
          <w:p w14:paraId="15BCEBC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57A2CF6F">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660783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★硬盘实配数量</w:t>
            </w:r>
          </w:p>
        </w:tc>
        <w:tc>
          <w:tcPr>
            <w:tcW w:w="3945" w:type="dxa"/>
            <w:shd w:val="clear" w:color="auto" w:fill="FFFFFF"/>
            <w:vAlign w:val="center"/>
          </w:tcPr>
          <w:p w14:paraId="0C7A77D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硬盘1：≥2块960G SATA SSD</w:t>
            </w:r>
          </w:p>
        </w:tc>
        <w:tc>
          <w:tcPr>
            <w:tcW w:w="1356" w:type="dxa"/>
            <w:shd w:val="clear" w:color="auto" w:fill="FFFFFF"/>
            <w:vAlign w:val="center"/>
          </w:tcPr>
          <w:p w14:paraId="63AC84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9D0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624" w:type="dxa"/>
            <w:shd w:val="clear" w:color="auto" w:fill="FFFFFF"/>
            <w:vAlign w:val="center"/>
          </w:tcPr>
          <w:p w14:paraId="38A409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17</w:t>
            </w:r>
          </w:p>
        </w:tc>
        <w:tc>
          <w:tcPr>
            <w:tcW w:w="981" w:type="dxa"/>
            <w:shd w:val="clear" w:color="auto" w:fill="FFFFFF"/>
            <w:vAlign w:val="center"/>
          </w:tcPr>
          <w:p w14:paraId="4DD451D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1BC9A6C7">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697C761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★硬盘插槽数量及规格</w:t>
            </w:r>
          </w:p>
        </w:tc>
        <w:tc>
          <w:tcPr>
            <w:tcW w:w="3945" w:type="dxa"/>
            <w:shd w:val="clear" w:color="auto" w:fill="FFFFFF"/>
            <w:vAlign w:val="center"/>
          </w:tcPr>
          <w:p w14:paraId="06DC40E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供应商应给出配置的硬盘尺寸，如2.5英寸、3.5英寸硬磁盘；b）机箱高度为88.9mm的服务器可支持的硬盘数量应≥8块，机箱高度为44.45mm的服务器可支持的硬盘数量应≥4块。c）存储型服务器可支持硬盘数量应≥24块</w:t>
            </w:r>
          </w:p>
        </w:tc>
        <w:tc>
          <w:tcPr>
            <w:tcW w:w="1356" w:type="dxa"/>
            <w:shd w:val="clear" w:color="auto" w:fill="FFFFFF"/>
            <w:vAlign w:val="center"/>
          </w:tcPr>
          <w:p w14:paraId="39CA25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0255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24" w:type="dxa"/>
            <w:shd w:val="clear" w:color="auto" w:fill="FFFFFF"/>
            <w:vAlign w:val="center"/>
          </w:tcPr>
          <w:p w14:paraId="1524D46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18</w:t>
            </w:r>
          </w:p>
        </w:tc>
        <w:tc>
          <w:tcPr>
            <w:tcW w:w="981" w:type="dxa"/>
            <w:shd w:val="clear" w:color="auto" w:fill="FFFFFF"/>
            <w:vAlign w:val="center"/>
          </w:tcPr>
          <w:p w14:paraId="190D9D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558BF3E4">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6C7CAB7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硬盘其他参数要求</w:t>
            </w:r>
          </w:p>
        </w:tc>
        <w:tc>
          <w:tcPr>
            <w:tcW w:w="3945" w:type="dxa"/>
            <w:shd w:val="clear" w:color="auto" w:fill="FFFFFF"/>
            <w:vAlign w:val="center"/>
          </w:tcPr>
          <w:p w14:paraId="27145EB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drawing>
                <wp:anchor distT="0" distB="0" distL="114300" distR="114300" simplePos="0" relativeHeight="251661312" behindDoc="0" locked="0" layoutInCell="1" allowOverlap="1">
                  <wp:simplePos x="0" y="0"/>
                  <wp:positionH relativeFrom="column">
                    <wp:posOffset>9525</wp:posOffset>
                  </wp:positionH>
                  <wp:positionV relativeFrom="paragraph">
                    <wp:posOffset>471170</wp:posOffset>
                  </wp:positionV>
                  <wp:extent cx="76200" cy="47625"/>
                  <wp:effectExtent l="0" t="0" r="0" b="0"/>
                  <wp:wrapNone/>
                  <wp:docPr id="3" name="图片 3"/>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5"/>
                          <a:stretch>
                            <a:fillRect/>
                          </a:stretch>
                        </pic:blipFill>
                        <pic:spPr>
                          <a:xfrm>
                            <a:off x="0" y="0"/>
                            <a:ext cx="76200" cy="47625"/>
                          </a:xfrm>
                          <a:prstGeom prst="rect">
                            <a:avLst/>
                          </a:prstGeom>
                          <a:noFill/>
                          <a:ln>
                            <a:noFill/>
                          </a:ln>
                        </pic:spPr>
                      </pic:pic>
                    </a:graphicData>
                  </a:graphic>
                </wp:anchor>
              </w:drawing>
            </w:r>
            <w:r>
              <w:rPr>
                <w:rFonts w:hint="eastAsia" w:asciiTheme="minorEastAsia" w:hAnsiTheme="minorEastAsia" w:eastAsiaTheme="minorEastAsia" w:cstheme="minorEastAsia"/>
                <w:kern w:val="0"/>
                <w:sz w:val="24"/>
              </w:rPr>
              <w:t>a）机械硬盘准备时间应≤30s；侧面固定螺丝孔数量可为4孔或6孔；工作状态环境温度应满足5℃55℃,其他参数应符合GB/T12628的相关规定；b）若服务器支持固态盘，固态盘符合SJ/T11654相关规定</w:t>
            </w:r>
          </w:p>
        </w:tc>
        <w:tc>
          <w:tcPr>
            <w:tcW w:w="1356" w:type="dxa"/>
            <w:shd w:val="clear" w:color="auto" w:fill="FFFFFF"/>
            <w:vAlign w:val="center"/>
          </w:tcPr>
          <w:p w14:paraId="109BF76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9787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24" w:type="dxa"/>
            <w:shd w:val="clear" w:color="auto" w:fill="FFFFFF"/>
            <w:vAlign w:val="center"/>
          </w:tcPr>
          <w:p w14:paraId="3D7AD47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19</w:t>
            </w:r>
          </w:p>
        </w:tc>
        <w:tc>
          <w:tcPr>
            <w:tcW w:w="981" w:type="dxa"/>
            <w:shd w:val="clear" w:color="auto" w:fill="FFFFFF"/>
            <w:vAlign w:val="center"/>
          </w:tcPr>
          <w:p w14:paraId="3DAACD9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shd w:val="clear" w:color="auto" w:fill="FFFFFF"/>
            <w:vAlign w:val="center"/>
          </w:tcPr>
          <w:p w14:paraId="51BB0EB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RAID卡规格（若支持RAID卡）</w:t>
            </w:r>
          </w:p>
        </w:tc>
        <w:tc>
          <w:tcPr>
            <w:tcW w:w="1545" w:type="dxa"/>
            <w:shd w:val="clear" w:color="auto" w:fill="FFFFFF"/>
            <w:vAlign w:val="center"/>
          </w:tcPr>
          <w:p w14:paraId="0DFB55C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RAID卡支持的SAS接口数</w:t>
            </w:r>
          </w:p>
        </w:tc>
        <w:tc>
          <w:tcPr>
            <w:tcW w:w="3945" w:type="dxa"/>
            <w:shd w:val="clear" w:color="auto" w:fill="FFFFFF"/>
            <w:vAlign w:val="center"/>
          </w:tcPr>
          <w:p w14:paraId="4406D03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1356" w:type="dxa"/>
            <w:shd w:val="clear" w:color="auto" w:fill="FFFFFF"/>
            <w:vAlign w:val="center"/>
          </w:tcPr>
          <w:p w14:paraId="44C8AF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6A31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24" w:type="dxa"/>
            <w:shd w:val="clear" w:color="auto" w:fill="FFFFFF"/>
            <w:vAlign w:val="center"/>
          </w:tcPr>
          <w:p w14:paraId="49EE3B5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20</w:t>
            </w:r>
          </w:p>
        </w:tc>
        <w:tc>
          <w:tcPr>
            <w:tcW w:w="981" w:type="dxa"/>
            <w:shd w:val="clear" w:color="auto" w:fill="FFFFFF"/>
            <w:vAlign w:val="center"/>
          </w:tcPr>
          <w:p w14:paraId="0EB8B5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shd w:val="clear" w:color="auto" w:fill="FFFFFF"/>
            <w:vAlign w:val="center"/>
          </w:tcPr>
          <w:p w14:paraId="55E7B5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SAS直通卡规格（若支持SAS直通卡）</w:t>
            </w:r>
          </w:p>
        </w:tc>
        <w:tc>
          <w:tcPr>
            <w:tcW w:w="1545" w:type="dxa"/>
            <w:shd w:val="clear" w:color="auto" w:fill="FFFFFF"/>
            <w:vAlign w:val="center"/>
          </w:tcPr>
          <w:p w14:paraId="0F774A3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SAS直通卡SAS接口数量</w:t>
            </w:r>
          </w:p>
        </w:tc>
        <w:tc>
          <w:tcPr>
            <w:tcW w:w="3945" w:type="dxa"/>
            <w:shd w:val="clear" w:color="auto" w:fill="FFFFFF"/>
            <w:vAlign w:val="center"/>
          </w:tcPr>
          <w:p w14:paraId="49A6D3D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≥0</w:t>
            </w:r>
          </w:p>
        </w:tc>
        <w:tc>
          <w:tcPr>
            <w:tcW w:w="1356" w:type="dxa"/>
            <w:shd w:val="clear" w:color="auto" w:fill="FFFFFF"/>
            <w:vAlign w:val="center"/>
          </w:tcPr>
          <w:p w14:paraId="7289407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A6A8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211F8AC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21</w:t>
            </w:r>
          </w:p>
        </w:tc>
        <w:tc>
          <w:tcPr>
            <w:tcW w:w="981" w:type="dxa"/>
            <w:shd w:val="clear" w:color="auto" w:fill="FFFFFF"/>
            <w:vAlign w:val="center"/>
          </w:tcPr>
          <w:p w14:paraId="5D84704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shd w:val="clear" w:color="auto" w:fill="FFFFFF"/>
            <w:vAlign w:val="center"/>
          </w:tcPr>
          <w:p w14:paraId="63003EA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HBA卡规格（若支HBA直通卡）</w:t>
            </w:r>
          </w:p>
        </w:tc>
        <w:tc>
          <w:tcPr>
            <w:tcW w:w="1545" w:type="dxa"/>
            <w:shd w:val="clear" w:color="auto" w:fill="FFFFFF"/>
            <w:vAlign w:val="center"/>
          </w:tcPr>
          <w:p w14:paraId="76E7135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HBA卡端口数量</w:t>
            </w:r>
          </w:p>
        </w:tc>
        <w:tc>
          <w:tcPr>
            <w:tcW w:w="3945" w:type="dxa"/>
            <w:shd w:val="clear" w:color="auto" w:fill="FFFFFF"/>
            <w:vAlign w:val="center"/>
          </w:tcPr>
          <w:p w14:paraId="5CC10E9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≥2个双口</w:t>
            </w:r>
          </w:p>
        </w:tc>
        <w:tc>
          <w:tcPr>
            <w:tcW w:w="1356" w:type="dxa"/>
            <w:shd w:val="clear" w:color="auto" w:fill="FFFFFF"/>
            <w:vAlign w:val="center"/>
          </w:tcPr>
          <w:p w14:paraId="51D92EB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0DA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4FD855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22</w:t>
            </w:r>
          </w:p>
        </w:tc>
        <w:tc>
          <w:tcPr>
            <w:tcW w:w="981" w:type="dxa"/>
            <w:shd w:val="clear" w:color="auto" w:fill="FFFFFF"/>
            <w:vAlign w:val="center"/>
          </w:tcPr>
          <w:p w14:paraId="27B574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restart"/>
            <w:shd w:val="clear" w:color="auto" w:fill="FFFFFF"/>
            <w:vAlign w:val="center"/>
          </w:tcPr>
          <w:p w14:paraId="53DED83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网络规格</w:t>
            </w:r>
          </w:p>
        </w:tc>
        <w:tc>
          <w:tcPr>
            <w:tcW w:w="1545" w:type="dxa"/>
            <w:shd w:val="clear" w:color="auto" w:fill="FFFFFF"/>
            <w:vAlign w:val="center"/>
          </w:tcPr>
          <w:p w14:paraId="5940E98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★网口速率和数量</w:t>
            </w:r>
          </w:p>
        </w:tc>
        <w:tc>
          <w:tcPr>
            <w:tcW w:w="3945" w:type="dxa"/>
            <w:shd w:val="clear" w:color="auto" w:fill="FFFFFF"/>
            <w:vAlign w:val="center"/>
          </w:tcPr>
          <w:p w14:paraId="485DFD1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配置10GE光口≥4个（满配10GE多模光模块）</w:t>
            </w:r>
          </w:p>
          <w:p w14:paraId="699FC61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配置1GE电口≥2个</w:t>
            </w:r>
          </w:p>
        </w:tc>
        <w:tc>
          <w:tcPr>
            <w:tcW w:w="1356" w:type="dxa"/>
            <w:shd w:val="clear" w:color="auto" w:fill="FFFFFF"/>
            <w:vAlign w:val="center"/>
          </w:tcPr>
          <w:p w14:paraId="7E2C89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D035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4163B9D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23</w:t>
            </w:r>
          </w:p>
        </w:tc>
        <w:tc>
          <w:tcPr>
            <w:tcW w:w="981" w:type="dxa"/>
            <w:shd w:val="clear" w:color="auto" w:fill="FFFFFF"/>
            <w:vAlign w:val="center"/>
          </w:tcPr>
          <w:p w14:paraId="6011FF5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3FA258FF">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3E65B77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存储型服务器网口速率和数量</w:t>
            </w:r>
          </w:p>
        </w:tc>
        <w:tc>
          <w:tcPr>
            <w:tcW w:w="3945" w:type="dxa"/>
            <w:shd w:val="clear" w:color="auto" w:fill="FFFFFF"/>
            <w:vAlign w:val="center"/>
          </w:tcPr>
          <w:p w14:paraId="3B61526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存储型服务器1GE 网口数量≥2 个，10GE 以上网口数量≥2个（不涉及）</w:t>
            </w:r>
          </w:p>
        </w:tc>
        <w:tc>
          <w:tcPr>
            <w:tcW w:w="1356" w:type="dxa"/>
            <w:shd w:val="clear" w:color="auto" w:fill="FFFFFF"/>
            <w:vAlign w:val="center"/>
          </w:tcPr>
          <w:p w14:paraId="1B5C25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ABED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770EF55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24</w:t>
            </w:r>
          </w:p>
        </w:tc>
        <w:tc>
          <w:tcPr>
            <w:tcW w:w="981" w:type="dxa"/>
            <w:shd w:val="clear" w:color="auto" w:fill="FFFFFF"/>
            <w:vAlign w:val="center"/>
          </w:tcPr>
          <w:p w14:paraId="77327D5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253D8BDE">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5A11C8F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独立网卡网口数量</w:t>
            </w:r>
          </w:p>
        </w:tc>
        <w:tc>
          <w:tcPr>
            <w:tcW w:w="3945" w:type="dxa"/>
            <w:shd w:val="clear" w:color="auto" w:fill="FFFFFF"/>
            <w:vAlign w:val="center"/>
          </w:tcPr>
          <w:p w14:paraId="1281101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配备10GE独立网卡，独立网卡网口数量≥2</w:t>
            </w:r>
          </w:p>
        </w:tc>
        <w:tc>
          <w:tcPr>
            <w:tcW w:w="1356" w:type="dxa"/>
            <w:shd w:val="clear" w:color="auto" w:fill="FFFFFF"/>
            <w:vAlign w:val="center"/>
          </w:tcPr>
          <w:p w14:paraId="437F5E8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6D0F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24" w:type="dxa"/>
            <w:shd w:val="clear" w:color="auto" w:fill="FFFFFF"/>
            <w:vAlign w:val="center"/>
          </w:tcPr>
          <w:p w14:paraId="513F3B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25</w:t>
            </w:r>
          </w:p>
        </w:tc>
        <w:tc>
          <w:tcPr>
            <w:tcW w:w="981" w:type="dxa"/>
            <w:shd w:val="clear" w:color="auto" w:fill="FFFFFF"/>
            <w:vAlign w:val="center"/>
          </w:tcPr>
          <w:p w14:paraId="327CF9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37116B52">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0F32DFF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独立网卡接口类型</w:t>
            </w:r>
          </w:p>
        </w:tc>
        <w:tc>
          <w:tcPr>
            <w:tcW w:w="3945" w:type="dxa"/>
            <w:shd w:val="clear" w:color="auto" w:fill="FFFFFF"/>
            <w:vAlign w:val="center"/>
          </w:tcPr>
          <w:p w14:paraId="0DAF208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支持RJ45/QSFP/SFP等</w:t>
            </w:r>
          </w:p>
        </w:tc>
        <w:tc>
          <w:tcPr>
            <w:tcW w:w="1356" w:type="dxa"/>
            <w:shd w:val="clear" w:color="auto" w:fill="FFFFFF"/>
            <w:vAlign w:val="center"/>
          </w:tcPr>
          <w:p w14:paraId="5680BB5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49B5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24" w:type="dxa"/>
            <w:shd w:val="clear" w:color="auto" w:fill="FFFFFF"/>
            <w:vAlign w:val="center"/>
          </w:tcPr>
          <w:p w14:paraId="6CF828C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26</w:t>
            </w:r>
          </w:p>
        </w:tc>
        <w:tc>
          <w:tcPr>
            <w:tcW w:w="981" w:type="dxa"/>
            <w:shd w:val="clear" w:color="auto" w:fill="FFFFFF"/>
            <w:vAlign w:val="center"/>
          </w:tcPr>
          <w:p w14:paraId="542B913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0801FB47">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2A299F5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板载网卡接口类型</w:t>
            </w:r>
          </w:p>
        </w:tc>
        <w:tc>
          <w:tcPr>
            <w:tcW w:w="3945" w:type="dxa"/>
            <w:shd w:val="clear" w:color="auto" w:fill="FFFFFF"/>
            <w:vAlign w:val="center"/>
          </w:tcPr>
          <w:p w14:paraId="46480F8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支持RJ45/QSFP/SFP等</w:t>
            </w:r>
          </w:p>
        </w:tc>
        <w:tc>
          <w:tcPr>
            <w:tcW w:w="1356" w:type="dxa"/>
            <w:shd w:val="clear" w:color="auto" w:fill="FFFFFF"/>
            <w:vAlign w:val="center"/>
          </w:tcPr>
          <w:p w14:paraId="20B2A16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FF12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0A89839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27</w:t>
            </w:r>
          </w:p>
        </w:tc>
        <w:tc>
          <w:tcPr>
            <w:tcW w:w="981" w:type="dxa"/>
            <w:shd w:val="clear" w:color="auto" w:fill="FFFFFF"/>
            <w:vAlign w:val="center"/>
          </w:tcPr>
          <w:p w14:paraId="6CBD30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restart"/>
            <w:shd w:val="clear" w:color="auto" w:fill="FFFFFF"/>
            <w:vAlign w:val="center"/>
          </w:tcPr>
          <w:p w14:paraId="6EA49D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外部接口规格</w:t>
            </w:r>
          </w:p>
        </w:tc>
        <w:tc>
          <w:tcPr>
            <w:tcW w:w="1545" w:type="dxa"/>
            <w:shd w:val="clear" w:color="auto" w:fill="FFFFFF"/>
            <w:vAlign w:val="center"/>
          </w:tcPr>
          <w:p w14:paraId="3BD1F21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★显示接口</w:t>
            </w:r>
          </w:p>
        </w:tc>
        <w:tc>
          <w:tcPr>
            <w:tcW w:w="3945" w:type="dxa"/>
            <w:shd w:val="clear" w:color="auto" w:fill="FFFFFF"/>
            <w:vAlign w:val="center"/>
          </w:tcPr>
          <w:p w14:paraId="76269F1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显示接口类型应≥1种，如：VGA、DP、HDMI等</w:t>
            </w:r>
          </w:p>
        </w:tc>
        <w:tc>
          <w:tcPr>
            <w:tcW w:w="1356" w:type="dxa"/>
            <w:shd w:val="clear" w:color="auto" w:fill="FFFFFF"/>
            <w:vAlign w:val="center"/>
          </w:tcPr>
          <w:p w14:paraId="2453E5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D49E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24" w:type="dxa"/>
            <w:shd w:val="clear" w:color="auto" w:fill="FFFFFF"/>
            <w:vAlign w:val="center"/>
          </w:tcPr>
          <w:p w14:paraId="798DF2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28</w:t>
            </w:r>
          </w:p>
        </w:tc>
        <w:tc>
          <w:tcPr>
            <w:tcW w:w="981" w:type="dxa"/>
            <w:shd w:val="clear" w:color="auto" w:fill="FFFFFF"/>
            <w:vAlign w:val="center"/>
          </w:tcPr>
          <w:p w14:paraId="40CDA2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21BCCC48">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6B414E5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★USB接口</w:t>
            </w:r>
          </w:p>
        </w:tc>
        <w:tc>
          <w:tcPr>
            <w:tcW w:w="3945" w:type="dxa"/>
            <w:shd w:val="clear" w:color="auto" w:fill="FFFFFF"/>
            <w:vAlign w:val="center"/>
          </w:tcPr>
          <w:p w14:paraId="25A14CB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配备USB接口，如USB2.0、USB3.0等</w:t>
            </w:r>
          </w:p>
        </w:tc>
        <w:tc>
          <w:tcPr>
            <w:tcW w:w="1356" w:type="dxa"/>
            <w:shd w:val="clear" w:color="auto" w:fill="FFFFFF"/>
            <w:vAlign w:val="center"/>
          </w:tcPr>
          <w:p w14:paraId="4D39074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F010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24" w:type="dxa"/>
            <w:shd w:val="clear" w:color="auto" w:fill="FFFFFF"/>
            <w:vAlign w:val="center"/>
          </w:tcPr>
          <w:p w14:paraId="3C82917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29</w:t>
            </w:r>
          </w:p>
        </w:tc>
        <w:tc>
          <w:tcPr>
            <w:tcW w:w="981" w:type="dxa"/>
            <w:shd w:val="clear" w:color="auto" w:fill="FFFFFF"/>
            <w:vAlign w:val="center"/>
          </w:tcPr>
          <w:p w14:paraId="4E0506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16F13B6F">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22D0D9C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特殊接口及孔位</w:t>
            </w:r>
          </w:p>
        </w:tc>
        <w:tc>
          <w:tcPr>
            <w:tcW w:w="3945" w:type="dxa"/>
            <w:shd w:val="clear" w:color="auto" w:fill="FFFFFF"/>
            <w:vAlign w:val="center"/>
          </w:tcPr>
          <w:p w14:paraId="788E7D4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前面板预留1个专用USB母座接口孔位</w:t>
            </w:r>
          </w:p>
        </w:tc>
        <w:tc>
          <w:tcPr>
            <w:tcW w:w="1356" w:type="dxa"/>
            <w:shd w:val="clear" w:color="auto" w:fill="FFFFFF"/>
            <w:vAlign w:val="center"/>
          </w:tcPr>
          <w:p w14:paraId="4A7FDC0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AF59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24" w:type="dxa"/>
            <w:shd w:val="clear" w:color="auto" w:fill="FFFFFF"/>
            <w:vAlign w:val="center"/>
          </w:tcPr>
          <w:p w14:paraId="6AEDFB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30</w:t>
            </w:r>
          </w:p>
        </w:tc>
        <w:tc>
          <w:tcPr>
            <w:tcW w:w="981" w:type="dxa"/>
            <w:shd w:val="clear" w:color="auto" w:fill="FFFFFF"/>
            <w:vAlign w:val="center"/>
          </w:tcPr>
          <w:p w14:paraId="78A21301">
            <w:pPr>
              <w:widowControl/>
              <w:jc w:val="center"/>
              <w:rPr>
                <w:rFonts w:asciiTheme="minorEastAsia" w:hAnsiTheme="minorEastAsia" w:eastAsiaTheme="minorEastAsia" w:cstheme="minorEastAsia"/>
                <w:kern w:val="0"/>
                <w:sz w:val="24"/>
              </w:rPr>
            </w:pPr>
          </w:p>
        </w:tc>
        <w:tc>
          <w:tcPr>
            <w:tcW w:w="1074" w:type="dxa"/>
            <w:vMerge w:val="continue"/>
            <w:shd w:val="clear" w:color="auto" w:fill="FFFFFF"/>
            <w:vAlign w:val="center"/>
          </w:tcPr>
          <w:p w14:paraId="08CD615E">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0F60ECA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其他接口</w:t>
            </w:r>
          </w:p>
        </w:tc>
        <w:tc>
          <w:tcPr>
            <w:tcW w:w="3945" w:type="dxa"/>
            <w:shd w:val="clear" w:color="auto" w:fill="FFFFFF"/>
            <w:vAlign w:val="center"/>
          </w:tcPr>
          <w:p w14:paraId="043C5DD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a）串口数量≥1个，并可实现GB/T6107或GB/T26803.2的相关功能；b）服务器主机前面板可根据用户实际使用需求预留1个专用USB母座接口孔位</w:t>
            </w:r>
          </w:p>
        </w:tc>
        <w:tc>
          <w:tcPr>
            <w:tcW w:w="1356" w:type="dxa"/>
            <w:shd w:val="clear" w:color="auto" w:fill="FFFFFF"/>
            <w:vAlign w:val="center"/>
          </w:tcPr>
          <w:p w14:paraId="7A293D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4D16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24" w:type="dxa"/>
            <w:shd w:val="clear" w:color="auto" w:fill="FFFFFF"/>
            <w:vAlign w:val="center"/>
          </w:tcPr>
          <w:p w14:paraId="55313F5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31</w:t>
            </w:r>
          </w:p>
        </w:tc>
        <w:tc>
          <w:tcPr>
            <w:tcW w:w="981" w:type="dxa"/>
            <w:shd w:val="clear" w:color="auto" w:fill="FFFFFF"/>
            <w:vAlign w:val="center"/>
          </w:tcPr>
          <w:p w14:paraId="19AC15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restart"/>
            <w:shd w:val="clear" w:color="auto" w:fill="FFFFFF"/>
            <w:vAlign w:val="center"/>
          </w:tcPr>
          <w:p w14:paraId="17C407E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电源规格</w:t>
            </w:r>
          </w:p>
        </w:tc>
        <w:tc>
          <w:tcPr>
            <w:tcW w:w="1545" w:type="dxa"/>
            <w:shd w:val="clear" w:color="auto" w:fill="FFFFFF"/>
            <w:vAlign w:val="center"/>
          </w:tcPr>
          <w:p w14:paraId="5D3CBCB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电源冗余模式</w:t>
            </w:r>
          </w:p>
        </w:tc>
        <w:tc>
          <w:tcPr>
            <w:tcW w:w="3945" w:type="dxa"/>
            <w:shd w:val="clear" w:color="auto" w:fill="FFFFFF"/>
            <w:vAlign w:val="center"/>
          </w:tcPr>
          <w:p w14:paraId="152E9CB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整机电源模块按1+1冗余或N+1冗余配置</w:t>
            </w:r>
          </w:p>
        </w:tc>
        <w:tc>
          <w:tcPr>
            <w:tcW w:w="1356" w:type="dxa"/>
            <w:shd w:val="clear" w:color="auto" w:fill="FFFFFF"/>
            <w:vAlign w:val="center"/>
          </w:tcPr>
          <w:p w14:paraId="0F512E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E37D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68E5C4C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w:t>
            </w:r>
          </w:p>
        </w:tc>
        <w:tc>
          <w:tcPr>
            <w:tcW w:w="981" w:type="dxa"/>
            <w:shd w:val="clear" w:color="auto" w:fill="FFFFFF"/>
            <w:vAlign w:val="center"/>
          </w:tcPr>
          <w:p w14:paraId="25D682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1B111F40">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738126C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★电源模块数量</w:t>
            </w:r>
          </w:p>
        </w:tc>
        <w:tc>
          <w:tcPr>
            <w:tcW w:w="3945" w:type="dxa"/>
            <w:shd w:val="clear" w:color="auto" w:fill="FFFFFF"/>
            <w:vAlign w:val="center"/>
          </w:tcPr>
          <w:p w14:paraId="792379B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1356" w:type="dxa"/>
            <w:shd w:val="clear" w:color="auto" w:fill="FFFFFF"/>
            <w:vAlign w:val="center"/>
          </w:tcPr>
          <w:p w14:paraId="033449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52BC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7EC6C05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33</w:t>
            </w:r>
          </w:p>
        </w:tc>
        <w:tc>
          <w:tcPr>
            <w:tcW w:w="981" w:type="dxa"/>
            <w:shd w:val="clear" w:color="auto" w:fill="FFFFFF"/>
            <w:vAlign w:val="center"/>
          </w:tcPr>
          <w:p w14:paraId="36EC195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11455C88">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224F8AA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★电源功率</w:t>
            </w:r>
          </w:p>
        </w:tc>
        <w:tc>
          <w:tcPr>
            <w:tcW w:w="3945" w:type="dxa"/>
            <w:shd w:val="clear" w:color="auto" w:fill="FFFFFF"/>
            <w:vAlign w:val="center"/>
          </w:tcPr>
          <w:p w14:paraId="106B22D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电源模块功率应有一定冗余，满足处理器满载时的需求</w:t>
            </w:r>
          </w:p>
        </w:tc>
        <w:tc>
          <w:tcPr>
            <w:tcW w:w="1356" w:type="dxa"/>
            <w:shd w:val="clear" w:color="auto" w:fill="FFFFFF"/>
            <w:vAlign w:val="center"/>
          </w:tcPr>
          <w:p w14:paraId="378A10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1A56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24" w:type="dxa"/>
            <w:shd w:val="clear" w:color="auto" w:fill="FFFFFF"/>
            <w:vAlign w:val="center"/>
          </w:tcPr>
          <w:p w14:paraId="7B409C3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34</w:t>
            </w:r>
          </w:p>
        </w:tc>
        <w:tc>
          <w:tcPr>
            <w:tcW w:w="981" w:type="dxa"/>
            <w:shd w:val="clear" w:color="auto" w:fill="FFFFFF"/>
            <w:vAlign w:val="center"/>
          </w:tcPr>
          <w:p w14:paraId="21E5AA4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6F3E07D0">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207952A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电源指示灯</w:t>
            </w:r>
          </w:p>
        </w:tc>
        <w:tc>
          <w:tcPr>
            <w:tcW w:w="3945" w:type="dxa"/>
            <w:shd w:val="clear" w:color="auto" w:fill="FFFFFF"/>
            <w:vAlign w:val="center"/>
          </w:tcPr>
          <w:p w14:paraId="02D0B63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配备电源指示灯，指示待机、工作异常等状态</w:t>
            </w:r>
          </w:p>
        </w:tc>
        <w:tc>
          <w:tcPr>
            <w:tcW w:w="1356" w:type="dxa"/>
            <w:shd w:val="clear" w:color="auto" w:fill="FFFFFF"/>
            <w:vAlign w:val="center"/>
          </w:tcPr>
          <w:p w14:paraId="31C6AA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E398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4" w:hRule="atLeast"/>
        </w:trPr>
        <w:tc>
          <w:tcPr>
            <w:tcW w:w="624" w:type="dxa"/>
            <w:shd w:val="clear" w:color="auto" w:fill="FFFFFF"/>
            <w:vAlign w:val="center"/>
          </w:tcPr>
          <w:p w14:paraId="0B2BCC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35</w:t>
            </w:r>
          </w:p>
        </w:tc>
        <w:tc>
          <w:tcPr>
            <w:tcW w:w="981" w:type="dxa"/>
            <w:shd w:val="clear" w:color="auto" w:fill="FFFFFF"/>
            <w:vAlign w:val="center"/>
          </w:tcPr>
          <w:p w14:paraId="0A23203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restart"/>
            <w:shd w:val="clear" w:color="auto" w:fill="FFFFFF"/>
            <w:vAlign w:val="center"/>
          </w:tcPr>
          <w:p w14:paraId="6455C4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整机规格</w:t>
            </w:r>
          </w:p>
        </w:tc>
        <w:tc>
          <w:tcPr>
            <w:tcW w:w="1545" w:type="dxa"/>
            <w:shd w:val="clear" w:color="auto" w:fill="FFFFFF"/>
            <w:vAlign w:val="center"/>
          </w:tcPr>
          <w:p w14:paraId="4935F8F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★外观和结构</w:t>
            </w:r>
          </w:p>
        </w:tc>
        <w:tc>
          <w:tcPr>
            <w:tcW w:w="3945" w:type="dxa"/>
            <w:shd w:val="clear" w:color="auto" w:fill="FFFFFF"/>
            <w:vAlign w:val="center"/>
          </w:tcPr>
          <w:p w14:paraId="38112C3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服务器的零部件应紧固无松动，可插拔部件应可靠连接，开关、按钮和其他控制部件应灵活可靠，布局应方便使用；b）产品表面不应有明显的凹痕、划伤、裂缝、变形和污染等。表面涂层均匀，不应起泡、龟裂、脱落和磨损，金属零部件无锈蚀及其它机械损伤；c）产品表面说明功能的文字、符号和标志应清晰、端正且牢固；d）应在服务器的显著位置提供运行状态的指示功能，并在技术文件或者技术白皮书中明确具体含义；e）机架、机箱的尺寸应符合通用机柜的安装要求，插入总线插座的电路板接口外形尺寸应符合有关总线标准的规定，将机箱固定在机柜上，机箱底面最大下垂变形不得干涉相邻机体；f）服务器尺寸具体要求在技术文件或者技术白皮书中明确</w:t>
            </w:r>
          </w:p>
        </w:tc>
        <w:tc>
          <w:tcPr>
            <w:tcW w:w="1356" w:type="dxa"/>
            <w:shd w:val="clear" w:color="auto" w:fill="FFFFFF"/>
            <w:vAlign w:val="center"/>
          </w:tcPr>
          <w:p w14:paraId="3E7D73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85A6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24" w:type="dxa"/>
            <w:shd w:val="clear" w:color="auto" w:fill="FFFFFF"/>
            <w:vAlign w:val="center"/>
          </w:tcPr>
          <w:p w14:paraId="77DAB9E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36</w:t>
            </w:r>
          </w:p>
        </w:tc>
        <w:tc>
          <w:tcPr>
            <w:tcW w:w="981" w:type="dxa"/>
            <w:shd w:val="clear" w:color="auto" w:fill="FFFFFF"/>
            <w:vAlign w:val="center"/>
          </w:tcPr>
          <w:p w14:paraId="60A3D5E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02469FC0">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72077D0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★尺寸（高×宽×深）</w:t>
            </w:r>
          </w:p>
        </w:tc>
        <w:tc>
          <w:tcPr>
            <w:tcW w:w="3945" w:type="dxa"/>
            <w:shd w:val="clear" w:color="auto" w:fill="FFFFFF"/>
            <w:vAlign w:val="center"/>
          </w:tcPr>
          <w:p w14:paraId="0E0B361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供应商给出产品尺寸；设计应遵循标准化、系列化的要求；机箱的内部结构符合通用部件的安装需要</w:t>
            </w:r>
          </w:p>
        </w:tc>
        <w:tc>
          <w:tcPr>
            <w:tcW w:w="1356" w:type="dxa"/>
            <w:shd w:val="clear" w:color="auto" w:fill="FFFFFF"/>
            <w:vAlign w:val="center"/>
          </w:tcPr>
          <w:p w14:paraId="7C49C7D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7172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24" w:type="dxa"/>
            <w:shd w:val="clear" w:color="auto" w:fill="FFFFFF"/>
            <w:vAlign w:val="center"/>
          </w:tcPr>
          <w:p w14:paraId="503B5C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37</w:t>
            </w:r>
          </w:p>
        </w:tc>
        <w:tc>
          <w:tcPr>
            <w:tcW w:w="981" w:type="dxa"/>
            <w:shd w:val="clear" w:color="auto" w:fill="FFFFFF"/>
            <w:vAlign w:val="center"/>
          </w:tcPr>
          <w:p w14:paraId="0F058E8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53F4A81F">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214CA97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服务器导轨</w:t>
            </w:r>
          </w:p>
        </w:tc>
        <w:tc>
          <w:tcPr>
            <w:tcW w:w="3945" w:type="dxa"/>
            <w:shd w:val="clear" w:color="auto" w:fill="FFFFFF"/>
            <w:vAlign w:val="center"/>
          </w:tcPr>
          <w:p w14:paraId="148384C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供应商给出导轨尺寸、安装方式等信息</w:t>
            </w:r>
          </w:p>
        </w:tc>
        <w:tc>
          <w:tcPr>
            <w:tcW w:w="1356" w:type="dxa"/>
            <w:shd w:val="clear" w:color="auto" w:fill="FFFFFF"/>
            <w:vAlign w:val="center"/>
          </w:tcPr>
          <w:p w14:paraId="2E20E8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7A09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24" w:type="dxa"/>
            <w:shd w:val="clear" w:color="auto" w:fill="FFFFFF"/>
            <w:vAlign w:val="center"/>
          </w:tcPr>
          <w:p w14:paraId="20C5ED9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38</w:t>
            </w:r>
          </w:p>
        </w:tc>
        <w:tc>
          <w:tcPr>
            <w:tcW w:w="981" w:type="dxa"/>
            <w:shd w:val="clear" w:color="auto" w:fill="FFFFFF"/>
            <w:vAlign w:val="center"/>
          </w:tcPr>
          <w:p w14:paraId="397B95B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731DC0C6">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1DDDF90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CPU个数与机柜高度单位（U）比</w:t>
            </w:r>
          </w:p>
        </w:tc>
        <w:tc>
          <w:tcPr>
            <w:tcW w:w="3945" w:type="dxa"/>
            <w:shd w:val="clear" w:color="auto" w:fill="FFFFFF"/>
            <w:vAlign w:val="center"/>
          </w:tcPr>
          <w:p w14:paraId="38A4FA0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供应商给出CPU个数与机柜高度</w:t>
            </w:r>
          </w:p>
        </w:tc>
        <w:tc>
          <w:tcPr>
            <w:tcW w:w="1356" w:type="dxa"/>
            <w:shd w:val="clear" w:color="auto" w:fill="FFFFFF"/>
            <w:vAlign w:val="center"/>
          </w:tcPr>
          <w:p w14:paraId="4898A55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0A12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24" w:type="dxa"/>
            <w:shd w:val="clear" w:color="auto" w:fill="FFFFFF"/>
            <w:vAlign w:val="center"/>
          </w:tcPr>
          <w:p w14:paraId="1A9AF9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39</w:t>
            </w:r>
          </w:p>
        </w:tc>
        <w:tc>
          <w:tcPr>
            <w:tcW w:w="981" w:type="dxa"/>
            <w:shd w:val="clear" w:color="auto" w:fill="FFFFFF"/>
            <w:vAlign w:val="center"/>
          </w:tcPr>
          <w:p w14:paraId="216C77F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28FCF3FF">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124871C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★环境适应性</w:t>
            </w:r>
          </w:p>
        </w:tc>
        <w:tc>
          <w:tcPr>
            <w:tcW w:w="3945" w:type="dxa"/>
            <w:shd w:val="clear" w:color="auto" w:fill="FFFFFF"/>
            <w:vAlign w:val="center"/>
          </w:tcPr>
          <w:p w14:paraId="31940F3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气候环境适应性应符合GB/T9813.3的有关规定，工作温度10~35℃,贮存运输温度-40～55℃;工作相对湿度35%～80%，贮存运输相对湿度20％～93%（40℃）;大气压86～106kPa</w:t>
            </w:r>
          </w:p>
        </w:tc>
        <w:tc>
          <w:tcPr>
            <w:tcW w:w="1356" w:type="dxa"/>
            <w:shd w:val="clear" w:color="auto" w:fill="FFFFFF"/>
            <w:vAlign w:val="center"/>
          </w:tcPr>
          <w:p w14:paraId="23AE9C1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F17B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24" w:type="dxa"/>
            <w:shd w:val="clear" w:color="auto" w:fill="FFFFFF"/>
            <w:vAlign w:val="center"/>
          </w:tcPr>
          <w:p w14:paraId="3E2FD7A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40</w:t>
            </w:r>
          </w:p>
        </w:tc>
        <w:tc>
          <w:tcPr>
            <w:tcW w:w="981" w:type="dxa"/>
            <w:shd w:val="clear" w:color="auto" w:fill="FFFFFF"/>
            <w:vAlign w:val="center"/>
          </w:tcPr>
          <w:p w14:paraId="0C78C33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3EDD4C33">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39A47C8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特殊机型环境适应性</w:t>
            </w:r>
          </w:p>
        </w:tc>
        <w:tc>
          <w:tcPr>
            <w:tcW w:w="3945" w:type="dxa"/>
            <w:shd w:val="clear" w:color="auto" w:fill="FFFFFF"/>
            <w:vAlign w:val="center"/>
          </w:tcPr>
          <w:p w14:paraId="4A587D1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边缘应用服务器，工作环境温度宜为0～45℃,短期工作可承受环境温度宜为-5～55℃,液冷服务器贮存运输温度宜为-30～55℃</w:t>
            </w:r>
          </w:p>
        </w:tc>
        <w:tc>
          <w:tcPr>
            <w:tcW w:w="1356" w:type="dxa"/>
            <w:shd w:val="clear" w:color="auto" w:fill="FFFFFF"/>
            <w:vAlign w:val="center"/>
          </w:tcPr>
          <w:p w14:paraId="5E3B449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3404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24" w:type="dxa"/>
            <w:shd w:val="clear" w:color="auto" w:fill="FFFFFF"/>
            <w:vAlign w:val="center"/>
          </w:tcPr>
          <w:p w14:paraId="1706EC7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41</w:t>
            </w:r>
          </w:p>
        </w:tc>
        <w:tc>
          <w:tcPr>
            <w:tcW w:w="981" w:type="dxa"/>
            <w:shd w:val="clear" w:color="auto" w:fill="FFFFFF"/>
            <w:vAlign w:val="center"/>
          </w:tcPr>
          <w:p w14:paraId="37DF015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0C62A4BC">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1D3B0D7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★机械环境适应性</w:t>
            </w:r>
          </w:p>
        </w:tc>
        <w:tc>
          <w:tcPr>
            <w:tcW w:w="3945" w:type="dxa"/>
            <w:shd w:val="clear" w:color="auto" w:fill="FFFFFF"/>
            <w:vAlign w:val="center"/>
          </w:tcPr>
          <w:p w14:paraId="4E61387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机械环境适应性应符合GB/T9813.3的有关规定</w:t>
            </w:r>
          </w:p>
        </w:tc>
        <w:tc>
          <w:tcPr>
            <w:tcW w:w="1356" w:type="dxa"/>
            <w:shd w:val="clear" w:color="auto" w:fill="FFFFFF"/>
            <w:vAlign w:val="center"/>
          </w:tcPr>
          <w:p w14:paraId="107C59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F306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6EB7DF8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42</w:t>
            </w:r>
          </w:p>
        </w:tc>
        <w:tc>
          <w:tcPr>
            <w:tcW w:w="981" w:type="dxa"/>
            <w:shd w:val="clear" w:color="auto" w:fill="FFFFFF"/>
            <w:vAlign w:val="center"/>
          </w:tcPr>
          <w:p w14:paraId="01667E9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652F7082">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6C22602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★噪声</w:t>
            </w:r>
          </w:p>
        </w:tc>
        <w:tc>
          <w:tcPr>
            <w:tcW w:w="3945" w:type="dxa"/>
            <w:shd w:val="clear" w:color="auto" w:fill="FFFFFF"/>
            <w:vAlign w:val="center"/>
          </w:tcPr>
          <w:p w14:paraId="02ECE44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符合GB/T9813.3的有关规定，在产品说明中给出具体测试值塔式服务器噪声在空闲状态下≤50dB</w:t>
            </w:r>
          </w:p>
        </w:tc>
        <w:tc>
          <w:tcPr>
            <w:tcW w:w="1356" w:type="dxa"/>
            <w:shd w:val="clear" w:color="auto" w:fill="FFFFFF"/>
            <w:vAlign w:val="center"/>
          </w:tcPr>
          <w:p w14:paraId="559CC6C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4583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512" w:hRule="atLeast"/>
        </w:trPr>
        <w:tc>
          <w:tcPr>
            <w:tcW w:w="624" w:type="dxa"/>
            <w:shd w:val="clear" w:color="auto" w:fill="FFFFFF"/>
            <w:vAlign w:val="center"/>
          </w:tcPr>
          <w:p w14:paraId="5C854D4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43</w:t>
            </w:r>
          </w:p>
        </w:tc>
        <w:tc>
          <w:tcPr>
            <w:tcW w:w="981" w:type="dxa"/>
            <w:shd w:val="clear" w:color="auto" w:fill="FFFFFF"/>
            <w:vAlign w:val="center"/>
          </w:tcPr>
          <w:p w14:paraId="29D937E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restart"/>
            <w:shd w:val="clear" w:color="auto" w:fill="FFFFFF"/>
            <w:vAlign w:val="center"/>
          </w:tcPr>
          <w:p w14:paraId="13F893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AI计算单元规格</w:t>
            </w:r>
          </w:p>
        </w:tc>
        <w:tc>
          <w:tcPr>
            <w:tcW w:w="1545" w:type="dxa"/>
            <w:shd w:val="clear" w:color="auto" w:fill="FFFFFF"/>
            <w:vAlign w:val="center"/>
          </w:tcPr>
          <w:p w14:paraId="52F36B1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AI计算单元</w:t>
            </w:r>
          </w:p>
        </w:tc>
        <w:tc>
          <w:tcPr>
            <w:tcW w:w="3945" w:type="dxa"/>
            <w:shd w:val="clear" w:color="auto" w:fill="FFFFFF"/>
            <w:vAlign w:val="center"/>
          </w:tcPr>
          <w:p w14:paraId="2B736DB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AI计算单元应符合如下要求：a）具备人工智能加速处理器，计算精度至少支持FP16、BF16、FP32、FP64、INT8和INT16等中的1种；b）单推理卡或模块，具备视频解析、文本识别、语音分析等推理能力；在视觉场景下配备可直接调用的接口实现视觉计算加速，路数不小于64（1080P30FPS）</w:t>
            </w:r>
          </w:p>
        </w:tc>
        <w:tc>
          <w:tcPr>
            <w:tcW w:w="1356" w:type="dxa"/>
            <w:shd w:val="clear" w:color="auto" w:fill="FFFFFF"/>
            <w:vAlign w:val="center"/>
          </w:tcPr>
          <w:p w14:paraId="1B17317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A7CE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4DAA213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44</w:t>
            </w:r>
          </w:p>
        </w:tc>
        <w:tc>
          <w:tcPr>
            <w:tcW w:w="981" w:type="dxa"/>
            <w:shd w:val="clear" w:color="auto" w:fill="FFFFFF"/>
            <w:vAlign w:val="center"/>
          </w:tcPr>
          <w:p w14:paraId="0B30A68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3012284C">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56A5603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一键式迁移</w:t>
            </w:r>
          </w:p>
        </w:tc>
        <w:tc>
          <w:tcPr>
            <w:tcW w:w="3945" w:type="dxa"/>
            <w:shd w:val="clear" w:color="auto" w:fill="FFFFFF"/>
            <w:vAlign w:val="center"/>
          </w:tcPr>
          <w:p w14:paraId="0C44EF3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若服务器配备AI计算单元，提供训练脚本迁移工具</w:t>
            </w:r>
          </w:p>
        </w:tc>
        <w:tc>
          <w:tcPr>
            <w:tcW w:w="1356" w:type="dxa"/>
            <w:shd w:val="clear" w:color="auto" w:fill="FFFFFF"/>
            <w:vAlign w:val="center"/>
          </w:tcPr>
          <w:p w14:paraId="22DBDCF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661A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24" w:type="dxa"/>
            <w:shd w:val="clear" w:color="auto" w:fill="FFFFFF"/>
            <w:vAlign w:val="center"/>
          </w:tcPr>
          <w:p w14:paraId="39894AB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45</w:t>
            </w:r>
          </w:p>
        </w:tc>
        <w:tc>
          <w:tcPr>
            <w:tcW w:w="981" w:type="dxa"/>
            <w:shd w:val="clear" w:color="auto" w:fill="FFFFFF"/>
            <w:vAlign w:val="center"/>
          </w:tcPr>
          <w:p w14:paraId="691EF2A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restart"/>
            <w:shd w:val="clear" w:color="auto" w:fill="FFFFFF"/>
            <w:vAlign w:val="center"/>
          </w:tcPr>
          <w:p w14:paraId="366D449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机柜规格</w:t>
            </w:r>
          </w:p>
        </w:tc>
        <w:tc>
          <w:tcPr>
            <w:tcW w:w="1545" w:type="dxa"/>
            <w:shd w:val="clear" w:color="auto" w:fill="FFFFFF"/>
            <w:vAlign w:val="center"/>
          </w:tcPr>
          <w:p w14:paraId="1997075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★机柜尺寸</w:t>
            </w:r>
          </w:p>
        </w:tc>
        <w:tc>
          <w:tcPr>
            <w:tcW w:w="3945" w:type="dxa"/>
            <w:shd w:val="clear" w:color="auto" w:fill="FFFFFF"/>
            <w:vAlign w:val="center"/>
          </w:tcPr>
          <w:p w14:paraId="48DBE81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供应商给出长度、高度和深度</w:t>
            </w:r>
          </w:p>
        </w:tc>
        <w:tc>
          <w:tcPr>
            <w:tcW w:w="1356" w:type="dxa"/>
            <w:shd w:val="clear" w:color="auto" w:fill="FFFFFF"/>
            <w:vAlign w:val="center"/>
          </w:tcPr>
          <w:p w14:paraId="3F42019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FCEA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24" w:type="dxa"/>
            <w:shd w:val="clear" w:color="auto" w:fill="FFFFFF"/>
            <w:vAlign w:val="center"/>
          </w:tcPr>
          <w:p w14:paraId="11F82C6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46</w:t>
            </w:r>
          </w:p>
        </w:tc>
        <w:tc>
          <w:tcPr>
            <w:tcW w:w="981" w:type="dxa"/>
            <w:shd w:val="clear" w:color="auto" w:fill="FFFFFF"/>
            <w:vAlign w:val="center"/>
          </w:tcPr>
          <w:p w14:paraId="504C83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35B62177">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21528C9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机柜管理板</w:t>
            </w:r>
          </w:p>
        </w:tc>
        <w:tc>
          <w:tcPr>
            <w:tcW w:w="3945" w:type="dxa"/>
            <w:shd w:val="clear" w:color="auto" w:fill="FFFFFF"/>
            <w:vAlign w:val="center"/>
          </w:tcPr>
          <w:p w14:paraId="4828BEE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配备机柜管理板</w:t>
            </w:r>
          </w:p>
        </w:tc>
        <w:tc>
          <w:tcPr>
            <w:tcW w:w="1356" w:type="dxa"/>
            <w:shd w:val="clear" w:color="auto" w:fill="FFFFFF"/>
            <w:vAlign w:val="center"/>
          </w:tcPr>
          <w:p w14:paraId="58072A1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4A8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381967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47</w:t>
            </w:r>
          </w:p>
        </w:tc>
        <w:tc>
          <w:tcPr>
            <w:tcW w:w="981" w:type="dxa"/>
            <w:shd w:val="clear" w:color="auto" w:fill="FFFFFF"/>
            <w:vAlign w:val="center"/>
          </w:tcPr>
          <w:p w14:paraId="012938A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74" w:type="dxa"/>
            <w:vMerge w:val="continue"/>
            <w:shd w:val="clear" w:color="auto" w:fill="FFFFFF"/>
            <w:vAlign w:val="center"/>
          </w:tcPr>
          <w:p w14:paraId="262493B6">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10410BE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机柜电源规格</w:t>
            </w:r>
          </w:p>
        </w:tc>
        <w:tc>
          <w:tcPr>
            <w:tcW w:w="3945" w:type="dxa"/>
            <w:shd w:val="clear" w:color="auto" w:fill="FFFFFF"/>
            <w:vAlign w:val="center"/>
          </w:tcPr>
          <w:p w14:paraId="75D4B66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a）机柜电源支持集中供电，电源输入≥2路且支持自动切换；b）机柜电源模块支持N+1冗余配置，电源模块可独立更换</w:t>
            </w:r>
          </w:p>
        </w:tc>
        <w:tc>
          <w:tcPr>
            <w:tcW w:w="1356" w:type="dxa"/>
            <w:shd w:val="clear" w:color="auto" w:fill="FFFFFF"/>
            <w:vAlign w:val="center"/>
          </w:tcPr>
          <w:p w14:paraId="6140A1F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26A7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hRule="atLeast"/>
        </w:trPr>
        <w:tc>
          <w:tcPr>
            <w:tcW w:w="624" w:type="dxa"/>
            <w:shd w:val="clear" w:color="auto" w:fill="FFFFFF"/>
            <w:vAlign w:val="center"/>
          </w:tcPr>
          <w:p w14:paraId="2EE6DA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48</w:t>
            </w:r>
          </w:p>
        </w:tc>
        <w:tc>
          <w:tcPr>
            <w:tcW w:w="981" w:type="dxa"/>
            <w:shd w:val="clear" w:color="auto" w:fill="FFFFFF"/>
            <w:vAlign w:val="center"/>
          </w:tcPr>
          <w:p w14:paraId="02F687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restart"/>
            <w:shd w:val="clear" w:color="auto" w:fill="FFFFFF"/>
            <w:vAlign w:val="center"/>
          </w:tcPr>
          <w:p w14:paraId="6BE6B8E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主板功能</w:t>
            </w:r>
          </w:p>
        </w:tc>
        <w:tc>
          <w:tcPr>
            <w:tcW w:w="1545" w:type="dxa"/>
            <w:shd w:val="clear" w:color="auto" w:fill="FFFFFF"/>
            <w:vAlign w:val="center"/>
          </w:tcPr>
          <w:p w14:paraId="45B6ABA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★主板外部接口种类</w:t>
            </w:r>
          </w:p>
        </w:tc>
        <w:tc>
          <w:tcPr>
            <w:tcW w:w="3945" w:type="dxa"/>
            <w:shd w:val="clear" w:color="auto" w:fill="FFFFFF"/>
            <w:vAlign w:val="center"/>
          </w:tcPr>
          <w:p w14:paraId="3D2F98A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支持USB、显示、管理等接口，如：VGA、DP、HDMI、USB3.0、PS/2接口、BMC管理端口</w:t>
            </w:r>
          </w:p>
        </w:tc>
        <w:tc>
          <w:tcPr>
            <w:tcW w:w="1356" w:type="dxa"/>
            <w:shd w:val="clear" w:color="auto" w:fill="FFFFFF"/>
            <w:vAlign w:val="center"/>
          </w:tcPr>
          <w:p w14:paraId="713C3E0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DB8F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24DC543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49</w:t>
            </w:r>
          </w:p>
        </w:tc>
        <w:tc>
          <w:tcPr>
            <w:tcW w:w="981" w:type="dxa"/>
            <w:shd w:val="clear" w:color="auto" w:fill="FFFFFF"/>
            <w:vAlign w:val="center"/>
          </w:tcPr>
          <w:p w14:paraId="39330AD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continue"/>
            <w:shd w:val="clear" w:color="auto" w:fill="FFFFFF"/>
            <w:vAlign w:val="center"/>
          </w:tcPr>
          <w:p w14:paraId="68212757">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632D2B2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主板防烧板设计</w:t>
            </w:r>
          </w:p>
        </w:tc>
        <w:tc>
          <w:tcPr>
            <w:tcW w:w="3945" w:type="dxa"/>
            <w:shd w:val="clear" w:color="auto" w:fill="FFFFFF"/>
            <w:vAlign w:val="center"/>
          </w:tcPr>
          <w:p w14:paraId="67213A6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支持主板防烧板设计，保证电源故障后不扩散</w:t>
            </w:r>
          </w:p>
        </w:tc>
        <w:tc>
          <w:tcPr>
            <w:tcW w:w="1356" w:type="dxa"/>
            <w:shd w:val="clear" w:color="auto" w:fill="FFFFFF"/>
            <w:vAlign w:val="center"/>
          </w:tcPr>
          <w:p w14:paraId="6EBF4FD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9472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524F30D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50</w:t>
            </w:r>
          </w:p>
        </w:tc>
        <w:tc>
          <w:tcPr>
            <w:tcW w:w="981" w:type="dxa"/>
            <w:shd w:val="clear" w:color="auto" w:fill="FFFFFF"/>
            <w:vAlign w:val="center"/>
          </w:tcPr>
          <w:p w14:paraId="22E89D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continue"/>
            <w:shd w:val="clear" w:color="auto" w:fill="FFFFFF"/>
            <w:vAlign w:val="center"/>
          </w:tcPr>
          <w:p w14:paraId="010C03A2">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3081CF5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扩展功能</w:t>
            </w:r>
          </w:p>
        </w:tc>
        <w:tc>
          <w:tcPr>
            <w:tcW w:w="3945" w:type="dxa"/>
            <w:shd w:val="clear" w:color="auto" w:fill="FFFFFF"/>
            <w:vAlign w:val="center"/>
          </w:tcPr>
          <w:p w14:paraId="6B558D8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实现至少一种扩展功能，如存储功能卡、显示功能卡、运算加速功能卡及网络功能卡等扩展功能</w:t>
            </w:r>
          </w:p>
        </w:tc>
        <w:tc>
          <w:tcPr>
            <w:tcW w:w="1356" w:type="dxa"/>
            <w:shd w:val="clear" w:color="auto" w:fill="FFFFFF"/>
            <w:vAlign w:val="center"/>
          </w:tcPr>
          <w:p w14:paraId="145197E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4DC8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53285D3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51</w:t>
            </w:r>
          </w:p>
        </w:tc>
        <w:tc>
          <w:tcPr>
            <w:tcW w:w="981" w:type="dxa"/>
            <w:shd w:val="clear" w:color="auto" w:fill="FFFFFF"/>
            <w:vAlign w:val="center"/>
          </w:tcPr>
          <w:p w14:paraId="5BDD258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shd w:val="clear" w:color="auto" w:fill="FFFFFF"/>
            <w:vAlign w:val="center"/>
          </w:tcPr>
          <w:p w14:paraId="6088896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网络功能</w:t>
            </w:r>
          </w:p>
        </w:tc>
        <w:tc>
          <w:tcPr>
            <w:tcW w:w="1545" w:type="dxa"/>
            <w:shd w:val="clear" w:color="auto" w:fill="FFFFFF"/>
            <w:vAlign w:val="center"/>
          </w:tcPr>
          <w:p w14:paraId="46DDCAB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★网络功能</w:t>
            </w:r>
          </w:p>
        </w:tc>
        <w:tc>
          <w:tcPr>
            <w:tcW w:w="3945" w:type="dxa"/>
            <w:shd w:val="clear" w:color="auto" w:fill="FFFFFF"/>
            <w:vAlign w:val="center"/>
          </w:tcPr>
          <w:p w14:paraId="03E96AE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支持网络连接、网络访问、数据交换和网络管控功能</w:t>
            </w:r>
          </w:p>
        </w:tc>
        <w:tc>
          <w:tcPr>
            <w:tcW w:w="1356" w:type="dxa"/>
            <w:shd w:val="clear" w:color="auto" w:fill="FFFFFF"/>
            <w:vAlign w:val="center"/>
          </w:tcPr>
          <w:p w14:paraId="1008D85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76F2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24" w:type="dxa"/>
            <w:shd w:val="clear" w:color="auto" w:fill="FFFFFF"/>
            <w:vAlign w:val="center"/>
          </w:tcPr>
          <w:p w14:paraId="188A90E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52</w:t>
            </w:r>
          </w:p>
        </w:tc>
        <w:tc>
          <w:tcPr>
            <w:tcW w:w="981" w:type="dxa"/>
            <w:shd w:val="clear" w:color="auto" w:fill="FFFFFF"/>
            <w:vAlign w:val="center"/>
          </w:tcPr>
          <w:p w14:paraId="3581EDF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restart"/>
            <w:shd w:val="clear" w:color="auto" w:fill="FFFFFF"/>
            <w:vAlign w:val="center"/>
          </w:tcPr>
          <w:p w14:paraId="69405DE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CPU功能</w:t>
            </w:r>
          </w:p>
        </w:tc>
        <w:tc>
          <w:tcPr>
            <w:tcW w:w="1545" w:type="dxa"/>
            <w:shd w:val="clear" w:color="auto" w:fill="FFFFFF"/>
            <w:vAlign w:val="center"/>
          </w:tcPr>
          <w:p w14:paraId="59663DE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★计算处理</w:t>
            </w:r>
          </w:p>
        </w:tc>
        <w:tc>
          <w:tcPr>
            <w:tcW w:w="3945" w:type="dxa"/>
            <w:shd w:val="clear" w:color="auto" w:fill="FFFFFF"/>
            <w:vAlign w:val="center"/>
          </w:tcPr>
          <w:p w14:paraId="359FFBC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支持通用计算及虚拟化功能。处理器需集成整型计算单元、浮点计算单元、内存控制器、I/O模块等，处理器与存储部件、网络部件、I/O部件等组成计算系统，提供数据处理、网络接入等计算相关功能</w:t>
            </w:r>
          </w:p>
        </w:tc>
        <w:tc>
          <w:tcPr>
            <w:tcW w:w="1356" w:type="dxa"/>
            <w:shd w:val="clear" w:color="auto" w:fill="FFFFFF"/>
            <w:vAlign w:val="center"/>
          </w:tcPr>
          <w:p w14:paraId="75CF78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EF17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71E1B1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53</w:t>
            </w:r>
          </w:p>
        </w:tc>
        <w:tc>
          <w:tcPr>
            <w:tcW w:w="981" w:type="dxa"/>
            <w:shd w:val="clear" w:color="auto" w:fill="FFFFFF"/>
            <w:vAlign w:val="center"/>
          </w:tcPr>
          <w:p w14:paraId="6FF41B8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continue"/>
            <w:shd w:val="clear" w:color="auto" w:fill="FFFFFF"/>
            <w:vAlign w:val="center"/>
          </w:tcPr>
          <w:p w14:paraId="2DF03B25">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0F098A2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★密码算法实现</w:t>
            </w:r>
          </w:p>
        </w:tc>
        <w:tc>
          <w:tcPr>
            <w:tcW w:w="3945" w:type="dxa"/>
            <w:shd w:val="clear" w:color="auto" w:fill="FFFFFF"/>
            <w:vAlign w:val="center"/>
          </w:tcPr>
          <w:p w14:paraId="50345FD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CPU芯片应符合GM/T0008的相关规定，或芯片密码模块应符合GB/T37092或GM/T0028的相关规定</w:t>
            </w:r>
          </w:p>
        </w:tc>
        <w:tc>
          <w:tcPr>
            <w:tcW w:w="1356" w:type="dxa"/>
            <w:shd w:val="clear" w:color="auto" w:fill="FFFFFF"/>
            <w:vAlign w:val="center"/>
          </w:tcPr>
          <w:p w14:paraId="6EC51D0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02CD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24" w:type="dxa"/>
            <w:shd w:val="clear" w:color="auto" w:fill="FFFFFF"/>
            <w:vAlign w:val="center"/>
          </w:tcPr>
          <w:p w14:paraId="3830C8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54</w:t>
            </w:r>
          </w:p>
        </w:tc>
        <w:tc>
          <w:tcPr>
            <w:tcW w:w="981" w:type="dxa"/>
            <w:shd w:val="clear" w:color="auto" w:fill="FFFFFF"/>
            <w:vAlign w:val="center"/>
          </w:tcPr>
          <w:p w14:paraId="07AD5C0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restart"/>
            <w:shd w:val="clear" w:color="auto" w:fill="FFFFFF"/>
            <w:vAlign w:val="center"/>
          </w:tcPr>
          <w:p w14:paraId="197C694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存储功能</w:t>
            </w:r>
          </w:p>
        </w:tc>
        <w:tc>
          <w:tcPr>
            <w:tcW w:w="1545" w:type="dxa"/>
            <w:shd w:val="clear" w:color="auto" w:fill="FFFFFF"/>
            <w:vAlign w:val="center"/>
          </w:tcPr>
          <w:p w14:paraId="41F6152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内存校验</w:t>
            </w:r>
          </w:p>
        </w:tc>
        <w:tc>
          <w:tcPr>
            <w:tcW w:w="3945" w:type="dxa"/>
            <w:shd w:val="clear" w:color="auto" w:fill="FFFFFF"/>
            <w:vAlign w:val="center"/>
          </w:tcPr>
          <w:p w14:paraId="67821D5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支持内存校验或内存增强型纠错功能</w:t>
            </w:r>
          </w:p>
        </w:tc>
        <w:tc>
          <w:tcPr>
            <w:tcW w:w="1356" w:type="dxa"/>
            <w:shd w:val="clear" w:color="auto" w:fill="FFFFFF"/>
            <w:vAlign w:val="center"/>
          </w:tcPr>
          <w:p w14:paraId="0A30797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F7D6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41A7D90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55</w:t>
            </w:r>
          </w:p>
        </w:tc>
        <w:tc>
          <w:tcPr>
            <w:tcW w:w="981" w:type="dxa"/>
            <w:shd w:val="clear" w:color="auto" w:fill="FFFFFF"/>
            <w:vAlign w:val="center"/>
          </w:tcPr>
          <w:p w14:paraId="646B939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continue"/>
            <w:shd w:val="clear" w:color="auto" w:fill="FFFFFF"/>
            <w:vAlign w:val="center"/>
          </w:tcPr>
          <w:p w14:paraId="33A1BB2D">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0CEA020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SATASSDNAND健康状态上报</w:t>
            </w:r>
          </w:p>
        </w:tc>
        <w:tc>
          <w:tcPr>
            <w:tcW w:w="3945" w:type="dxa"/>
            <w:shd w:val="clear" w:color="auto" w:fill="FFFFFF"/>
            <w:vAlign w:val="center"/>
          </w:tcPr>
          <w:p w14:paraId="69B5C7D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支持关键外部存储器（硬磁盘、SSD等）的健康状态上报并进行故障诊断</w:t>
            </w:r>
          </w:p>
        </w:tc>
        <w:tc>
          <w:tcPr>
            <w:tcW w:w="1356" w:type="dxa"/>
            <w:shd w:val="clear" w:color="auto" w:fill="FFFFFF"/>
            <w:vAlign w:val="center"/>
          </w:tcPr>
          <w:p w14:paraId="3322392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4836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24" w:type="dxa"/>
            <w:shd w:val="clear" w:color="auto" w:fill="FFFFFF"/>
            <w:vAlign w:val="center"/>
          </w:tcPr>
          <w:p w14:paraId="76C4C18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56</w:t>
            </w:r>
          </w:p>
        </w:tc>
        <w:tc>
          <w:tcPr>
            <w:tcW w:w="981" w:type="dxa"/>
            <w:shd w:val="clear" w:color="auto" w:fill="FFFFFF"/>
            <w:vAlign w:val="center"/>
          </w:tcPr>
          <w:p w14:paraId="04A5C2C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continue"/>
            <w:shd w:val="clear" w:color="auto" w:fill="FFFFFF"/>
            <w:vAlign w:val="center"/>
          </w:tcPr>
          <w:p w14:paraId="5E7C47F3">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367F9BA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SATASSD单die故障隔离</w:t>
            </w:r>
          </w:p>
        </w:tc>
        <w:tc>
          <w:tcPr>
            <w:tcW w:w="3945" w:type="dxa"/>
            <w:shd w:val="clear" w:color="auto" w:fill="FFFFFF"/>
            <w:vAlign w:val="center"/>
          </w:tcPr>
          <w:p w14:paraId="1EE87B3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支持SSD关键外部存储器中单存储晶元故障隔离</w:t>
            </w:r>
          </w:p>
        </w:tc>
        <w:tc>
          <w:tcPr>
            <w:tcW w:w="1356" w:type="dxa"/>
            <w:shd w:val="clear" w:color="auto" w:fill="FFFFFF"/>
            <w:vAlign w:val="center"/>
          </w:tcPr>
          <w:p w14:paraId="57713C4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2B71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7268EF8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57</w:t>
            </w:r>
          </w:p>
        </w:tc>
        <w:tc>
          <w:tcPr>
            <w:tcW w:w="981" w:type="dxa"/>
            <w:shd w:val="clear" w:color="auto" w:fill="FFFFFF"/>
            <w:vAlign w:val="center"/>
          </w:tcPr>
          <w:p w14:paraId="7BCEAE2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restart"/>
            <w:shd w:val="clear" w:color="auto" w:fill="FFFFFF"/>
            <w:vAlign w:val="center"/>
          </w:tcPr>
          <w:p w14:paraId="718CA6D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RAID卡功能</w:t>
            </w:r>
          </w:p>
        </w:tc>
        <w:tc>
          <w:tcPr>
            <w:tcW w:w="1545" w:type="dxa"/>
            <w:shd w:val="clear" w:color="auto" w:fill="FFFFFF"/>
            <w:vAlign w:val="center"/>
          </w:tcPr>
          <w:p w14:paraId="01824E4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RAID卡配置及RAID级别支持</w:t>
            </w:r>
          </w:p>
        </w:tc>
        <w:tc>
          <w:tcPr>
            <w:tcW w:w="3945" w:type="dxa"/>
            <w:shd w:val="clear" w:color="auto" w:fill="FFFFFF"/>
            <w:vAlign w:val="center"/>
          </w:tcPr>
          <w:p w14:paraId="3F2B50F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RAID模式支持RAID0/1/10/5；</w:t>
            </w:r>
          </w:p>
        </w:tc>
        <w:tc>
          <w:tcPr>
            <w:tcW w:w="1356" w:type="dxa"/>
            <w:shd w:val="clear" w:color="auto" w:fill="FFFFFF"/>
            <w:vAlign w:val="center"/>
          </w:tcPr>
          <w:p w14:paraId="2A9B8D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4D70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24" w:type="dxa"/>
            <w:shd w:val="clear" w:color="auto" w:fill="FFFFFF"/>
            <w:vAlign w:val="center"/>
          </w:tcPr>
          <w:p w14:paraId="236CF8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58</w:t>
            </w:r>
          </w:p>
        </w:tc>
        <w:tc>
          <w:tcPr>
            <w:tcW w:w="981" w:type="dxa"/>
            <w:shd w:val="clear" w:color="auto" w:fill="FFFFFF"/>
            <w:vAlign w:val="center"/>
          </w:tcPr>
          <w:p w14:paraId="4ACDA19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continue"/>
            <w:shd w:val="clear" w:color="auto" w:fill="FFFFFF"/>
            <w:vAlign w:val="center"/>
          </w:tcPr>
          <w:p w14:paraId="3650F7E8">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61C5B96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RAID卡BBU单元</w:t>
            </w:r>
          </w:p>
        </w:tc>
        <w:tc>
          <w:tcPr>
            <w:tcW w:w="3945" w:type="dxa"/>
            <w:shd w:val="clear" w:color="auto" w:fill="FFFFFF"/>
            <w:vAlign w:val="center"/>
          </w:tcPr>
          <w:p w14:paraId="1F4A74D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RAID卡支持电池或电容备份单元</w:t>
            </w:r>
          </w:p>
        </w:tc>
        <w:tc>
          <w:tcPr>
            <w:tcW w:w="1356" w:type="dxa"/>
            <w:shd w:val="clear" w:color="auto" w:fill="FFFFFF"/>
            <w:vAlign w:val="center"/>
          </w:tcPr>
          <w:p w14:paraId="75FD4D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4E44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080" w:hRule="atLeast"/>
        </w:trPr>
        <w:tc>
          <w:tcPr>
            <w:tcW w:w="624" w:type="dxa"/>
            <w:shd w:val="clear" w:color="auto" w:fill="FFFFFF"/>
            <w:vAlign w:val="center"/>
          </w:tcPr>
          <w:p w14:paraId="0C275B9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59</w:t>
            </w:r>
          </w:p>
        </w:tc>
        <w:tc>
          <w:tcPr>
            <w:tcW w:w="981" w:type="dxa"/>
            <w:shd w:val="clear" w:color="auto" w:fill="FFFFFF"/>
            <w:vAlign w:val="center"/>
          </w:tcPr>
          <w:p w14:paraId="0DE612F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shd w:val="clear" w:color="auto" w:fill="FFFFFF"/>
            <w:vAlign w:val="center"/>
          </w:tcPr>
          <w:p w14:paraId="66199A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光驱功能</w:t>
            </w:r>
          </w:p>
        </w:tc>
        <w:tc>
          <w:tcPr>
            <w:tcW w:w="1545" w:type="dxa"/>
            <w:shd w:val="clear" w:color="auto" w:fill="FFFFFF"/>
            <w:vAlign w:val="center"/>
          </w:tcPr>
          <w:p w14:paraId="78EB456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光驱类型（是否支持RW，以及光盘类型CD/DVD）</w:t>
            </w:r>
          </w:p>
        </w:tc>
        <w:tc>
          <w:tcPr>
            <w:tcW w:w="3945" w:type="dxa"/>
            <w:shd w:val="clear" w:color="auto" w:fill="FFFFFF"/>
            <w:vAlign w:val="center"/>
          </w:tcPr>
          <w:p w14:paraId="0639CCA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若配备光驱，应提供光驱的安装形式（如内置、外置）、光驱读写类型（如只读、可刻录等）、光盘类型的兼容列表（如CD-ROM、CD-RW、DVD±RW等）</w:t>
            </w:r>
          </w:p>
        </w:tc>
        <w:tc>
          <w:tcPr>
            <w:tcW w:w="1356" w:type="dxa"/>
            <w:shd w:val="clear" w:color="auto" w:fill="FFFFFF"/>
            <w:vAlign w:val="center"/>
          </w:tcPr>
          <w:p w14:paraId="77960A7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42B4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4C2708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60</w:t>
            </w:r>
          </w:p>
        </w:tc>
        <w:tc>
          <w:tcPr>
            <w:tcW w:w="981" w:type="dxa"/>
            <w:shd w:val="clear" w:color="auto" w:fill="FFFFFF"/>
            <w:vAlign w:val="center"/>
          </w:tcPr>
          <w:p w14:paraId="57E9D8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restart"/>
            <w:shd w:val="clear" w:color="auto" w:fill="FFFFFF"/>
            <w:vAlign w:val="center"/>
          </w:tcPr>
          <w:p w14:paraId="5D744D0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电源功能</w:t>
            </w:r>
          </w:p>
        </w:tc>
        <w:tc>
          <w:tcPr>
            <w:tcW w:w="1545" w:type="dxa"/>
            <w:shd w:val="clear" w:color="auto" w:fill="FFFFFF"/>
            <w:vAlign w:val="center"/>
          </w:tcPr>
          <w:p w14:paraId="0EF09E1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★电源热插拔</w:t>
            </w:r>
          </w:p>
        </w:tc>
        <w:tc>
          <w:tcPr>
            <w:tcW w:w="3945" w:type="dxa"/>
            <w:shd w:val="clear" w:color="auto" w:fill="FFFFFF"/>
            <w:vAlign w:val="center"/>
          </w:tcPr>
          <w:p w14:paraId="6C742E6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整机电源模块应具备热插拔功能</w:t>
            </w:r>
          </w:p>
        </w:tc>
        <w:tc>
          <w:tcPr>
            <w:tcW w:w="1356" w:type="dxa"/>
            <w:shd w:val="clear" w:color="auto" w:fill="FFFFFF"/>
            <w:vAlign w:val="center"/>
          </w:tcPr>
          <w:p w14:paraId="0F4A5A8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7112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4926B6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61</w:t>
            </w:r>
          </w:p>
        </w:tc>
        <w:tc>
          <w:tcPr>
            <w:tcW w:w="981" w:type="dxa"/>
            <w:shd w:val="clear" w:color="auto" w:fill="FFFFFF"/>
            <w:vAlign w:val="center"/>
          </w:tcPr>
          <w:p w14:paraId="576A82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continue"/>
            <w:shd w:val="clear" w:color="auto" w:fill="FFFFFF"/>
            <w:vAlign w:val="center"/>
          </w:tcPr>
          <w:p w14:paraId="15FD0885">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7859D54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★电源过流保护</w:t>
            </w:r>
          </w:p>
        </w:tc>
        <w:tc>
          <w:tcPr>
            <w:tcW w:w="3945" w:type="dxa"/>
            <w:shd w:val="clear" w:color="auto" w:fill="FFFFFF"/>
            <w:vAlign w:val="center"/>
          </w:tcPr>
          <w:p w14:paraId="1ED504E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支持过流及短路保护的功能</w:t>
            </w:r>
          </w:p>
        </w:tc>
        <w:tc>
          <w:tcPr>
            <w:tcW w:w="1356" w:type="dxa"/>
            <w:shd w:val="clear" w:color="auto" w:fill="FFFFFF"/>
            <w:vAlign w:val="center"/>
          </w:tcPr>
          <w:p w14:paraId="02B81F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78D3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24" w:type="dxa"/>
            <w:shd w:val="clear" w:color="auto" w:fill="FFFFFF"/>
            <w:vAlign w:val="center"/>
          </w:tcPr>
          <w:p w14:paraId="391FF84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62</w:t>
            </w:r>
          </w:p>
        </w:tc>
        <w:tc>
          <w:tcPr>
            <w:tcW w:w="981" w:type="dxa"/>
            <w:shd w:val="clear" w:color="auto" w:fill="FFFFFF"/>
            <w:vAlign w:val="center"/>
          </w:tcPr>
          <w:p w14:paraId="09C204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restart"/>
            <w:shd w:val="clear" w:color="auto" w:fill="FFFFFF"/>
            <w:vAlign w:val="center"/>
          </w:tcPr>
          <w:p w14:paraId="013BA88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整机功能</w:t>
            </w:r>
          </w:p>
        </w:tc>
        <w:tc>
          <w:tcPr>
            <w:tcW w:w="1545" w:type="dxa"/>
            <w:shd w:val="clear" w:color="auto" w:fill="FFFFFF"/>
            <w:vAlign w:val="center"/>
          </w:tcPr>
          <w:p w14:paraId="43DA993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★散热方式</w:t>
            </w:r>
          </w:p>
        </w:tc>
        <w:tc>
          <w:tcPr>
            <w:tcW w:w="3945" w:type="dxa"/>
            <w:shd w:val="clear" w:color="auto" w:fill="FFFFFF"/>
            <w:vAlign w:val="center"/>
          </w:tcPr>
          <w:p w14:paraId="2F2D3E2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支持风冷或液冷等散热方式</w:t>
            </w:r>
          </w:p>
        </w:tc>
        <w:tc>
          <w:tcPr>
            <w:tcW w:w="1356" w:type="dxa"/>
            <w:shd w:val="clear" w:color="auto" w:fill="FFFFFF"/>
            <w:vAlign w:val="center"/>
          </w:tcPr>
          <w:p w14:paraId="43680E9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7257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17CA738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63</w:t>
            </w:r>
          </w:p>
        </w:tc>
        <w:tc>
          <w:tcPr>
            <w:tcW w:w="981" w:type="dxa"/>
            <w:shd w:val="clear" w:color="auto" w:fill="FFFFFF"/>
            <w:vAlign w:val="center"/>
          </w:tcPr>
          <w:p w14:paraId="5972A00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continue"/>
            <w:shd w:val="clear" w:color="auto" w:fill="FFFFFF"/>
            <w:vAlign w:val="center"/>
          </w:tcPr>
          <w:p w14:paraId="474F5AB8">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6561581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其他功能</w:t>
            </w:r>
          </w:p>
        </w:tc>
        <w:tc>
          <w:tcPr>
            <w:tcW w:w="3945" w:type="dxa"/>
            <w:shd w:val="clear" w:color="auto" w:fill="FFFFFF"/>
            <w:vAlign w:val="center"/>
          </w:tcPr>
          <w:p w14:paraId="7C11928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a）支持关键部件冗余（包括电源、风扇等）；b）支持熔断保护与恢复功能</w:t>
            </w:r>
          </w:p>
        </w:tc>
        <w:tc>
          <w:tcPr>
            <w:tcW w:w="1356" w:type="dxa"/>
            <w:shd w:val="clear" w:color="auto" w:fill="FFFFFF"/>
            <w:vAlign w:val="center"/>
          </w:tcPr>
          <w:p w14:paraId="36112C2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4699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251" w:hRule="atLeast"/>
        </w:trPr>
        <w:tc>
          <w:tcPr>
            <w:tcW w:w="624" w:type="dxa"/>
            <w:shd w:val="clear" w:color="auto" w:fill="FFFFFF"/>
            <w:vAlign w:val="center"/>
          </w:tcPr>
          <w:p w14:paraId="56643F2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64</w:t>
            </w:r>
          </w:p>
        </w:tc>
        <w:tc>
          <w:tcPr>
            <w:tcW w:w="981" w:type="dxa"/>
            <w:shd w:val="clear" w:color="auto" w:fill="FFFFFF"/>
            <w:vAlign w:val="center"/>
          </w:tcPr>
          <w:p w14:paraId="1EED8E0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shd w:val="clear" w:color="auto" w:fill="FFFFFF"/>
            <w:vAlign w:val="center"/>
          </w:tcPr>
          <w:p w14:paraId="07D8EB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管理系统功能</w:t>
            </w:r>
          </w:p>
        </w:tc>
        <w:tc>
          <w:tcPr>
            <w:tcW w:w="1545" w:type="dxa"/>
            <w:shd w:val="clear" w:color="auto" w:fill="FFFFFF"/>
            <w:vAlign w:val="center"/>
          </w:tcPr>
          <w:p w14:paraId="74C03CD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★BMC固件基础功能</w:t>
            </w:r>
          </w:p>
        </w:tc>
        <w:tc>
          <w:tcPr>
            <w:tcW w:w="3945" w:type="dxa"/>
            <w:shd w:val="clear" w:color="auto" w:fill="FFFFFF"/>
            <w:vAlign w:val="center"/>
          </w:tcPr>
          <w:p w14:paraId="0BD2BE1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支持DHCP设置网络功能；2）支持静态IP设置网络功能；3）支持设备日志记录，包括但不限于登录日志、操作日志和报警日志等功能；4）支持日志信息导出和记录删除功能；5）支持通过管理接口向外输出准确的报警信息功能；6）设备的BMC管理软件应能够按报警的严重程度进行区分；7）支持IPMI2.0、SNMP或Redfish等接口功能；8）支持键盘、鼠标和视频的重定向、文本控制台的重定向、远程虚拟媒体、高可靠的硬件监控和管理功能；9）支持基于网络开启、关闭和重启设备的功能，并查询当前设备开机运行状态；10）支持故障提示功能，并可通过接口读取服务器故障信息；11）支持基于网络的固件更新功能，包括BMC和BIOS等；12）支持基于网络安装操作系统的功能，并可通过网络控制台访问设备；13）支持通过本地的硬盘或光驱等存储设备，基于网络完成设备的操作系统安装功能；14）支持通过浏览器打开管理界面并登录功能；15）支持设置口令策略功能；16）支持访问权限设置功能，并通过日志记录访问事件；17）支持对出厂默认的用户名及口令进行安全保护功能，并提供默认口令修改提示；18）支持读取设备主板的工作环境温度功能；19）支持读取服务器CPU等核心器件的温度功能；20）支持通过外部管理工具进行BMC参数设置的功能，并可基于网络通过外部管理工具对BMC进行管理；21）应支持固件版本查询、固件升级22）支持基于网络实现开关机和复位控制的功能；23)BMC启动时间应不超过180s，实现功能包括网络、IPMI、散热、传感器服务可用；24）支持BMC固件设置的恢复出厂功能</w:t>
            </w:r>
          </w:p>
        </w:tc>
        <w:tc>
          <w:tcPr>
            <w:tcW w:w="1356" w:type="dxa"/>
            <w:shd w:val="clear" w:color="auto" w:fill="FFFFFF"/>
            <w:vAlign w:val="center"/>
          </w:tcPr>
          <w:p w14:paraId="7EF31C4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7814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624" w:type="dxa"/>
            <w:shd w:val="clear" w:color="auto" w:fill="FFFFFF"/>
            <w:vAlign w:val="center"/>
          </w:tcPr>
          <w:p w14:paraId="5C4F19B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65</w:t>
            </w:r>
          </w:p>
        </w:tc>
        <w:tc>
          <w:tcPr>
            <w:tcW w:w="981" w:type="dxa"/>
            <w:shd w:val="clear" w:color="auto" w:fill="FFFFFF"/>
            <w:vAlign w:val="center"/>
          </w:tcPr>
          <w:p w14:paraId="25B502C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restart"/>
            <w:shd w:val="clear" w:color="auto" w:fill="FFFFFF"/>
            <w:vAlign w:val="center"/>
          </w:tcPr>
          <w:p w14:paraId="0C9641B7">
            <w:pPr>
              <w:widowControl/>
              <w:jc w:val="center"/>
              <w:rPr>
                <w:rFonts w:asciiTheme="minorEastAsia" w:hAnsiTheme="minorEastAsia" w:eastAsiaTheme="minorEastAsia" w:cstheme="minorEastAsia"/>
                <w:kern w:val="0"/>
                <w:sz w:val="24"/>
              </w:rPr>
            </w:pPr>
          </w:p>
        </w:tc>
        <w:tc>
          <w:tcPr>
            <w:tcW w:w="1545" w:type="dxa"/>
            <w:shd w:val="clear" w:color="auto" w:fill="FFFFFF"/>
            <w:vAlign w:val="center"/>
          </w:tcPr>
          <w:p w14:paraId="0661C3B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BMC固件增强功能</w:t>
            </w:r>
          </w:p>
        </w:tc>
        <w:tc>
          <w:tcPr>
            <w:tcW w:w="3945" w:type="dxa"/>
            <w:shd w:val="clear" w:color="auto" w:fill="FFFFFF"/>
            <w:vAlign w:val="center"/>
          </w:tcPr>
          <w:p w14:paraId="6E9BF69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a）网络控制、安装提供图形访问界面网络；b）设备的BMC管理软件界面显示报警信息，且能够按报警的严重程度进行区分；c）WebGUI采用BMC端口直连，平均响应时间为≤1s</w:t>
            </w:r>
          </w:p>
        </w:tc>
        <w:tc>
          <w:tcPr>
            <w:tcW w:w="1356" w:type="dxa"/>
            <w:shd w:val="clear" w:color="auto" w:fill="FFFFFF"/>
            <w:vAlign w:val="center"/>
          </w:tcPr>
          <w:p w14:paraId="37A9D2C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915D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240" w:hRule="atLeast"/>
        </w:trPr>
        <w:tc>
          <w:tcPr>
            <w:tcW w:w="624" w:type="dxa"/>
            <w:shd w:val="clear" w:color="auto" w:fill="FFFFFF"/>
            <w:vAlign w:val="center"/>
          </w:tcPr>
          <w:p w14:paraId="15F4E28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66</w:t>
            </w:r>
          </w:p>
        </w:tc>
        <w:tc>
          <w:tcPr>
            <w:tcW w:w="981" w:type="dxa"/>
            <w:shd w:val="clear" w:color="auto" w:fill="FFFFFF"/>
            <w:vAlign w:val="center"/>
          </w:tcPr>
          <w:p w14:paraId="25B06BF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continue"/>
            <w:shd w:val="clear" w:color="auto" w:fill="FFFFFF"/>
            <w:vAlign w:val="center"/>
          </w:tcPr>
          <w:p w14:paraId="461C80D1">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35E1903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★BIOS固件基础功能</w:t>
            </w:r>
          </w:p>
        </w:tc>
        <w:tc>
          <w:tcPr>
            <w:tcW w:w="3945" w:type="dxa"/>
            <w:shd w:val="clear" w:color="auto" w:fill="FFFFFF"/>
            <w:vAlign w:val="center"/>
          </w:tcPr>
          <w:p w14:paraId="19EC206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查看固件版本、内存信息、主板信息、处理器信息和系统时间信息功能；b）支持上电初始化界面显示CPU信息、内存信息、固件版本和部分快捷键信息功能；c）支持设置界面中英文显示切换功能；d）支持查看PCIe设备信息，SATA设备信息功能；e）支持操作系统安装和引导功能，应并向操作系统提供计算机主板信息和服务接口；f）支持设置启动顺序，并按照设置的启动顺序启动功能；g）支持安全启动功能；h）支持设置口令、修改口令、验证口令功能；i）支持板载显示控制或独立显卡的显示控制功能；j）支持RAID识别和启动功能；k）支持串口重定向功能；l）支持固件更新功能；m）支持BIOS固件设置的恢复出厂功能；n）支持网络引导启用和关闭功能</w:t>
            </w:r>
          </w:p>
        </w:tc>
        <w:tc>
          <w:tcPr>
            <w:tcW w:w="1356" w:type="dxa"/>
            <w:shd w:val="clear" w:color="auto" w:fill="FFFFFF"/>
            <w:vAlign w:val="center"/>
          </w:tcPr>
          <w:p w14:paraId="67835C6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DFB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24" w:type="dxa"/>
            <w:shd w:val="clear" w:color="auto" w:fill="FFFFFF"/>
            <w:vAlign w:val="center"/>
          </w:tcPr>
          <w:p w14:paraId="2B13ED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67</w:t>
            </w:r>
          </w:p>
        </w:tc>
        <w:tc>
          <w:tcPr>
            <w:tcW w:w="981" w:type="dxa"/>
            <w:shd w:val="clear" w:color="auto" w:fill="FFFFFF"/>
            <w:vAlign w:val="center"/>
          </w:tcPr>
          <w:p w14:paraId="028E18C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continue"/>
            <w:shd w:val="clear" w:color="auto" w:fill="FFFFFF"/>
            <w:vAlign w:val="center"/>
          </w:tcPr>
          <w:p w14:paraId="7DAF056C">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1F3527A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★远程控制</w:t>
            </w:r>
          </w:p>
        </w:tc>
        <w:tc>
          <w:tcPr>
            <w:tcW w:w="3945" w:type="dxa"/>
            <w:shd w:val="clear" w:color="auto" w:fill="FFFFFF"/>
            <w:vAlign w:val="center"/>
          </w:tcPr>
          <w:p w14:paraId="6C03CAF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支持远程关机和重新启动功能</w:t>
            </w:r>
          </w:p>
        </w:tc>
        <w:tc>
          <w:tcPr>
            <w:tcW w:w="1356" w:type="dxa"/>
            <w:shd w:val="clear" w:color="auto" w:fill="FFFFFF"/>
            <w:vAlign w:val="center"/>
          </w:tcPr>
          <w:p w14:paraId="45F0C6D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D0FA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4DE045F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68</w:t>
            </w:r>
          </w:p>
        </w:tc>
        <w:tc>
          <w:tcPr>
            <w:tcW w:w="981" w:type="dxa"/>
            <w:shd w:val="clear" w:color="auto" w:fill="FFFFFF"/>
            <w:vAlign w:val="center"/>
          </w:tcPr>
          <w:p w14:paraId="251852F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restart"/>
            <w:shd w:val="clear" w:color="auto" w:fill="FFFFFF"/>
            <w:vAlign w:val="center"/>
          </w:tcPr>
          <w:p w14:paraId="1085000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操作系统及驱动功能</w:t>
            </w:r>
          </w:p>
        </w:tc>
        <w:tc>
          <w:tcPr>
            <w:tcW w:w="1545" w:type="dxa"/>
            <w:shd w:val="clear" w:color="auto" w:fill="FFFFFF"/>
            <w:vAlign w:val="center"/>
          </w:tcPr>
          <w:p w14:paraId="2E2C78C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★操作系统及驱动的升级</w:t>
            </w:r>
          </w:p>
        </w:tc>
        <w:tc>
          <w:tcPr>
            <w:tcW w:w="3945" w:type="dxa"/>
            <w:shd w:val="clear" w:color="auto" w:fill="FFFFFF"/>
            <w:vAlign w:val="center"/>
          </w:tcPr>
          <w:p w14:paraId="5C10AE1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支持通过网络、闪存盘对操作系统、驱动进行升级</w:t>
            </w:r>
          </w:p>
        </w:tc>
        <w:tc>
          <w:tcPr>
            <w:tcW w:w="1356" w:type="dxa"/>
            <w:shd w:val="clear" w:color="auto" w:fill="FFFFFF"/>
            <w:vAlign w:val="center"/>
          </w:tcPr>
          <w:p w14:paraId="57E7D7C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6960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2E354B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69</w:t>
            </w:r>
          </w:p>
        </w:tc>
        <w:tc>
          <w:tcPr>
            <w:tcW w:w="981" w:type="dxa"/>
            <w:shd w:val="clear" w:color="auto" w:fill="FFFFFF"/>
            <w:vAlign w:val="center"/>
          </w:tcPr>
          <w:p w14:paraId="2C8B1C1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continue"/>
            <w:shd w:val="clear" w:color="auto" w:fill="FFFFFF"/>
            <w:vAlign w:val="center"/>
          </w:tcPr>
          <w:p w14:paraId="10C8A45B">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5C1EE7F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操作系统及驱动的备份还原</w:t>
            </w:r>
          </w:p>
        </w:tc>
        <w:tc>
          <w:tcPr>
            <w:tcW w:w="3945" w:type="dxa"/>
            <w:shd w:val="clear" w:color="auto" w:fill="FFFFFF"/>
            <w:vAlign w:val="center"/>
          </w:tcPr>
          <w:p w14:paraId="4CFABFB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支持操作系统备份及还原功能</w:t>
            </w:r>
          </w:p>
        </w:tc>
        <w:tc>
          <w:tcPr>
            <w:tcW w:w="1356" w:type="dxa"/>
            <w:shd w:val="clear" w:color="auto" w:fill="FFFFFF"/>
            <w:vAlign w:val="center"/>
          </w:tcPr>
          <w:p w14:paraId="4D41AAD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843C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60707FC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70</w:t>
            </w:r>
          </w:p>
        </w:tc>
        <w:tc>
          <w:tcPr>
            <w:tcW w:w="981" w:type="dxa"/>
            <w:shd w:val="clear" w:color="auto" w:fill="FFFFFF"/>
            <w:vAlign w:val="center"/>
          </w:tcPr>
          <w:p w14:paraId="6D7F443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continue"/>
            <w:shd w:val="clear" w:color="auto" w:fill="FFFFFF"/>
            <w:vAlign w:val="center"/>
          </w:tcPr>
          <w:p w14:paraId="171DA9F3">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22A83CC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★操作系统功能</w:t>
            </w:r>
          </w:p>
        </w:tc>
        <w:tc>
          <w:tcPr>
            <w:tcW w:w="3945" w:type="dxa"/>
            <w:shd w:val="clear" w:color="auto" w:fill="FFFFFF"/>
            <w:vAlign w:val="center"/>
          </w:tcPr>
          <w:p w14:paraId="444E8E1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a）支持访问控制、安全审计、网络接入鉴别等功能；b）操作系统其他功能应满足操作系统政府采购需求标准中加*的指标要求</w:t>
            </w:r>
          </w:p>
        </w:tc>
        <w:tc>
          <w:tcPr>
            <w:tcW w:w="1356" w:type="dxa"/>
            <w:shd w:val="clear" w:color="auto" w:fill="FFFFFF"/>
            <w:vAlign w:val="center"/>
          </w:tcPr>
          <w:p w14:paraId="1837A5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CCBE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3270382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71</w:t>
            </w:r>
          </w:p>
        </w:tc>
        <w:tc>
          <w:tcPr>
            <w:tcW w:w="981" w:type="dxa"/>
            <w:shd w:val="clear" w:color="auto" w:fill="FFFFFF"/>
            <w:vAlign w:val="center"/>
          </w:tcPr>
          <w:p w14:paraId="67C14D7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shd w:val="clear" w:color="auto" w:fill="FFFFFF"/>
            <w:vAlign w:val="center"/>
          </w:tcPr>
          <w:p w14:paraId="130F869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中文信息处理功能</w:t>
            </w:r>
          </w:p>
        </w:tc>
        <w:tc>
          <w:tcPr>
            <w:tcW w:w="1545" w:type="dxa"/>
            <w:shd w:val="clear" w:color="auto" w:fill="FFFFFF"/>
            <w:vAlign w:val="center"/>
          </w:tcPr>
          <w:p w14:paraId="1C070A0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★中文信息处理</w:t>
            </w:r>
          </w:p>
        </w:tc>
        <w:tc>
          <w:tcPr>
            <w:tcW w:w="3945" w:type="dxa"/>
            <w:shd w:val="clear" w:color="auto" w:fill="FFFFFF"/>
            <w:vAlign w:val="center"/>
          </w:tcPr>
          <w:p w14:paraId="0419E39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符合GB18030的有关规定</w:t>
            </w:r>
          </w:p>
        </w:tc>
        <w:tc>
          <w:tcPr>
            <w:tcW w:w="1356" w:type="dxa"/>
            <w:shd w:val="clear" w:color="auto" w:fill="FFFFFF"/>
            <w:vAlign w:val="center"/>
          </w:tcPr>
          <w:p w14:paraId="220B867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14BB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227ABA6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72</w:t>
            </w:r>
          </w:p>
        </w:tc>
        <w:tc>
          <w:tcPr>
            <w:tcW w:w="981" w:type="dxa"/>
            <w:shd w:val="clear" w:color="auto" w:fill="FFFFFF"/>
            <w:vAlign w:val="center"/>
          </w:tcPr>
          <w:p w14:paraId="0DB9587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restart"/>
            <w:shd w:val="clear" w:color="auto" w:fill="FFFFFF"/>
            <w:vAlign w:val="center"/>
          </w:tcPr>
          <w:p w14:paraId="46CCFDF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机柜功能</w:t>
            </w:r>
          </w:p>
        </w:tc>
        <w:tc>
          <w:tcPr>
            <w:tcW w:w="1545" w:type="dxa"/>
            <w:shd w:val="clear" w:color="auto" w:fill="FFFFFF"/>
            <w:vAlign w:val="center"/>
          </w:tcPr>
          <w:p w14:paraId="383A4C0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机柜管理功能</w:t>
            </w:r>
          </w:p>
        </w:tc>
        <w:tc>
          <w:tcPr>
            <w:tcW w:w="3945" w:type="dxa"/>
            <w:shd w:val="clear" w:color="auto" w:fill="FFFFFF"/>
            <w:vAlign w:val="center"/>
          </w:tcPr>
          <w:p w14:paraId="793CBD3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机柜管理系统包括服务器节点BMC管理系统、机柜管理系统或交换节点管理系统</w:t>
            </w:r>
          </w:p>
        </w:tc>
        <w:tc>
          <w:tcPr>
            <w:tcW w:w="1356" w:type="dxa"/>
            <w:shd w:val="clear" w:color="auto" w:fill="FFFFFF"/>
            <w:vAlign w:val="center"/>
          </w:tcPr>
          <w:p w14:paraId="0002323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B9D0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150627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73</w:t>
            </w:r>
          </w:p>
        </w:tc>
        <w:tc>
          <w:tcPr>
            <w:tcW w:w="981" w:type="dxa"/>
            <w:shd w:val="clear" w:color="auto" w:fill="FFFFFF"/>
            <w:vAlign w:val="center"/>
          </w:tcPr>
          <w:p w14:paraId="036CBD5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continue"/>
            <w:shd w:val="clear" w:color="auto" w:fill="FFFFFF"/>
            <w:vAlign w:val="center"/>
          </w:tcPr>
          <w:p w14:paraId="0DD6A910">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5F78820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机柜通信方式</w:t>
            </w:r>
          </w:p>
        </w:tc>
        <w:tc>
          <w:tcPr>
            <w:tcW w:w="3945" w:type="dxa"/>
            <w:shd w:val="clear" w:color="auto" w:fill="FFFFFF"/>
            <w:vAlign w:val="center"/>
          </w:tcPr>
          <w:p w14:paraId="2E418E1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若配备机柜管理板可实现包括：资产管理、电源模块、功耗管理和液冷漏液检测等功能</w:t>
            </w:r>
          </w:p>
        </w:tc>
        <w:tc>
          <w:tcPr>
            <w:tcW w:w="1356" w:type="dxa"/>
            <w:shd w:val="clear" w:color="auto" w:fill="FFFFFF"/>
            <w:vAlign w:val="center"/>
          </w:tcPr>
          <w:p w14:paraId="036B9A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132E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4DBDF4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74</w:t>
            </w:r>
          </w:p>
        </w:tc>
        <w:tc>
          <w:tcPr>
            <w:tcW w:w="981" w:type="dxa"/>
            <w:shd w:val="clear" w:color="auto" w:fill="FFFFFF"/>
            <w:vAlign w:val="center"/>
          </w:tcPr>
          <w:p w14:paraId="6A9FB9B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74" w:type="dxa"/>
            <w:vMerge w:val="continue"/>
            <w:shd w:val="clear" w:color="auto" w:fill="FFFFFF"/>
            <w:vAlign w:val="center"/>
          </w:tcPr>
          <w:p w14:paraId="45E33EC0">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7D5C271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多集群作业管理</w:t>
            </w:r>
          </w:p>
        </w:tc>
        <w:tc>
          <w:tcPr>
            <w:tcW w:w="3945" w:type="dxa"/>
            <w:shd w:val="clear" w:color="auto" w:fill="FFFFFF"/>
            <w:vAlign w:val="center"/>
          </w:tcPr>
          <w:p w14:paraId="03EC4FF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支持多集群作业管理功能</w:t>
            </w:r>
          </w:p>
        </w:tc>
        <w:tc>
          <w:tcPr>
            <w:tcW w:w="1356" w:type="dxa"/>
            <w:shd w:val="clear" w:color="auto" w:fill="FFFFFF"/>
            <w:vAlign w:val="center"/>
          </w:tcPr>
          <w:p w14:paraId="3529979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A348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15D6708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75</w:t>
            </w:r>
          </w:p>
        </w:tc>
        <w:tc>
          <w:tcPr>
            <w:tcW w:w="981" w:type="dxa"/>
            <w:shd w:val="clear" w:color="auto" w:fill="FFFFFF"/>
            <w:vAlign w:val="center"/>
          </w:tcPr>
          <w:p w14:paraId="594C002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shd w:val="clear" w:color="auto" w:fill="FFFFFF"/>
            <w:vAlign w:val="center"/>
          </w:tcPr>
          <w:p w14:paraId="01AD925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关键部件安全要求</w:t>
            </w:r>
          </w:p>
        </w:tc>
        <w:tc>
          <w:tcPr>
            <w:tcW w:w="1545" w:type="dxa"/>
            <w:shd w:val="clear" w:color="auto" w:fill="FFFFFF"/>
            <w:vAlign w:val="center"/>
          </w:tcPr>
          <w:p w14:paraId="523FE42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★关键部件安全要求</w:t>
            </w:r>
          </w:p>
        </w:tc>
        <w:tc>
          <w:tcPr>
            <w:tcW w:w="3945" w:type="dxa"/>
            <w:shd w:val="clear" w:color="auto" w:fill="FFFFFF"/>
            <w:vAlign w:val="center"/>
          </w:tcPr>
          <w:p w14:paraId="372205D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CPU和操作系统等关键部件应当符合安全可靠测评要求</w:t>
            </w:r>
          </w:p>
        </w:tc>
        <w:tc>
          <w:tcPr>
            <w:tcW w:w="1356" w:type="dxa"/>
            <w:shd w:val="clear" w:color="auto" w:fill="FFFFFF"/>
            <w:vAlign w:val="center"/>
          </w:tcPr>
          <w:p w14:paraId="47BD66D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432A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5D21D72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76</w:t>
            </w:r>
          </w:p>
        </w:tc>
        <w:tc>
          <w:tcPr>
            <w:tcW w:w="981" w:type="dxa"/>
            <w:shd w:val="clear" w:color="auto" w:fill="FFFFFF"/>
            <w:vAlign w:val="center"/>
          </w:tcPr>
          <w:p w14:paraId="087936B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restart"/>
            <w:shd w:val="clear" w:color="auto" w:fill="FFFFFF"/>
            <w:vAlign w:val="center"/>
          </w:tcPr>
          <w:p w14:paraId="0C07E37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固件安全要求</w:t>
            </w:r>
          </w:p>
        </w:tc>
        <w:tc>
          <w:tcPr>
            <w:tcW w:w="1545" w:type="dxa"/>
            <w:shd w:val="clear" w:color="auto" w:fill="FFFFFF"/>
            <w:vAlign w:val="center"/>
          </w:tcPr>
          <w:p w14:paraId="5D9287F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★故障检测</w:t>
            </w:r>
          </w:p>
        </w:tc>
        <w:tc>
          <w:tcPr>
            <w:tcW w:w="3945" w:type="dxa"/>
            <w:shd w:val="clear" w:color="auto" w:fill="FFFFFF"/>
            <w:vAlign w:val="center"/>
          </w:tcPr>
          <w:p w14:paraId="1DCF97C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支持故障检测功能，可以检测到具体的FRU（内存、硬盘等）的故障并发出告警</w:t>
            </w:r>
          </w:p>
        </w:tc>
        <w:tc>
          <w:tcPr>
            <w:tcW w:w="1356" w:type="dxa"/>
            <w:shd w:val="clear" w:color="auto" w:fill="FFFFFF"/>
            <w:vAlign w:val="center"/>
          </w:tcPr>
          <w:p w14:paraId="523BF76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E2D7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2D92042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77</w:t>
            </w:r>
          </w:p>
        </w:tc>
        <w:tc>
          <w:tcPr>
            <w:tcW w:w="981" w:type="dxa"/>
            <w:shd w:val="clear" w:color="auto" w:fill="FFFFFF"/>
            <w:vAlign w:val="center"/>
          </w:tcPr>
          <w:p w14:paraId="518F64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7EB9C29D">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6ABEB2E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内存故障智能预测和自愈修复</w:t>
            </w:r>
          </w:p>
        </w:tc>
        <w:tc>
          <w:tcPr>
            <w:tcW w:w="3945" w:type="dxa"/>
            <w:shd w:val="clear" w:color="auto" w:fill="FFFFFF"/>
            <w:vAlign w:val="center"/>
          </w:tcPr>
          <w:p w14:paraId="0A46CCE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支持内存故障智能预测和自愈修复，提前自动硬隔离，避免内存故障引起的非预期宕机以及内存寿命的降低</w:t>
            </w:r>
          </w:p>
        </w:tc>
        <w:tc>
          <w:tcPr>
            <w:tcW w:w="1356" w:type="dxa"/>
            <w:shd w:val="clear" w:color="auto" w:fill="FFFFFF"/>
            <w:vAlign w:val="center"/>
          </w:tcPr>
          <w:p w14:paraId="68B777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ABCD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096A03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78</w:t>
            </w:r>
          </w:p>
        </w:tc>
        <w:tc>
          <w:tcPr>
            <w:tcW w:w="981" w:type="dxa"/>
            <w:shd w:val="clear" w:color="auto" w:fill="FFFFFF"/>
            <w:vAlign w:val="center"/>
          </w:tcPr>
          <w:p w14:paraId="2C30D1F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5AE490EF">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1DE6EE3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硬盘故障智能预测</w:t>
            </w:r>
          </w:p>
        </w:tc>
        <w:tc>
          <w:tcPr>
            <w:tcW w:w="3945" w:type="dxa"/>
            <w:shd w:val="clear" w:color="auto" w:fill="FFFFFF"/>
            <w:vAlign w:val="center"/>
          </w:tcPr>
          <w:p w14:paraId="03A8EA6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支持硬盘故障智能预测，基于故障模型预测出硬盘的故障</w:t>
            </w:r>
          </w:p>
        </w:tc>
        <w:tc>
          <w:tcPr>
            <w:tcW w:w="1356" w:type="dxa"/>
            <w:shd w:val="clear" w:color="auto" w:fill="FFFFFF"/>
            <w:vAlign w:val="center"/>
          </w:tcPr>
          <w:p w14:paraId="3B92496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F1CD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6596B03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79</w:t>
            </w:r>
          </w:p>
        </w:tc>
        <w:tc>
          <w:tcPr>
            <w:tcW w:w="981" w:type="dxa"/>
            <w:shd w:val="clear" w:color="auto" w:fill="FFFFFF"/>
            <w:vAlign w:val="center"/>
          </w:tcPr>
          <w:p w14:paraId="0F13EAF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62431BF6">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06B351A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PCIe链路故障智能诊断</w:t>
            </w:r>
          </w:p>
        </w:tc>
        <w:tc>
          <w:tcPr>
            <w:tcW w:w="3945" w:type="dxa"/>
            <w:shd w:val="clear" w:color="auto" w:fill="FFFFFF"/>
            <w:vAlign w:val="center"/>
          </w:tcPr>
          <w:p w14:paraId="4623D94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支持PCIe链路故障智能诊断，判断出现故障的PCIe链路</w:t>
            </w:r>
          </w:p>
        </w:tc>
        <w:tc>
          <w:tcPr>
            <w:tcW w:w="1356" w:type="dxa"/>
            <w:shd w:val="clear" w:color="auto" w:fill="FFFFFF"/>
            <w:vAlign w:val="center"/>
          </w:tcPr>
          <w:p w14:paraId="1A99E3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BB0E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378FC1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80</w:t>
            </w:r>
          </w:p>
        </w:tc>
        <w:tc>
          <w:tcPr>
            <w:tcW w:w="981" w:type="dxa"/>
            <w:shd w:val="clear" w:color="auto" w:fill="FFFFFF"/>
            <w:vAlign w:val="center"/>
          </w:tcPr>
          <w:p w14:paraId="294CFDE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278DDB3E">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00617CF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内存故障隔离</w:t>
            </w:r>
          </w:p>
        </w:tc>
        <w:tc>
          <w:tcPr>
            <w:tcW w:w="3945" w:type="dxa"/>
            <w:shd w:val="clear" w:color="auto" w:fill="FFFFFF"/>
            <w:vAlign w:val="center"/>
          </w:tcPr>
          <w:p w14:paraId="575E80D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支持内存故障隔离，在内存产生CE故障时，内存地址被隔离成功，服务器正常运行，业务系统不中断</w:t>
            </w:r>
          </w:p>
        </w:tc>
        <w:tc>
          <w:tcPr>
            <w:tcW w:w="1356" w:type="dxa"/>
            <w:shd w:val="clear" w:color="auto" w:fill="FFFFFF"/>
            <w:vAlign w:val="center"/>
          </w:tcPr>
          <w:p w14:paraId="21F4C9A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4094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24" w:type="dxa"/>
            <w:shd w:val="clear" w:color="auto" w:fill="FFFFFF"/>
            <w:vAlign w:val="center"/>
          </w:tcPr>
          <w:p w14:paraId="48EA8DD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81</w:t>
            </w:r>
          </w:p>
        </w:tc>
        <w:tc>
          <w:tcPr>
            <w:tcW w:w="981" w:type="dxa"/>
            <w:shd w:val="clear" w:color="auto" w:fill="FFFFFF"/>
            <w:vAlign w:val="center"/>
          </w:tcPr>
          <w:p w14:paraId="3A60387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5D817FD7">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3407A29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内存、PCIe卡的故障精准告警功能</w:t>
            </w:r>
          </w:p>
        </w:tc>
        <w:tc>
          <w:tcPr>
            <w:tcW w:w="3945" w:type="dxa"/>
            <w:shd w:val="clear" w:color="auto" w:fill="FFFFFF"/>
            <w:vAlign w:val="center"/>
          </w:tcPr>
          <w:p w14:paraId="5ACCC72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支持内存、PCIe卡的故障精准告警功能，触发告警并明确指示具体的故障位置</w:t>
            </w:r>
          </w:p>
        </w:tc>
        <w:tc>
          <w:tcPr>
            <w:tcW w:w="1356" w:type="dxa"/>
            <w:shd w:val="clear" w:color="auto" w:fill="FFFFFF"/>
            <w:vAlign w:val="center"/>
          </w:tcPr>
          <w:p w14:paraId="7DE1501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C871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04A88C8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82</w:t>
            </w:r>
          </w:p>
        </w:tc>
        <w:tc>
          <w:tcPr>
            <w:tcW w:w="981" w:type="dxa"/>
            <w:shd w:val="clear" w:color="auto" w:fill="FFFFFF"/>
            <w:vAlign w:val="center"/>
          </w:tcPr>
          <w:p w14:paraId="5A571F9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1D859CD8">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36A4150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异常下电关键数据保护</w:t>
            </w:r>
          </w:p>
        </w:tc>
        <w:tc>
          <w:tcPr>
            <w:tcW w:w="3945" w:type="dxa"/>
            <w:shd w:val="clear" w:color="auto" w:fill="FFFFFF"/>
            <w:vAlign w:val="center"/>
          </w:tcPr>
          <w:p w14:paraId="55105A1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支持异常掉电关键数据保护，支持数据备份恢复机制，防止系统异常掉电导致的数据文件丢失</w:t>
            </w:r>
          </w:p>
        </w:tc>
        <w:tc>
          <w:tcPr>
            <w:tcW w:w="1356" w:type="dxa"/>
            <w:shd w:val="clear" w:color="auto" w:fill="FFFFFF"/>
            <w:vAlign w:val="center"/>
          </w:tcPr>
          <w:p w14:paraId="301D839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E6A0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28FCB74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83</w:t>
            </w:r>
          </w:p>
        </w:tc>
        <w:tc>
          <w:tcPr>
            <w:tcW w:w="981" w:type="dxa"/>
            <w:shd w:val="clear" w:color="auto" w:fill="FFFFFF"/>
            <w:vAlign w:val="center"/>
          </w:tcPr>
          <w:p w14:paraId="3656733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5F16AA5F">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04C9976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BMC/BIOS固件双镜像保护</w:t>
            </w:r>
          </w:p>
        </w:tc>
        <w:tc>
          <w:tcPr>
            <w:tcW w:w="3945" w:type="dxa"/>
            <w:shd w:val="clear" w:color="auto" w:fill="FFFFFF"/>
            <w:vAlign w:val="center"/>
          </w:tcPr>
          <w:p w14:paraId="520518E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支持BMC/BIOS固件双镜像保护，运行异常时自动切换到备份镜像运行，提升系统稳定性</w:t>
            </w:r>
          </w:p>
        </w:tc>
        <w:tc>
          <w:tcPr>
            <w:tcW w:w="1356" w:type="dxa"/>
            <w:shd w:val="clear" w:color="auto" w:fill="FFFFFF"/>
            <w:vAlign w:val="center"/>
          </w:tcPr>
          <w:p w14:paraId="13E3945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6575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73B0C92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84</w:t>
            </w:r>
          </w:p>
        </w:tc>
        <w:tc>
          <w:tcPr>
            <w:tcW w:w="981" w:type="dxa"/>
            <w:shd w:val="clear" w:color="auto" w:fill="FFFFFF"/>
            <w:vAlign w:val="center"/>
          </w:tcPr>
          <w:p w14:paraId="274732B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5C730284">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396BE9A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CPU核重启隔离</w:t>
            </w:r>
          </w:p>
        </w:tc>
        <w:tc>
          <w:tcPr>
            <w:tcW w:w="3945" w:type="dxa"/>
            <w:shd w:val="clear" w:color="auto" w:fill="FFFFFF"/>
            <w:vAlign w:val="center"/>
          </w:tcPr>
          <w:p w14:paraId="3F9CD22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支持CPU核发生不可纠正故障后，重启后由BIOS隔离该故障核，OS不可见，防止OS再次使用导致系统异常，核0除外</w:t>
            </w:r>
          </w:p>
        </w:tc>
        <w:tc>
          <w:tcPr>
            <w:tcW w:w="1356" w:type="dxa"/>
            <w:shd w:val="clear" w:color="auto" w:fill="FFFFFF"/>
            <w:vAlign w:val="center"/>
          </w:tcPr>
          <w:p w14:paraId="16D04A6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5C34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24" w:type="dxa"/>
            <w:shd w:val="clear" w:color="auto" w:fill="FFFFFF"/>
            <w:vAlign w:val="center"/>
          </w:tcPr>
          <w:p w14:paraId="3F107A2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85</w:t>
            </w:r>
          </w:p>
        </w:tc>
        <w:tc>
          <w:tcPr>
            <w:tcW w:w="981" w:type="dxa"/>
            <w:shd w:val="clear" w:color="auto" w:fill="FFFFFF"/>
            <w:vAlign w:val="center"/>
          </w:tcPr>
          <w:p w14:paraId="7F0086F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0E1CE0A3">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5CC1ECF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内存地址隔离</w:t>
            </w:r>
          </w:p>
        </w:tc>
        <w:tc>
          <w:tcPr>
            <w:tcW w:w="3945" w:type="dxa"/>
            <w:shd w:val="clear" w:color="auto" w:fill="FFFFFF"/>
            <w:vAlign w:val="center"/>
          </w:tcPr>
          <w:p w14:paraId="2444989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在硬件支持的情况下，支持故障内存地址重启后隔离</w:t>
            </w:r>
          </w:p>
        </w:tc>
        <w:tc>
          <w:tcPr>
            <w:tcW w:w="1356" w:type="dxa"/>
            <w:shd w:val="clear" w:color="auto" w:fill="FFFFFF"/>
            <w:vAlign w:val="center"/>
          </w:tcPr>
          <w:p w14:paraId="60167D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701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6CEC8E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86</w:t>
            </w:r>
          </w:p>
        </w:tc>
        <w:tc>
          <w:tcPr>
            <w:tcW w:w="981" w:type="dxa"/>
            <w:shd w:val="clear" w:color="auto" w:fill="FFFFFF"/>
            <w:vAlign w:val="center"/>
          </w:tcPr>
          <w:p w14:paraId="58BEA94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415053A5">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4C5B9A7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内存存储阵列替换</w:t>
            </w:r>
          </w:p>
        </w:tc>
        <w:tc>
          <w:tcPr>
            <w:tcW w:w="3945" w:type="dxa"/>
            <w:shd w:val="clear" w:color="auto" w:fill="FFFFFF"/>
            <w:vAlign w:val="center"/>
          </w:tcPr>
          <w:p w14:paraId="4B46097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在硬件支持的情况下，支持故障内存存储阵列替换</w:t>
            </w:r>
          </w:p>
        </w:tc>
        <w:tc>
          <w:tcPr>
            <w:tcW w:w="1356" w:type="dxa"/>
            <w:shd w:val="clear" w:color="auto" w:fill="FFFFFF"/>
            <w:vAlign w:val="center"/>
          </w:tcPr>
          <w:p w14:paraId="02F97A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C073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67D68D8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87</w:t>
            </w:r>
          </w:p>
        </w:tc>
        <w:tc>
          <w:tcPr>
            <w:tcW w:w="981" w:type="dxa"/>
            <w:shd w:val="clear" w:color="auto" w:fill="FFFFFF"/>
            <w:vAlign w:val="center"/>
          </w:tcPr>
          <w:p w14:paraId="7C65977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291BC1F9">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06920A8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安全启动</w:t>
            </w:r>
          </w:p>
        </w:tc>
        <w:tc>
          <w:tcPr>
            <w:tcW w:w="3945" w:type="dxa"/>
            <w:shd w:val="clear" w:color="auto" w:fill="FFFFFF"/>
            <w:vAlign w:val="center"/>
          </w:tcPr>
          <w:p w14:paraId="2523FE8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支持执行环境要求在整个系统启动的过程中，系统应提供一个机制来保护平台的完整性</w:t>
            </w:r>
          </w:p>
        </w:tc>
        <w:tc>
          <w:tcPr>
            <w:tcW w:w="1356" w:type="dxa"/>
            <w:shd w:val="clear" w:color="auto" w:fill="FFFFFF"/>
            <w:vAlign w:val="center"/>
          </w:tcPr>
          <w:p w14:paraId="7474E1C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B7EC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500881C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88</w:t>
            </w:r>
          </w:p>
        </w:tc>
        <w:tc>
          <w:tcPr>
            <w:tcW w:w="981" w:type="dxa"/>
            <w:shd w:val="clear" w:color="auto" w:fill="FFFFFF"/>
            <w:vAlign w:val="center"/>
          </w:tcPr>
          <w:p w14:paraId="71DF19C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restart"/>
            <w:shd w:val="clear" w:color="auto" w:fill="FFFFFF"/>
            <w:vAlign w:val="center"/>
          </w:tcPr>
          <w:p w14:paraId="577387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系统安全要求</w:t>
            </w:r>
          </w:p>
        </w:tc>
        <w:tc>
          <w:tcPr>
            <w:tcW w:w="1545" w:type="dxa"/>
            <w:shd w:val="clear" w:color="auto" w:fill="FFFFFF"/>
            <w:vAlign w:val="center"/>
          </w:tcPr>
          <w:p w14:paraId="4E13580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syslog双向鉴别</w:t>
            </w:r>
          </w:p>
        </w:tc>
        <w:tc>
          <w:tcPr>
            <w:tcW w:w="3945" w:type="dxa"/>
            <w:shd w:val="clear" w:color="auto" w:fill="FFFFFF"/>
            <w:vAlign w:val="center"/>
          </w:tcPr>
          <w:p w14:paraId="577D30E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支持系统日志双向鉴别，对服务器根证书和客户端根证书进行鉴别</w:t>
            </w:r>
          </w:p>
        </w:tc>
        <w:tc>
          <w:tcPr>
            <w:tcW w:w="1356" w:type="dxa"/>
            <w:shd w:val="clear" w:color="auto" w:fill="FFFFFF"/>
            <w:vAlign w:val="center"/>
          </w:tcPr>
          <w:p w14:paraId="23F1F85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D9AC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06830E6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89</w:t>
            </w:r>
          </w:p>
        </w:tc>
        <w:tc>
          <w:tcPr>
            <w:tcW w:w="981" w:type="dxa"/>
            <w:shd w:val="clear" w:color="auto" w:fill="FFFFFF"/>
            <w:vAlign w:val="center"/>
          </w:tcPr>
          <w:p w14:paraId="73E6B3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06EA8093">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2F9992D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★弱口令字典检查</w:t>
            </w:r>
          </w:p>
        </w:tc>
        <w:tc>
          <w:tcPr>
            <w:tcW w:w="3945" w:type="dxa"/>
            <w:shd w:val="clear" w:color="auto" w:fill="FFFFFF"/>
            <w:vAlign w:val="center"/>
          </w:tcPr>
          <w:p w14:paraId="479ED13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支持弱口令字典检查功能，出现在弱口令字典中的字符串不能被设置为用户口令</w:t>
            </w:r>
          </w:p>
        </w:tc>
        <w:tc>
          <w:tcPr>
            <w:tcW w:w="1356" w:type="dxa"/>
            <w:shd w:val="clear" w:color="auto" w:fill="FFFFFF"/>
            <w:vAlign w:val="center"/>
          </w:tcPr>
          <w:p w14:paraId="6073205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3858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1912681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90</w:t>
            </w:r>
          </w:p>
        </w:tc>
        <w:tc>
          <w:tcPr>
            <w:tcW w:w="981" w:type="dxa"/>
            <w:shd w:val="clear" w:color="auto" w:fill="FFFFFF"/>
            <w:vAlign w:val="center"/>
          </w:tcPr>
          <w:p w14:paraId="5FA58D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4EDE30B2">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1A62B32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★白名单访问控制</w:t>
            </w:r>
          </w:p>
        </w:tc>
        <w:tc>
          <w:tcPr>
            <w:tcW w:w="3945" w:type="dxa"/>
            <w:shd w:val="clear" w:color="auto" w:fill="FFFFFF"/>
            <w:vAlign w:val="center"/>
          </w:tcPr>
          <w:p w14:paraId="6A3874E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支持基于时间、IP或MAC白名单访问控制</w:t>
            </w:r>
          </w:p>
        </w:tc>
        <w:tc>
          <w:tcPr>
            <w:tcW w:w="1356" w:type="dxa"/>
            <w:shd w:val="clear" w:color="auto" w:fill="FFFFFF"/>
            <w:vAlign w:val="center"/>
          </w:tcPr>
          <w:p w14:paraId="76D279E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E8EB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7A7A39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91</w:t>
            </w:r>
          </w:p>
        </w:tc>
        <w:tc>
          <w:tcPr>
            <w:tcW w:w="981" w:type="dxa"/>
            <w:shd w:val="clear" w:color="auto" w:fill="FFFFFF"/>
            <w:vAlign w:val="center"/>
          </w:tcPr>
          <w:p w14:paraId="0217B82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595C92FE">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6A722EC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双因素鉴别</w:t>
            </w:r>
          </w:p>
        </w:tc>
        <w:tc>
          <w:tcPr>
            <w:tcW w:w="3945" w:type="dxa"/>
            <w:shd w:val="clear" w:color="auto" w:fill="FFFFFF"/>
            <w:vAlign w:val="center"/>
          </w:tcPr>
          <w:p w14:paraId="3CAE22A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支持使用客户端证书和证书密码的双因素鉴别方式登录管理系统</w:t>
            </w:r>
          </w:p>
        </w:tc>
        <w:tc>
          <w:tcPr>
            <w:tcW w:w="1356" w:type="dxa"/>
            <w:shd w:val="clear" w:color="auto" w:fill="FFFFFF"/>
            <w:vAlign w:val="center"/>
          </w:tcPr>
          <w:p w14:paraId="2FAAA1A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D7E4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24" w:type="dxa"/>
            <w:shd w:val="clear" w:color="auto" w:fill="FFFFFF"/>
            <w:vAlign w:val="center"/>
          </w:tcPr>
          <w:p w14:paraId="66F8368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92</w:t>
            </w:r>
          </w:p>
        </w:tc>
        <w:tc>
          <w:tcPr>
            <w:tcW w:w="981" w:type="dxa"/>
            <w:shd w:val="clear" w:color="auto" w:fill="FFFFFF"/>
            <w:vAlign w:val="center"/>
          </w:tcPr>
          <w:p w14:paraId="372E243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099162BF">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00BEEA7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★二次鉴别</w:t>
            </w:r>
          </w:p>
        </w:tc>
        <w:tc>
          <w:tcPr>
            <w:tcW w:w="3945" w:type="dxa"/>
            <w:shd w:val="clear" w:color="auto" w:fill="FFFFFF"/>
            <w:vAlign w:val="center"/>
          </w:tcPr>
          <w:p w14:paraId="12F25C2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支持二次鉴别功能。对于用户配置、权限配置、公钥导入等重要的管理操作，已登录用户应通过二次鉴别后，才能执行操作</w:t>
            </w:r>
          </w:p>
        </w:tc>
        <w:tc>
          <w:tcPr>
            <w:tcW w:w="1356" w:type="dxa"/>
            <w:shd w:val="clear" w:color="auto" w:fill="FFFFFF"/>
            <w:vAlign w:val="center"/>
          </w:tcPr>
          <w:p w14:paraId="368AF1D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A40F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54BAB21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93</w:t>
            </w:r>
          </w:p>
        </w:tc>
        <w:tc>
          <w:tcPr>
            <w:tcW w:w="981" w:type="dxa"/>
            <w:shd w:val="clear" w:color="auto" w:fill="FFFFFF"/>
            <w:vAlign w:val="center"/>
          </w:tcPr>
          <w:p w14:paraId="4E02EEF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663554B3">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0C5D09A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匿名化用户告警接收邮箱</w:t>
            </w:r>
          </w:p>
        </w:tc>
        <w:tc>
          <w:tcPr>
            <w:tcW w:w="3945" w:type="dxa"/>
            <w:shd w:val="clear" w:color="auto" w:fill="FFFFFF"/>
            <w:vAlign w:val="center"/>
          </w:tcPr>
          <w:p w14:paraId="1C97707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支持带外管理系统中的用户告警接收邮箱进行匿名化处理</w:t>
            </w:r>
          </w:p>
        </w:tc>
        <w:tc>
          <w:tcPr>
            <w:tcW w:w="1356" w:type="dxa"/>
            <w:shd w:val="clear" w:color="auto" w:fill="FFFFFF"/>
            <w:vAlign w:val="center"/>
          </w:tcPr>
          <w:p w14:paraId="357633C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7D5E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3EE85AD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94</w:t>
            </w:r>
          </w:p>
        </w:tc>
        <w:tc>
          <w:tcPr>
            <w:tcW w:w="981" w:type="dxa"/>
            <w:shd w:val="clear" w:color="auto" w:fill="FFFFFF"/>
            <w:vAlign w:val="center"/>
          </w:tcPr>
          <w:p w14:paraId="6817367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26F70166">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0C78704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★密码证书安全加密存储</w:t>
            </w:r>
          </w:p>
        </w:tc>
        <w:tc>
          <w:tcPr>
            <w:tcW w:w="3945" w:type="dxa"/>
            <w:shd w:val="clear" w:color="auto" w:fill="FFFFFF"/>
            <w:vAlign w:val="center"/>
          </w:tcPr>
          <w:p w14:paraId="03C5133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支持对带外管理系统中的用户口令和证书等敏感信息进行加密存储，禁止使用私有的和业界已知不安全的密码算法</w:t>
            </w:r>
          </w:p>
        </w:tc>
        <w:tc>
          <w:tcPr>
            <w:tcW w:w="1356" w:type="dxa"/>
            <w:shd w:val="clear" w:color="auto" w:fill="FFFFFF"/>
            <w:vAlign w:val="center"/>
          </w:tcPr>
          <w:p w14:paraId="462F344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25DD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254E130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95</w:t>
            </w:r>
          </w:p>
        </w:tc>
        <w:tc>
          <w:tcPr>
            <w:tcW w:w="981" w:type="dxa"/>
            <w:shd w:val="clear" w:color="auto" w:fill="FFFFFF"/>
            <w:vAlign w:val="center"/>
          </w:tcPr>
          <w:p w14:paraId="36E5A1E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059EB4C4">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3E831CE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★敏感信息安全加密传输</w:t>
            </w:r>
          </w:p>
        </w:tc>
        <w:tc>
          <w:tcPr>
            <w:tcW w:w="3945" w:type="dxa"/>
            <w:shd w:val="clear" w:color="auto" w:fill="FFFFFF"/>
            <w:vAlign w:val="center"/>
          </w:tcPr>
          <w:p w14:paraId="01FB679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支持使用安全的传输加密协议（如SSH或HTTPS等）传输用户的敏感信息</w:t>
            </w:r>
          </w:p>
        </w:tc>
        <w:tc>
          <w:tcPr>
            <w:tcW w:w="1356" w:type="dxa"/>
            <w:shd w:val="clear" w:color="auto" w:fill="FFFFFF"/>
            <w:vAlign w:val="center"/>
          </w:tcPr>
          <w:p w14:paraId="52D845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DB1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24" w:type="dxa"/>
            <w:shd w:val="clear" w:color="auto" w:fill="FFFFFF"/>
            <w:vAlign w:val="center"/>
          </w:tcPr>
          <w:p w14:paraId="1BF0F4B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96</w:t>
            </w:r>
          </w:p>
        </w:tc>
        <w:tc>
          <w:tcPr>
            <w:tcW w:w="981" w:type="dxa"/>
            <w:shd w:val="clear" w:color="auto" w:fill="FFFFFF"/>
            <w:vAlign w:val="center"/>
          </w:tcPr>
          <w:p w14:paraId="4FDF0C5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restart"/>
            <w:shd w:val="clear" w:color="auto" w:fill="FFFFFF"/>
            <w:vAlign w:val="center"/>
          </w:tcPr>
          <w:p w14:paraId="3A607C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信息安全要求</w:t>
            </w:r>
          </w:p>
        </w:tc>
        <w:tc>
          <w:tcPr>
            <w:tcW w:w="1545" w:type="dxa"/>
            <w:shd w:val="clear" w:color="auto" w:fill="FFFFFF"/>
            <w:vAlign w:val="center"/>
          </w:tcPr>
          <w:p w14:paraId="3891B97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★研发过程安全</w:t>
            </w:r>
          </w:p>
        </w:tc>
        <w:tc>
          <w:tcPr>
            <w:tcW w:w="3945" w:type="dxa"/>
            <w:shd w:val="clear" w:color="auto" w:fill="FFFFFF"/>
            <w:vAlign w:val="center"/>
          </w:tcPr>
          <w:p w14:paraId="7908822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供应商承诺，生产商已建立从需求、设计、开发、测试、维护端到端的开发流程管理机制，输出和保存开发流程中每个阶段的产品需求清单、设计文档、开发文档、测试记录等材料，保证各个流程可追溯</w:t>
            </w:r>
            <w:r>
              <w:rPr>
                <w:rFonts w:hint="eastAsia"/>
                <w:b/>
                <w:bCs/>
              </w:rPr>
              <w:t>（需提供加盖投标人公章的承诺书</w:t>
            </w:r>
            <w:r>
              <w:rPr>
                <w:rFonts w:hint="eastAsia"/>
                <w:b/>
                <w:bCs/>
                <w:lang w:eastAsia="zh-CN"/>
              </w:rPr>
              <w:t>）</w:t>
            </w:r>
          </w:p>
        </w:tc>
        <w:tc>
          <w:tcPr>
            <w:tcW w:w="1356" w:type="dxa"/>
            <w:shd w:val="clear" w:color="auto" w:fill="FFFFFF"/>
            <w:vAlign w:val="center"/>
          </w:tcPr>
          <w:p w14:paraId="081DA14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765B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49873D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97</w:t>
            </w:r>
          </w:p>
        </w:tc>
        <w:tc>
          <w:tcPr>
            <w:tcW w:w="981" w:type="dxa"/>
            <w:shd w:val="clear" w:color="auto" w:fill="FFFFFF"/>
            <w:vAlign w:val="center"/>
          </w:tcPr>
          <w:p w14:paraId="2AFCC8A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29D7AE9B">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1408A2E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漏洞管理</w:t>
            </w:r>
          </w:p>
        </w:tc>
        <w:tc>
          <w:tcPr>
            <w:tcW w:w="3945" w:type="dxa"/>
            <w:shd w:val="clear" w:color="auto" w:fill="FFFFFF"/>
            <w:vAlign w:val="center"/>
          </w:tcPr>
          <w:p w14:paraId="177A91B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供应商承诺，生产商已建立漏洞全量视图，保证产品版本涉及到的所有漏洞（如驱动程序、BMC软件等）都可以查看</w:t>
            </w:r>
            <w:r>
              <w:rPr>
                <w:rFonts w:hint="eastAsia"/>
                <w:b/>
                <w:bCs/>
              </w:rPr>
              <w:t>（需提供加盖投标人公章的承诺书</w:t>
            </w:r>
            <w:r>
              <w:rPr>
                <w:rFonts w:hint="eastAsia"/>
                <w:b/>
                <w:bCs/>
                <w:lang w:eastAsia="zh-CN"/>
              </w:rPr>
              <w:t>）</w:t>
            </w:r>
          </w:p>
        </w:tc>
        <w:tc>
          <w:tcPr>
            <w:tcW w:w="1356" w:type="dxa"/>
            <w:shd w:val="clear" w:color="auto" w:fill="FFFFFF"/>
            <w:vAlign w:val="center"/>
          </w:tcPr>
          <w:p w14:paraId="6483FF3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531B6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3828FE0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98</w:t>
            </w:r>
          </w:p>
        </w:tc>
        <w:tc>
          <w:tcPr>
            <w:tcW w:w="981" w:type="dxa"/>
            <w:shd w:val="clear" w:color="auto" w:fill="FFFFFF"/>
            <w:vAlign w:val="center"/>
          </w:tcPr>
          <w:p w14:paraId="31F4C1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3F231E2B">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0D72854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网络关键设备服务器要求</w:t>
            </w:r>
          </w:p>
        </w:tc>
        <w:tc>
          <w:tcPr>
            <w:tcW w:w="3945" w:type="dxa"/>
            <w:shd w:val="clear" w:color="auto" w:fill="FFFFFF"/>
            <w:vAlign w:val="center"/>
          </w:tcPr>
          <w:p w14:paraId="18CF4C6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作为网络关键设备的服务器应符合GB40050的相关规定</w:t>
            </w:r>
          </w:p>
        </w:tc>
        <w:tc>
          <w:tcPr>
            <w:tcW w:w="1356" w:type="dxa"/>
            <w:shd w:val="clear" w:color="auto" w:fill="FFFFFF"/>
            <w:vAlign w:val="center"/>
          </w:tcPr>
          <w:p w14:paraId="628589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6F8A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6" w:hRule="atLeast"/>
        </w:trPr>
        <w:tc>
          <w:tcPr>
            <w:tcW w:w="624" w:type="dxa"/>
            <w:shd w:val="clear" w:color="auto" w:fill="FFFFFF"/>
            <w:vAlign w:val="center"/>
          </w:tcPr>
          <w:p w14:paraId="419BFF4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99</w:t>
            </w:r>
          </w:p>
        </w:tc>
        <w:tc>
          <w:tcPr>
            <w:tcW w:w="981" w:type="dxa"/>
            <w:shd w:val="clear" w:color="auto" w:fill="FFFFFF"/>
            <w:vAlign w:val="center"/>
          </w:tcPr>
          <w:p w14:paraId="5BE4076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vMerge w:val="continue"/>
            <w:shd w:val="clear" w:color="auto" w:fill="FFFFFF"/>
            <w:vAlign w:val="center"/>
          </w:tcPr>
          <w:p w14:paraId="083E8465">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77EDB23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增强要求</w:t>
            </w:r>
          </w:p>
        </w:tc>
        <w:tc>
          <w:tcPr>
            <w:tcW w:w="3945" w:type="dxa"/>
            <w:shd w:val="clear" w:color="auto" w:fill="FFFFFF"/>
            <w:vAlign w:val="center"/>
          </w:tcPr>
          <w:p w14:paraId="0E2E300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嵌入物理可信根，实现设备的信任链构建；b）支持可信平台控制模块（TPCM）；c）支持在固件系统（BMC、BIOS）启动前实现对固件度量的功能，支持物理可信根对BMC固件或BIOS固件进行完整性检测、更新和恢复；d）支持对CPU、网络控制器等关键处理器进行身份识别与度量的功能；e）支持基于处理器或可信计算模块度量的功能；f）所采用的可信密码模块接口应符合GM/T0012的相关规定；g）可信安全管理模块、处理器等硬件载体应通过国家相关部门的认证和许可</w:t>
            </w:r>
          </w:p>
        </w:tc>
        <w:tc>
          <w:tcPr>
            <w:tcW w:w="1356" w:type="dxa"/>
            <w:shd w:val="clear" w:color="auto" w:fill="FFFFFF"/>
            <w:vAlign w:val="center"/>
          </w:tcPr>
          <w:p w14:paraId="472522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780B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24" w:type="dxa"/>
            <w:shd w:val="clear" w:color="auto" w:fill="FFFFFF"/>
            <w:vAlign w:val="center"/>
          </w:tcPr>
          <w:p w14:paraId="752A1BD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100</w:t>
            </w:r>
          </w:p>
        </w:tc>
        <w:tc>
          <w:tcPr>
            <w:tcW w:w="981" w:type="dxa"/>
            <w:shd w:val="clear" w:color="auto" w:fill="FFFFFF"/>
            <w:vAlign w:val="center"/>
          </w:tcPr>
          <w:p w14:paraId="731763B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shd w:val="clear" w:color="auto" w:fill="FFFFFF"/>
            <w:vAlign w:val="center"/>
          </w:tcPr>
          <w:p w14:paraId="6D9544D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物理安全</w:t>
            </w:r>
          </w:p>
        </w:tc>
        <w:tc>
          <w:tcPr>
            <w:tcW w:w="1545" w:type="dxa"/>
            <w:shd w:val="clear" w:color="auto" w:fill="FFFFFF"/>
            <w:vAlign w:val="center"/>
          </w:tcPr>
          <w:p w14:paraId="768B52D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★物理安全</w:t>
            </w:r>
          </w:p>
        </w:tc>
        <w:tc>
          <w:tcPr>
            <w:tcW w:w="3945" w:type="dxa"/>
            <w:shd w:val="clear" w:color="auto" w:fill="FFFFFF"/>
            <w:vAlign w:val="center"/>
          </w:tcPr>
          <w:p w14:paraId="6435E1D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安全要求应符合GB4943.1的规定</w:t>
            </w:r>
          </w:p>
        </w:tc>
        <w:tc>
          <w:tcPr>
            <w:tcW w:w="1356" w:type="dxa"/>
            <w:shd w:val="clear" w:color="auto" w:fill="FFFFFF"/>
            <w:vAlign w:val="center"/>
          </w:tcPr>
          <w:p w14:paraId="0D19F17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B984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7F42C95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101</w:t>
            </w:r>
          </w:p>
        </w:tc>
        <w:tc>
          <w:tcPr>
            <w:tcW w:w="981" w:type="dxa"/>
            <w:shd w:val="clear" w:color="auto" w:fill="FFFFFF"/>
            <w:vAlign w:val="center"/>
          </w:tcPr>
          <w:p w14:paraId="15800F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74" w:type="dxa"/>
            <w:shd w:val="clear" w:color="auto" w:fill="FFFFFF"/>
            <w:vAlign w:val="center"/>
          </w:tcPr>
          <w:p w14:paraId="68E51D4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限用物质的限量要求</w:t>
            </w:r>
          </w:p>
        </w:tc>
        <w:tc>
          <w:tcPr>
            <w:tcW w:w="1545" w:type="dxa"/>
            <w:shd w:val="clear" w:color="auto" w:fill="FFFFFF"/>
            <w:vAlign w:val="center"/>
          </w:tcPr>
          <w:p w14:paraId="7A25DBA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★限用物质的限量要求</w:t>
            </w:r>
          </w:p>
        </w:tc>
        <w:tc>
          <w:tcPr>
            <w:tcW w:w="3945" w:type="dxa"/>
            <w:shd w:val="clear" w:color="auto" w:fill="FFFFFF"/>
            <w:vAlign w:val="center"/>
          </w:tcPr>
          <w:p w14:paraId="32719F5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限用物质的限量应符合GB/T26572的要求</w:t>
            </w:r>
          </w:p>
        </w:tc>
        <w:tc>
          <w:tcPr>
            <w:tcW w:w="1356" w:type="dxa"/>
            <w:shd w:val="clear" w:color="auto" w:fill="FFFFFF"/>
            <w:vAlign w:val="center"/>
          </w:tcPr>
          <w:p w14:paraId="6662359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4ACC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6" w:hRule="atLeast"/>
        </w:trPr>
        <w:tc>
          <w:tcPr>
            <w:tcW w:w="624" w:type="dxa"/>
            <w:shd w:val="clear" w:color="auto" w:fill="FFFFFF"/>
            <w:vAlign w:val="center"/>
          </w:tcPr>
          <w:p w14:paraId="3007EB6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102</w:t>
            </w:r>
          </w:p>
        </w:tc>
        <w:tc>
          <w:tcPr>
            <w:tcW w:w="981" w:type="dxa"/>
            <w:shd w:val="clear" w:color="auto" w:fill="FFFFFF"/>
            <w:vAlign w:val="center"/>
          </w:tcPr>
          <w:p w14:paraId="3ED77D2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74" w:type="dxa"/>
            <w:vMerge w:val="restart"/>
            <w:shd w:val="clear" w:color="auto" w:fill="FFFFFF"/>
            <w:vAlign w:val="center"/>
          </w:tcPr>
          <w:p w14:paraId="1B3145C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CPU性能</w:t>
            </w:r>
          </w:p>
        </w:tc>
        <w:tc>
          <w:tcPr>
            <w:tcW w:w="1545" w:type="dxa"/>
            <w:shd w:val="clear" w:color="auto" w:fill="FFFFFF"/>
            <w:vAlign w:val="center"/>
          </w:tcPr>
          <w:p w14:paraId="0BC386E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★CPU主频</w:t>
            </w:r>
          </w:p>
        </w:tc>
        <w:tc>
          <w:tcPr>
            <w:tcW w:w="3945" w:type="dxa"/>
            <w:shd w:val="clear" w:color="auto" w:fill="FFFFFF"/>
            <w:vAlign w:val="center"/>
          </w:tcPr>
          <w:p w14:paraId="5C26A9C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≥2.7GHz</w:t>
            </w:r>
          </w:p>
        </w:tc>
        <w:tc>
          <w:tcPr>
            <w:tcW w:w="1356" w:type="dxa"/>
            <w:shd w:val="clear" w:color="auto" w:fill="FFFFFF"/>
            <w:vAlign w:val="center"/>
          </w:tcPr>
          <w:p w14:paraId="4651C4F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D4CF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1EBB8BB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103</w:t>
            </w:r>
          </w:p>
        </w:tc>
        <w:tc>
          <w:tcPr>
            <w:tcW w:w="981" w:type="dxa"/>
            <w:shd w:val="clear" w:color="auto" w:fill="FFFFFF"/>
            <w:vAlign w:val="center"/>
          </w:tcPr>
          <w:p w14:paraId="73C25B0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74" w:type="dxa"/>
            <w:vMerge w:val="continue"/>
            <w:shd w:val="clear" w:color="auto" w:fill="FFFFFF"/>
            <w:vAlign w:val="center"/>
          </w:tcPr>
          <w:p w14:paraId="109C0E7A">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53D0927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★单CPU核数</w:t>
            </w:r>
          </w:p>
        </w:tc>
        <w:tc>
          <w:tcPr>
            <w:tcW w:w="3945" w:type="dxa"/>
            <w:shd w:val="clear" w:color="auto" w:fill="FFFFFF"/>
            <w:vAlign w:val="center"/>
          </w:tcPr>
          <w:p w14:paraId="7BE4798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≥32核；</w:t>
            </w:r>
            <w:r>
              <w:rPr>
                <w:rFonts w:hint="eastAsia" w:asciiTheme="minorEastAsia" w:hAnsiTheme="minorEastAsia" w:eastAsiaTheme="minorEastAsia" w:cstheme="minorEastAsia"/>
                <w:sz w:val="24"/>
              </w:rPr>
              <w:t>≥2颗</w:t>
            </w:r>
          </w:p>
        </w:tc>
        <w:tc>
          <w:tcPr>
            <w:tcW w:w="1356" w:type="dxa"/>
            <w:shd w:val="clear" w:color="auto" w:fill="FFFFFF"/>
            <w:vAlign w:val="center"/>
          </w:tcPr>
          <w:p w14:paraId="709EA1F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ABE1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6EC810E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104</w:t>
            </w:r>
          </w:p>
        </w:tc>
        <w:tc>
          <w:tcPr>
            <w:tcW w:w="981" w:type="dxa"/>
            <w:shd w:val="clear" w:color="auto" w:fill="FFFFFF"/>
            <w:vAlign w:val="center"/>
          </w:tcPr>
          <w:p w14:paraId="3943C4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74" w:type="dxa"/>
            <w:vMerge w:val="continue"/>
            <w:shd w:val="clear" w:color="auto" w:fill="FFFFFF"/>
            <w:vAlign w:val="center"/>
          </w:tcPr>
          <w:p w14:paraId="1DE00E29">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683D072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★单CPU末级缓存容量</w:t>
            </w:r>
          </w:p>
        </w:tc>
        <w:tc>
          <w:tcPr>
            <w:tcW w:w="3945" w:type="dxa"/>
            <w:shd w:val="clear" w:color="auto" w:fill="FFFFFF"/>
            <w:vAlign w:val="center"/>
          </w:tcPr>
          <w:p w14:paraId="4A0AE18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≥8MB</w:t>
            </w:r>
          </w:p>
        </w:tc>
        <w:tc>
          <w:tcPr>
            <w:tcW w:w="1356" w:type="dxa"/>
            <w:shd w:val="clear" w:color="auto" w:fill="FFFFFF"/>
            <w:vAlign w:val="center"/>
          </w:tcPr>
          <w:p w14:paraId="525FC0A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80BF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24" w:type="dxa"/>
            <w:shd w:val="clear" w:color="auto" w:fill="FFFFFF"/>
            <w:vAlign w:val="center"/>
          </w:tcPr>
          <w:p w14:paraId="2930A6A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105</w:t>
            </w:r>
          </w:p>
        </w:tc>
        <w:tc>
          <w:tcPr>
            <w:tcW w:w="981" w:type="dxa"/>
            <w:shd w:val="clear" w:color="auto" w:fill="FFFFFF"/>
            <w:vAlign w:val="center"/>
          </w:tcPr>
          <w:p w14:paraId="55AD5F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74" w:type="dxa"/>
            <w:vMerge w:val="restart"/>
            <w:shd w:val="clear" w:color="auto" w:fill="FFFFFF"/>
            <w:vAlign w:val="center"/>
          </w:tcPr>
          <w:p w14:paraId="6CE715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内存性能</w:t>
            </w:r>
          </w:p>
        </w:tc>
        <w:tc>
          <w:tcPr>
            <w:tcW w:w="1545" w:type="dxa"/>
            <w:shd w:val="clear" w:color="auto" w:fill="FFFFFF"/>
            <w:vAlign w:val="center"/>
          </w:tcPr>
          <w:p w14:paraId="106ECF8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★单内存模块容量</w:t>
            </w:r>
          </w:p>
        </w:tc>
        <w:tc>
          <w:tcPr>
            <w:tcW w:w="3945" w:type="dxa"/>
            <w:shd w:val="clear" w:color="auto" w:fill="FFFFFF"/>
            <w:vAlign w:val="center"/>
          </w:tcPr>
          <w:p w14:paraId="73CBD3C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≥32GB；</w:t>
            </w:r>
          </w:p>
        </w:tc>
        <w:tc>
          <w:tcPr>
            <w:tcW w:w="1356" w:type="dxa"/>
            <w:shd w:val="clear" w:color="auto" w:fill="FFFFFF"/>
            <w:vAlign w:val="center"/>
          </w:tcPr>
          <w:p w14:paraId="40EB38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18F2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24" w:type="dxa"/>
            <w:shd w:val="clear" w:color="auto" w:fill="FFFFFF"/>
            <w:vAlign w:val="center"/>
          </w:tcPr>
          <w:p w14:paraId="01C617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106</w:t>
            </w:r>
          </w:p>
        </w:tc>
        <w:tc>
          <w:tcPr>
            <w:tcW w:w="981" w:type="dxa"/>
            <w:shd w:val="clear" w:color="auto" w:fill="FFFFFF"/>
            <w:vAlign w:val="center"/>
          </w:tcPr>
          <w:p w14:paraId="3B67719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74" w:type="dxa"/>
            <w:vMerge w:val="continue"/>
            <w:shd w:val="clear" w:color="auto" w:fill="FFFFFF"/>
            <w:vAlign w:val="center"/>
          </w:tcPr>
          <w:p w14:paraId="0D336704">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3A90CFC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★内存速率</w:t>
            </w:r>
          </w:p>
        </w:tc>
        <w:tc>
          <w:tcPr>
            <w:tcW w:w="3945" w:type="dxa"/>
            <w:shd w:val="clear" w:color="auto" w:fill="FFFFFF"/>
            <w:vAlign w:val="center"/>
          </w:tcPr>
          <w:p w14:paraId="209F665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≥3200MT/s</w:t>
            </w:r>
          </w:p>
        </w:tc>
        <w:tc>
          <w:tcPr>
            <w:tcW w:w="1356" w:type="dxa"/>
            <w:shd w:val="clear" w:color="auto" w:fill="FFFFFF"/>
            <w:vAlign w:val="center"/>
          </w:tcPr>
          <w:p w14:paraId="0A94D78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B495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24" w:type="dxa"/>
            <w:shd w:val="clear" w:color="auto" w:fill="FFFFFF"/>
            <w:vAlign w:val="center"/>
          </w:tcPr>
          <w:p w14:paraId="3996243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107</w:t>
            </w:r>
          </w:p>
        </w:tc>
        <w:tc>
          <w:tcPr>
            <w:tcW w:w="981" w:type="dxa"/>
            <w:shd w:val="clear" w:color="auto" w:fill="FFFFFF"/>
            <w:vAlign w:val="center"/>
          </w:tcPr>
          <w:p w14:paraId="506C19E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74" w:type="dxa"/>
            <w:shd w:val="clear" w:color="auto" w:fill="FFFFFF"/>
            <w:vAlign w:val="center"/>
          </w:tcPr>
          <w:p w14:paraId="5624240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存储性能</w:t>
            </w:r>
          </w:p>
        </w:tc>
        <w:tc>
          <w:tcPr>
            <w:tcW w:w="1545" w:type="dxa"/>
            <w:shd w:val="clear" w:color="auto" w:fill="FFFFFF"/>
            <w:vAlign w:val="center"/>
          </w:tcPr>
          <w:p w14:paraId="4FE9CEB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硬盘转速</w:t>
            </w:r>
          </w:p>
        </w:tc>
        <w:tc>
          <w:tcPr>
            <w:tcW w:w="3945" w:type="dxa"/>
            <w:shd w:val="clear" w:color="auto" w:fill="FFFFFF"/>
            <w:vAlign w:val="center"/>
          </w:tcPr>
          <w:p w14:paraId="09DCBD9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安装的硬磁盘转速不小于7200rpm</w:t>
            </w:r>
          </w:p>
        </w:tc>
        <w:tc>
          <w:tcPr>
            <w:tcW w:w="1356" w:type="dxa"/>
            <w:shd w:val="clear" w:color="auto" w:fill="FFFFFF"/>
            <w:vAlign w:val="center"/>
          </w:tcPr>
          <w:p w14:paraId="793F385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FF45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7CDA314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108</w:t>
            </w:r>
          </w:p>
        </w:tc>
        <w:tc>
          <w:tcPr>
            <w:tcW w:w="981" w:type="dxa"/>
            <w:shd w:val="clear" w:color="auto" w:fill="FFFFFF"/>
            <w:vAlign w:val="center"/>
          </w:tcPr>
          <w:p w14:paraId="4BCEEFF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74" w:type="dxa"/>
            <w:shd w:val="clear" w:color="auto" w:fill="FFFFFF"/>
            <w:vAlign w:val="center"/>
          </w:tcPr>
          <w:p w14:paraId="757783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RAID卡性能</w:t>
            </w:r>
          </w:p>
        </w:tc>
        <w:tc>
          <w:tcPr>
            <w:tcW w:w="1545" w:type="dxa"/>
            <w:shd w:val="clear" w:color="auto" w:fill="FFFFFF"/>
            <w:vAlign w:val="center"/>
          </w:tcPr>
          <w:p w14:paraId="4AE04E0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RAID卡缓存容量大小</w:t>
            </w:r>
          </w:p>
        </w:tc>
        <w:tc>
          <w:tcPr>
            <w:tcW w:w="3945" w:type="dxa"/>
            <w:shd w:val="clear" w:color="auto" w:fill="FFFFFF"/>
            <w:vAlign w:val="center"/>
          </w:tcPr>
          <w:p w14:paraId="5AFECE0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≥2GB</w:t>
            </w:r>
          </w:p>
        </w:tc>
        <w:tc>
          <w:tcPr>
            <w:tcW w:w="1356" w:type="dxa"/>
            <w:shd w:val="clear" w:color="auto" w:fill="FFFFFF"/>
            <w:vAlign w:val="center"/>
          </w:tcPr>
          <w:p w14:paraId="21D294F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6631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7E57ADD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109</w:t>
            </w:r>
          </w:p>
        </w:tc>
        <w:tc>
          <w:tcPr>
            <w:tcW w:w="981" w:type="dxa"/>
            <w:shd w:val="clear" w:color="auto" w:fill="FFFFFF"/>
            <w:vAlign w:val="center"/>
          </w:tcPr>
          <w:p w14:paraId="37EC47B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74" w:type="dxa"/>
            <w:shd w:val="clear" w:color="auto" w:fill="FFFFFF"/>
            <w:vAlign w:val="center"/>
          </w:tcPr>
          <w:p w14:paraId="7349EAA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FCHBA卡性能</w:t>
            </w:r>
          </w:p>
        </w:tc>
        <w:tc>
          <w:tcPr>
            <w:tcW w:w="1545" w:type="dxa"/>
            <w:shd w:val="clear" w:color="auto" w:fill="FFFFFF"/>
            <w:vAlign w:val="center"/>
          </w:tcPr>
          <w:p w14:paraId="2B05717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FCHBA卡速率</w:t>
            </w:r>
          </w:p>
        </w:tc>
        <w:tc>
          <w:tcPr>
            <w:tcW w:w="3945" w:type="dxa"/>
            <w:shd w:val="clear" w:color="auto" w:fill="FFFFFF"/>
            <w:vAlign w:val="center"/>
          </w:tcPr>
          <w:p w14:paraId="4DCAC3E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单端口最大的连接速率≥16Gb/s</w:t>
            </w:r>
          </w:p>
        </w:tc>
        <w:tc>
          <w:tcPr>
            <w:tcW w:w="1356" w:type="dxa"/>
            <w:shd w:val="clear" w:color="auto" w:fill="FFFFFF"/>
            <w:vAlign w:val="center"/>
          </w:tcPr>
          <w:p w14:paraId="6F6A73B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FD13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24" w:type="dxa"/>
            <w:shd w:val="clear" w:color="auto" w:fill="FFFFFF"/>
            <w:vAlign w:val="center"/>
          </w:tcPr>
          <w:p w14:paraId="2E7D615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110</w:t>
            </w:r>
          </w:p>
        </w:tc>
        <w:tc>
          <w:tcPr>
            <w:tcW w:w="981" w:type="dxa"/>
            <w:shd w:val="clear" w:color="auto" w:fill="FFFFFF"/>
            <w:vAlign w:val="center"/>
          </w:tcPr>
          <w:p w14:paraId="2327FEA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74" w:type="dxa"/>
            <w:vMerge w:val="restart"/>
            <w:shd w:val="clear" w:color="auto" w:fill="FFFFFF"/>
            <w:vAlign w:val="center"/>
          </w:tcPr>
          <w:p w14:paraId="0D47303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网络性能</w:t>
            </w:r>
          </w:p>
        </w:tc>
        <w:tc>
          <w:tcPr>
            <w:tcW w:w="1545" w:type="dxa"/>
            <w:shd w:val="clear" w:color="auto" w:fill="FFFFFF"/>
            <w:vAlign w:val="center"/>
          </w:tcPr>
          <w:p w14:paraId="4992E12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独立网卡速率</w:t>
            </w:r>
          </w:p>
        </w:tc>
        <w:tc>
          <w:tcPr>
            <w:tcW w:w="3945" w:type="dxa"/>
            <w:shd w:val="clear" w:color="auto" w:fill="FFFFFF"/>
            <w:vAlign w:val="center"/>
          </w:tcPr>
          <w:p w14:paraId="763AD1D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端口速率≥10GE</w:t>
            </w:r>
          </w:p>
        </w:tc>
        <w:tc>
          <w:tcPr>
            <w:tcW w:w="1356" w:type="dxa"/>
            <w:shd w:val="clear" w:color="auto" w:fill="FFFFFF"/>
            <w:vAlign w:val="center"/>
          </w:tcPr>
          <w:p w14:paraId="1CB474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689F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1079721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111</w:t>
            </w:r>
          </w:p>
        </w:tc>
        <w:tc>
          <w:tcPr>
            <w:tcW w:w="981" w:type="dxa"/>
            <w:shd w:val="clear" w:color="auto" w:fill="FFFFFF"/>
            <w:vAlign w:val="center"/>
          </w:tcPr>
          <w:p w14:paraId="42AA1C6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74" w:type="dxa"/>
            <w:vMerge w:val="continue"/>
            <w:shd w:val="clear" w:color="auto" w:fill="FFFFFF"/>
            <w:vAlign w:val="center"/>
          </w:tcPr>
          <w:p w14:paraId="29AECCE5">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10589F5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板载网卡速率</w:t>
            </w:r>
          </w:p>
        </w:tc>
        <w:tc>
          <w:tcPr>
            <w:tcW w:w="3945" w:type="dxa"/>
            <w:shd w:val="clear" w:color="auto" w:fill="FFFFFF"/>
            <w:vAlign w:val="center"/>
          </w:tcPr>
          <w:p w14:paraId="37301B2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端口速率≥1GE</w:t>
            </w:r>
          </w:p>
        </w:tc>
        <w:tc>
          <w:tcPr>
            <w:tcW w:w="1356" w:type="dxa"/>
            <w:shd w:val="clear" w:color="auto" w:fill="FFFFFF"/>
            <w:vAlign w:val="center"/>
          </w:tcPr>
          <w:p w14:paraId="44C4BE5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868E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24" w:type="dxa"/>
            <w:shd w:val="clear" w:color="auto" w:fill="FFFFFF"/>
            <w:vAlign w:val="center"/>
          </w:tcPr>
          <w:p w14:paraId="5D7C63A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112</w:t>
            </w:r>
          </w:p>
        </w:tc>
        <w:tc>
          <w:tcPr>
            <w:tcW w:w="981" w:type="dxa"/>
            <w:shd w:val="clear" w:color="auto" w:fill="FFFFFF"/>
            <w:vAlign w:val="center"/>
          </w:tcPr>
          <w:p w14:paraId="0BD6C62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74" w:type="dxa"/>
            <w:shd w:val="clear" w:color="auto" w:fill="FFFFFF"/>
            <w:vAlign w:val="center"/>
          </w:tcPr>
          <w:p w14:paraId="08305F1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电源能耗</w:t>
            </w:r>
          </w:p>
        </w:tc>
        <w:tc>
          <w:tcPr>
            <w:tcW w:w="1545" w:type="dxa"/>
            <w:shd w:val="clear" w:color="auto" w:fill="FFFFFF"/>
            <w:vAlign w:val="center"/>
          </w:tcPr>
          <w:p w14:paraId="1D8BD42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★电源能耗</w:t>
            </w:r>
          </w:p>
        </w:tc>
        <w:tc>
          <w:tcPr>
            <w:tcW w:w="3945" w:type="dxa"/>
            <w:shd w:val="clear" w:color="auto" w:fill="FFFFFF"/>
            <w:vAlign w:val="center"/>
          </w:tcPr>
          <w:p w14:paraId="3EC93FC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符合GB/T9813.3的有关规定</w:t>
            </w:r>
          </w:p>
        </w:tc>
        <w:tc>
          <w:tcPr>
            <w:tcW w:w="1356" w:type="dxa"/>
            <w:shd w:val="clear" w:color="auto" w:fill="FFFFFF"/>
            <w:vAlign w:val="center"/>
          </w:tcPr>
          <w:p w14:paraId="7FA976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1252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660BF46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113</w:t>
            </w:r>
          </w:p>
        </w:tc>
        <w:tc>
          <w:tcPr>
            <w:tcW w:w="981" w:type="dxa"/>
            <w:shd w:val="clear" w:color="auto" w:fill="FFFFFF"/>
            <w:vAlign w:val="center"/>
          </w:tcPr>
          <w:p w14:paraId="44B65AF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74" w:type="dxa"/>
            <w:vMerge w:val="restart"/>
            <w:shd w:val="clear" w:color="auto" w:fill="FFFFFF"/>
            <w:vAlign w:val="center"/>
          </w:tcPr>
          <w:p w14:paraId="13CB7A1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部件兼容性要求</w:t>
            </w:r>
          </w:p>
        </w:tc>
        <w:tc>
          <w:tcPr>
            <w:tcW w:w="1545" w:type="dxa"/>
            <w:shd w:val="clear" w:color="auto" w:fill="FFFFFF"/>
            <w:noWrap/>
            <w:vAlign w:val="center"/>
          </w:tcPr>
          <w:p w14:paraId="5B2579D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内存兼容性</w:t>
            </w:r>
          </w:p>
        </w:tc>
        <w:tc>
          <w:tcPr>
            <w:tcW w:w="3945" w:type="dxa"/>
            <w:shd w:val="clear" w:color="auto" w:fill="FFFFFF"/>
            <w:vAlign w:val="center"/>
          </w:tcPr>
          <w:p w14:paraId="4DA2F97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适配3种及以上厂商的内存产品，且均不低于产品支持的内存规格</w:t>
            </w:r>
          </w:p>
        </w:tc>
        <w:tc>
          <w:tcPr>
            <w:tcW w:w="1356" w:type="dxa"/>
            <w:shd w:val="clear" w:color="auto" w:fill="FFFFFF"/>
            <w:vAlign w:val="center"/>
          </w:tcPr>
          <w:p w14:paraId="7F5F27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9855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2E5734F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114</w:t>
            </w:r>
          </w:p>
        </w:tc>
        <w:tc>
          <w:tcPr>
            <w:tcW w:w="981" w:type="dxa"/>
            <w:shd w:val="clear" w:color="auto" w:fill="FFFFFF"/>
            <w:vAlign w:val="center"/>
          </w:tcPr>
          <w:p w14:paraId="6CA0BE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74" w:type="dxa"/>
            <w:vMerge w:val="continue"/>
            <w:shd w:val="clear" w:color="auto" w:fill="FFFFFF"/>
            <w:vAlign w:val="center"/>
          </w:tcPr>
          <w:p w14:paraId="55265F2B">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66836CB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★固态存储兼容性</w:t>
            </w:r>
          </w:p>
        </w:tc>
        <w:tc>
          <w:tcPr>
            <w:tcW w:w="3945" w:type="dxa"/>
            <w:shd w:val="clear" w:color="auto" w:fill="FFFFFF"/>
            <w:vAlign w:val="center"/>
          </w:tcPr>
          <w:p w14:paraId="6863D51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适配3种或以上厂商的固态存储产品，且均不低于产品支持的固态存储设备规格</w:t>
            </w:r>
          </w:p>
        </w:tc>
        <w:tc>
          <w:tcPr>
            <w:tcW w:w="1356" w:type="dxa"/>
            <w:shd w:val="clear" w:color="auto" w:fill="FFFFFF"/>
            <w:vAlign w:val="center"/>
          </w:tcPr>
          <w:p w14:paraId="01C74D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A61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670A84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115</w:t>
            </w:r>
          </w:p>
        </w:tc>
        <w:tc>
          <w:tcPr>
            <w:tcW w:w="981" w:type="dxa"/>
            <w:shd w:val="clear" w:color="auto" w:fill="FFFFFF"/>
            <w:vAlign w:val="center"/>
          </w:tcPr>
          <w:p w14:paraId="101E455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74" w:type="dxa"/>
            <w:vMerge w:val="continue"/>
            <w:shd w:val="clear" w:color="auto" w:fill="FFFFFF"/>
            <w:vAlign w:val="center"/>
          </w:tcPr>
          <w:p w14:paraId="0B7AC375">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1E8812E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FCHBA卡兼容性</w:t>
            </w:r>
          </w:p>
        </w:tc>
        <w:tc>
          <w:tcPr>
            <w:tcW w:w="3945" w:type="dxa"/>
            <w:shd w:val="clear" w:color="auto" w:fill="FFFFFF"/>
            <w:vAlign w:val="center"/>
          </w:tcPr>
          <w:p w14:paraId="754F97F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FCHBA应适配两种或以上厂商产品</w:t>
            </w:r>
          </w:p>
        </w:tc>
        <w:tc>
          <w:tcPr>
            <w:tcW w:w="1356" w:type="dxa"/>
            <w:shd w:val="clear" w:color="auto" w:fill="FFFFFF"/>
            <w:vAlign w:val="center"/>
          </w:tcPr>
          <w:p w14:paraId="0730785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0BC9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24" w:type="dxa"/>
            <w:shd w:val="clear" w:color="auto" w:fill="FFFFFF"/>
            <w:vAlign w:val="center"/>
          </w:tcPr>
          <w:p w14:paraId="0C4C4F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116</w:t>
            </w:r>
          </w:p>
        </w:tc>
        <w:tc>
          <w:tcPr>
            <w:tcW w:w="981" w:type="dxa"/>
            <w:shd w:val="clear" w:color="auto" w:fill="FFFFFF"/>
            <w:vAlign w:val="center"/>
          </w:tcPr>
          <w:p w14:paraId="42C698B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74" w:type="dxa"/>
            <w:vMerge w:val="continue"/>
            <w:shd w:val="clear" w:color="auto" w:fill="FFFFFF"/>
            <w:vAlign w:val="center"/>
          </w:tcPr>
          <w:p w14:paraId="4F7C5B1C">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10DE1E7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RAID卡兼容性</w:t>
            </w:r>
          </w:p>
        </w:tc>
        <w:tc>
          <w:tcPr>
            <w:tcW w:w="3945" w:type="dxa"/>
            <w:shd w:val="clear" w:color="auto" w:fill="FFFFFF"/>
            <w:vAlign w:val="center"/>
          </w:tcPr>
          <w:p w14:paraId="3E316F3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RAID卡应适配两种或以上厂商产品</w:t>
            </w:r>
          </w:p>
        </w:tc>
        <w:tc>
          <w:tcPr>
            <w:tcW w:w="1356" w:type="dxa"/>
            <w:shd w:val="clear" w:color="auto" w:fill="FFFFFF"/>
            <w:vAlign w:val="center"/>
          </w:tcPr>
          <w:p w14:paraId="13E5D6B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01C5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0A1B05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117</w:t>
            </w:r>
          </w:p>
        </w:tc>
        <w:tc>
          <w:tcPr>
            <w:tcW w:w="981" w:type="dxa"/>
            <w:shd w:val="clear" w:color="auto" w:fill="FFFFFF"/>
            <w:vAlign w:val="center"/>
          </w:tcPr>
          <w:p w14:paraId="6405529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74" w:type="dxa"/>
            <w:vMerge w:val="restart"/>
            <w:shd w:val="clear" w:color="auto" w:fill="FFFFFF"/>
            <w:vAlign w:val="center"/>
          </w:tcPr>
          <w:p w14:paraId="518DC0E1">
            <w:pPr>
              <w:widowControl/>
              <w:jc w:val="center"/>
              <w:rPr>
                <w:rFonts w:asciiTheme="minorEastAsia" w:hAnsiTheme="minorEastAsia" w:eastAsiaTheme="minorEastAsia" w:cstheme="minorEastAsia"/>
                <w:kern w:val="0"/>
                <w:sz w:val="24"/>
              </w:rPr>
            </w:pPr>
          </w:p>
        </w:tc>
        <w:tc>
          <w:tcPr>
            <w:tcW w:w="1545" w:type="dxa"/>
            <w:shd w:val="clear" w:color="auto" w:fill="FFFFFF"/>
            <w:vAlign w:val="center"/>
          </w:tcPr>
          <w:p w14:paraId="5237267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★网卡兼容性</w:t>
            </w:r>
          </w:p>
        </w:tc>
        <w:tc>
          <w:tcPr>
            <w:tcW w:w="3945" w:type="dxa"/>
            <w:shd w:val="clear" w:color="auto" w:fill="FFFFFF"/>
            <w:vAlign w:val="center"/>
          </w:tcPr>
          <w:p w14:paraId="5E9F07B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网卡应适配两种或以上厂商产品</w:t>
            </w:r>
          </w:p>
        </w:tc>
        <w:tc>
          <w:tcPr>
            <w:tcW w:w="1356" w:type="dxa"/>
            <w:shd w:val="clear" w:color="auto" w:fill="FFFFFF"/>
            <w:vAlign w:val="center"/>
          </w:tcPr>
          <w:p w14:paraId="77EDDF9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1BB2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2973F6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118</w:t>
            </w:r>
          </w:p>
        </w:tc>
        <w:tc>
          <w:tcPr>
            <w:tcW w:w="981" w:type="dxa"/>
            <w:shd w:val="clear" w:color="auto" w:fill="FFFFFF"/>
            <w:vAlign w:val="center"/>
          </w:tcPr>
          <w:p w14:paraId="5A38E7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74" w:type="dxa"/>
            <w:vMerge w:val="continue"/>
            <w:shd w:val="clear" w:color="auto" w:fill="FFFFFF"/>
            <w:vAlign w:val="center"/>
          </w:tcPr>
          <w:p w14:paraId="4996175B">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25994AD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★功能卡兼容性</w:t>
            </w:r>
          </w:p>
        </w:tc>
        <w:tc>
          <w:tcPr>
            <w:tcW w:w="3945" w:type="dxa"/>
            <w:shd w:val="clear" w:color="auto" w:fill="FFFFFF"/>
            <w:vAlign w:val="center"/>
          </w:tcPr>
          <w:p w14:paraId="1F8AE9E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内置或适配符合PCIe的功能卡，如：网络功能卡、存储功能卡及图形显示功能卡</w:t>
            </w:r>
          </w:p>
        </w:tc>
        <w:tc>
          <w:tcPr>
            <w:tcW w:w="1356" w:type="dxa"/>
            <w:shd w:val="clear" w:color="auto" w:fill="FFFFFF"/>
            <w:vAlign w:val="center"/>
          </w:tcPr>
          <w:p w14:paraId="5FDF228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D10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624" w:type="dxa"/>
            <w:shd w:val="clear" w:color="auto" w:fill="FFFFFF"/>
            <w:vAlign w:val="center"/>
          </w:tcPr>
          <w:p w14:paraId="625D1ED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119</w:t>
            </w:r>
          </w:p>
        </w:tc>
        <w:tc>
          <w:tcPr>
            <w:tcW w:w="981" w:type="dxa"/>
            <w:shd w:val="clear" w:color="auto" w:fill="FFFFFF"/>
            <w:vAlign w:val="center"/>
          </w:tcPr>
          <w:p w14:paraId="1420897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74" w:type="dxa"/>
            <w:shd w:val="clear" w:color="auto" w:fill="FFFFFF"/>
            <w:vAlign w:val="center"/>
          </w:tcPr>
          <w:p w14:paraId="2C3A1D8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外设兼容性</w:t>
            </w:r>
          </w:p>
        </w:tc>
        <w:tc>
          <w:tcPr>
            <w:tcW w:w="1545" w:type="dxa"/>
            <w:shd w:val="clear" w:color="auto" w:fill="FFFFFF"/>
            <w:vAlign w:val="center"/>
          </w:tcPr>
          <w:p w14:paraId="4274B38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★外设兼容性</w:t>
            </w:r>
          </w:p>
        </w:tc>
        <w:tc>
          <w:tcPr>
            <w:tcW w:w="3945" w:type="dxa"/>
            <w:shd w:val="clear" w:color="auto" w:fill="FFFFFF"/>
            <w:vAlign w:val="center"/>
          </w:tcPr>
          <w:p w14:paraId="74F1621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兼容多种主流生产商的外部设备，包括显示器、键盘、鼠标、闪存盘、移动硬盘、USB光驱及KVM等，要求使用不同厂商的外部设备时，系统均能正常识别和安装驱动</w:t>
            </w:r>
          </w:p>
        </w:tc>
        <w:tc>
          <w:tcPr>
            <w:tcW w:w="1356" w:type="dxa"/>
            <w:shd w:val="clear" w:color="auto" w:fill="FFFFFF"/>
            <w:vAlign w:val="center"/>
          </w:tcPr>
          <w:p w14:paraId="505F815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440F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68518D0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120</w:t>
            </w:r>
          </w:p>
        </w:tc>
        <w:tc>
          <w:tcPr>
            <w:tcW w:w="981" w:type="dxa"/>
            <w:shd w:val="clear" w:color="auto" w:fill="FFFFFF"/>
            <w:vAlign w:val="center"/>
          </w:tcPr>
          <w:p w14:paraId="3AEDB0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74" w:type="dxa"/>
            <w:vMerge w:val="restart"/>
            <w:shd w:val="clear" w:color="auto" w:fill="FFFFFF"/>
            <w:vAlign w:val="center"/>
          </w:tcPr>
          <w:p w14:paraId="3E721DC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软件兼容性</w:t>
            </w:r>
          </w:p>
        </w:tc>
        <w:tc>
          <w:tcPr>
            <w:tcW w:w="1545" w:type="dxa"/>
            <w:shd w:val="clear" w:color="auto" w:fill="FFFFFF"/>
            <w:vAlign w:val="center"/>
          </w:tcPr>
          <w:p w14:paraId="0D85536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★数据库兼容</w:t>
            </w:r>
          </w:p>
        </w:tc>
        <w:tc>
          <w:tcPr>
            <w:tcW w:w="3945" w:type="dxa"/>
            <w:shd w:val="clear" w:color="auto" w:fill="FFFFFF"/>
            <w:vAlign w:val="center"/>
          </w:tcPr>
          <w:p w14:paraId="65F1417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兼容3个及以上厂商的数据库产品</w:t>
            </w:r>
          </w:p>
        </w:tc>
        <w:tc>
          <w:tcPr>
            <w:tcW w:w="1356" w:type="dxa"/>
            <w:shd w:val="clear" w:color="auto" w:fill="FFFFFF"/>
            <w:vAlign w:val="center"/>
          </w:tcPr>
          <w:p w14:paraId="2624D33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D034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26BFA7B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121</w:t>
            </w:r>
          </w:p>
        </w:tc>
        <w:tc>
          <w:tcPr>
            <w:tcW w:w="981" w:type="dxa"/>
            <w:shd w:val="clear" w:color="auto" w:fill="FFFFFF"/>
            <w:vAlign w:val="center"/>
          </w:tcPr>
          <w:p w14:paraId="2D4F0F8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74" w:type="dxa"/>
            <w:vMerge w:val="continue"/>
            <w:shd w:val="clear" w:color="auto" w:fill="FFFFFF"/>
            <w:vAlign w:val="center"/>
          </w:tcPr>
          <w:p w14:paraId="02B5DC2D">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756BCB8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★中间件兼容</w:t>
            </w:r>
          </w:p>
        </w:tc>
        <w:tc>
          <w:tcPr>
            <w:tcW w:w="3945" w:type="dxa"/>
            <w:shd w:val="clear" w:color="auto" w:fill="FFFFFF"/>
            <w:vAlign w:val="center"/>
          </w:tcPr>
          <w:p w14:paraId="1C4B7F1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兼容3个及以上厂商的中间件产品</w:t>
            </w:r>
          </w:p>
        </w:tc>
        <w:tc>
          <w:tcPr>
            <w:tcW w:w="1356" w:type="dxa"/>
            <w:shd w:val="clear" w:color="auto" w:fill="FFFFFF"/>
            <w:vAlign w:val="center"/>
          </w:tcPr>
          <w:p w14:paraId="60BCE05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6874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70A3664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122</w:t>
            </w:r>
          </w:p>
        </w:tc>
        <w:tc>
          <w:tcPr>
            <w:tcW w:w="981" w:type="dxa"/>
            <w:shd w:val="clear" w:color="auto" w:fill="FFFFFF"/>
            <w:vAlign w:val="center"/>
          </w:tcPr>
          <w:p w14:paraId="7DAF3F9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74" w:type="dxa"/>
            <w:vMerge w:val="continue"/>
            <w:shd w:val="clear" w:color="auto" w:fill="FFFFFF"/>
            <w:vAlign w:val="center"/>
          </w:tcPr>
          <w:p w14:paraId="2FF869DF">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69B2A35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★平台软件兼容</w:t>
            </w:r>
          </w:p>
        </w:tc>
        <w:tc>
          <w:tcPr>
            <w:tcW w:w="3945" w:type="dxa"/>
            <w:shd w:val="clear" w:color="auto" w:fill="FFFFFF"/>
            <w:vAlign w:val="center"/>
          </w:tcPr>
          <w:p w14:paraId="7FB5AFC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兼容3个及以上厂商的大数据平台</w:t>
            </w:r>
          </w:p>
        </w:tc>
        <w:tc>
          <w:tcPr>
            <w:tcW w:w="1356" w:type="dxa"/>
            <w:shd w:val="clear" w:color="auto" w:fill="FFFFFF"/>
            <w:vAlign w:val="center"/>
          </w:tcPr>
          <w:p w14:paraId="3E63A62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5751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24" w:type="dxa"/>
            <w:shd w:val="clear" w:color="auto" w:fill="FFFFFF"/>
            <w:vAlign w:val="center"/>
          </w:tcPr>
          <w:p w14:paraId="6187AB2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123</w:t>
            </w:r>
          </w:p>
        </w:tc>
        <w:tc>
          <w:tcPr>
            <w:tcW w:w="981" w:type="dxa"/>
            <w:shd w:val="clear" w:color="auto" w:fill="FFFFFF"/>
            <w:vAlign w:val="center"/>
          </w:tcPr>
          <w:p w14:paraId="7E295E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74" w:type="dxa"/>
            <w:vMerge w:val="continue"/>
            <w:shd w:val="clear" w:color="auto" w:fill="FFFFFF"/>
            <w:vAlign w:val="center"/>
          </w:tcPr>
          <w:p w14:paraId="637972E9">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3B295FB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虚拟化软件兼容</w:t>
            </w:r>
          </w:p>
        </w:tc>
        <w:tc>
          <w:tcPr>
            <w:tcW w:w="3945" w:type="dxa"/>
            <w:shd w:val="clear" w:color="auto" w:fill="FFFFFF"/>
            <w:vAlign w:val="center"/>
          </w:tcPr>
          <w:p w14:paraId="7E858FF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兼容2款及以上虚拟化软件</w:t>
            </w:r>
          </w:p>
        </w:tc>
        <w:tc>
          <w:tcPr>
            <w:tcW w:w="1356" w:type="dxa"/>
            <w:shd w:val="clear" w:color="auto" w:fill="FFFFFF"/>
            <w:vAlign w:val="center"/>
          </w:tcPr>
          <w:p w14:paraId="0D61ADC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98AB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39FFDB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124</w:t>
            </w:r>
          </w:p>
        </w:tc>
        <w:tc>
          <w:tcPr>
            <w:tcW w:w="981" w:type="dxa"/>
            <w:shd w:val="clear" w:color="auto" w:fill="FFFFFF"/>
            <w:vAlign w:val="center"/>
          </w:tcPr>
          <w:p w14:paraId="5CF8DB8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1074" w:type="dxa"/>
            <w:shd w:val="clear" w:color="auto" w:fill="FFFFFF"/>
            <w:vAlign w:val="center"/>
          </w:tcPr>
          <w:p w14:paraId="73BFA2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存储可靠性要求</w:t>
            </w:r>
          </w:p>
        </w:tc>
        <w:tc>
          <w:tcPr>
            <w:tcW w:w="1545" w:type="dxa"/>
            <w:shd w:val="clear" w:color="auto" w:fill="FFFFFF"/>
            <w:vAlign w:val="center"/>
          </w:tcPr>
          <w:p w14:paraId="32B2330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SATASSD可靠性</w:t>
            </w:r>
          </w:p>
        </w:tc>
        <w:tc>
          <w:tcPr>
            <w:tcW w:w="3945" w:type="dxa"/>
            <w:shd w:val="clear" w:color="auto" w:fill="FFFFFF"/>
            <w:vAlign w:val="center"/>
          </w:tcPr>
          <w:p w14:paraId="16BA322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SSD的m1值（MTBF的不可接受值）不低于200000h</w:t>
            </w:r>
          </w:p>
        </w:tc>
        <w:tc>
          <w:tcPr>
            <w:tcW w:w="1356" w:type="dxa"/>
            <w:shd w:val="clear" w:color="auto" w:fill="FFFFFF"/>
            <w:vAlign w:val="center"/>
          </w:tcPr>
          <w:p w14:paraId="3A96752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B18F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517967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125</w:t>
            </w:r>
          </w:p>
        </w:tc>
        <w:tc>
          <w:tcPr>
            <w:tcW w:w="981" w:type="dxa"/>
            <w:shd w:val="clear" w:color="auto" w:fill="FFFFFF"/>
            <w:vAlign w:val="center"/>
          </w:tcPr>
          <w:p w14:paraId="7BA11C5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1074" w:type="dxa"/>
            <w:vMerge w:val="restart"/>
            <w:shd w:val="clear" w:color="auto" w:fill="FFFFFF"/>
            <w:vAlign w:val="center"/>
          </w:tcPr>
          <w:p w14:paraId="45EA9A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整机可靠性要求</w:t>
            </w:r>
          </w:p>
        </w:tc>
        <w:tc>
          <w:tcPr>
            <w:tcW w:w="1545" w:type="dxa"/>
            <w:shd w:val="clear" w:color="auto" w:fill="FFFFFF"/>
            <w:vAlign w:val="center"/>
          </w:tcPr>
          <w:p w14:paraId="0592B97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★整机可靠性</w:t>
            </w:r>
          </w:p>
        </w:tc>
        <w:tc>
          <w:tcPr>
            <w:tcW w:w="3945" w:type="dxa"/>
            <w:shd w:val="clear" w:color="auto" w:fill="FFFFFF"/>
            <w:vAlign w:val="center"/>
          </w:tcPr>
          <w:p w14:paraId="5351814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m1值（MTBF的不可接受值）不得低于30000h</w:t>
            </w:r>
          </w:p>
        </w:tc>
        <w:tc>
          <w:tcPr>
            <w:tcW w:w="1356" w:type="dxa"/>
            <w:shd w:val="clear" w:color="auto" w:fill="FFFFFF"/>
            <w:vAlign w:val="center"/>
          </w:tcPr>
          <w:p w14:paraId="7A6C1A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9604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24" w:type="dxa"/>
            <w:shd w:val="clear" w:color="auto" w:fill="FFFFFF"/>
            <w:vAlign w:val="center"/>
          </w:tcPr>
          <w:p w14:paraId="5B9561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126</w:t>
            </w:r>
          </w:p>
        </w:tc>
        <w:tc>
          <w:tcPr>
            <w:tcW w:w="981" w:type="dxa"/>
            <w:shd w:val="clear" w:color="auto" w:fill="FFFFFF"/>
            <w:vAlign w:val="center"/>
          </w:tcPr>
          <w:p w14:paraId="26C0BAB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1074" w:type="dxa"/>
            <w:vMerge w:val="continue"/>
            <w:shd w:val="clear" w:color="auto" w:fill="FFFFFF"/>
            <w:vAlign w:val="center"/>
          </w:tcPr>
          <w:p w14:paraId="0A9F2018">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36A6123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★风扇可靠性</w:t>
            </w:r>
          </w:p>
        </w:tc>
        <w:tc>
          <w:tcPr>
            <w:tcW w:w="3945" w:type="dxa"/>
            <w:shd w:val="clear" w:color="auto" w:fill="FFFFFF"/>
            <w:vAlign w:val="center"/>
          </w:tcPr>
          <w:p w14:paraId="2910C14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风扇寿命应不低于40000h</w:t>
            </w:r>
          </w:p>
        </w:tc>
        <w:tc>
          <w:tcPr>
            <w:tcW w:w="1356" w:type="dxa"/>
            <w:shd w:val="clear" w:color="auto" w:fill="FFFFFF"/>
            <w:vAlign w:val="center"/>
          </w:tcPr>
          <w:p w14:paraId="7DCCA57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E76A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hRule="atLeast"/>
        </w:trPr>
        <w:tc>
          <w:tcPr>
            <w:tcW w:w="624" w:type="dxa"/>
            <w:shd w:val="clear" w:color="auto" w:fill="FFFFFF"/>
            <w:vAlign w:val="center"/>
          </w:tcPr>
          <w:p w14:paraId="07A0A4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127</w:t>
            </w:r>
          </w:p>
        </w:tc>
        <w:tc>
          <w:tcPr>
            <w:tcW w:w="981" w:type="dxa"/>
            <w:shd w:val="clear" w:color="auto" w:fill="FFFFFF"/>
            <w:vAlign w:val="center"/>
          </w:tcPr>
          <w:p w14:paraId="0B2B99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1074" w:type="dxa"/>
            <w:vMerge w:val="continue"/>
            <w:shd w:val="clear" w:color="auto" w:fill="FFFFFF"/>
            <w:vAlign w:val="center"/>
          </w:tcPr>
          <w:p w14:paraId="2BF8C8FC">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04A66B1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★部件可靠性</w:t>
            </w:r>
          </w:p>
        </w:tc>
        <w:tc>
          <w:tcPr>
            <w:tcW w:w="3945" w:type="dxa"/>
            <w:shd w:val="clear" w:color="auto" w:fill="FFFFFF"/>
            <w:vAlign w:val="center"/>
          </w:tcPr>
          <w:p w14:paraId="29E81CB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支持硬盘、电源、风扇热插拔（内置风扇除外）</w:t>
            </w:r>
          </w:p>
        </w:tc>
        <w:tc>
          <w:tcPr>
            <w:tcW w:w="1356" w:type="dxa"/>
            <w:shd w:val="clear" w:color="auto" w:fill="FFFFFF"/>
            <w:vAlign w:val="center"/>
          </w:tcPr>
          <w:p w14:paraId="4B00A43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10C1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24" w:type="dxa"/>
            <w:shd w:val="clear" w:color="auto" w:fill="FFFFFF"/>
            <w:vAlign w:val="center"/>
          </w:tcPr>
          <w:p w14:paraId="728EEC5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128</w:t>
            </w:r>
          </w:p>
        </w:tc>
        <w:tc>
          <w:tcPr>
            <w:tcW w:w="981" w:type="dxa"/>
            <w:shd w:val="clear" w:color="auto" w:fill="FFFFFF"/>
            <w:vAlign w:val="center"/>
          </w:tcPr>
          <w:p w14:paraId="49C6165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包装及运输要求</w:t>
            </w:r>
          </w:p>
        </w:tc>
        <w:tc>
          <w:tcPr>
            <w:tcW w:w="1074" w:type="dxa"/>
            <w:shd w:val="clear" w:color="auto" w:fill="FFFFFF"/>
            <w:vAlign w:val="center"/>
          </w:tcPr>
          <w:p w14:paraId="3FFC9BD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包装及运输要求</w:t>
            </w:r>
          </w:p>
        </w:tc>
        <w:tc>
          <w:tcPr>
            <w:tcW w:w="1545" w:type="dxa"/>
            <w:shd w:val="clear" w:color="auto" w:fill="FFFFFF"/>
            <w:vAlign w:val="center"/>
          </w:tcPr>
          <w:p w14:paraId="7807306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★标志、包装、运输和贮存</w:t>
            </w:r>
          </w:p>
        </w:tc>
        <w:tc>
          <w:tcPr>
            <w:tcW w:w="3945" w:type="dxa"/>
            <w:shd w:val="clear" w:color="auto" w:fill="FFFFFF"/>
            <w:vAlign w:val="center"/>
          </w:tcPr>
          <w:p w14:paraId="2BDBE84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符合GB/T9813.3和商品包装政府采购需求标准的相关规定</w:t>
            </w:r>
          </w:p>
        </w:tc>
        <w:tc>
          <w:tcPr>
            <w:tcW w:w="1356" w:type="dxa"/>
            <w:shd w:val="clear" w:color="auto" w:fill="FFFFFF"/>
            <w:vAlign w:val="center"/>
          </w:tcPr>
          <w:p w14:paraId="6DE9CC9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5DDD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512" w:hRule="atLeast"/>
        </w:trPr>
        <w:tc>
          <w:tcPr>
            <w:tcW w:w="624" w:type="dxa"/>
            <w:shd w:val="clear" w:color="auto" w:fill="FFFFFF"/>
            <w:vAlign w:val="center"/>
          </w:tcPr>
          <w:p w14:paraId="0371E2E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129</w:t>
            </w:r>
          </w:p>
        </w:tc>
        <w:tc>
          <w:tcPr>
            <w:tcW w:w="981" w:type="dxa"/>
            <w:shd w:val="clear" w:color="auto" w:fill="FFFFFF"/>
            <w:vAlign w:val="center"/>
          </w:tcPr>
          <w:p w14:paraId="7ACAF33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74" w:type="dxa"/>
            <w:vMerge w:val="restart"/>
            <w:shd w:val="clear" w:color="auto" w:fill="FFFFFF"/>
            <w:vAlign w:val="center"/>
          </w:tcPr>
          <w:p w14:paraId="32C700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服务响应</w:t>
            </w:r>
          </w:p>
        </w:tc>
        <w:tc>
          <w:tcPr>
            <w:tcW w:w="1545" w:type="dxa"/>
            <w:shd w:val="clear" w:color="auto" w:fill="FFFFFF"/>
            <w:vAlign w:val="center"/>
          </w:tcPr>
          <w:p w14:paraId="7BAB7DA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★服务响应</w:t>
            </w:r>
          </w:p>
        </w:tc>
        <w:tc>
          <w:tcPr>
            <w:tcW w:w="3945" w:type="dxa"/>
            <w:shd w:val="clear" w:color="auto" w:fill="FFFFFF"/>
            <w:vAlign w:val="center"/>
          </w:tcPr>
          <w:p w14:paraId="6CB6172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提供电话、电子邮件、远程连接等多种形式服务；b）提供同城4h、异地12h技术响应服务，2个工作日解决问题，对于未能解决的问题和故障应提供可行的升级方案，并提供周转设备；c）建立全国技术服务体系和服务团体，符合专业服务体系标准要求，提供原厂中文服务；d）服务周期内提供产品的维修、换件和升级服务</w:t>
            </w:r>
          </w:p>
        </w:tc>
        <w:tc>
          <w:tcPr>
            <w:tcW w:w="1356" w:type="dxa"/>
            <w:shd w:val="clear" w:color="auto" w:fill="FFFFFF"/>
            <w:vAlign w:val="center"/>
          </w:tcPr>
          <w:p w14:paraId="308605F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DBEC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4E0BF48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130</w:t>
            </w:r>
          </w:p>
        </w:tc>
        <w:tc>
          <w:tcPr>
            <w:tcW w:w="981" w:type="dxa"/>
            <w:shd w:val="clear" w:color="auto" w:fill="FFFFFF"/>
            <w:vAlign w:val="center"/>
          </w:tcPr>
          <w:p w14:paraId="3A87D0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74" w:type="dxa"/>
            <w:vMerge w:val="continue"/>
            <w:shd w:val="clear" w:color="auto" w:fill="FFFFFF"/>
            <w:vAlign w:val="center"/>
          </w:tcPr>
          <w:p w14:paraId="6D79AF81">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2DC9E33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★培训服务</w:t>
            </w:r>
          </w:p>
        </w:tc>
        <w:tc>
          <w:tcPr>
            <w:tcW w:w="3945" w:type="dxa"/>
            <w:shd w:val="clear" w:color="auto" w:fill="FFFFFF"/>
            <w:vAlign w:val="center"/>
          </w:tcPr>
          <w:p w14:paraId="345A66D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供应商提供培训材料、产品手册、培训视频等培训相关内容</w:t>
            </w:r>
          </w:p>
        </w:tc>
        <w:tc>
          <w:tcPr>
            <w:tcW w:w="1356" w:type="dxa"/>
            <w:shd w:val="clear" w:color="auto" w:fill="FFFFFF"/>
            <w:vAlign w:val="center"/>
          </w:tcPr>
          <w:p w14:paraId="3CF876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0B6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296" w:hRule="atLeast"/>
        </w:trPr>
        <w:tc>
          <w:tcPr>
            <w:tcW w:w="624" w:type="dxa"/>
            <w:shd w:val="clear" w:color="auto" w:fill="FFFFFF"/>
            <w:vAlign w:val="center"/>
          </w:tcPr>
          <w:p w14:paraId="4F74AAD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131</w:t>
            </w:r>
          </w:p>
        </w:tc>
        <w:tc>
          <w:tcPr>
            <w:tcW w:w="981" w:type="dxa"/>
            <w:shd w:val="clear" w:color="auto" w:fill="FFFFFF"/>
            <w:vAlign w:val="center"/>
          </w:tcPr>
          <w:p w14:paraId="245F87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74" w:type="dxa"/>
            <w:shd w:val="clear" w:color="auto" w:fill="FFFFFF"/>
            <w:vAlign w:val="center"/>
          </w:tcPr>
          <w:p w14:paraId="3FA09E2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服务周期</w:t>
            </w:r>
          </w:p>
        </w:tc>
        <w:tc>
          <w:tcPr>
            <w:tcW w:w="1545" w:type="dxa"/>
            <w:shd w:val="clear" w:color="auto" w:fill="FFFFFF"/>
            <w:vAlign w:val="center"/>
          </w:tcPr>
          <w:p w14:paraId="18D5C5F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★服务周期</w:t>
            </w:r>
          </w:p>
        </w:tc>
        <w:tc>
          <w:tcPr>
            <w:tcW w:w="3945" w:type="dxa"/>
            <w:shd w:val="clear" w:color="auto" w:fill="FFFFFF"/>
            <w:vAlign w:val="center"/>
          </w:tcPr>
          <w:p w14:paraId="1D170EA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产品免费服务周期（含换件和维修）应不小于6年；b）设备停产后继续提供质量保障服务（含备品备件），服务终止时间与最后一批设备交付时间间隔不低于6年；c）产品停止服务时间应提前1年告知客户；d）产品发布日期需在技术文件或者技术白皮书中明确</w:t>
            </w:r>
          </w:p>
        </w:tc>
        <w:tc>
          <w:tcPr>
            <w:tcW w:w="1356" w:type="dxa"/>
            <w:shd w:val="clear" w:color="auto" w:fill="FFFFFF"/>
            <w:vAlign w:val="center"/>
          </w:tcPr>
          <w:p w14:paraId="2DD2A56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610E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7DD01C5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132</w:t>
            </w:r>
          </w:p>
        </w:tc>
        <w:tc>
          <w:tcPr>
            <w:tcW w:w="981" w:type="dxa"/>
            <w:shd w:val="clear" w:color="auto" w:fill="FFFFFF"/>
            <w:vAlign w:val="center"/>
          </w:tcPr>
          <w:p w14:paraId="4F5E7B9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74" w:type="dxa"/>
            <w:vMerge w:val="restart"/>
            <w:shd w:val="clear" w:color="auto" w:fill="FFFFFF"/>
            <w:vAlign w:val="center"/>
          </w:tcPr>
          <w:p w14:paraId="364BD4C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服务工具要求</w:t>
            </w:r>
          </w:p>
        </w:tc>
        <w:tc>
          <w:tcPr>
            <w:tcW w:w="1545" w:type="dxa"/>
            <w:shd w:val="clear" w:color="auto" w:fill="FFFFFF"/>
            <w:vAlign w:val="center"/>
          </w:tcPr>
          <w:p w14:paraId="5E5F51B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★工具要求</w:t>
            </w:r>
          </w:p>
        </w:tc>
        <w:tc>
          <w:tcPr>
            <w:tcW w:w="3945" w:type="dxa"/>
            <w:shd w:val="clear" w:color="auto" w:fill="FFFFFF"/>
            <w:vAlign w:val="center"/>
          </w:tcPr>
          <w:p w14:paraId="2EB490C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供应商提供设置服务器硬件、辅助操作系统安装等功能的辅助工具和管理软件。且随附软件应具有合法授权或版权</w:t>
            </w:r>
          </w:p>
        </w:tc>
        <w:tc>
          <w:tcPr>
            <w:tcW w:w="1356" w:type="dxa"/>
            <w:shd w:val="clear" w:color="auto" w:fill="FFFFFF"/>
            <w:vAlign w:val="center"/>
          </w:tcPr>
          <w:p w14:paraId="6841723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648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624" w:type="dxa"/>
            <w:shd w:val="clear" w:color="auto" w:fill="FFFFFF"/>
            <w:vAlign w:val="center"/>
          </w:tcPr>
          <w:p w14:paraId="6896799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133</w:t>
            </w:r>
          </w:p>
        </w:tc>
        <w:tc>
          <w:tcPr>
            <w:tcW w:w="981" w:type="dxa"/>
            <w:shd w:val="clear" w:color="auto" w:fill="FFFFFF"/>
            <w:vAlign w:val="center"/>
          </w:tcPr>
          <w:p w14:paraId="76D4D0F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74" w:type="dxa"/>
            <w:vMerge w:val="continue"/>
            <w:shd w:val="clear" w:color="auto" w:fill="FFFFFF"/>
            <w:vAlign w:val="center"/>
          </w:tcPr>
          <w:p w14:paraId="0765E87F">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59F3BE6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辅助工具</w:t>
            </w:r>
          </w:p>
        </w:tc>
        <w:tc>
          <w:tcPr>
            <w:tcW w:w="3945" w:type="dxa"/>
            <w:shd w:val="clear" w:color="auto" w:fill="FFFFFF"/>
            <w:vAlign w:val="center"/>
          </w:tcPr>
          <w:p w14:paraId="454E896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支持如下功能a）本地的数据备份和还原功能；b）网络的数据备份和还原功能；c）通用服务器操作系统的自动安装功能；d）服务器所配硬件需要的驱动程序和系统补丁</w:t>
            </w:r>
          </w:p>
        </w:tc>
        <w:tc>
          <w:tcPr>
            <w:tcW w:w="1356" w:type="dxa"/>
            <w:shd w:val="clear" w:color="auto" w:fill="FFFFFF"/>
            <w:vAlign w:val="center"/>
          </w:tcPr>
          <w:p w14:paraId="49EFDB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9BBE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2395F0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134</w:t>
            </w:r>
          </w:p>
        </w:tc>
        <w:tc>
          <w:tcPr>
            <w:tcW w:w="981" w:type="dxa"/>
            <w:shd w:val="clear" w:color="auto" w:fill="FFFFFF"/>
            <w:vAlign w:val="center"/>
          </w:tcPr>
          <w:p w14:paraId="595A0F0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74" w:type="dxa"/>
            <w:vMerge w:val="continue"/>
            <w:shd w:val="clear" w:color="auto" w:fill="FFFFFF"/>
            <w:vAlign w:val="center"/>
          </w:tcPr>
          <w:p w14:paraId="739EBECC">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0032A77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★驱动安装升级指引</w:t>
            </w:r>
          </w:p>
        </w:tc>
        <w:tc>
          <w:tcPr>
            <w:tcW w:w="3945" w:type="dxa"/>
            <w:shd w:val="clear" w:color="auto" w:fill="FFFFFF"/>
            <w:vAlign w:val="center"/>
          </w:tcPr>
          <w:p w14:paraId="4DD310D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供应商提供出厂安装的配件所需的驱动程序，形式包括但不限于驱动光盘、驱动下载链接等。其他配件应提供指引</w:t>
            </w:r>
          </w:p>
        </w:tc>
        <w:tc>
          <w:tcPr>
            <w:tcW w:w="1356" w:type="dxa"/>
            <w:shd w:val="clear" w:color="auto" w:fill="FFFFFF"/>
            <w:vAlign w:val="center"/>
          </w:tcPr>
          <w:p w14:paraId="693E35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96FF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7F066C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135</w:t>
            </w:r>
          </w:p>
        </w:tc>
        <w:tc>
          <w:tcPr>
            <w:tcW w:w="981" w:type="dxa"/>
            <w:shd w:val="clear" w:color="auto" w:fill="FFFFFF"/>
            <w:vAlign w:val="center"/>
          </w:tcPr>
          <w:p w14:paraId="69A163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74" w:type="dxa"/>
            <w:vMerge w:val="continue"/>
            <w:shd w:val="clear" w:color="auto" w:fill="FFFFFF"/>
            <w:vAlign w:val="center"/>
          </w:tcPr>
          <w:p w14:paraId="22B22748">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1CC242B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随机附开盖工具</w:t>
            </w:r>
          </w:p>
        </w:tc>
        <w:tc>
          <w:tcPr>
            <w:tcW w:w="3945" w:type="dxa"/>
            <w:shd w:val="clear" w:color="auto" w:fill="FFFFFF"/>
            <w:vAlign w:val="center"/>
          </w:tcPr>
          <w:p w14:paraId="6B1C581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随服务器打包提供开机箱工具</w:t>
            </w:r>
          </w:p>
        </w:tc>
        <w:tc>
          <w:tcPr>
            <w:tcW w:w="1356" w:type="dxa"/>
            <w:shd w:val="clear" w:color="auto" w:fill="FFFFFF"/>
            <w:vAlign w:val="center"/>
          </w:tcPr>
          <w:p w14:paraId="35DCF1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87B3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624" w:type="dxa"/>
            <w:shd w:val="clear" w:color="auto" w:fill="FFFFFF"/>
            <w:vAlign w:val="center"/>
          </w:tcPr>
          <w:p w14:paraId="6F4267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136</w:t>
            </w:r>
          </w:p>
        </w:tc>
        <w:tc>
          <w:tcPr>
            <w:tcW w:w="981" w:type="dxa"/>
            <w:shd w:val="clear" w:color="auto" w:fill="FFFFFF"/>
            <w:vAlign w:val="center"/>
          </w:tcPr>
          <w:p w14:paraId="57A5130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74" w:type="dxa"/>
            <w:vMerge w:val="continue"/>
            <w:shd w:val="clear" w:color="auto" w:fill="FFFFFF"/>
            <w:vAlign w:val="center"/>
          </w:tcPr>
          <w:p w14:paraId="01642315">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226679A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代码迁移工具</w:t>
            </w:r>
          </w:p>
        </w:tc>
        <w:tc>
          <w:tcPr>
            <w:tcW w:w="3945" w:type="dxa"/>
            <w:shd w:val="clear" w:color="auto" w:fill="FFFFFF"/>
            <w:vAlign w:val="center"/>
          </w:tcPr>
          <w:p w14:paraId="42F7F82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从其他CPU架构到当前服务器CPU架构的软件迁移工具产品，支持软件包迁移评估，对满足产品重构要求的软件包，能重构为当前服务器CPU架构的软件包。提供源码迁移功能，检查分析C/C++/Fortran/Go/解释型语言/汇编等源码文件，基于产品功能给出迁移指导</w:t>
            </w:r>
          </w:p>
        </w:tc>
        <w:tc>
          <w:tcPr>
            <w:tcW w:w="1356" w:type="dxa"/>
            <w:shd w:val="clear" w:color="auto" w:fill="FFFFFF"/>
            <w:vAlign w:val="center"/>
          </w:tcPr>
          <w:p w14:paraId="6084DB9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E836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24" w:type="dxa"/>
            <w:shd w:val="clear" w:color="auto" w:fill="FFFFFF"/>
            <w:vAlign w:val="center"/>
          </w:tcPr>
          <w:p w14:paraId="12156DC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137</w:t>
            </w:r>
          </w:p>
        </w:tc>
        <w:tc>
          <w:tcPr>
            <w:tcW w:w="981" w:type="dxa"/>
            <w:shd w:val="clear" w:color="auto" w:fill="FFFFFF"/>
            <w:vAlign w:val="center"/>
          </w:tcPr>
          <w:p w14:paraId="7695D1D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74" w:type="dxa"/>
            <w:vMerge w:val="continue"/>
            <w:shd w:val="clear" w:color="auto" w:fill="FFFFFF"/>
            <w:vAlign w:val="center"/>
          </w:tcPr>
          <w:p w14:paraId="6D143FA6">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62AEF82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性能分析工具</w:t>
            </w:r>
          </w:p>
        </w:tc>
        <w:tc>
          <w:tcPr>
            <w:tcW w:w="3945" w:type="dxa"/>
            <w:shd w:val="clear" w:color="auto" w:fill="FFFFFF"/>
            <w:vAlign w:val="center"/>
          </w:tcPr>
          <w:p w14:paraId="47915A2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供应商提供支持当前服务器CPU架构的性能分析工具产品，支持系统性能分析、Java性能分析和系统诊断，可分析系统或应用在CPU、内存、IO、网络等方面的性能，并给出优化建议</w:t>
            </w:r>
          </w:p>
        </w:tc>
        <w:tc>
          <w:tcPr>
            <w:tcW w:w="1356" w:type="dxa"/>
            <w:shd w:val="clear" w:color="auto" w:fill="FFFFFF"/>
            <w:vAlign w:val="center"/>
          </w:tcPr>
          <w:p w14:paraId="0F12D6E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7A71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24" w:type="dxa"/>
            <w:shd w:val="clear" w:color="auto" w:fill="FFFFFF"/>
            <w:vAlign w:val="center"/>
          </w:tcPr>
          <w:p w14:paraId="44C6FEA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138</w:t>
            </w:r>
          </w:p>
        </w:tc>
        <w:tc>
          <w:tcPr>
            <w:tcW w:w="981" w:type="dxa"/>
            <w:shd w:val="clear" w:color="auto" w:fill="FFFFFF"/>
            <w:vAlign w:val="center"/>
          </w:tcPr>
          <w:p w14:paraId="7E6CCF9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74" w:type="dxa"/>
            <w:vMerge w:val="continue"/>
            <w:shd w:val="clear" w:color="auto" w:fill="FFFFFF"/>
            <w:vAlign w:val="center"/>
          </w:tcPr>
          <w:p w14:paraId="5A57A737">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087FB9F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跨架构平台应用兼容</w:t>
            </w:r>
          </w:p>
        </w:tc>
        <w:tc>
          <w:tcPr>
            <w:tcW w:w="3945" w:type="dxa"/>
            <w:shd w:val="clear" w:color="auto" w:fill="FFFFFF"/>
            <w:vAlign w:val="center"/>
          </w:tcPr>
          <w:p w14:paraId="210A998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跨CPU架构平台应用兼容工具，可兼容一种或者一种以上不同架构平台的应用</w:t>
            </w:r>
          </w:p>
        </w:tc>
        <w:tc>
          <w:tcPr>
            <w:tcW w:w="1356" w:type="dxa"/>
            <w:shd w:val="clear" w:color="auto" w:fill="FFFFFF"/>
            <w:vAlign w:val="center"/>
          </w:tcPr>
          <w:p w14:paraId="1413C6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23DC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24" w:type="dxa"/>
            <w:shd w:val="clear" w:color="auto" w:fill="FFFFFF"/>
            <w:vAlign w:val="center"/>
          </w:tcPr>
          <w:p w14:paraId="452F01F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139</w:t>
            </w:r>
          </w:p>
        </w:tc>
        <w:tc>
          <w:tcPr>
            <w:tcW w:w="981" w:type="dxa"/>
            <w:shd w:val="clear" w:color="auto" w:fill="FFFFFF"/>
            <w:vAlign w:val="center"/>
          </w:tcPr>
          <w:p w14:paraId="0DCC3B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74" w:type="dxa"/>
            <w:vMerge w:val="continue"/>
            <w:shd w:val="clear" w:color="auto" w:fill="FFFFFF"/>
            <w:vAlign w:val="center"/>
          </w:tcPr>
          <w:p w14:paraId="0060C790">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7A05A64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★管理软件</w:t>
            </w:r>
          </w:p>
        </w:tc>
        <w:tc>
          <w:tcPr>
            <w:tcW w:w="3945" w:type="dxa"/>
            <w:shd w:val="clear" w:color="auto" w:fill="FFFFFF"/>
            <w:vAlign w:val="center"/>
          </w:tcPr>
          <w:p w14:paraId="0CE019C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具备资源管理、系统管理、性能监控、健康监控、基于网络控制、报警设置功能</w:t>
            </w:r>
          </w:p>
        </w:tc>
        <w:tc>
          <w:tcPr>
            <w:tcW w:w="1356" w:type="dxa"/>
            <w:shd w:val="clear" w:color="auto" w:fill="FFFFFF"/>
            <w:vAlign w:val="center"/>
          </w:tcPr>
          <w:p w14:paraId="432A277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0E1D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0555DAB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140</w:t>
            </w:r>
          </w:p>
        </w:tc>
        <w:tc>
          <w:tcPr>
            <w:tcW w:w="981" w:type="dxa"/>
            <w:shd w:val="clear" w:color="auto" w:fill="FFFFFF"/>
            <w:vAlign w:val="center"/>
          </w:tcPr>
          <w:p w14:paraId="0D810CA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74" w:type="dxa"/>
            <w:vMerge w:val="restart"/>
            <w:shd w:val="clear" w:color="auto" w:fill="FFFFFF"/>
            <w:vAlign w:val="center"/>
          </w:tcPr>
          <w:p w14:paraId="48A543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增值服务</w:t>
            </w:r>
          </w:p>
        </w:tc>
        <w:tc>
          <w:tcPr>
            <w:tcW w:w="1545" w:type="dxa"/>
            <w:shd w:val="clear" w:color="auto" w:fill="FFFFFF"/>
            <w:vAlign w:val="center"/>
          </w:tcPr>
          <w:p w14:paraId="39A6BB8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★厂家升级产品软件与扩容服务</w:t>
            </w:r>
          </w:p>
        </w:tc>
        <w:tc>
          <w:tcPr>
            <w:tcW w:w="3945" w:type="dxa"/>
            <w:shd w:val="clear" w:color="auto" w:fill="FFFFFF"/>
            <w:vAlign w:val="center"/>
          </w:tcPr>
          <w:p w14:paraId="41B5BBA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供应商提供原厂级的部件/软件产品升级和扩容能力</w:t>
            </w:r>
          </w:p>
        </w:tc>
        <w:tc>
          <w:tcPr>
            <w:tcW w:w="1356" w:type="dxa"/>
            <w:shd w:val="clear" w:color="auto" w:fill="FFFFFF"/>
            <w:vAlign w:val="center"/>
          </w:tcPr>
          <w:p w14:paraId="239D982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393D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40A8D2F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141</w:t>
            </w:r>
          </w:p>
        </w:tc>
        <w:tc>
          <w:tcPr>
            <w:tcW w:w="981" w:type="dxa"/>
            <w:shd w:val="clear" w:color="auto" w:fill="FFFFFF"/>
            <w:vAlign w:val="center"/>
          </w:tcPr>
          <w:p w14:paraId="6651290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74" w:type="dxa"/>
            <w:vMerge w:val="continue"/>
            <w:shd w:val="clear" w:color="auto" w:fill="FFFFFF"/>
            <w:vAlign w:val="center"/>
          </w:tcPr>
          <w:p w14:paraId="5584569F">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289396D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服务保障升级</w:t>
            </w:r>
          </w:p>
        </w:tc>
        <w:tc>
          <w:tcPr>
            <w:tcW w:w="3945" w:type="dxa"/>
            <w:shd w:val="clear" w:color="auto" w:fill="FFFFFF"/>
            <w:vAlign w:val="center"/>
          </w:tcPr>
          <w:p w14:paraId="1639538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供应商有偿提供远程技术支持、软件授权服务、备件更换服务、现场支撑服务</w:t>
            </w:r>
          </w:p>
        </w:tc>
        <w:tc>
          <w:tcPr>
            <w:tcW w:w="1356" w:type="dxa"/>
            <w:shd w:val="clear" w:color="auto" w:fill="FFFFFF"/>
            <w:vAlign w:val="center"/>
          </w:tcPr>
          <w:p w14:paraId="5F286E2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DEAE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2D9CC9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142</w:t>
            </w:r>
          </w:p>
        </w:tc>
        <w:tc>
          <w:tcPr>
            <w:tcW w:w="981" w:type="dxa"/>
            <w:shd w:val="clear" w:color="auto" w:fill="FFFFFF"/>
            <w:vAlign w:val="center"/>
          </w:tcPr>
          <w:p w14:paraId="6ED5D76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74" w:type="dxa"/>
            <w:vMerge w:val="continue"/>
            <w:shd w:val="clear" w:color="auto" w:fill="FFFFFF"/>
            <w:vAlign w:val="center"/>
          </w:tcPr>
          <w:p w14:paraId="65C247C9">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73E3DB4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★提供上门服务</w:t>
            </w:r>
          </w:p>
        </w:tc>
        <w:tc>
          <w:tcPr>
            <w:tcW w:w="3945" w:type="dxa"/>
            <w:shd w:val="clear" w:color="auto" w:fill="FFFFFF"/>
            <w:vAlign w:val="center"/>
          </w:tcPr>
          <w:p w14:paraId="0C2B7A3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供应商具备提供上门服务的能力</w:t>
            </w:r>
          </w:p>
        </w:tc>
        <w:tc>
          <w:tcPr>
            <w:tcW w:w="1356" w:type="dxa"/>
            <w:shd w:val="clear" w:color="auto" w:fill="FFFFFF"/>
            <w:vAlign w:val="center"/>
          </w:tcPr>
          <w:p w14:paraId="60E9207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8625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24" w:type="dxa"/>
            <w:shd w:val="clear" w:color="auto" w:fill="FFFFFF"/>
            <w:vAlign w:val="center"/>
          </w:tcPr>
          <w:p w14:paraId="6E0FD05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143</w:t>
            </w:r>
          </w:p>
        </w:tc>
        <w:tc>
          <w:tcPr>
            <w:tcW w:w="981" w:type="dxa"/>
            <w:shd w:val="clear" w:color="auto" w:fill="FFFFFF"/>
            <w:vAlign w:val="center"/>
          </w:tcPr>
          <w:p w14:paraId="26F3B80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74" w:type="dxa"/>
            <w:vMerge w:val="continue"/>
            <w:shd w:val="clear" w:color="auto" w:fill="FFFFFF"/>
            <w:vAlign w:val="center"/>
          </w:tcPr>
          <w:p w14:paraId="6EB1DE52">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4C13B43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业务场景性能优化服务及整体架构升级服务</w:t>
            </w:r>
          </w:p>
        </w:tc>
        <w:tc>
          <w:tcPr>
            <w:tcW w:w="3945" w:type="dxa"/>
            <w:shd w:val="clear" w:color="auto" w:fill="FFFFFF"/>
            <w:vAlign w:val="center"/>
          </w:tcPr>
          <w:p w14:paraId="38C9184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供应商提供针对特定业务场景性能优化服务及整体架构升级服务</w:t>
            </w:r>
          </w:p>
        </w:tc>
        <w:tc>
          <w:tcPr>
            <w:tcW w:w="1356" w:type="dxa"/>
            <w:shd w:val="clear" w:color="auto" w:fill="FFFFFF"/>
            <w:vAlign w:val="center"/>
          </w:tcPr>
          <w:p w14:paraId="6AD46B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89A6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797DC3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144</w:t>
            </w:r>
          </w:p>
        </w:tc>
        <w:tc>
          <w:tcPr>
            <w:tcW w:w="981" w:type="dxa"/>
            <w:shd w:val="clear" w:color="auto" w:fill="FFFFFF"/>
            <w:vAlign w:val="center"/>
          </w:tcPr>
          <w:p w14:paraId="26C310C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供保要求</w:t>
            </w:r>
          </w:p>
        </w:tc>
        <w:tc>
          <w:tcPr>
            <w:tcW w:w="1074" w:type="dxa"/>
            <w:vMerge w:val="restart"/>
            <w:shd w:val="clear" w:color="auto" w:fill="FFFFFF"/>
            <w:vAlign w:val="center"/>
          </w:tcPr>
          <w:p w14:paraId="1525D8C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供应链质量</w:t>
            </w:r>
          </w:p>
        </w:tc>
        <w:tc>
          <w:tcPr>
            <w:tcW w:w="1545" w:type="dxa"/>
            <w:shd w:val="clear" w:color="auto" w:fill="FFFFFF"/>
            <w:vAlign w:val="center"/>
          </w:tcPr>
          <w:p w14:paraId="18EDA24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★抗干扰性</w:t>
            </w:r>
          </w:p>
        </w:tc>
        <w:tc>
          <w:tcPr>
            <w:tcW w:w="3945" w:type="dxa"/>
            <w:shd w:val="clear" w:color="auto" w:fill="FFFFFF"/>
            <w:vAlign w:val="center"/>
          </w:tcPr>
          <w:p w14:paraId="2B3B16C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当产品部件出现供应风险时，应通知客户并提供风险应对方案确保产品的服务保障，必要时应停止相关受影响产品的销售</w:t>
            </w:r>
          </w:p>
        </w:tc>
        <w:tc>
          <w:tcPr>
            <w:tcW w:w="1356" w:type="dxa"/>
            <w:shd w:val="clear" w:color="auto" w:fill="FFFFFF"/>
            <w:vAlign w:val="center"/>
          </w:tcPr>
          <w:p w14:paraId="0739FD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6037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7AFF103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145</w:t>
            </w:r>
          </w:p>
        </w:tc>
        <w:tc>
          <w:tcPr>
            <w:tcW w:w="981" w:type="dxa"/>
            <w:shd w:val="clear" w:color="auto" w:fill="FFFFFF"/>
            <w:vAlign w:val="center"/>
          </w:tcPr>
          <w:p w14:paraId="68B576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供保要求</w:t>
            </w:r>
          </w:p>
        </w:tc>
        <w:tc>
          <w:tcPr>
            <w:tcW w:w="1074" w:type="dxa"/>
            <w:vMerge w:val="continue"/>
            <w:shd w:val="clear" w:color="auto" w:fill="FFFFFF"/>
            <w:vAlign w:val="center"/>
          </w:tcPr>
          <w:p w14:paraId="5E60D218">
            <w:pPr>
              <w:widowControl/>
              <w:jc w:val="left"/>
              <w:rPr>
                <w:rFonts w:asciiTheme="minorEastAsia" w:hAnsiTheme="minorEastAsia" w:eastAsiaTheme="minorEastAsia" w:cstheme="minorEastAsia"/>
                <w:kern w:val="0"/>
                <w:sz w:val="24"/>
              </w:rPr>
            </w:pPr>
          </w:p>
        </w:tc>
        <w:tc>
          <w:tcPr>
            <w:tcW w:w="1545" w:type="dxa"/>
            <w:shd w:val="clear" w:color="auto" w:fill="FFFFFF"/>
            <w:vAlign w:val="center"/>
          </w:tcPr>
          <w:p w14:paraId="17C43F1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★供应能力证明</w:t>
            </w:r>
          </w:p>
        </w:tc>
        <w:tc>
          <w:tcPr>
            <w:tcW w:w="3945" w:type="dxa"/>
            <w:shd w:val="clear" w:color="auto" w:fill="FFFFFF"/>
            <w:vAlign w:val="center"/>
          </w:tcPr>
          <w:p w14:paraId="1CC009C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b/>
                <w:bCs/>
                <w:kern w:val="0"/>
                <w:sz w:val="24"/>
              </w:rPr>
              <w:t>供应商提供供应链稳定承诺书，确保产品的部件在产品服务周期内稳定供货（需提供加盖投标人公章的承诺函，否则作无效投标处理）</w:t>
            </w:r>
          </w:p>
        </w:tc>
        <w:tc>
          <w:tcPr>
            <w:tcW w:w="1356" w:type="dxa"/>
            <w:shd w:val="clear" w:color="auto" w:fill="FFFFFF"/>
            <w:vAlign w:val="center"/>
          </w:tcPr>
          <w:p w14:paraId="78267865">
            <w:pPr>
              <w:widowControl/>
              <w:jc w:val="center"/>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kern w:val="0"/>
                <w:sz w:val="24"/>
              </w:rPr>
              <w:t>是</w:t>
            </w:r>
          </w:p>
        </w:tc>
      </w:tr>
      <w:tr w14:paraId="4F9DB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18FC55E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146</w:t>
            </w:r>
          </w:p>
        </w:tc>
        <w:tc>
          <w:tcPr>
            <w:tcW w:w="981" w:type="dxa"/>
            <w:shd w:val="clear" w:color="auto" w:fill="FFFFFF"/>
            <w:vAlign w:val="center"/>
          </w:tcPr>
          <w:p w14:paraId="2DCB937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74" w:type="dxa"/>
            <w:shd w:val="clear" w:color="auto" w:fill="FFFFFF"/>
            <w:vAlign w:val="center"/>
          </w:tcPr>
          <w:p w14:paraId="0B69D84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中央处理器</w:t>
            </w:r>
          </w:p>
        </w:tc>
        <w:tc>
          <w:tcPr>
            <w:tcW w:w="1545" w:type="dxa"/>
            <w:shd w:val="clear" w:color="auto" w:fill="FFFFFF"/>
            <w:vAlign w:val="center"/>
          </w:tcPr>
          <w:p w14:paraId="4D58F77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#加解密功能</w:t>
            </w:r>
          </w:p>
        </w:tc>
        <w:tc>
          <w:tcPr>
            <w:tcW w:w="3945" w:type="dxa"/>
            <w:shd w:val="clear" w:color="auto" w:fill="FFFFFF"/>
            <w:vAlign w:val="center"/>
          </w:tcPr>
          <w:p w14:paraId="6C28744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投标产品所配备的CPU（中央处理器）支持TEE可信执行环境，实现虚拟机在内存读写时的自动加解密功能。</w:t>
            </w:r>
            <w:r>
              <w:rPr>
                <w:rFonts w:hint="eastAsia" w:asciiTheme="minorEastAsia" w:hAnsiTheme="minorEastAsia" w:eastAsiaTheme="minorEastAsia" w:cstheme="minorEastAsia"/>
                <w:kern w:val="0"/>
                <w:sz w:val="24"/>
                <w:lang w:val="en-US" w:eastAsia="zh-CN"/>
              </w:rPr>
              <w:t>需</w:t>
            </w:r>
            <w:r>
              <w:rPr>
                <w:rFonts w:hint="eastAsia" w:asciiTheme="minorEastAsia" w:hAnsiTheme="minorEastAsia" w:eastAsiaTheme="minorEastAsia" w:cstheme="minorEastAsia"/>
                <w:kern w:val="0"/>
                <w:sz w:val="24"/>
              </w:rPr>
              <w:t xml:space="preserve">提供投标产品所配备的CPU（中央处理器）具有上述密码技术特性的证明材料； </w:t>
            </w:r>
          </w:p>
        </w:tc>
        <w:tc>
          <w:tcPr>
            <w:tcW w:w="1356" w:type="dxa"/>
            <w:shd w:val="clear" w:color="auto" w:fill="FFFFFF"/>
            <w:vAlign w:val="center"/>
          </w:tcPr>
          <w:p w14:paraId="6E6BA69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51D54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3F9745D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157</w:t>
            </w:r>
          </w:p>
        </w:tc>
        <w:tc>
          <w:tcPr>
            <w:tcW w:w="981" w:type="dxa"/>
            <w:shd w:val="clear" w:color="auto" w:fill="FFFFFF"/>
            <w:vAlign w:val="center"/>
          </w:tcPr>
          <w:p w14:paraId="1B88E97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74" w:type="dxa"/>
            <w:shd w:val="clear" w:color="auto" w:fill="FFFFFF"/>
            <w:vAlign w:val="center"/>
          </w:tcPr>
          <w:p w14:paraId="69E620B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中央处理器</w:t>
            </w:r>
          </w:p>
        </w:tc>
        <w:tc>
          <w:tcPr>
            <w:tcW w:w="1545" w:type="dxa"/>
            <w:shd w:val="clear" w:color="auto" w:fill="FFFFFF"/>
            <w:vAlign w:val="center"/>
          </w:tcPr>
          <w:p w14:paraId="4D50E8F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#超线程技术</w:t>
            </w:r>
          </w:p>
        </w:tc>
        <w:tc>
          <w:tcPr>
            <w:tcW w:w="3945" w:type="dxa"/>
            <w:shd w:val="clear" w:color="auto" w:fill="FFFFFF"/>
            <w:vAlign w:val="center"/>
          </w:tcPr>
          <w:p w14:paraId="070B2C9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shd w:val="clear" w:color="auto" w:fill="FFFFFF" w:themeFill="background1"/>
              </w:rPr>
              <w:t>产品所配备的CPU（中央处理器）需支持且配置超线程技术</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w:t>
            </w:r>
            <w:r>
              <w:rPr>
                <w:rFonts w:hint="eastAsia" w:asciiTheme="minorEastAsia" w:hAnsiTheme="minorEastAsia" w:eastAsiaTheme="minorEastAsia" w:cstheme="minorEastAsia"/>
                <w:kern w:val="0"/>
                <w:sz w:val="24"/>
              </w:rPr>
              <w:t xml:space="preserve">提供投标产品所配备的CPU（中央处理器）具有上述技术特性的证明材料 </w:t>
            </w:r>
            <w:r>
              <w:rPr>
                <w:rFonts w:hint="eastAsia" w:asciiTheme="minorEastAsia" w:hAnsiTheme="minorEastAsia" w:eastAsiaTheme="minorEastAsia" w:cstheme="minorEastAsia"/>
                <w:kern w:val="0"/>
                <w:sz w:val="24"/>
                <w:shd w:val="clear" w:color="auto" w:fill="FFFFFF" w:themeFill="background1"/>
              </w:rPr>
              <w:t>；</w:t>
            </w:r>
          </w:p>
        </w:tc>
        <w:tc>
          <w:tcPr>
            <w:tcW w:w="1356" w:type="dxa"/>
            <w:shd w:val="clear" w:color="auto" w:fill="FFFFFF"/>
            <w:vAlign w:val="center"/>
          </w:tcPr>
          <w:p w14:paraId="5AEB7D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bl>
    <w:p w14:paraId="4F57E75C">
      <w:pPr>
        <w:rPr>
          <w:rFonts w:asciiTheme="minorEastAsia" w:hAnsiTheme="minorEastAsia" w:eastAsiaTheme="minorEastAsia" w:cstheme="minorEastAsia"/>
          <w:sz w:val="24"/>
        </w:rPr>
      </w:pPr>
    </w:p>
    <w:p w14:paraId="1DAA5DDE">
      <w:pPr>
        <w:pStyle w:val="2"/>
        <w:numPr>
          <w:ilvl w:val="0"/>
          <w:numId w:val="2"/>
        </w:numPr>
        <w:shd w:val="clear" w:color="auto" w:fill="FFFFFF"/>
        <w:ind w:left="442" w:hanging="442"/>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其他业务超融合集群</w:t>
      </w:r>
    </w:p>
    <w:tbl>
      <w:tblPr>
        <w:tblStyle w:val="15"/>
        <w:tblW w:w="9535" w:type="dxa"/>
        <w:tblInd w:w="-5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624"/>
        <w:gridCol w:w="981"/>
        <w:gridCol w:w="1089"/>
        <w:gridCol w:w="1500"/>
        <w:gridCol w:w="3997"/>
        <w:gridCol w:w="1344"/>
      </w:tblGrid>
      <w:tr w14:paraId="2A93B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85" w:hRule="atLeast"/>
        </w:trPr>
        <w:tc>
          <w:tcPr>
            <w:tcW w:w="624" w:type="dxa"/>
            <w:shd w:val="clear" w:color="auto" w:fill="FFFFFF"/>
            <w:vAlign w:val="center"/>
          </w:tcPr>
          <w:p w14:paraId="23F5FAF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序号</w:t>
            </w:r>
          </w:p>
        </w:tc>
        <w:tc>
          <w:tcPr>
            <w:tcW w:w="981" w:type="dxa"/>
            <w:shd w:val="clear" w:color="auto" w:fill="FFFFFF"/>
            <w:vAlign w:val="center"/>
          </w:tcPr>
          <w:p w14:paraId="5F8F943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指标分类</w:t>
            </w:r>
          </w:p>
        </w:tc>
        <w:tc>
          <w:tcPr>
            <w:tcW w:w="1089" w:type="dxa"/>
            <w:shd w:val="clear" w:color="auto" w:fill="FFFFFF"/>
            <w:vAlign w:val="center"/>
          </w:tcPr>
          <w:p w14:paraId="014D91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一级指标</w:t>
            </w:r>
          </w:p>
        </w:tc>
        <w:tc>
          <w:tcPr>
            <w:tcW w:w="1500" w:type="dxa"/>
            <w:shd w:val="clear" w:color="auto" w:fill="FFFFFF"/>
            <w:vAlign w:val="center"/>
          </w:tcPr>
          <w:p w14:paraId="15BBAD1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二级指标</w:t>
            </w:r>
          </w:p>
        </w:tc>
        <w:tc>
          <w:tcPr>
            <w:tcW w:w="3997" w:type="dxa"/>
            <w:shd w:val="clear" w:color="auto" w:fill="FFFFFF"/>
            <w:vAlign w:val="center"/>
          </w:tcPr>
          <w:p w14:paraId="3555E7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指标要求</w:t>
            </w:r>
          </w:p>
        </w:tc>
        <w:tc>
          <w:tcPr>
            <w:tcW w:w="1344" w:type="dxa"/>
            <w:shd w:val="clear" w:color="auto" w:fill="FFFFFF"/>
            <w:vAlign w:val="center"/>
          </w:tcPr>
          <w:p w14:paraId="58A824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是否提供证明材料</w:t>
            </w:r>
          </w:p>
        </w:tc>
      </w:tr>
      <w:tr w14:paraId="1A924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552DB1D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w:t>
            </w:r>
          </w:p>
        </w:tc>
        <w:tc>
          <w:tcPr>
            <w:tcW w:w="981" w:type="dxa"/>
            <w:shd w:val="clear" w:color="auto" w:fill="FFFFFF"/>
            <w:vAlign w:val="center"/>
          </w:tcPr>
          <w:p w14:paraId="1259115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shd w:val="clear" w:color="auto" w:fill="FFFFFF"/>
            <w:vAlign w:val="center"/>
          </w:tcPr>
          <w:p w14:paraId="1D35F3D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CPU规格</w:t>
            </w:r>
          </w:p>
        </w:tc>
        <w:tc>
          <w:tcPr>
            <w:tcW w:w="1500" w:type="dxa"/>
            <w:shd w:val="clear" w:color="auto" w:fill="FFFFFF"/>
            <w:vAlign w:val="center"/>
          </w:tcPr>
          <w:p w14:paraId="3B9EF43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★CPU信息</w:t>
            </w:r>
          </w:p>
        </w:tc>
        <w:tc>
          <w:tcPr>
            <w:tcW w:w="3997" w:type="dxa"/>
            <w:shd w:val="clear" w:color="auto" w:fill="FFFFFF"/>
            <w:vAlign w:val="center"/>
          </w:tcPr>
          <w:p w14:paraId="79220CC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供应商应给出CPU信息，包含CPU型号、物理核心数、主频、末级缓存容量、线程数、热设计功耗及支持内存的最高速率、通道数和位宽</w:t>
            </w:r>
          </w:p>
        </w:tc>
        <w:tc>
          <w:tcPr>
            <w:tcW w:w="1344" w:type="dxa"/>
            <w:shd w:val="clear" w:color="auto" w:fill="FFFFFF"/>
            <w:vAlign w:val="center"/>
          </w:tcPr>
          <w:p w14:paraId="22E12C7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920A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5B12C14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981" w:type="dxa"/>
            <w:shd w:val="clear" w:color="auto" w:fill="FFFFFF"/>
            <w:vAlign w:val="center"/>
          </w:tcPr>
          <w:p w14:paraId="058E6EC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restart"/>
            <w:shd w:val="clear" w:color="auto" w:fill="FFFFFF"/>
            <w:vAlign w:val="center"/>
          </w:tcPr>
          <w:p w14:paraId="496715B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主板规格</w:t>
            </w:r>
          </w:p>
        </w:tc>
        <w:tc>
          <w:tcPr>
            <w:tcW w:w="1500" w:type="dxa"/>
            <w:shd w:val="clear" w:color="auto" w:fill="FFFFFF"/>
            <w:vAlign w:val="center"/>
          </w:tcPr>
          <w:p w14:paraId="4E57BAC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★主板支持的CPU和内存情况</w:t>
            </w:r>
          </w:p>
        </w:tc>
        <w:tc>
          <w:tcPr>
            <w:tcW w:w="3997" w:type="dxa"/>
            <w:shd w:val="clear" w:color="auto" w:fill="FFFFFF"/>
            <w:vAlign w:val="center"/>
          </w:tcPr>
          <w:p w14:paraId="176A725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供应商给出主板支持的CPU和内存的型号数量</w:t>
            </w:r>
          </w:p>
        </w:tc>
        <w:tc>
          <w:tcPr>
            <w:tcW w:w="1344" w:type="dxa"/>
            <w:shd w:val="clear" w:color="auto" w:fill="FFFFFF"/>
            <w:vAlign w:val="center"/>
          </w:tcPr>
          <w:p w14:paraId="28411C9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D5E6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2A63C99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w:t>
            </w:r>
          </w:p>
        </w:tc>
        <w:tc>
          <w:tcPr>
            <w:tcW w:w="981" w:type="dxa"/>
            <w:shd w:val="clear" w:color="auto" w:fill="FFFFFF"/>
            <w:vAlign w:val="center"/>
          </w:tcPr>
          <w:p w14:paraId="58F1A57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55D61A26">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2262DAA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★主板内存槽数量</w:t>
            </w:r>
          </w:p>
        </w:tc>
        <w:tc>
          <w:tcPr>
            <w:tcW w:w="3997" w:type="dxa"/>
            <w:shd w:val="clear" w:color="auto" w:fill="FFFFFF"/>
            <w:vAlign w:val="center"/>
          </w:tcPr>
          <w:p w14:paraId="112AAFE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非板载内存的可扩展插槽数量应≥4个</w:t>
            </w:r>
          </w:p>
        </w:tc>
        <w:tc>
          <w:tcPr>
            <w:tcW w:w="1344" w:type="dxa"/>
            <w:shd w:val="clear" w:color="auto" w:fill="FFFFFF"/>
            <w:vAlign w:val="center"/>
          </w:tcPr>
          <w:p w14:paraId="64D65B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A065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2294D48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w:t>
            </w:r>
          </w:p>
        </w:tc>
        <w:tc>
          <w:tcPr>
            <w:tcW w:w="981" w:type="dxa"/>
            <w:shd w:val="clear" w:color="auto" w:fill="FFFFFF"/>
            <w:vAlign w:val="center"/>
          </w:tcPr>
          <w:p w14:paraId="2060808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654B71E3">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5A986E2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★主板存储接口</w:t>
            </w:r>
          </w:p>
        </w:tc>
        <w:tc>
          <w:tcPr>
            <w:tcW w:w="3997" w:type="dxa"/>
            <w:shd w:val="clear" w:color="auto" w:fill="FFFFFF"/>
            <w:vAlign w:val="center"/>
          </w:tcPr>
          <w:p w14:paraId="0505BA0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至少支持SATA、SAS、M.2、U.2等存储接口中的1种</w:t>
            </w:r>
          </w:p>
        </w:tc>
        <w:tc>
          <w:tcPr>
            <w:tcW w:w="1344" w:type="dxa"/>
            <w:shd w:val="clear" w:color="auto" w:fill="FFFFFF"/>
            <w:vAlign w:val="center"/>
          </w:tcPr>
          <w:p w14:paraId="3804F6A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63D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3E580E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w:t>
            </w:r>
          </w:p>
        </w:tc>
        <w:tc>
          <w:tcPr>
            <w:tcW w:w="981" w:type="dxa"/>
            <w:shd w:val="clear" w:color="auto" w:fill="FFFFFF"/>
            <w:vAlign w:val="center"/>
          </w:tcPr>
          <w:p w14:paraId="43B7B90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74E2381A">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55567F4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★PCIe插槽接口</w:t>
            </w:r>
          </w:p>
        </w:tc>
        <w:tc>
          <w:tcPr>
            <w:tcW w:w="3997" w:type="dxa"/>
            <w:shd w:val="clear" w:color="auto" w:fill="FFFFFF"/>
            <w:vAlign w:val="center"/>
          </w:tcPr>
          <w:p w14:paraId="344FD10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符合PCIe3.0或以上的高速串行计算机扩展总线标准，PCIe的接口速率与位宽需保证向下兼容</w:t>
            </w:r>
          </w:p>
        </w:tc>
        <w:tc>
          <w:tcPr>
            <w:tcW w:w="1344" w:type="dxa"/>
            <w:shd w:val="clear" w:color="auto" w:fill="FFFFFF"/>
            <w:vAlign w:val="center"/>
          </w:tcPr>
          <w:p w14:paraId="1915B8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D6AF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6637ABC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w:t>
            </w:r>
          </w:p>
        </w:tc>
        <w:tc>
          <w:tcPr>
            <w:tcW w:w="981" w:type="dxa"/>
            <w:shd w:val="clear" w:color="auto" w:fill="FFFFFF"/>
            <w:vAlign w:val="center"/>
          </w:tcPr>
          <w:p w14:paraId="38561D2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04EE3F79">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2DCF64D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★主板PCIe插槽数量及规格</w:t>
            </w:r>
          </w:p>
        </w:tc>
        <w:tc>
          <w:tcPr>
            <w:tcW w:w="3997" w:type="dxa"/>
            <w:shd w:val="clear" w:color="auto" w:fill="FFFFFF"/>
            <w:vAlign w:val="center"/>
          </w:tcPr>
          <w:p w14:paraId="18F76EC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a）高度大于44.45mm双路或以上服务器PCIe插槽或接口应≥5个；</w:t>
            </w:r>
          </w:p>
          <w:p w14:paraId="62EEAC9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b）单路服务器PCIe插槽或接口应≥4个，可通过扩展卡进行插槽扩展</w:t>
            </w:r>
          </w:p>
        </w:tc>
        <w:tc>
          <w:tcPr>
            <w:tcW w:w="1344" w:type="dxa"/>
            <w:shd w:val="clear" w:color="auto" w:fill="FFFFFF"/>
            <w:vAlign w:val="center"/>
          </w:tcPr>
          <w:p w14:paraId="45ABA3F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DDD4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24" w:type="dxa"/>
            <w:shd w:val="clear" w:color="auto" w:fill="FFFFFF"/>
            <w:vAlign w:val="center"/>
          </w:tcPr>
          <w:p w14:paraId="327D05B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w:t>
            </w:r>
          </w:p>
        </w:tc>
        <w:tc>
          <w:tcPr>
            <w:tcW w:w="981" w:type="dxa"/>
            <w:shd w:val="clear" w:color="auto" w:fill="FFFFFF"/>
            <w:vAlign w:val="center"/>
          </w:tcPr>
          <w:p w14:paraId="2F50162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5C05D56B">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138EB51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特殊孔位及接口</w:t>
            </w:r>
          </w:p>
        </w:tc>
        <w:tc>
          <w:tcPr>
            <w:tcW w:w="3997" w:type="dxa"/>
            <w:shd w:val="clear" w:color="auto" w:fill="FFFFFF"/>
            <w:vAlign w:val="center"/>
          </w:tcPr>
          <w:p w14:paraId="0ED8140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服务器机箱内主板可根据用户实际使用需求支持安装多功能导入装置板卡，机箱内需预留多功能导入装置板卡安装位置，容量不小于55mm×45mm×15mm（长×宽×高，单位毫米）；b）服务器主板可根据用户实际使用需求预留满足USB2.0或USB3.0数据传输规范的接口，工作电压5V，采用USB2.0时，最大过电流应不小于0.5A，采用USB3.0时，最大过电流应不小于1A</w:t>
            </w:r>
          </w:p>
        </w:tc>
        <w:tc>
          <w:tcPr>
            <w:tcW w:w="1344" w:type="dxa"/>
            <w:shd w:val="clear" w:color="auto" w:fill="FFFFFF"/>
            <w:vAlign w:val="center"/>
          </w:tcPr>
          <w:p w14:paraId="0F1F21D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87A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4C94706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981" w:type="dxa"/>
            <w:shd w:val="clear" w:color="auto" w:fill="FFFFFF"/>
            <w:vAlign w:val="center"/>
          </w:tcPr>
          <w:p w14:paraId="5D3BA5A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69838D54">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3903EAC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板载网络接口</w:t>
            </w:r>
          </w:p>
        </w:tc>
        <w:tc>
          <w:tcPr>
            <w:tcW w:w="3997" w:type="dxa"/>
            <w:shd w:val="clear" w:color="auto" w:fill="FFFFFF"/>
            <w:vAlign w:val="center"/>
          </w:tcPr>
          <w:p w14:paraId="63DE144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若支持板载网络接口应≥2个1GE网口</w:t>
            </w:r>
          </w:p>
        </w:tc>
        <w:tc>
          <w:tcPr>
            <w:tcW w:w="1344" w:type="dxa"/>
            <w:shd w:val="clear" w:color="auto" w:fill="FFFFFF"/>
            <w:vAlign w:val="center"/>
          </w:tcPr>
          <w:p w14:paraId="17D71CB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D9AF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360112C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w:t>
            </w:r>
          </w:p>
        </w:tc>
        <w:tc>
          <w:tcPr>
            <w:tcW w:w="981" w:type="dxa"/>
            <w:shd w:val="clear" w:color="auto" w:fill="FFFFFF"/>
            <w:vAlign w:val="center"/>
          </w:tcPr>
          <w:p w14:paraId="75DDA59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261F2ACA">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2F390A1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主板OCP插槽数量</w:t>
            </w:r>
          </w:p>
        </w:tc>
        <w:tc>
          <w:tcPr>
            <w:tcW w:w="3997" w:type="dxa"/>
            <w:shd w:val="clear" w:color="auto" w:fill="FFFFFF"/>
            <w:vAlign w:val="center"/>
          </w:tcPr>
          <w:p w14:paraId="4E4E59B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支持OCP2.0及以上插槽的数量≥1个</w:t>
            </w:r>
          </w:p>
        </w:tc>
        <w:tc>
          <w:tcPr>
            <w:tcW w:w="1344" w:type="dxa"/>
            <w:shd w:val="clear" w:color="auto" w:fill="FFFFFF"/>
            <w:vAlign w:val="center"/>
          </w:tcPr>
          <w:p w14:paraId="7504AC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231E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24" w:type="dxa"/>
            <w:shd w:val="clear" w:color="auto" w:fill="FFFFFF"/>
            <w:vAlign w:val="center"/>
          </w:tcPr>
          <w:p w14:paraId="679C560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w:t>
            </w:r>
          </w:p>
        </w:tc>
        <w:tc>
          <w:tcPr>
            <w:tcW w:w="981" w:type="dxa"/>
            <w:shd w:val="clear" w:color="auto" w:fill="FFFFFF"/>
            <w:vAlign w:val="center"/>
          </w:tcPr>
          <w:p w14:paraId="0EAFC6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restart"/>
            <w:shd w:val="clear" w:color="auto" w:fill="FFFFFF"/>
            <w:vAlign w:val="center"/>
          </w:tcPr>
          <w:p w14:paraId="0B21BDF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内存规格</w:t>
            </w:r>
          </w:p>
        </w:tc>
        <w:tc>
          <w:tcPr>
            <w:tcW w:w="1500" w:type="dxa"/>
            <w:shd w:val="clear" w:color="auto" w:fill="FFFFFF"/>
            <w:vAlign w:val="center"/>
          </w:tcPr>
          <w:p w14:paraId="1ECE012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★内存数量</w:t>
            </w:r>
          </w:p>
        </w:tc>
        <w:tc>
          <w:tcPr>
            <w:tcW w:w="3997" w:type="dxa"/>
            <w:shd w:val="clear" w:color="auto" w:fill="FFFFFF"/>
            <w:vAlign w:val="center"/>
          </w:tcPr>
          <w:p w14:paraId="1B1C910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≥24</w:t>
            </w:r>
          </w:p>
        </w:tc>
        <w:tc>
          <w:tcPr>
            <w:tcW w:w="1344" w:type="dxa"/>
            <w:shd w:val="clear" w:color="auto" w:fill="FFFFFF"/>
            <w:vAlign w:val="center"/>
          </w:tcPr>
          <w:p w14:paraId="49772B2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3247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24" w:type="dxa"/>
            <w:shd w:val="clear" w:color="auto" w:fill="FFFFFF"/>
            <w:vAlign w:val="center"/>
          </w:tcPr>
          <w:p w14:paraId="637E962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w:t>
            </w:r>
          </w:p>
        </w:tc>
        <w:tc>
          <w:tcPr>
            <w:tcW w:w="981" w:type="dxa"/>
            <w:shd w:val="clear" w:color="auto" w:fill="FFFFFF"/>
            <w:vAlign w:val="center"/>
          </w:tcPr>
          <w:p w14:paraId="2EBD171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32DD4B14">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2F0AF00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★内存规格</w:t>
            </w:r>
          </w:p>
        </w:tc>
        <w:tc>
          <w:tcPr>
            <w:tcW w:w="3997" w:type="dxa"/>
            <w:shd w:val="clear" w:color="auto" w:fill="FFFFFF"/>
            <w:vAlign w:val="center"/>
          </w:tcPr>
          <w:p w14:paraId="2225C3D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≥DDR4</w:t>
            </w:r>
          </w:p>
        </w:tc>
        <w:tc>
          <w:tcPr>
            <w:tcW w:w="1344" w:type="dxa"/>
            <w:shd w:val="clear" w:color="auto" w:fill="FFFFFF"/>
            <w:vAlign w:val="center"/>
          </w:tcPr>
          <w:p w14:paraId="2326D9E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2632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24" w:type="dxa"/>
            <w:shd w:val="clear" w:color="auto" w:fill="FFFFFF"/>
            <w:vAlign w:val="center"/>
          </w:tcPr>
          <w:p w14:paraId="0DB280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w:t>
            </w:r>
          </w:p>
        </w:tc>
        <w:tc>
          <w:tcPr>
            <w:tcW w:w="981" w:type="dxa"/>
            <w:shd w:val="clear" w:color="auto" w:fill="FFFFFF"/>
            <w:vAlign w:val="center"/>
          </w:tcPr>
          <w:p w14:paraId="2F4B617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67DDC5C4">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1AA0FA9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★内存通道</w:t>
            </w:r>
          </w:p>
        </w:tc>
        <w:tc>
          <w:tcPr>
            <w:tcW w:w="3997" w:type="dxa"/>
            <w:shd w:val="clear" w:color="auto" w:fill="FFFFFF"/>
            <w:vAlign w:val="center"/>
          </w:tcPr>
          <w:p w14:paraId="3458482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支持多个内存接口通道，每个通道可支持1DPC或2DPC，当支持2DPC时，印制电路板上应具备插槽的序号标识，具体通道数应在随机文件中明确</w:t>
            </w:r>
          </w:p>
        </w:tc>
        <w:tc>
          <w:tcPr>
            <w:tcW w:w="1344" w:type="dxa"/>
            <w:shd w:val="clear" w:color="auto" w:fill="FFFFFF"/>
            <w:vAlign w:val="center"/>
          </w:tcPr>
          <w:p w14:paraId="149BC3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080B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24" w:type="dxa"/>
            <w:shd w:val="clear" w:color="auto" w:fill="FFFFFF"/>
            <w:vAlign w:val="center"/>
          </w:tcPr>
          <w:p w14:paraId="5B27372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w:t>
            </w:r>
          </w:p>
        </w:tc>
        <w:tc>
          <w:tcPr>
            <w:tcW w:w="981" w:type="dxa"/>
            <w:shd w:val="clear" w:color="auto" w:fill="FFFFFF"/>
            <w:vAlign w:val="center"/>
          </w:tcPr>
          <w:p w14:paraId="1EB781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restart"/>
            <w:shd w:val="clear" w:color="auto" w:fill="FFFFFF"/>
            <w:vAlign w:val="center"/>
          </w:tcPr>
          <w:p w14:paraId="32C6695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存储规格</w:t>
            </w:r>
          </w:p>
        </w:tc>
        <w:tc>
          <w:tcPr>
            <w:tcW w:w="1500" w:type="dxa"/>
            <w:shd w:val="clear" w:color="auto" w:fill="FFFFFF"/>
            <w:vAlign w:val="center"/>
          </w:tcPr>
          <w:p w14:paraId="00FC2F2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硬盘类型</w:t>
            </w:r>
          </w:p>
        </w:tc>
        <w:tc>
          <w:tcPr>
            <w:tcW w:w="3997" w:type="dxa"/>
            <w:shd w:val="clear" w:color="auto" w:fill="FFFFFF"/>
            <w:vAlign w:val="center"/>
          </w:tcPr>
          <w:p w14:paraId="733B5B4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供应商给出服务器支持硬磁盘和固态盘类型及规格</w:t>
            </w:r>
          </w:p>
        </w:tc>
        <w:tc>
          <w:tcPr>
            <w:tcW w:w="1344" w:type="dxa"/>
            <w:shd w:val="clear" w:color="auto" w:fill="FFFFFF"/>
            <w:vAlign w:val="center"/>
          </w:tcPr>
          <w:p w14:paraId="3067CB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5EB7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24" w:type="dxa"/>
            <w:shd w:val="clear" w:color="auto" w:fill="FFFFFF"/>
            <w:vAlign w:val="center"/>
          </w:tcPr>
          <w:p w14:paraId="4C060EC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w:t>
            </w:r>
          </w:p>
        </w:tc>
        <w:tc>
          <w:tcPr>
            <w:tcW w:w="981" w:type="dxa"/>
            <w:shd w:val="clear" w:color="auto" w:fill="FFFFFF"/>
            <w:vAlign w:val="center"/>
          </w:tcPr>
          <w:p w14:paraId="2815CAF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5EE4E904">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4918926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★硬磁盘实配容量</w:t>
            </w:r>
          </w:p>
        </w:tc>
        <w:tc>
          <w:tcPr>
            <w:tcW w:w="3997" w:type="dxa"/>
            <w:shd w:val="clear" w:color="auto" w:fill="FFFFFF"/>
            <w:vAlign w:val="center"/>
          </w:tcPr>
          <w:p w14:paraId="038D439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硬盘1：≥480G SATA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硬盘2：≥3.2T NVMe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硬盘3：≥8T 7.2K SATA硬磁盘</w:t>
            </w:r>
          </w:p>
        </w:tc>
        <w:tc>
          <w:tcPr>
            <w:tcW w:w="1344" w:type="dxa"/>
            <w:shd w:val="clear" w:color="auto" w:fill="FFFFFF"/>
            <w:vAlign w:val="center"/>
          </w:tcPr>
          <w:p w14:paraId="4043332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FFCF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298541C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w:t>
            </w:r>
          </w:p>
        </w:tc>
        <w:tc>
          <w:tcPr>
            <w:tcW w:w="981" w:type="dxa"/>
            <w:shd w:val="clear" w:color="auto" w:fill="FFFFFF"/>
            <w:vAlign w:val="center"/>
          </w:tcPr>
          <w:p w14:paraId="698F224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530C28FA">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1681095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硬盘接口类型</w:t>
            </w:r>
          </w:p>
        </w:tc>
        <w:tc>
          <w:tcPr>
            <w:tcW w:w="3997" w:type="dxa"/>
            <w:shd w:val="clear" w:color="auto" w:fill="FFFFFF"/>
            <w:vAlign w:val="center"/>
          </w:tcPr>
          <w:p w14:paraId="2363637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a）若配备硬磁盘，应提供SAS3.0或SATA3.0及以上接口；b）若配备固态盘，应提供至少1种类型固态盘接口，如UFS、SATA、PCIe等</w:t>
            </w:r>
          </w:p>
        </w:tc>
        <w:tc>
          <w:tcPr>
            <w:tcW w:w="1344" w:type="dxa"/>
            <w:shd w:val="clear" w:color="auto" w:fill="FFFFFF"/>
            <w:vAlign w:val="center"/>
          </w:tcPr>
          <w:p w14:paraId="21928A9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CD2D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0129D8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w:t>
            </w:r>
          </w:p>
        </w:tc>
        <w:tc>
          <w:tcPr>
            <w:tcW w:w="981" w:type="dxa"/>
            <w:shd w:val="clear" w:color="auto" w:fill="FFFFFF"/>
            <w:vAlign w:val="center"/>
          </w:tcPr>
          <w:p w14:paraId="5A463B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7983607A">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0D29494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★硬盘实配数量</w:t>
            </w:r>
          </w:p>
        </w:tc>
        <w:tc>
          <w:tcPr>
            <w:tcW w:w="3997" w:type="dxa"/>
            <w:shd w:val="clear" w:color="auto" w:fill="FFFFFF"/>
            <w:vAlign w:val="center"/>
          </w:tcPr>
          <w:p w14:paraId="3434F99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硬盘1：≥2块480G SATA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硬盘2：≥2块3.2T NVMe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硬盘3：≥6块8T 7.2K SATA；</w:t>
            </w:r>
          </w:p>
        </w:tc>
        <w:tc>
          <w:tcPr>
            <w:tcW w:w="1344" w:type="dxa"/>
            <w:shd w:val="clear" w:color="auto" w:fill="FFFFFF"/>
            <w:vAlign w:val="center"/>
          </w:tcPr>
          <w:p w14:paraId="4D04EB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B984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624" w:type="dxa"/>
            <w:shd w:val="clear" w:color="auto" w:fill="FFFFFF"/>
            <w:vAlign w:val="center"/>
          </w:tcPr>
          <w:p w14:paraId="7101FE6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17</w:t>
            </w:r>
          </w:p>
        </w:tc>
        <w:tc>
          <w:tcPr>
            <w:tcW w:w="981" w:type="dxa"/>
            <w:shd w:val="clear" w:color="auto" w:fill="FFFFFF"/>
            <w:vAlign w:val="center"/>
          </w:tcPr>
          <w:p w14:paraId="52B876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4F51C0DC">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07F923E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★硬盘插槽数量及规格</w:t>
            </w:r>
          </w:p>
        </w:tc>
        <w:tc>
          <w:tcPr>
            <w:tcW w:w="3997" w:type="dxa"/>
            <w:shd w:val="clear" w:color="auto" w:fill="FFFFFF"/>
            <w:vAlign w:val="center"/>
          </w:tcPr>
          <w:p w14:paraId="231F960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供应商应给出配置的硬盘尺寸，如2.5英寸、3.5英寸硬磁盘；b）机箱高度为88.9mm的服务器可支持的硬盘数量应≥8块，机箱高度为44.45mm的服务器可支持的硬盘数量应≥4块。c）存储型服务器可支持硬盘数量应≥24块</w:t>
            </w:r>
          </w:p>
        </w:tc>
        <w:tc>
          <w:tcPr>
            <w:tcW w:w="1344" w:type="dxa"/>
            <w:shd w:val="clear" w:color="auto" w:fill="FFFFFF"/>
            <w:vAlign w:val="center"/>
          </w:tcPr>
          <w:p w14:paraId="6E2562C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81B9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24" w:type="dxa"/>
            <w:shd w:val="clear" w:color="auto" w:fill="FFFFFF"/>
            <w:vAlign w:val="center"/>
          </w:tcPr>
          <w:p w14:paraId="0A03607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18</w:t>
            </w:r>
          </w:p>
        </w:tc>
        <w:tc>
          <w:tcPr>
            <w:tcW w:w="981" w:type="dxa"/>
            <w:shd w:val="clear" w:color="auto" w:fill="FFFFFF"/>
            <w:vAlign w:val="center"/>
          </w:tcPr>
          <w:p w14:paraId="6B20DE6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66FD6ABF">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31FD598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硬盘其他参数要求</w:t>
            </w:r>
          </w:p>
        </w:tc>
        <w:tc>
          <w:tcPr>
            <w:tcW w:w="3997" w:type="dxa"/>
            <w:shd w:val="clear" w:color="auto" w:fill="FFFFFF"/>
            <w:vAlign w:val="center"/>
          </w:tcPr>
          <w:p w14:paraId="769DCC1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drawing>
                <wp:anchor distT="0" distB="0" distL="114300" distR="114300" simplePos="0" relativeHeight="251670528" behindDoc="0" locked="0" layoutInCell="1" allowOverlap="1">
                  <wp:simplePos x="0" y="0"/>
                  <wp:positionH relativeFrom="column">
                    <wp:posOffset>9525</wp:posOffset>
                  </wp:positionH>
                  <wp:positionV relativeFrom="paragraph">
                    <wp:posOffset>471170</wp:posOffset>
                  </wp:positionV>
                  <wp:extent cx="76200" cy="47625"/>
                  <wp:effectExtent l="0" t="0" r="0" b="0"/>
                  <wp:wrapNone/>
                  <wp:docPr id="12" name="图片 18"/>
                  <wp:cNvGraphicFramePr/>
                  <a:graphic xmlns:a="http://schemas.openxmlformats.org/drawingml/2006/main">
                    <a:graphicData uri="http://schemas.openxmlformats.org/drawingml/2006/picture">
                      <pic:pic xmlns:pic="http://schemas.openxmlformats.org/drawingml/2006/picture">
                        <pic:nvPicPr>
                          <pic:cNvPr id="12" name="图片 18"/>
                          <pic:cNvPicPr/>
                        </pic:nvPicPr>
                        <pic:blipFill>
                          <a:blip r:embed="rId5"/>
                          <a:stretch>
                            <a:fillRect/>
                          </a:stretch>
                        </pic:blipFill>
                        <pic:spPr>
                          <a:xfrm>
                            <a:off x="0" y="0"/>
                            <a:ext cx="76200" cy="47625"/>
                          </a:xfrm>
                          <a:prstGeom prst="rect">
                            <a:avLst/>
                          </a:prstGeom>
                          <a:noFill/>
                          <a:ln>
                            <a:noFill/>
                          </a:ln>
                        </pic:spPr>
                      </pic:pic>
                    </a:graphicData>
                  </a:graphic>
                </wp:anchor>
              </w:drawing>
            </w:r>
            <w:r>
              <w:rPr>
                <w:rFonts w:hint="eastAsia" w:asciiTheme="minorEastAsia" w:hAnsiTheme="minorEastAsia" w:eastAsiaTheme="minorEastAsia" w:cstheme="minorEastAsia"/>
                <w:kern w:val="0"/>
                <w:sz w:val="24"/>
              </w:rPr>
              <w:t>a）机械硬盘准备时间应≤30s；侧面固定螺丝孔数量可为4孔或6孔；工作状态环境温度应满足5℃55℃,其他参数应符合GB/T12628的相关规定；b）若服务器支持固态盘，固态盘符合SJ/T11654相关规定</w:t>
            </w:r>
          </w:p>
        </w:tc>
        <w:tc>
          <w:tcPr>
            <w:tcW w:w="1344" w:type="dxa"/>
            <w:shd w:val="clear" w:color="auto" w:fill="FFFFFF"/>
            <w:vAlign w:val="center"/>
          </w:tcPr>
          <w:p w14:paraId="2346E85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B872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24" w:type="dxa"/>
            <w:shd w:val="clear" w:color="auto" w:fill="FFFFFF"/>
            <w:vAlign w:val="center"/>
          </w:tcPr>
          <w:p w14:paraId="614B6CC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19</w:t>
            </w:r>
          </w:p>
        </w:tc>
        <w:tc>
          <w:tcPr>
            <w:tcW w:w="981" w:type="dxa"/>
            <w:shd w:val="clear" w:color="auto" w:fill="FFFFFF"/>
            <w:vAlign w:val="center"/>
          </w:tcPr>
          <w:p w14:paraId="406858A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shd w:val="clear" w:color="auto" w:fill="FFFFFF"/>
            <w:vAlign w:val="center"/>
          </w:tcPr>
          <w:p w14:paraId="1F5E64E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RAID卡规格（若支持RAID卡）</w:t>
            </w:r>
          </w:p>
        </w:tc>
        <w:tc>
          <w:tcPr>
            <w:tcW w:w="1500" w:type="dxa"/>
            <w:shd w:val="clear" w:color="auto" w:fill="FFFFFF"/>
            <w:vAlign w:val="center"/>
          </w:tcPr>
          <w:p w14:paraId="2734C7B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RAID卡支持的SAS接口数</w:t>
            </w:r>
          </w:p>
        </w:tc>
        <w:tc>
          <w:tcPr>
            <w:tcW w:w="3997" w:type="dxa"/>
            <w:shd w:val="clear" w:color="auto" w:fill="FFFFFF"/>
            <w:vAlign w:val="center"/>
          </w:tcPr>
          <w:p w14:paraId="2B33498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1344" w:type="dxa"/>
            <w:shd w:val="clear" w:color="auto" w:fill="FFFFFF"/>
            <w:vAlign w:val="center"/>
          </w:tcPr>
          <w:p w14:paraId="2C9BE5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AE3A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624" w:type="dxa"/>
            <w:shd w:val="clear" w:color="auto" w:fill="FFFFFF"/>
            <w:vAlign w:val="center"/>
          </w:tcPr>
          <w:p w14:paraId="1C06EA5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20</w:t>
            </w:r>
          </w:p>
        </w:tc>
        <w:tc>
          <w:tcPr>
            <w:tcW w:w="981" w:type="dxa"/>
            <w:shd w:val="clear" w:color="auto" w:fill="FFFFFF"/>
            <w:vAlign w:val="center"/>
          </w:tcPr>
          <w:p w14:paraId="78E1E9C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shd w:val="clear" w:color="auto" w:fill="FFFFFF"/>
            <w:vAlign w:val="center"/>
          </w:tcPr>
          <w:p w14:paraId="023C40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SAS直通卡规格（若支持SAS直通卡）</w:t>
            </w:r>
          </w:p>
        </w:tc>
        <w:tc>
          <w:tcPr>
            <w:tcW w:w="1500" w:type="dxa"/>
            <w:shd w:val="clear" w:color="auto" w:fill="FFFFFF"/>
            <w:vAlign w:val="center"/>
          </w:tcPr>
          <w:p w14:paraId="232D0B7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SAS直通卡SAS接口数量</w:t>
            </w:r>
          </w:p>
        </w:tc>
        <w:tc>
          <w:tcPr>
            <w:tcW w:w="3997" w:type="dxa"/>
            <w:shd w:val="clear" w:color="auto" w:fill="FFFFFF"/>
            <w:vAlign w:val="center"/>
          </w:tcPr>
          <w:p w14:paraId="23339A6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≥0</w:t>
            </w:r>
          </w:p>
        </w:tc>
        <w:tc>
          <w:tcPr>
            <w:tcW w:w="1344" w:type="dxa"/>
            <w:shd w:val="clear" w:color="auto" w:fill="FFFFFF"/>
            <w:vAlign w:val="center"/>
          </w:tcPr>
          <w:p w14:paraId="64EE11F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B8CA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170A021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21</w:t>
            </w:r>
          </w:p>
        </w:tc>
        <w:tc>
          <w:tcPr>
            <w:tcW w:w="981" w:type="dxa"/>
            <w:shd w:val="clear" w:color="auto" w:fill="FFFFFF"/>
            <w:vAlign w:val="center"/>
          </w:tcPr>
          <w:p w14:paraId="1192664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shd w:val="clear" w:color="auto" w:fill="FFFFFF"/>
            <w:vAlign w:val="center"/>
          </w:tcPr>
          <w:p w14:paraId="3B4927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HBA卡规格（若支HBA直通卡）</w:t>
            </w:r>
          </w:p>
        </w:tc>
        <w:tc>
          <w:tcPr>
            <w:tcW w:w="1500" w:type="dxa"/>
            <w:shd w:val="clear" w:color="auto" w:fill="FFFFFF"/>
            <w:vAlign w:val="center"/>
          </w:tcPr>
          <w:p w14:paraId="746D721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HBA卡端口数量</w:t>
            </w:r>
          </w:p>
        </w:tc>
        <w:tc>
          <w:tcPr>
            <w:tcW w:w="3997" w:type="dxa"/>
            <w:shd w:val="clear" w:color="auto" w:fill="FFFFFF"/>
            <w:vAlign w:val="center"/>
          </w:tcPr>
          <w:p w14:paraId="55FB602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≥0</w:t>
            </w:r>
          </w:p>
        </w:tc>
        <w:tc>
          <w:tcPr>
            <w:tcW w:w="1344" w:type="dxa"/>
            <w:shd w:val="clear" w:color="auto" w:fill="FFFFFF"/>
            <w:vAlign w:val="center"/>
          </w:tcPr>
          <w:p w14:paraId="73B0CF2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E5E5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35D0EB3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22</w:t>
            </w:r>
          </w:p>
        </w:tc>
        <w:tc>
          <w:tcPr>
            <w:tcW w:w="981" w:type="dxa"/>
            <w:shd w:val="clear" w:color="auto" w:fill="FFFFFF"/>
            <w:vAlign w:val="center"/>
          </w:tcPr>
          <w:p w14:paraId="47499AC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restart"/>
            <w:shd w:val="clear" w:color="auto" w:fill="FFFFFF"/>
            <w:vAlign w:val="center"/>
          </w:tcPr>
          <w:p w14:paraId="5BA7579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网络规格</w:t>
            </w:r>
          </w:p>
        </w:tc>
        <w:tc>
          <w:tcPr>
            <w:tcW w:w="1500" w:type="dxa"/>
            <w:shd w:val="clear" w:color="auto" w:fill="FFFFFF"/>
            <w:vAlign w:val="center"/>
          </w:tcPr>
          <w:p w14:paraId="5F072C6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★网口速率和数量</w:t>
            </w:r>
          </w:p>
        </w:tc>
        <w:tc>
          <w:tcPr>
            <w:tcW w:w="3997" w:type="dxa"/>
            <w:shd w:val="clear" w:color="auto" w:fill="FFFFFF"/>
            <w:vAlign w:val="center"/>
          </w:tcPr>
          <w:p w14:paraId="08D1896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配置10GE光口≥4个（满配10GE多模光模块）</w:t>
            </w:r>
          </w:p>
          <w:p w14:paraId="359CACC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配置1GE电口≥2个</w:t>
            </w:r>
          </w:p>
        </w:tc>
        <w:tc>
          <w:tcPr>
            <w:tcW w:w="1344" w:type="dxa"/>
            <w:shd w:val="clear" w:color="auto" w:fill="FFFFFF"/>
            <w:vAlign w:val="center"/>
          </w:tcPr>
          <w:p w14:paraId="500A14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9798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3E2FCF4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23</w:t>
            </w:r>
          </w:p>
        </w:tc>
        <w:tc>
          <w:tcPr>
            <w:tcW w:w="981" w:type="dxa"/>
            <w:shd w:val="clear" w:color="auto" w:fill="FFFFFF"/>
            <w:vAlign w:val="center"/>
          </w:tcPr>
          <w:p w14:paraId="43D1080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3B0632F8">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2C402FF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存储型服务器网口速率和数量</w:t>
            </w:r>
          </w:p>
        </w:tc>
        <w:tc>
          <w:tcPr>
            <w:tcW w:w="3997" w:type="dxa"/>
            <w:shd w:val="clear" w:color="auto" w:fill="FFFFFF"/>
            <w:vAlign w:val="center"/>
          </w:tcPr>
          <w:p w14:paraId="46CDA6F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存储型服务器1GE 网口数量≥2 个，10GE 以上网口数量≥2个（不涉及）</w:t>
            </w:r>
          </w:p>
        </w:tc>
        <w:tc>
          <w:tcPr>
            <w:tcW w:w="1344" w:type="dxa"/>
            <w:shd w:val="clear" w:color="auto" w:fill="FFFFFF"/>
            <w:vAlign w:val="center"/>
          </w:tcPr>
          <w:p w14:paraId="61128F3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3473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39FFA3D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24</w:t>
            </w:r>
          </w:p>
        </w:tc>
        <w:tc>
          <w:tcPr>
            <w:tcW w:w="981" w:type="dxa"/>
            <w:shd w:val="clear" w:color="auto" w:fill="FFFFFF"/>
            <w:vAlign w:val="center"/>
          </w:tcPr>
          <w:p w14:paraId="0A93946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2B638CE7">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77E4197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独立网卡网口数量</w:t>
            </w:r>
          </w:p>
        </w:tc>
        <w:tc>
          <w:tcPr>
            <w:tcW w:w="3997" w:type="dxa"/>
            <w:shd w:val="clear" w:color="auto" w:fill="FFFFFF"/>
            <w:vAlign w:val="center"/>
          </w:tcPr>
          <w:p w14:paraId="3964FC6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配备10GE独立网卡，独立网卡网口数量≥2</w:t>
            </w:r>
          </w:p>
        </w:tc>
        <w:tc>
          <w:tcPr>
            <w:tcW w:w="1344" w:type="dxa"/>
            <w:shd w:val="clear" w:color="auto" w:fill="FFFFFF"/>
            <w:vAlign w:val="center"/>
          </w:tcPr>
          <w:p w14:paraId="4495FD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6299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27C3919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25</w:t>
            </w:r>
          </w:p>
        </w:tc>
        <w:tc>
          <w:tcPr>
            <w:tcW w:w="981" w:type="dxa"/>
            <w:shd w:val="clear" w:color="auto" w:fill="FFFFFF"/>
            <w:vAlign w:val="center"/>
          </w:tcPr>
          <w:p w14:paraId="6D134DB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33633F9F">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3D57242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独立网卡接口类型</w:t>
            </w:r>
          </w:p>
        </w:tc>
        <w:tc>
          <w:tcPr>
            <w:tcW w:w="3997" w:type="dxa"/>
            <w:shd w:val="clear" w:color="auto" w:fill="FFFFFF"/>
            <w:vAlign w:val="center"/>
          </w:tcPr>
          <w:p w14:paraId="73F2B28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支持RJ45/QSFP/SFP等</w:t>
            </w:r>
          </w:p>
        </w:tc>
        <w:tc>
          <w:tcPr>
            <w:tcW w:w="1344" w:type="dxa"/>
            <w:shd w:val="clear" w:color="auto" w:fill="FFFFFF"/>
            <w:vAlign w:val="center"/>
          </w:tcPr>
          <w:p w14:paraId="5891CEF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9952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0E40BAC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26</w:t>
            </w:r>
          </w:p>
        </w:tc>
        <w:tc>
          <w:tcPr>
            <w:tcW w:w="981" w:type="dxa"/>
            <w:shd w:val="clear" w:color="auto" w:fill="FFFFFF"/>
            <w:vAlign w:val="center"/>
          </w:tcPr>
          <w:p w14:paraId="1FD7C92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612321C7">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49786E5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板载网卡接口类型</w:t>
            </w:r>
          </w:p>
        </w:tc>
        <w:tc>
          <w:tcPr>
            <w:tcW w:w="3997" w:type="dxa"/>
            <w:shd w:val="clear" w:color="auto" w:fill="FFFFFF"/>
            <w:vAlign w:val="center"/>
          </w:tcPr>
          <w:p w14:paraId="170DD7B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支持RJ45/QSFP/SFP等</w:t>
            </w:r>
          </w:p>
        </w:tc>
        <w:tc>
          <w:tcPr>
            <w:tcW w:w="1344" w:type="dxa"/>
            <w:shd w:val="clear" w:color="auto" w:fill="FFFFFF"/>
            <w:vAlign w:val="center"/>
          </w:tcPr>
          <w:p w14:paraId="02969C0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9BEF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7EE510E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27</w:t>
            </w:r>
          </w:p>
        </w:tc>
        <w:tc>
          <w:tcPr>
            <w:tcW w:w="981" w:type="dxa"/>
            <w:shd w:val="clear" w:color="auto" w:fill="FFFFFF"/>
            <w:vAlign w:val="center"/>
          </w:tcPr>
          <w:p w14:paraId="710C4DF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restart"/>
            <w:shd w:val="clear" w:color="auto" w:fill="FFFFFF"/>
            <w:vAlign w:val="center"/>
          </w:tcPr>
          <w:p w14:paraId="405D1EF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外部接口规格</w:t>
            </w:r>
          </w:p>
        </w:tc>
        <w:tc>
          <w:tcPr>
            <w:tcW w:w="1500" w:type="dxa"/>
            <w:shd w:val="clear" w:color="auto" w:fill="FFFFFF"/>
            <w:vAlign w:val="center"/>
          </w:tcPr>
          <w:p w14:paraId="4692BBE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★显示接口</w:t>
            </w:r>
          </w:p>
        </w:tc>
        <w:tc>
          <w:tcPr>
            <w:tcW w:w="3997" w:type="dxa"/>
            <w:shd w:val="clear" w:color="auto" w:fill="FFFFFF"/>
            <w:vAlign w:val="center"/>
          </w:tcPr>
          <w:p w14:paraId="6426C49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显示接口类型应≥1种，如：VGA、DP、HDMI等</w:t>
            </w:r>
          </w:p>
        </w:tc>
        <w:tc>
          <w:tcPr>
            <w:tcW w:w="1344" w:type="dxa"/>
            <w:shd w:val="clear" w:color="auto" w:fill="FFFFFF"/>
            <w:vAlign w:val="center"/>
          </w:tcPr>
          <w:p w14:paraId="10CEC2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2DC1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24" w:type="dxa"/>
            <w:shd w:val="clear" w:color="auto" w:fill="FFFFFF"/>
            <w:vAlign w:val="center"/>
          </w:tcPr>
          <w:p w14:paraId="3AF2CB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28</w:t>
            </w:r>
          </w:p>
        </w:tc>
        <w:tc>
          <w:tcPr>
            <w:tcW w:w="981" w:type="dxa"/>
            <w:shd w:val="clear" w:color="auto" w:fill="FFFFFF"/>
            <w:vAlign w:val="center"/>
          </w:tcPr>
          <w:p w14:paraId="440516F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4E81142C">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432F7F4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★USB接口</w:t>
            </w:r>
          </w:p>
        </w:tc>
        <w:tc>
          <w:tcPr>
            <w:tcW w:w="3997" w:type="dxa"/>
            <w:shd w:val="clear" w:color="auto" w:fill="FFFFFF"/>
            <w:vAlign w:val="center"/>
          </w:tcPr>
          <w:p w14:paraId="09C856C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配备USB接口，如USB2.0、USB3.0等</w:t>
            </w:r>
          </w:p>
        </w:tc>
        <w:tc>
          <w:tcPr>
            <w:tcW w:w="1344" w:type="dxa"/>
            <w:shd w:val="clear" w:color="auto" w:fill="FFFFFF"/>
            <w:vAlign w:val="center"/>
          </w:tcPr>
          <w:p w14:paraId="79BCEB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2233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24" w:type="dxa"/>
            <w:shd w:val="clear" w:color="auto" w:fill="FFFFFF"/>
            <w:vAlign w:val="center"/>
          </w:tcPr>
          <w:p w14:paraId="35118EC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29</w:t>
            </w:r>
          </w:p>
        </w:tc>
        <w:tc>
          <w:tcPr>
            <w:tcW w:w="981" w:type="dxa"/>
            <w:shd w:val="clear" w:color="auto" w:fill="FFFFFF"/>
            <w:vAlign w:val="center"/>
          </w:tcPr>
          <w:p w14:paraId="501108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1AEB8787">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42EC8F2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特殊接口及孔位</w:t>
            </w:r>
          </w:p>
        </w:tc>
        <w:tc>
          <w:tcPr>
            <w:tcW w:w="3997" w:type="dxa"/>
            <w:shd w:val="clear" w:color="auto" w:fill="FFFFFF"/>
            <w:vAlign w:val="center"/>
          </w:tcPr>
          <w:p w14:paraId="5181A60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前面板预留1个专用USB母座接口孔位</w:t>
            </w:r>
          </w:p>
        </w:tc>
        <w:tc>
          <w:tcPr>
            <w:tcW w:w="1344" w:type="dxa"/>
            <w:shd w:val="clear" w:color="auto" w:fill="FFFFFF"/>
            <w:vAlign w:val="center"/>
          </w:tcPr>
          <w:p w14:paraId="41A576C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4259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24" w:type="dxa"/>
            <w:shd w:val="clear" w:color="auto" w:fill="FFFFFF"/>
            <w:vAlign w:val="center"/>
          </w:tcPr>
          <w:p w14:paraId="3A147A9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30</w:t>
            </w:r>
          </w:p>
        </w:tc>
        <w:tc>
          <w:tcPr>
            <w:tcW w:w="981" w:type="dxa"/>
            <w:shd w:val="clear" w:color="auto" w:fill="FFFFFF"/>
            <w:vAlign w:val="center"/>
          </w:tcPr>
          <w:p w14:paraId="378CC2ED">
            <w:pPr>
              <w:widowControl/>
              <w:jc w:val="center"/>
              <w:rPr>
                <w:rFonts w:asciiTheme="minorEastAsia" w:hAnsiTheme="minorEastAsia" w:eastAsiaTheme="minorEastAsia" w:cstheme="minorEastAsia"/>
                <w:kern w:val="0"/>
                <w:sz w:val="24"/>
              </w:rPr>
            </w:pPr>
          </w:p>
        </w:tc>
        <w:tc>
          <w:tcPr>
            <w:tcW w:w="1089" w:type="dxa"/>
            <w:vMerge w:val="continue"/>
            <w:shd w:val="clear" w:color="auto" w:fill="FFFFFF"/>
            <w:vAlign w:val="center"/>
          </w:tcPr>
          <w:p w14:paraId="27E6EFDF">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026260C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其他接口</w:t>
            </w:r>
          </w:p>
        </w:tc>
        <w:tc>
          <w:tcPr>
            <w:tcW w:w="3997" w:type="dxa"/>
            <w:shd w:val="clear" w:color="auto" w:fill="FFFFFF"/>
            <w:vAlign w:val="center"/>
          </w:tcPr>
          <w:p w14:paraId="3B272A8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a）串口数量≥1个，并可实现GB/T6107或GB/T26803.2的相关功能；b）服务器主机前面板可根据用户实际使用需求预留1个专用USB母座接口孔位</w:t>
            </w:r>
          </w:p>
        </w:tc>
        <w:tc>
          <w:tcPr>
            <w:tcW w:w="1344" w:type="dxa"/>
            <w:shd w:val="clear" w:color="auto" w:fill="FFFFFF"/>
            <w:vAlign w:val="center"/>
          </w:tcPr>
          <w:p w14:paraId="0A65919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5354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24" w:type="dxa"/>
            <w:shd w:val="clear" w:color="auto" w:fill="FFFFFF"/>
            <w:vAlign w:val="center"/>
          </w:tcPr>
          <w:p w14:paraId="40E95EC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31</w:t>
            </w:r>
          </w:p>
        </w:tc>
        <w:tc>
          <w:tcPr>
            <w:tcW w:w="981" w:type="dxa"/>
            <w:shd w:val="clear" w:color="auto" w:fill="FFFFFF"/>
            <w:vAlign w:val="center"/>
          </w:tcPr>
          <w:p w14:paraId="1A20E28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restart"/>
            <w:shd w:val="clear" w:color="auto" w:fill="FFFFFF"/>
            <w:vAlign w:val="center"/>
          </w:tcPr>
          <w:p w14:paraId="14D54C2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电源规格</w:t>
            </w:r>
          </w:p>
        </w:tc>
        <w:tc>
          <w:tcPr>
            <w:tcW w:w="1500" w:type="dxa"/>
            <w:shd w:val="clear" w:color="auto" w:fill="FFFFFF"/>
            <w:vAlign w:val="center"/>
          </w:tcPr>
          <w:p w14:paraId="3495857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电源冗余模式</w:t>
            </w:r>
          </w:p>
        </w:tc>
        <w:tc>
          <w:tcPr>
            <w:tcW w:w="3997" w:type="dxa"/>
            <w:shd w:val="clear" w:color="auto" w:fill="FFFFFF"/>
            <w:vAlign w:val="center"/>
          </w:tcPr>
          <w:p w14:paraId="659B232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整机电源模块按1+1冗余或N+1冗余配置</w:t>
            </w:r>
          </w:p>
        </w:tc>
        <w:tc>
          <w:tcPr>
            <w:tcW w:w="1344" w:type="dxa"/>
            <w:shd w:val="clear" w:color="auto" w:fill="FFFFFF"/>
            <w:vAlign w:val="center"/>
          </w:tcPr>
          <w:p w14:paraId="3938E2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40C7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48C3A3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w:t>
            </w:r>
          </w:p>
        </w:tc>
        <w:tc>
          <w:tcPr>
            <w:tcW w:w="981" w:type="dxa"/>
            <w:shd w:val="clear" w:color="auto" w:fill="FFFFFF"/>
            <w:vAlign w:val="center"/>
          </w:tcPr>
          <w:p w14:paraId="6538FC9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7C15A9FC">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4522217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★电源模块数量</w:t>
            </w:r>
          </w:p>
        </w:tc>
        <w:tc>
          <w:tcPr>
            <w:tcW w:w="3997" w:type="dxa"/>
            <w:shd w:val="clear" w:color="auto" w:fill="FFFFFF"/>
            <w:vAlign w:val="center"/>
          </w:tcPr>
          <w:p w14:paraId="3A94480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1344" w:type="dxa"/>
            <w:shd w:val="clear" w:color="auto" w:fill="FFFFFF"/>
            <w:vAlign w:val="center"/>
          </w:tcPr>
          <w:p w14:paraId="4998D2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52E8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34E8C8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33</w:t>
            </w:r>
          </w:p>
        </w:tc>
        <w:tc>
          <w:tcPr>
            <w:tcW w:w="981" w:type="dxa"/>
            <w:shd w:val="clear" w:color="auto" w:fill="FFFFFF"/>
            <w:vAlign w:val="center"/>
          </w:tcPr>
          <w:p w14:paraId="572A70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473ECAD3">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3EAB8CF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★电源功率</w:t>
            </w:r>
          </w:p>
        </w:tc>
        <w:tc>
          <w:tcPr>
            <w:tcW w:w="3997" w:type="dxa"/>
            <w:shd w:val="clear" w:color="auto" w:fill="FFFFFF"/>
            <w:vAlign w:val="center"/>
          </w:tcPr>
          <w:p w14:paraId="76CFCAF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电源模块功率应有一定冗余，满足处理器满载时的需求</w:t>
            </w:r>
          </w:p>
        </w:tc>
        <w:tc>
          <w:tcPr>
            <w:tcW w:w="1344" w:type="dxa"/>
            <w:shd w:val="clear" w:color="auto" w:fill="FFFFFF"/>
            <w:vAlign w:val="center"/>
          </w:tcPr>
          <w:p w14:paraId="29ECE1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7881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24" w:type="dxa"/>
            <w:shd w:val="clear" w:color="auto" w:fill="FFFFFF"/>
            <w:vAlign w:val="center"/>
          </w:tcPr>
          <w:p w14:paraId="6B7D67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34</w:t>
            </w:r>
          </w:p>
        </w:tc>
        <w:tc>
          <w:tcPr>
            <w:tcW w:w="981" w:type="dxa"/>
            <w:shd w:val="clear" w:color="auto" w:fill="FFFFFF"/>
            <w:vAlign w:val="center"/>
          </w:tcPr>
          <w:p w14:paraId="461FCD9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457DA227">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33A90D0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电源指示灯</w:t>
            </w:r>
          </w:p>
        </w:tc>
        <w:tc>
          <w:tcPr>
            <w:tcW w:w="3997" w:type="dxa"/>
            <w:shd w:val="clear" w:color="auto" w:fill="FFFFFF"/>
            <w:vAlign w:val="center"/>
          </w:tcPr>
          <w:p w14:paraId="77DF846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配备电源指示灯，指示待机、工作异常等状态</w:t>
            </w:r>
          </w:p>
        </w:tc>
        <w:tc>
          <w:tcPr>
            <w:tcW w:w="1344" w:type="dxa"/>
            <w:shd w:val="clear" w:color="auto" w:fill="FFFFFF"/>
            <w:vAlign w:val="center"/>
          </w:tcPr>
          <w:p w14:paraId="757A06C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DD1F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624" w:type="dxa"/>
            <w:shd w:val="clear" w:color="auto" w:fill="FFFFFF"/>
            <w:vAlign w:val="center"/>
          </w:tcPr>
          <w:p w14:paraId="0E10F5E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35</w:t>
            </w:r>
          </w:p>
        </w:tc>
        <w:tc>
          <w:tcPr>
            <w:tcW w:w="981" w:type="dxa"/>
            <w:shd w:val="clear" w:color="auto" w:fill="FFFFFF"/>
            <w:vAlign w:val="center"/>
          </w:tcPr>
          <w:p w14:paraId="7251D1C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restart"/>
            <w:shd w:val="clear" w:color="auto" w:fill="FFFFFF"/>
            <w:vAlign w:val="center"/>
          </w:tcPr>
          <w:p w14:paraId="5F2B5A4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整机规格</w:t>
            </w:r>
          </w:p>
        </w:tc>
        <w:tc>
          <w:tcPr>
            <w:tcW w:w="1500" w:type="dxa"/>
            <w:shd w:val="clear" w:color="auto" w:fill="FFFFFF"/>
            <w:vAlign w:val="center"/>
          </w:tcPr>
          <w:p w14:paraId="299778B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★外观和结构</w:t>
            </w:r>
          </w:p>
        </w:tc>
        <w:tc>
          <w:tcPr>
            <w:tcW w:w="3997" w:type="dxa"/>
            <w:shd w:val="clear" w:color="auto" w:fill="FFFFFF"/>
            <w:vAlign w:val="center"/>
          </w:tcPr>
          <w:p w14:paraId="38A1B3F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服务器的零部件应紧固无松动，可插拔部件应可靠连接，开关、按钮和其他控制部件应灵活可靠，布局应方便使用；b）产品表面不应有明显的凹痕、划伤、裂缝、变形和污染等。表面涂层均匀，不应起泡、龟裂、脱落和磨损，金属零部件无锈蚀及其它机械损伤；c）产品表面说明功能的文字、符号和标志应清晰、端正且牢固；d）应在服务器的显著位置提供运行状态的指示功能，并在技术文件或者技术白皮书中明确具体含义；e）机架、机箱的尺寸应符合通用机柜的安装要求，插入总线插座的电路板接口外形尺寸应符合有关总线标准的规定，将机箱固定在机柜上，机箱底面最大下垂变形不得干涉相邻机体；f）服务器尺寸具体要求在技术文件或者技术白皮书中明确</w:t>
            </w:r>
          </w:p>
        </w:tc>
        <w:tc>
          <w:tcPr>
            <w:tcW w:w="1344" w:type="dxa"/>
            <w:shd w:val="clear" w:color="auto" w:fill="FFFFFF"/>
            <w:vAlign w:val="center"/>
          </w:tcPr>
          <w:p w14:paraId="231C754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208B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24" w:type="dxa"/>
            <w:shd w:val="clear" w:color="auto" w:fill="FFFFFF"/>
            <w:vAlign w:val="center"/>
          </w:tcPr>
          <w:p w14:paraId="197B11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36</w:t>
            </w:r>
          </w:p>
        </w:tc>
        <w:tc>
          <w:tcPr>
            <w:tcW w:w="981" w:type="dxa"/>
            <w:shd w:val="clear" w:color="auto" w:fill="FFFFFF"/>
            <w:vAlign w:val="center"/>
          </w:tcPr>
          <w:p w14:paraId="6E6F8D0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7B654DA7">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3BED754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★尺寸（高×宽×深）</w:t>
            </w:r>
          </w:p>
        </w:tc>
        <w:tc>
          <w:tcPr>
            <w:tcW w:w="3997" w:type="dxa"/>
            <w:shd w:val="clear" w:color="auto" w:fill="FFFFFF"/>
            <w:vAlign w:val="center"/>
          </w:tcPr>
          <w:p w14:paraId="56F6D88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供应商给出产品尺寸；设计应遵循标准化、系列化的要求；机箱的内部结构符合通用部件的安装需要</w:t>
            </w:r>
          </w:p>
        </w:tc>
        <w:tc>
          <w:tcPr>
            <w:tcW w:w="1344" w:type="dxa"/>
            <w:shd w:val="clear" w:color="auto" w:fill="FFFFFF"/>
            <w:vAlign w:val="center"/>
          </w:tcPr>
          <w:p w14:paraId="4684679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9A0B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24" w:type="dxa"/>
            <w:shd w:val="clear" w:color="auto" w:fill="FFFFFF"/>
            <w:vAlign w:val="center"/>
          </w:tcPr>
          <w:p w14:paraId="668B963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37</w:t>
            </w:r>
          </w:p>
        </w:tc>
        <w:tc>
          <w:tcPr>
            <w:tcW w:w="981" w:type="dxa"/>
            <w:shd w:val="clear" w:color="auto" w:fill="FFFFFF"/>
            <w:vAlign w:val="center"/>
          </w:tcPr>
          <w:p w14:paraId="42D0078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31418F27">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74419B7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服务器导轨</w:t>
            </w:r>
          </w:p>
        </w:tc>
        <w:tc>
          <w:tcPr>
            <w:tcW w:w="3997" w:type="dxa"/>
            <w:shd w:val="clear" w:color="auto" w:fill="FFFFFF"/>
            <w:vAlign w:val="center"/>
          </w:tcPr>
          <w:p w14:paraId="14E56DB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供应商给出导轨尺寸、安装方式等信息</w:t>
            </w:r>
          </w:p>
        </w:tc>
        <w:tc>
          <w:tcPr>
            <w:tcW w:w="1344" w:type="dxa"/>
            <w:shd w:val="clear" w:color="auto" w:fill="FFFFFF"/>
            <w:vAlign w:val="center"/>
          </w:tcPr>
          <w:p w14:paraId="0DD7228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EB1D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24" w:type="dxa"/>
            <w:shd w:val="clear" w:color="auto" w:fill="FFFFFF"/>
            <w:vAlign w:val="center"/>
          </w:tcPr>
          <w:p w14:paraId="533AD78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38</w:t>
            </w:r>
          </w:p>
        </w:tc>
        <w:tc>
          <w:tcPr>
            <w:tcW w:w="981" w:type="dxa"/>
            <w:shd w:val="clear" w:color="auto" w:fill="FFFFFF"/>
            <w:vAlign w:val="center"/>
          </w:tcPr>
          <w:p w14:paraId="376B727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0AA46A3D">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59824E8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CPU个数与机柜高度单位（U）比</w:t>
            </w:r>
          </w:p>
        </w:tc>
        <w:tc>
          <w:tcPr>
            <w:tcW w:w="3997" w:type="dxa"/>
            <w:shd w:val="clear" w:color="auto" w:fill="FFFFFF"/>
            <w:vAlign w:val="center"/>
          </w:tcPr>
          <w:p w14:paraId="3EDE7BD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供应商给出CPU个数与机柜高度</w:t>
            </w:r>
          </w:p>
        </w:tc>
        <w:tc>
          <w:tcPr>
            <w:tcW w:w="1344" w:type="dxa"/>
            <w:shd w:val="clear" w:color="auto" w:fill="FFFFFF"/>
            <w:vAlign w:val="center"/>
          </w:tcPr>
          <w:p w14:paraId="27A1BF5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DC1B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24" w:type="dxa"/>
            <w:shd w:val="clear" w:color="auto" w:fill="FFFFFF"/>
            <w:vAlign w:val="center"/>
          </w:tcPr>
          <w:p w14:paraId="1233B7F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39</w:t>
            </w:r>
          </w:p>
        </w:tc>
        <w:tc>
          <w:tcPr>
            <w:tcW w:w="981" w:type="dxa"/>
            <w:shd w:val="clear" w:color="auto" w:fill="FFFFFF"/>
            <w:vAlign w:val="center"/>
          </w:tcPr>
          <w:p w14:paraId="41C1FC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0B6941D1">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0FF41A9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★环境适应性</w:t>
            </w:r>
          </w:p>
        </w:tc>
        <w:tc>
          <w:tcPr>
            <w:tcW w:w="3997" w:type="dxa"/>
            <w:shd w:val="clear" w:color="auto" w:fill="FFFFFF"/>
            <w:vAlign w:val="center"/>
          </w:tcPr>
          <w:p w14:paraId="54B1A5A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气候环境适应性应符合GB/T9813.3的有关规定，工作温度10~35℃,贮存运输温度-40～55℃;工作相对湿度35%～80%，贮存运输相对湿度20％～93%（40℃）;大气压86～106kPa</w:t>
            </w:r>
          </w:p>
        </w:tc>
        <w:tc>
          <w:tcPr>
            <w:tcW w:w="1344" w:type="dxa"/>
            <w:shd w:val="clear" w:color="auto" w:fill="FFFFFF"/>
            <w:vAlign w:val="center"/>
          </w:tcPr>
          <w:p w14:paraId="0FF9F7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3B6C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282FB46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40</w:t>
            </w:r>
          </w:p>
        </w:tc>
        <w:tc>
          <w:tcPr>
            <w:tcW w:w="981" w:type="dxa"/>
            <w:shd w:val="clear" w:color="auto" w:fill="FFFFFF"/>
            <w:vAlign w:val="center"/>
          </w:tcPr>
          <w:p w14:paraId="41B9EF3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39C97DD7">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678C971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特殊机型环境适应性</w:t>
            </w:r>
          </w:p>
        </w:tc>
        <w:tc>
          <w:tcPr>
            <w:tcW w:w="3997" w:type="dxa"/>
            <w:shd w:val="clear" w:color="auto" w:fill="FFFFFF"/>
            <w:vAlign w:val="center"/>
          </w:tcPr>
          <w:p w14:paraId="1E5F056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边缘应用服务器，工作环境温度宜为0～45℃,短期工作可承受环境温度宜为-5～55℃,液冷服务器贮存运输温度宜为-30～55℃</w:t>
            </w:r>
          </w:p>
        </w:tc>
        <w:tc>
          <w:tcPr>
            <w:tcW w:w="1344" w:type="dxa"/>
            <w:shd w:val="clear" w:color="auto" w:fill="FFFFFF"/>
            <w:vAlign w:val="center"/>
          </w:tcPr>
          <w:p w14:paraId="215A839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B2B3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45A6A09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41</w:t>
            </w:r>
          </w:p>
        </w:tc>
        <w:tc>
          <w:tcPr>
            <w:tcW w:w="981" w:type="dxa"/>
            <w:shd w:val="clear" w:color="auto" w:fill="FFFFFF"/>
            <w:vAlign w:val="center"/>
          </w:tcPr>
          <w:p w14:paraId="4ED419E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513F09E0">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6AE9A7C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★机械环境适应性</w:t>
            </w:r>
          </w:p>
        </w:tc>
        <w:tc>
          <w:tcPr>
            <w:tcW w:w="3997" w:type="dxa"/>
            <w:shd w:val="clear" w:color="auto" w:fill="FFFFFF"/>
            <w:vAlign w:val="center"/>
          </w:tcPr>
          <w:p w14:paraId="1E3F1D0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机械环境适应性应符合GB/T9813.3的有关规定</w:t>
            </w:r>
          </w:p>
        </w:tc>
        <w:tc>
          <w:tcPr>
            <w:tcW w:w="1344" w:type="dxa"/>
            <w:shd w:val="clear" w:color="auto" w:fill="FFFFFF"/>
            <w:vAlign w:val="center"/>
          </w:tcPr>
          <w:p w14:paraId="15FBF22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5D64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2382968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42</w:t>
            </w:r>
          </w:p>
        </w:tc>
        <w:tc>
          <w:tcPr>
            <w:tcW w:w="981" w:type="dxa"/>
            <w:shd w:val="clear" w:color="auto" w:fill="FFFFFF"/>
            <w:vAlign w:val="center"/>
          </w:tcPr>
          <w:p w14:paraId="33CC15F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7F20502D">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6C8D62B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★噪声</w:t>
            </w:r>
          </w:p>
        </w:tc>
        <w:tc>
          <w:tcPr>
            <w:tcW w:w="3997" w:type="dxa"/>
            <w:shd w:val="clear" w:color="auto" w:fill="FFFFFF"/>
            <w:vAlign w:val="center"/>
          </w:tcPr>
          <w:p w14:paraId="559DA30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符合GB/T9813.3的有关规定，在产品说明中给出具体测试值塔式服务器噪声在空闲状态下≤50dB</w:t>
            </w:r>
          </w:p>
        </w:tc>
        <w:tc>
          <w:tcPr>
            <w:tcW w:w="1344" w:type="dxa"/>
            <w:shd w:val="clear" w:color="auto" w:fill="FFFFFF"/>
            <w:vAlign w:val="center"/>
          </w:tcPr>
          <w:p w14:paraId="4A79FC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88D2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624" w:type="dxa"/>
            <w:shd w:val="clear" w:color="auto" w:fill="FFFFFF"/>
            <w:vAlign w:val="center"/>
          </w:tcPr>
          <w:p w14:paraId="0B36642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43</w:t>
            </w:r>
          </w:p>
        </w:tc>
        <w:tc>
          <w:tcPr>
            <w:tcW w:w="981" w:type="dxa"/>
            <w:shd w:val="clear" w:color="auto" w:fill="FFFFFF"/>
            <w:vAlign w:val="center"/>
          </w:tcPr>
          <w:p w14:paraId="5DF77A1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restart"/>
            <w:shd w:val="clear" w:color="auto" w:fill="FFFFFF"/>
            <w:vAlign w:val="center"/>
          </w:tcPr>
          <w:p w14:paraId="1B9ED9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AI计算单元规格</w:t>
            </w:r>
          </w:p>
        </w:tc>
        <w:tc>
          <w:tcPr>
            <w:tcW w:w="1500" w:type="dxa"/>
            <w:shd w:val="clear" w:color="auto" w:fill="FFFFFF"/>
            <w:vAlign w:val="center"/>
          </w:tcPr>
          <w:p w14:paraId="3F705D8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AI计算单元</w:t>
            </w:r>
          </w:p>
        </w:tc>
        <w:tc>
          <w:tcPr>
            <w:tcW w:w="3997" w:type="dxa"/>
            <w:shd w:val="clear" w:color="auto" w:fill="FFFFFF"/>
            <w:vAlign w:val="center"/>
          </w:tcPr>
          <w:p w14:paraId="0475294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AI计算单元应符合如下要求：a）具备人工智能加速处理器，计算精度至少支持FP16、BF16、FP32、FP64、INT8和INT16等中的1种；b）单推理卡或模块，具备视频解析、文本识别、语音分析等推理能力；在视觉场景下配备可直接调用的接口实现视觉计算加速，路数不小于64（1080P30FPS）</w:t>
            </w:r>
          </w:p>
        </w:tc>
        <w:tc>
          <w:tcPr>
            <w:tcW w:w="1344" w:type="dxa"/>
            <w:shd w:val="clear" w:color="auto" w:fill="FFFFFF"/>
            <w:vAlign w:val="center"/>
          </w:tcPr>
          <w:p w14:paraId="77E82DA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95D6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1D0D51A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44</w:t>
            </w:r>
          </w:p>
        </w:tc>
        <w:tc>
          <w:tcPr>
            <w:tcW w:w="981" w:type="dxa"/>
            <w:shd w:val="clear" w:color="auto" w:fill="FFFFFF"/>
            <w:vAlign w:val="center"/>
          </w:tcPr>
          <w:p w14:paraId="320022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1FA238B4">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6791D9D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一键式迁移</w:t>
            </w:r>
          </w:p>
        </w:tc>
        <w:tc>
          <w:tcPr>
            <w:tcW w:w="3997" w:type="dxa"/>
            <w:shd w:val="clear" w:color="auto" w:fill="FFFFFF"/>
            <w:vAlign w:val="center"/>
          </w:tcPr>
          <w:p w14:paraId="6C55BF9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若服务器配备AI计算单元，提供训练脚本迁移工具</w:t>
            </w:r>
          </w:p>
        </w:tc>
        <w:tc>
          <w:tcPr>
            <w:tcW w:w="1344" w:type="dxa"/>
            <w:shd w:val="clear" w:color="auto" w:fill="FFFFFF"/>
            <w:vAlign w:val="center"/>
          </w:tcPr>
          <w:p w14:paraId="20BBB82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9830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24" w:type="dxa"/>
            <w:shd w:val="clear" w:color="auto" w:fill="FFFFFF"/>
            <w:vAlign w:val="center"/>
          </w:tcPr>
          <w:p w14:paraId="46045CB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45</w:t>
            </w:r>
          </w:p>
        </w:tc>
        <w:tc>
          <w:tcPr>
            <w:tcW w:w="981" w:type="dxa"/>
            <w:shd w:val="clear" w:color="auto" w:fill="FFFFFF"/>
            <w:vAlign w:val="center"/>
          </w:tcPr>
          <w:p w14:paraId="2DD666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restart"/>
            <w:shd w:val="clear" w:color="auto" w:fill="FFFFFF"/>
            <w:vAlign w:val="center"/>
          </w:tcPr>
          <w:p w14:paraId="4125767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机柜规格</w:t>
            </w:r>
          </w:p>
        </w:tc>
        <w:tc>
          <w:tcPr>
            <w:tcW w:w="1500" w:type="dxa"/>
            <w:shd w:val="clear" w:color="auto" w:fill="FFFFFF"/>
            <w:vAlign w:val="center"/>
          </w:tcPr>
          <w:p w14:paraId="11749D5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★机柜尺寸</w:t>
            </w:r>
          </w:p>
        </w:tc>
        <w:tc>
          <w:tcPr>
            <w:tcW w:w="3997" w:type="dxa"/>
            <w:shd w:val="clear" w:color="auto" w:fill="FFFFFF"/>
            <w:vAlign w:val="center"/>
          </w:tcPr>
          <w:p w14:paraId="18154D2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供应商给出长度、高度和深度</w:t>
            </w:r>
          </w:p>
        </w:tc>
        <w:tc>
          <w:tcPr>
            <w:tcW w:w="1344" w:type="dxa"/>
            <w:shd w:val="clear" w:color="auto" w:fill="FFFFFF"/>
            <w:vAlign w:val="center"/>
          </w:tcPr>
          <w:p w14:paraId="0B576D6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D704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24" w:type="dxa"/>
            <w:shd w:val="clear" w:color="auto" w:fill="FFFFFF"/>
            <w:vAlign w:val="center"/>
          </w:tcPr>
          <w:p w14:paraId="765F844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46</w:t>
            </w:r>
          </w:p>
        </w:tc>
        <w:tc>
          <w:tcPr>
            <w:tcW w:w="981" w:type="dxa"/>
            <w:shd w:val="clear" w:color="auto" w:fill="FFFFFF"/>
            <w:vAlign w:val="center"/>
          </w:tcPr>
          <w:p w14:paraId="2ABD733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57A1B51F">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71FDD31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机柜管理板</w:t>
            </w:r>
          </w:p>
        </w:tc>
        <w:tc>
          <w:tcPr>
            <w:tcW w:w="3997" w:type="dxa"/>
            <w:shd w:val="clear" w:color="auto" w:fill="FFFFFF"/>
            <w:vAlign w:val="center"/>
          </w:tcPr>
          <w:p w14:paraId="638B7F7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配备机柜管理板</w:t>
            </w:r>
          </w:p>
        </w:tc>
        <w:tc>
          <w:tcPr>
            <w:tcW w:w="1344" w:type="dxa"/>
            <w:shd w:val="clear" w:color="auto" w:fill="FFFFFF"/>
            <w:vAlign w:val="center"/>
          </w:tcPr>
          <w:p w14:paraId="180AC5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6A6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24" w:type="dxa"/>
            <w:shd w:val="clear" w:color="auto" w:fill="FFFFFF"/>
            <w:vAlign w:val="center"/>
          </w:tcPr>
          <w:p w14:paraId="7AB9A2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47</w:t>
            </w:r>
          </w:p>
        </w:tc>
        <w:tc>
          <w:tcPr>
            <w:tcW w:w="981" w:type="dxa"/>
            <w:shd w:val="clear" w:color="auto" w:fill="FFFFFF"/>
            <w:vAlign w:val="center"/>
          </w:tcPr>
          <w:p w14:paraId="55F6884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vMerge w:val="continue"/>
            <w:shd w:val="clear" w:color="auto" w:fill="FFFFFF"/>
            <w:vAlign w:val="center"/>
          </w:tcPr>
          <w:p w14:paraId="766CB6B2">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353CAD7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机柜电源规格</w:t>
            </w:r>
          </w:p>
        </w:tc>
        <w:tc>
          <w:tcPr>
            <w:tcW w:w="3997" w:type="dxa"/>
            <w:shd w:val="clear" w:color="auto" w:fill="FFFFFF"/>
            <w:vAlign w:val="center"/>
          </w:tcPr>
          <w:p w14:paraId="6DE2DB6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a）机柜电源支持集中供电，电源输入≥2路且支持自动切换；b）机柜电源模块支持N+1冗余配置，电源模块可独立更换</w:t>
            </w:r>
          </w:p>
        </w:tc>
        <w:tc>
          <w:tcPr>
            <w:tcW w:w="1344" w:type="dxa"/>
            <w:shd w:val="clear" w:color="auto" w:fill="FFFFFF"/>
            <w:vAlign w:val="center"/>
          </w:tcPr>
          <w:p w14:paraId="4EDAA4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0DDF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481A8AC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48</w:t>
            </w:r>
          </w:p>
        </w:tc>
        <w:tc>
          <w:tcPr>
            <w:tcW w:w="981" w:type="dxa"/>
            <w:shd w:val="clear" w:color="auto" w:fill="FFFFFF"/>
            <w:vAlign w:val="center"/>
          </w:tcPr>
          <w:p w14:paraId="42BD7C1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9" w:type="dxa"/>
            <w:vMerge w:val="restart"/>
            <w:shd w:val="clear" w:color="auto" w:fill="FFFFFF"/>
            <w:vAlign w:val="center"/>
          </w:tcPr>
          <w:p w14:paraId="04841B3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主板功能</w:t>
            </w:r>
          </w:p>
        </w:tc>
        <w:tc>
          <w:tcPr>
            <w:tcW w:w="1500" w:type="dxa"/>
            <w:shd w:val="clear" w:color="auto" w:fill="FFFFFF"/>
            <w:vAlign w:val="center"/>
          </w:tcPr>
          <w:p w14:paraId="6A6B599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★主板外部接口种类</w:t>
            </w:r>
          </w:p>
        </w:tc>
        <w:tc>
          <w:tcPr>
            <w:tcW w:w="3997" w:type="dxa"/>
            <w:shd w:val="clear" w:color="auto" w:fill="FFFFFF"/>
            <w:vAlign w:val="center"/>
          </w:tcPr>
          <w:p w14:paraId="67CBE7B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支持USB、显示、管理等接口，如：VGA、DP、HDMI、USB3.0、PS/2接口、BMC管理端口</w:t>
            </w:r>
          </w:p>
        </w:tc>
        <w:tc>
          <w:tcPr>
            <w:tcW w:w="1344" w:type="dxa"/>
            <w:shd w:val="clear" w:color="auto" w:fill="FFFFFF"/>
            <w:vAlign w:val="center"/>
          </w:tcPr>
          <w:p w14:paraId="7E915BA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8C08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3292D6C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49</w:t>
            </w:r>
          </w:p>
        </w:tc>
        <w:tc>
          <w:tcPr>
            <w:tcW w:w="981" w:type="dxa"/>
            <w:shd w:val="clear" w:color="auto" w:fill="FFFFFF"/>
            <w:vAlign w:val="center"/>
          </w:tcPr>
          <w:p w14:paraId="63064F5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9" w:type="dxa"/>
            <w:vMerge w:val="continue"/>
            <w:shd w:val="clear" w:color="auto" w:fill="FFFFFF"/>
            <w:vAlign w:val="center"/>
          </w:tcPr>
          <w:p w14:paraId="232B7FFC">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444A722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主板防烧板设计</w:t>
            </w:r>
          </w:p>
        </w:tc>
        <w:tc>
          <w:tcPr>
            <w:tcW w:w="3997" w:type="dxa"/>
            <w:shd w:val="clear" w:color="auto" w:fill="FFFFFF"/>
            <w:vAlign w:val="center"/>
          </w:tcPr>
          <w:p w14:paraId="2E493C9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支持主板防烧板设计，保证电源故障后不扩散</w:t>
            </w:r>
          </w:p>
        </w:tc>
        <w:tc>
          <w:tcPr>
            <w:tcW w:w="1344" w:type="dxa"/>
            <w:shd w:val="clear" w:color="auto" w:fill="FFFFFF"/>
            <w:vAlign w:val="center"/>
          </w:tcPr>
          <w:p w14:paraId="434B47F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2534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39DCC8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50</w:t>
            </w:r>
          </w:p>
        </w:tc>
        <w:tc>
          <w:tcPr>
            <w:tcW w:w="981" w:type="dxa"/>
            <w:shd w:val="clear" w:color="auto" w:fill="FFFFFF"/>
            <w:vAlign w:val="center"/>
          </w:tcPr>
          <w:p w14:paraId="5DBA2C1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9" w:type="dxa"/>
            <w:vMerge w:val="continue"/>
            <w:shd w:val="clear" w:color="auto" w:fill="FFFFFF"/>
            <w:vAlign w:val="center"/>
          </w:tcPr>
          <w:p w14:paraId="29BFA893">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51BE4F8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扩展功能</w:t>
            </w:r>
          </w:p>
        </w:tc>
        <w:tc>
          <w:tcPr>
            <w:tcW w:w="3997" w:type="dxa"/>
            <w:shd w:val="clear" w:color="auto" w:fill="FFFFFF"/>
            <w:vAlign w:val="center"/>
          </w:tcPr>
          <w:p w14:paraId="2F717CA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实现至少一种扩展功能，如存储功能卡、显示功能卡、运算加速功能卡及网络功能卡等扩展功能</w:t>
            </w:r>
          </w:p>
        </w:tc>
        <w:tc>
          <w:tcPr>
            <w:tcW w:w="1344" w:type="dxa"/>
            <w:shd w:val="clear" w:color="auto" w:fill="FFFFFF"/>
            <w:vAlign w:val="center"/>
          </w:tcPr>
          <w:p w14:paraId="7439D5A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BE58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388048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51</w:t>
            </w:r>
          </w:p>
        </w:tc>
        <w:tc>
          <w:tcPr>
            <w:tcW w:w="981" w:type="dxa"/>
            <w:shd w:val="clear" w:color="auto" w:fill="FFFFFF"/>
            <w:vAlign w:val="center"/>
          </w:tcPr>
          <w:p w14:paraId="13C9777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9" w:type="dxa"/>
            <w:shd w:val="clear" w:color="auto" w:fill="FFFFFF"/>
            <w:vAlign w:val="center"/>
          </w:tcPr>
          <w:p w14:paraId="2366F47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网络功能</w:t>
            </w:r>
          </w:p>
        </w:tc>
        <w:tc>
          <w:tcPr>
            <w:tcW w:w="1500" w:type="dxa"/>
            <w:shd w:val="clear" w:color="auto" w:fill="FFFFFF"/>
            <w:vAlign w:val="center"/>
          </w:tcPr>
          <w:p w14:paraId="4C9E1BC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★网络功能</w:t>
            </w:r>
          </w:p>
        </w:tc>
        <w:tc>
          <w:tcPr>
            <w:tcW w:w="3997" w:type="dxa"/>
            <w:shd w:val="clear" w:color="auto" w:fill="FFFFFF"/>
            <w:vAlign w:val="center"/>
          </w:tcPr>
          <w:p w14:paraId="562E968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支持网络连接、网络访问、数据交换和网络管控功能</w:t>
            </w:r>
          </w:p>
        </w:tc>
        <w:tc>
          <w:tcPr>
            <w:tcW w:w="1344" w:type="dxa"/>
            <w:shd w:val="clear" w:color="auto" w:fill="FFFFFF"/>
            <w:vAlign w:val="center"/>
          </w:tcPr>
          <w:p w14:paraId="5183B0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D6F5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24" w:type="dxa"/>
            <w:shd w:val="clear" w:color="auto" w:fill="FFFFFF"/>
            <w:vAlign w:val="center"/>
          </w:tcPr>
          <w:p w14:paraId="36BCE5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52</w:t>
            </w:r>
          </w:p>
        </w:tc>
        <w:tc>
          <w:tcPr>
            <w:tcW w:w="981" w:type="dxa"/>
            <w:shd w:val="clear" w:color="auto" w:fill="FFFFFF"/>
            <w:vAlign w:val="center"/>
          </w:tcPr>
          <w:p w14:paraId="5F4636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9" w:type="dxa"/>
            <w:vMerge w:val="restart"/>
            <w:shd w:val="clear" w:color="auto" w:fill="FFFFFF"/>
            <w:vAlign w:val="center"/>
          </w:tcPr>
          <w:p w14:paraId="14991D9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CPU功能</w:t>
            </w:r>
          </w:p>
        </w:tc>
        <w:tc>
          <w:tcPr>
            <w:tcW w:w="1500" w:type="dxa"/>
            <w:shd w:val="clear" w:color="auto" w:fill="FFFFFF"/>
            <w:vAlign w:val="center"/>
          </w:tcPr>
          <w:p w14:paraId="48BF631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★计算处理</w:t>
            </w:r>
          </w:p>
        </w:tc>
        <w:tc>
          <w:tcPr>
            <w:tcW w:w="3997" w:type="dxa"/>
            <w:shd w:val="clear" w:color="auto" w:fill="FFFFFF"/>
            <w:vAlign w:val="center"/>
          </w:tcPr>
          <w:p w14:paraId="0BE29D9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支持通用计算及虚拟化功能。处理器需集成整型计算单元、浮点计算单元、内存控制器、I/O模块等，处理器与存储部件、网络部件、I/O部件等组成计算系统，提供数据处理、网络接入等计算相关功能</w:t>
            </w:r>
          </w:p>
        </w:tc>
        <w:tc>
          <w:tcPr>
            <w:tcW w:w="1344" w:type="dxa"/>
            <w:shd w:val="clear" w:color="auto" w:fill="FFFFFF"/>
            <w:vAlign w:val="center"/>
          </w:tcPr>
          <w:p w14:paraId="3D46ABF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DC72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24" w:type="dxa"/>
            <w:shd w:val="clear" w:color="auto" w:fill="FFFFFF"/>
            <w:vAlign w:val="center"/>
          </w:tcPr>
          <w:p w14:paraId="50B0D46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53</w:t>
            </w:r>
          </w:p>
        </w:tc>
        <w:tc>
          <w:tcPr>
            <w:tcW w:w="981" w:type="dxa"/>
            <w:shd w:val="clear" w:color="auto" w:fill="FFFFFF"/>
            <w:vAlign w:val="center"/>
          </w:tcPr>
          <w:p w14:paraId="59BAB4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9" w:type="dxa"/>
            <w:vMerge w:val="continue"/>
            <w:shd w:val="clear" w:color="auto" w:fill="FFFFFF"/>
            <w:vAlign w:val="center"/>
          </w:tcPr>
          <w:p w14:paraId="771C0A23">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3630840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★密码算法实现</w:t>
            </w:r>
          </w:p>
        </w:tc>
        <w:tc>
          <w:tcPr>
            <w:tcW w:w="3997" w:type="dxa"/>
            <w:shd w:val="clear" w:color="auto" w:fill="FFFFFF"/>
            <w:vAlign w:val="center"/>
          </w:tcPr>
          <w:p w14:paraId="5A4D896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CPU芯片应符合GM/T0008的相关规定，或芯片密码模块应符合GB/T37092或GM/T0028的相关规定</w:t>
            </w:r>
          </w:p>
        </w:tc>
        <w:tc>
          <w:tcPr>
            <w:tcW w:w="1344" w:type="dxa"/>
            <w:shd w:val="clear" w:color="auto" w:fill="FFFFFF"/>
            <w:vAlign w:val="center"/>
          </w:tcPr>
          <w:p w14:paraId="0B26463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C92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24" w:type="dxa"/>
            <w:shd w:val="clear" w:color="auto" w:fill="FFFFFF"/>
            <w:vAlign w:val="center"/>
          </w:tcPr>
          <w:p w14:paraId="50D2C3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54</w:t>
            </w:r>
          </w:p>
        </w:tc>
        <w:tc>
          <w:tcPr>
            <w:tcW w:w="981" w:type="dxa"/>
            <w:shd w:val="clear" w:color="auto" w:fill="FFFFFF"/>
            <w:vAlign w:val="center"/>
          </w:tcPr>
          <w:p w14:paraId="5C69D8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9" w:type="dxa"/>
            <w:vMerge w:val="restart"/>
            <w:shd w:val="clear" w:color="auto" w:fill="FFFFFF"/>
            <w:vAlign w:val="center"/>
          </w:tcPr>
          <w:p w14:paraId="2030604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存储功能</w:t>
            </w:r>
          </w:p>
        </w:tc>
        <w:tc>
          <w:tcPr>
            <w:tcW w:w="1500" w:type="dxa"/>
            <w:shd w:val="clear" w:color="auto" w:fill="FFFFFF"/>
            <w:vAlign w:val="center"/>
          </w:tcPr>
          <w:p w14:paraId="4260B57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内存校验</w:t>
            </w:r>
          </w:p>
        </w:tc>
        <w:tc>
          <w:tcPr>
            <w:tcW w:w="3997" w:type="dxa"/>
            <w:shd w:val="clear" w:color="auto" w:fill="FFFFFF"/>
            <w:vAlign w:val="center"/>
          </w:tcPr>
          <w:p w14:paraId="497B350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支持内存校验或内存增强型纠错功能</w:t>
            </w:r>
          </w:p>
        </w:tc>
        <w:tc>
          <w:tcPr>
            <w:tcW w:w="1344" w:type="dxa"/>
            <w:shd w:val="clear" w:color="auto" w:fill="FFFFFF"/>
            <w:vAlign w:val="center"/>
          </w:tcPr>
          <w:p w14:paraId="0E8B002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B996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265498F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55</w:t>
            </w:r>
          </w:p>
        </w:tc>
        <w:tc>
          <w:tcPr>
            <w:tcW w:w="981" w:type="dxa"/>
            <w:shd w:val="clear" w:color="auto" w:fill="FFFFFF"/>
            <w:vAlign w:val="center"/>
          </w:tcPr>
          <w:p w14:paraId="496F0DE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9" w:type="dxa"/>
            <w:vMerge w:val="continue"/>
            <w:shd w:val="clear" w:color="auto" w:fill="FFFFFF"/>
            <w:vAlign w:val="center"/>
          </w:tcPr>
          <w:p w14:paraId="18BF4BD0">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4AF83CE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SATASSDNAND健康状态上报</w:t>
            </w:r>
          </w:p>
        </w:tc>
        <w:tc>
          <w:tcPr>
            <w:tcW w:w="3997" w:type="dxa"/>
            <w:shd w:val="clear" w:color="auto" w:fill="FFFFFF"/>
            <w:vAlign w:val="center"/>
          </w:tcPr>
          <w:p w14:paraId="157E3CD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支持关键外部存储器（硬磁盘、SSD等）的健康状态上报并进行故障诊断</w:t>
            </w:r>
          </w:p>
        </w:tc>
        <w:tc>
          <w:tcPr>
            <w:tcW w:w="1344" w:type="dxa"/>
            <w:shd w:val="clear" w:color="auto" w:fill="FFFFFF"/>
            <w:vAlign w:val="center"/>
          </w:tcPr>
          <w:p w14:paraId="1626996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A8BB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35B68E7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56</w:t>
            </w:r>
          </w:p>
        </w:tc>
        <w:tc>
          <w:tcPr>
            <w:tcW w:w="981" w:type="dxa"/>
            <w:shd w:val="clear" w:color="auto" w:fill="FFFFFF"/>
            <w:vAlign w:val="center"/>
          </w:tcPr>
          <w:p w14:paraId="67CE30B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9" w:type="dxa"/>
            <w:vMerge w:val="continue"/>
            <w:shd w:val="clear" w:color="auto" w:fill="FFFFFF"/>
            <w:vAlign w:val="center"/>
          </w:tcPr>
          <w:p w14:paraId="53224E54">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359E2CC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SATASSD单die故障隔离</w:t>
            </w:r>
          </w:p>
        </w:tc>
        <w:tc>
          <w:tcPr>
            <w:tcW w:w="3997" w:type="dxa"/>
            <w:shd w:val="clear" w:color="auto" w:fill="FFFFFF"/>
            <w:vAlign w:val="center"/>
          </w:tcPr>
          <w:p w14:paraId="30E8750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支持SSD关键外部存储器中单存储晶元故障隔离</w:t>
            </w:r>
          </w:p>
        </w:tc>
        <w:tc>
          <w:tcPr>
            <w:tcW w:w="1344" w:type="dxa"/>
            <w:shd w:val="clear" w:color="auto" w:fill="FFFFFF"/>
            <w:vAlign w:val="center"/>
          </w:tcPr>
          <w:p w14:paraId="02A2C86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664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1A48869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57</w:t>
            </w:r>
          </w:p>
        </w:tc>
        <w:tc>
          <w:tcPr>
            <w:tcW w:w="981" w:type="dxa"/>
            <w:shd w:val="clear" w:color="auto" w:fill="FFFFFF"/>
            <w:vAlign w:val="center"/>
          </w:tcPr>
          <w:p w14:paraId="6A06219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9" w:type="dxa"/>
            <w:vMerge w:val="restart"/>
            <w:shd w:val="clear" w:color="auto" w:fill="FFFFFF"/>
            <w:vAlign w:val="center"/>
          </w:tcPr>
          <w:p w14:paraId="72E153D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RAID卡功能</w:t>
            </w:r>
          </w:p>
        </w:tc>
        <w:tc>
          <w:tcPr>
            <w:tcW w:w="1500" w:type="dxa"/>
            <w:shd w:val="clear" w:color="auto" w:fill="FFFFFF"/>
            <w:vAlign w:val="center"/>
          </w:tcPr>
          <w:p w14:paraId="42F8827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RAID卡配置及RAID级别支持</w:t>
            </w:r>
          </w:p>
        </w:tc>
        <w:tc>
          <w:tcPr>
            <w:tcW w:w="3997" w:type="dxa"/>
            <w:shd w:val="clear" w:color="auto" w:fill="FFFFFF"/>
            <w:vAlign w:val="center"/>
          </w:tcPr>
          <w:p w14:paraId="4C2012B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RAID模式支持RAID0/1/10/5；</w:t>
            </w:r>
          </w:p>
        </w:tc>
        <w:tc>
          <w:tcPr>
            <w:tcW w:w="1344" w:type="dxa"/>
            <w:shd w:val="clear" w:color="auto" w:fill="FFFFFF"/>
            <w:vAlign w:val="center"/>
          </w:tcPr>
          <w:p w14:paraId="50D9D0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C3B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24" w:type="dxa"/>
            <w:shd w:val="clear" w:color="auto" w:fill="FFFFFF"/>
            <w:vAlign w:val="center"/>
          </w:tcPr>
          <w:p w14:paraId="0A4A83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58</w:t>
            </w:r>
          </w:p>
        </w:tc>
        <w:tc>
          <w:tcPr>
            <w:tcW w:w="981" w:type="dxa"/>
            <w:shd w:val="clear" w:color="auto" w:fill="FFFFFF"/>
            <w:vAlign w:val="center"/>
          </w:tcPr>
          <w:p w14:paraId="504743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9" w:type="dxa"/>
            <w:vMerge w:val="continue"/>
            <w:shd w:val="clear" w:color="auto" w:fill="FFFFFF"/>
            <w:vAlign w:val="center"/>
          </w:tcPr>
          <w:p w14:paraId="6F08CCDE">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7DDC1C8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RAID卡BBU单元</w:t>
            </w:r>
          </w:p>
        </w:tc>
        <w:tc>
          <w:tcPr>
            <w:tcW w:w="3997" w:type="dxa"/>
            <w:shd w:val="clear" w:color="auto" w:fill="FFFFFF"/>
            <w:vAlign w:val="center"/>
          </w:tcPr>
          <w:p w14:paraId="44E6B54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RAID卡支持电池或电容备份单元</w:t>
            </w:r>
          </w:p>
        </w:tc>
        <w:tc>
          <w:tcPr>
            <w:tcW w:w="1344" w:type="dxa"/>
            <w:shd w:val="clear" w:color="auto" w:fill="FFFFFF"/>
            <w:vAlign w:val="center"/>
          </w:tcPr>
          <w:p w14:paraId="2F40B0E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6FD0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24" w:type="dxa"/>
            <w:shd w:val="clear" w:color="auto" w:fill="FFFFFF"/>
            <w:vAlign w:val="center"/>
          </w:tcPr>
          <w:p w14:paraId="5A98D81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59</w:t>
            </w:r>
          </w:p>
        </w:tc>
        <w:tc>
          <w:tcPr>
            <w:tcW w:w="981" w:type="dxa"/>
            <w:shd w:val="clear" w:color="auto" w:fill="FFFFFF"/>
            <w:vAlign w:val="center"/>
          </w:tcPr>
          <w:p w14:paraId="272788C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9" w:type="dxa"/>
            <w:shd w:val="clear" w:color="auto" w:fill="FFFFFF"/>
            <w:vAlign w:val="center"/>
          </w:tcPr>
          <w:p w14:paraId="2B033FF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光驱功能</w:t>
            </w:r>
          </w:p>
        </w:tc>
        <w:tc>
          <w:tcPr>
            <w:tcW w:w="1500" w:type="dxa"/>
            <w:shd w:val="clear" w:color="auto" w:fill="FFFFFF"/>
            <w:vAlign w:val="center"/>
          </w:tcPr>
          <w:p w14:paraId="6A0CED5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光驱类型（是否支持RW，以及光盘类型CD/DVD）</w:t>
            </w:r>
          </w:p>
        </w:tc>
        <w:tc>
          <w:tcPr>
            <w:tcW w:w="3997" w:type="dxa"/>
            <w:shd w:val="clear" w:color="auto" w:fill="FFFFFF"/>
            <w:vAlign w:val="center"/>
          </w:tcPr>
          <w:p w14:paraId="0273116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若配备光驱，应提供光驱的安装形式（如内置、外置）、光驱读写类型（如只读、可刻录等）、光盘类型的兼容列表（如CD-ROM、CD-RW、DVD±RW等）</w:t>
            </w:r>
          </w:p>
        </w:tc>
        <w:tc>
          <w:tcPr>
            <w:tcW w:w="1344" w:type="dxa"/>
            <w:shd w:val="clear" w:color="auto" w:fill="FFFFFF"/>
            <w:vAlign w:val="center"/>
          </w:tcPr>
          <w:p w14:paraId="51E1FAD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3D6F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039129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60</w:t>
            </w:r>
          </w:p>
        </w:tc>
        <w:tc>
          <w:tcPr>
            <w:tcW w:w="981" w:type="dxa"/>
            <w:shd w:val="clear" w:color="auto" w:fill="FFFFFF"/>
            <w:vAlign w:val="center"/>
          </w:tcPr>
          <w:p w14:paraId="64D774B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9" w:type="dxa"/>
            <w:vMerge w:val="restart"/>
            <w:shd w:val="clear" w:color="auto" w:fill="FFFFFF"/>
            <w:vAlign w:val="center"/>
          </w:tcPr>
          <w:p w14:paraId="1EFD3BA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电源功能</w:t>
            </w:r>
          </w:p>
        </w:tc>
        <w:tc>
          <w:tcPr>
            <w:tcW w:w="1500" w:type="dxa"/>
            <w:shd w:val="clear" w:color="auto" w:fill="FFFFFF"/>
            <w:vAlign w:val="center"/>
          </w:tcPr>
          <w:p w14:paraId="6B14EE5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★电源热插拔</w:t>
            </w:r>
          </w:p>
        </w:tc>
        <w:tc>
          <w:tcPr>
            <w:tcW w:w="3997" w:type="dxa"/>
            <w:shd w:val="clear" w:color="auto" w:fill="FFFFFF"/>
            <w:vAlign w:val="center"/>
          </w:tcPr>
          <w:p w14:paraId="7CFD464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整机电源模块应具备热插拔功能</w:t>
            </w:r>
          </w:p>
        </w:tc>
        <w:tc>
          <w:tcPr>
            <w:tcW w:w="1344" w:type="dxa"/>
            <w:shd w:val="clear" w:color="auto" w:fill="FFFFFF"/>
            <w:vAlign w:val="center"/>
          </w:tcPr>
          <w:p w14:paraId="2900EA0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BA0E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24" w:type="dxa"/>
            <w:shd w:val="clear" w:color="auto" w:fill="FFFFFF"/>
            <w:vAlign w:val="center"/>
          </w:tcPr>
          <w:p w14:paraId="0B36717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61</w:t>
            </w:r>
          </w:p>
        </w:tc>
        <w:tc>
          <w:tcPr>
            <w:tcW w:w="981" w:type="dxa"/>
            <w:shd w:val="clear" w:color="auto" w:fill="FFFFFF"/>
            <w:vAlign w:val="center"/>
          </w:tcPr>
          <w:p w14:paraId="59B6F00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9" w:type="dxa"/>
            <w:vMerge w:val="continue"/>
            <w:shd w:val="clear" w:color="auto" w:fill="FFFFFF"/>
            <w:vAlign w:val="center"/>
          </w:tcPr>
          <w:p w14:paraId="583327CB">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53D2C7F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★电源过流保护</w:t>
            </w:r>
          </w:p>
        </w:tc>
        <w:tc>
          <w:tcPr>
            <w:tcW w:w="3997" w:type="dxa"/>
            <w:shd w:val="clear" w:color="auto" w:fill="FFFFFF"/>
            <w:vAlign w:val="center"/>
          </w:tcPr>
          <w:p w14:paraId="3D8BC27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支持过流及短路保护的功能</w:t>
            </w:r>
          </w:p>
        </w:tc>
        <w:tc>
          <w:tcPr>
            <w:tcW w:w="1344" w:type="dxa"/>
            <w:shd w:val="clear" w:color="auto" w:fill="FFFFFF"/>
            <w:vAlign w:val="center"/>
          </w:tcPr>
          <w:p w14:paraId="733C45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5321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24" w:type="dxa"/>
            <w:shd w:val="clear" w:color="auto" w:fill="FFFFFF"/>
            <w:vAlign w:val="center"/>
          </w:tcPr>
          <w:p w14:paraId="4CB29B4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62</w:t>
            </w:r>
          </w:p>
        </w:tc>
        <w:tc>
          <w:tcPr>
            <w:tcW w:w="981" w:type="dxa"/>
            <w:shd w:val="clear" w:color="auto" w:fill="FFFFFF"/>
            <w:vAlign w:val="center"/>
          </w:tcPr>
          <w:p w14:paraId="38444C0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9" w:type="dxa"/>
            <w:vMerge w:val="restart"/>
            <w:shd w:val="clear" w:color="auto" w:fill="FFFFFF"/>
            <w:vAlign w:val="center"/>
          </w:tcPr>
          <w:p w14:paraId="4F8CC6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整机功能</w:t>
            </w:r>
          </w:p>
        </w:tc>
        <w:tc>
          <w:tcPr>
            <w:tcW w:w="1500" w:type="dxa"/>
            <w:shd w:val="clear" w:color="auto" w:fill="FFFFFF"/>
            <w:vAlign w:val="center"/>
          </w:tcPr>
          <w:p w14:paraId="64EEAC8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★散热方式</w:t>
            </w:r>
          </w:p>
        </w:tc>
        <w:tc>
          <w:tcPr>
            <w:tcW w:w="3997" w:type="dxa"/>
            <w:shd w:val="clear" w:color="auto" w:fill="FFFFFF"/>
            <w:vAlign w:val="center"/>
          </w:tcPr>
          <w:p w14:paraId="57A7838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支持风冷或液冷等散热方式</w:t>
            </w:r>
          </w:p>
        </w:tc>
        <w:tc>
          <w:tcPr>
            <w:tcW w:w="1344" w:type="dxa"/>
            <w:shd w:val="clear" w:color="auto" w:fill="FFFFFF"/>
            <w:vAlign w:val="center"/>
          </w:tcPr>
          <w:p w14:paraId="0E1C724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D934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24" w:type="dxa"/>
            <w:shd w:val="clear" w:color="auto" w:fill="FFFFFF"/>
            <w:vAlign w:val="center"/>
          </w:tcPr>
          <w:p w14:paraId="05851B7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63</w:t>
            </w:r>
          </w:p>
        </w:tc>
        <w:tc>
          <w:tcPr>
            <w:tcW w:w="981" w:type="dxa"/>
            <w:shd w:val="clear" w:color="auto" w:fill="FFFFFF"/>
            <w:vAlign w:val="center"/>
          </w:tcPr>
          <w:p w14:paraId="6C4DE2D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9" w:type="dxa"/>
            <w:vMerge w:val="continue"/>
            <w:shd w:val="clear" w:color="auto" w:fill="FFFFFF"/>
            <w:vAlign w:val="center"/>
          </w:tcPr>
          <w:p w14:paraId="2898049E">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7250732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其他功能</w:t>
            </w:r>
          </w:p>
        </w:tc>
        <w:tc>
          <w:tcPr>
            <w:tcW w:w="3997" w:type="dxa"/>
            <w:shd w:val="clear" w:color="auto" w:fill="FFFFFF"/>
            <w:vAlign w:val="center"/>
          </w:tcPr>
          <w:p w14:paraId="292C6F7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a）支持关键部件冗余（包括电源、风扇等）；b）支持熔断保护与恢复功能</w:t>
            </w:r>
          </w:p>
        </w:tc>
        <w:tc>
          <w:tcPr>
            <w:tcW w:w="1344" w:type="dxa"/>
            <w:shd w:val="clear" w:color="auto" w:fill="FFFFFF"/>
            <w:vAlign w:val="center"/>
          </w:tcPr>
          <w:p w14:paraId="3AEC5DF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9BF5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696" w:hRule="atLeast"/>
        </w:trPr>
        <w:tc>
          <w:tcPr>
            <w:tcW w:w="624" w:type="dxa"/>
            <w:shd w:val="clear" w:color="auto" w:fill="FFFFFF"/>
            <w:vAlign w:val="center"/>
          </w:tcPr>
          <w:p w14:paraId="49A09F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64</w:t>
            </w:r>
          </w:p>
        </w:tc>
        <w:tc>
          <w:tcPr>
            <w:tcW w:w="981" w:type="dxa"/>
            <w:shd w:val="clear" w:color="auto" w:fill="FFFFFF"/>
            <w:vAlign w:val="center"/>
          </w:tcPr>
          <w:p w14:paraId="7A622FB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9" w:type="dxa"/>
            <w:shd w:val="clear" w:color="auto" w:fill="FFFFFF"/>
            <w:vAlign w:val="center"/>
          </w:tcPr>
          <w:p w14:paraId="45E870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管理系统功能</w:t>
            </w:r>
          </w:p>
        </w:tc>
        <w:tc>
          <w:tcPr>
            <w:tcW w:w="1500" w:type="dxa"/>
            <w:shd w:val="clear" w:color="auto" w:fill="FFFFFF"/>
            <w:vAlign w:val="center"/>
          </w:tcPr>
          <w:p w14:paraId="70D521E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★BMC固件基础功能</w:t>
            </w:r>
          </w:p>
        </w:tc>
        <w:tc>
          <w:tcPr>
            <w:tcW w:w="3997" w:type="dxa"/>
            <w:shd w:val="clear" w:color="auto" w:fill="FFFFFF"/>
            <w:vAlign w:val="center"/>
          </w:tcPr>
          <w:p w14:paraId="3DF23FC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支持DHCP设置网络功能；2）支持静态IP设置网络功能；3）支持设备日志记录，包括但不限于登录日志、操作日志和报警日志等功能；4）支持日志信息导出和记录删除功能；5）支持通过管理接口向外输出准确的报警信息功能；6）设备的BMC管理软件应能够按报警的严重程度进行区分；7）支持IPMI2.0、SNMP或Redfish等接口功能；8）支持键盘、鼠标和视频的重定向、文本控制台的重定向、远程虚拟媒体、高可靠的硬件监控和管理功能；9）支持基于网络开启、关闭和重启设备的功能，并查询当前设备开机运行状态；10）支持故障提示功能，并可通过接口读取服务器故障信息；11）支持基于网络的固件更新功能，包括BMC和BIOS等；12）支持基于网络安装操作系统的功能，并可通过网络控制台访问设备；13）支持通过本地的硬盘或光驱等存储设备，基于网络完成设备的操作系统安装功能；14）支持通过浏览器打开管理界面并登录功能；15）支持设置口令策略功能；16）支持访问权限设置功能，并通过日志记录访问事件；17）支持对出厂默认的用户名及口令进行安全保护功能，并提供默认口令修改提示；18）支持读取设备主板的工作环境温度功能；19）支持读取服务器CPU等核心器件的温度功能；20）支持通过外部管理工具进行BMC参数设置的功能，并可基于网络通过外部管理工具对BMC进行管理；21）应支持固件版本查询、固件升级22）支持基于网络实现开关机和复位控制的功能；23)BMC启动时间应不超过180s，实现功能包括网络、IPMI、散热、传感器服务可用；24）支持BMC固件设置的恢复出厂功能</w:t>
            </w:r>
          </w:p>
        </w:tc>
        <w:tc>
          <w:tcPr>
            <w:tcW w:w="1344" w:type="dxa"/>
            <w:shd w:val="clear" w:color="auto" w:fill="FFFFFF"/>
            <w:vAlign w:val="center"/>
          </w:tcPr>
          <w:p w14:paraId="7ED7449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C77F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24" w:type="dxa"/>
            <w:shd w:val="clear" w:color="auto" w:fill="FFFFFF"/>
            <w:vAlign w:val="center"/>
          </w:tcPr>
          <w:p w14:paraId="388D7B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65</w:t>
            </w:r>
          </w:p>
        </w:tc>
        <w:tc>
          <w:tcPr>
            <w:tcW w:w="981" w:type="dxa"/>
            <w:shd w:val="clear" w:color="auto" w:fill="FFFFFF"/>
            <w:vAlign w:val="center"/>
          </w:tcPr>
          <w:p w14:paraId="453AC8B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9" w:type="dxa"/>
            <w:vMerge w:val="restart"/>
            <w:shd w:val="clear" w:color="auto" w:fill="FFFFFF"/>
            <w:vAlign w:val="center"/>
          </w:tcPr>
          <w:p w14:paraId="17FB8C7F">
            <w:pPr>
              <w:widowControl/>
              <w:jc w:val="center"/>
              <w:rPr>
                <w:rFonts w:asciiTheme="minorEastAsia" w:hAnsiTheme="minorEastAsia" w:eastAsiaTheme="minorEastAsia" w:cstheme="minorEastAsia"/>
                <w:kern w:val="0"/>
                <w:sz w:val="24"/>
              </w:rPr>
            </w:pPr>
          </w:p>
        </w:tc>
        <w:tc>
          <w:tcPr>
            <w:tcW w:w="1500" w:type="dxa"/>
            <w:shd w:val="clear" w:color="auto" w:fill="FFFFFF"/>
            <w:vAlign w:val="center"/>
          </w:tcPr>
          <w:p w14:paraId="4DBC1B4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BMC固件增强功能</w:t>
            </w:r>
          </w:p>
        </w:tc>
        <w:tc>
          <w:tcPr>
            <w:tcW w:w="3997" w:type="dxa"/>
            <w:shd w:val="clear" w:color="auto" w:fill="FFFFFF"/>
            <w:vAlign w:val="center"/>
          </w:tcPr>
          <w:p w14:paraId="19B6F98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a）网络控制、安装提供图形访问界面网络；b）设备的BMC管理软件界面显示报警信息，且能够按报警的严重程度进行区分；c）WebGUI采用BMC端口直连，平均响应时间为≤1s</w:t>
            </w:r>
          </w:p>
        </w:tc>
        <w:tc>
          <w:tcPr>
            <w:tcW w:w="1344" w:type="dxa"/>
            <w:shd w:val="clear" w:color="auto" w:fill="FFFFFF"/>
            <w:vAlign w:val="center"/>
          </w:tcPr>
          <w:p w14:paraId="6C5719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D70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240" w:hRule="atLeast"/>
        </w:trPr>
        <w:tc>
          <w:tcPr>
            <w:tcW w:w="624" w:type="dxa"/>
            <w:shd w:val="clear" w:color="auto" w:fill="FFFFFF"/>
            <w:vAlign w:val="center"/>
          </w:tcPr>
          <w:p w14:paraId="05D0425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66</w:t>
            </w:r>
          </w:p>
        </w:tc>
        <w:tc>
          <w:tcPr>
            <w:tcW w:w="981" w:type="dxa"/>
            <w:shd w:val="clear" w:color="auto" w:fill="FFFFFF"/>
            <w:vAlign w:val="center"/>
          </w:tcPr>
          <w:p w14:paraId="7DD6FC2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9" w:type="dxa"/>
            <w:vMerge w:val="continue"/>
            <w:shd w:val="clear" w:color="auto" w:fill="FFFFFF"/>
            <w:vAlign w:val="center"/>
          </w:tcPr>
          <w:p w14:paraId="104E5504">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27B9B66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★BIOS固件基础功能</w:t>
            </w:r>
          </w:p>
        </w:tc>
        <w:tc>
          <w:tcPr>
            <w:tcW w:w="3997" w:type="dxa"/>
            <w:shd w:val="clear" w:color="auto" w:fill="FFFFFF"/>
            <w:vAlign w:val="center"/>
          </w:tcPr>
          <w:p w14:paraId="3701AE3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查看固件版本、内存信息、主板信息、处理器信息和系统时间信息功能；b）支持上电初始化界面显示CPU信息、内存信息、固件版本和部分快捷键信息功能；c）支持设置界面中英文显示切换功能；d）支持查看PCIe设备信息，SATA设备信息功能；e）支持操作系统安装和引导功能，应并向操作系统提供计算机主板信息和服务接口；f）支持设置启动顺序，并按照设置的启动顺序启动功能；g）支持安全启动功能；h）支持设置口令、修改口令、验证口令功能；i）支持板载显示控制或独立显卡的显示控制功能；j）支持RAID识别和启动功能；k）支持串口重定向功能；l）支持固件更新功能；m）支持BIOS固件设置的恢复出厂功能；n）支持网络引导启用和关闭功能</w:t>
            </w:r>
          </w:p>
        </w:tc>
        <w:tc>
          <w:tcPr>
            <w:tcW w:w="1344" w:type="dxa"/>
            <w:shd w:val="clear" w:color="auto" w:fill="FFFFFF"/>
            <w:vAlign w:val="center"/>
          </w:tcPr>
          <w:p w14:paraId="474E73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BEBC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24" w:type="dxa"/>
            <w:shd w:val="clear" w:color="auto" w:fill="FFFFFF"/>
            <w:vAlign w:val="center"/>
          </w:tcPr>
          <w:p w14:paraId="7503C5B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67</w:t>
            </w:r>
          </w:p>
        </w:tc>
        <w:tc>
          <w:tcPr>
            <w:tcW w:w="981" w:type="dxa"/>
            <w:shd w:val="clear" w:color="auto" w:fill="FFFFFF"/>
            <w:vAlign w:val="center"/>
          </w:tcPr>
          <w:p w14:paraId="554E57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9" w:type="dxa"/>
            <w:vMerge w:val="continue"/>
            <w:shd w:val="clear" w:color="auto" w:fill="FFFFFF"/>
            <w:vAlign w:val="center"/>
          </w:tcPr>
          <w:p w14:paraId="0C3CCD89">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6560F81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★远程控制</w:t>
            </w:r>
          </w:p>
        </w:tc>
        <w:tc>
          <w:tcPr>
            <w:tcW w:w="3997" w:type="dxa"/>
            <w:shd w:val="clear" w:color="auto" w:fill="FFFFFF"/>
            <w:vAlign w:val="center"/>
          </w:tcPr>
          <w:p w14:paraId="24FFEC8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支持远程关机和重新启动功能</w:t>
            </w:r>
          </w:p>
        </w:tc>
        <w:tc>
          <w:tcPr>
            <w:tcW w:w="1344" w:type="dxa"/>
            <w:shd w:val="clear" w:color="auto" w:fill="FFFFFF"/>
            <w:vAlign w:val="center"/>
          </w:tcPr>
          <w:p w14:paraId="1DEECFC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E852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761726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68</w:t>
            </w:r>
          </w:p>
        </w:tc>
        <w:tc>
          <w:tcPr>
            <w:tcW w:w="981" w:type="dxa"/>
            <w:shd w:val="clear" w:color="auto" w:fill="FFFFFF"/>
            <w:vAlign w:val="center"/>
          </w:tcPr>
          <w:p w14:paraId="4FE95F7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9" w:type="dxa"/>
            <w:vMerge w:val="restart"/>
            <w:shd w:val="clear" w:color="auto" w:fill="FFFFFF"/>
            <w:vAlign w:val="center"/>
          </w:tcPr>
          <w:p w14:paraId="47E305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操作系统及驱动功能</w:t>
            </w:r>
          </w:p>
        </w:tc>
        <w:tc>
          <w:tcPr>
            <w:tcW w:w="1500" w:type="dxa"/>
            <w:shd w:val="clear" w:color="auto" w:fill="FFFFFF"/>
            <w:vAlign w:val="center"/>
          </w:tcPr>
          <w:p w14:paraId="65035F0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★操作系统及驱动的升级</w:t>
            </w:r>
          </w:p>
        </w:tc>
        <w:tc>
          <w:tcPr>
            <w:tcW w:w="3997" w:type="dxa"/>
            <w:shd w:val="clear" w:color="auto" w:fill="FFFFFF"/>
            <w:vAlign w:val="center"/>
          </w:tcPr>
          <w:p w14:paraId="1A37F3D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支持通过网络、闪存盘对操作系统、驱动进行升级</w:t>
            </w:r>
          </w:p>
        </w:tc>
        <w:tc>
          <w:tcPr>
            <w:tcW w:w="1344" w:type="dxa"/>
            <w:shd w:val="clear" w:color="auto" w:fill="FFFFFF"/>
            <w:vAlign w:val="center"/>
          </w:tcPr>
          <w:p w14:paraId="7C0BE5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FD9C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08F607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69</w:t>
            </w:r>
          </w:p>
        </w:tc>
        <w:tc>
          <w:tcPr>
            <w:tcW w:w="981" w:type="dxa"/>
            <w:shd w:val="clear" w:color="auto" w:fill="FFFFFF"/>
            <w:vAlign w:val="center"/>
          </w:tcPr>
          <w:p w14:paraId="798D65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9" w:type="dxa"/>
            <w:vMerge w:val="continue"/>
            <w:shd w:val="clear" w:color="auto" w:fill="FFFFFF"/>
            <w:vAlign w:val="center"/>
          </w:tcPr>
          <w:p w14:paraId="45FEF7D3">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40C5762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操作系统及驱动的备份还原</w:t>
            </w:r>
          </w:p>
        </w:tc>
        <w:tc>
          <w:tcPr>
            <w:tcW w:w="3997" w:type="dxa"/>
            <w:shd w:val="clear" w:color="auto" w:fill="FFFFFF"/>
            <w:vAlign w:val="center"/>
          </w:tcPr>
          <w:p w14:paraId="45B7B5D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支持操作系统备份及还原功能</w:t>
            </w:r>
          </w:p>
        </w:tc>
        <w:tc>
          <w:tcPr>
            <w:tcW w:w="1344" w:type="dxa"/>
            <w:shd w:val="clear" w:color="auto" w:fill="FFFFFF"/>
            <w:vAlign w:val="center"/>
          </w:tcPr>
          <w:p w14:paraId="3FCB851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58A9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24" w:type="dxa"/>
            <w:shd w:val="clear" w:color="auto" w:fill="FFFFFF"/>
            <w:vAlign w:val="center"/>
          </w:tcPr>
          <w:p w14:paraId="531BE86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70</w:t>
            </w:r>
          </w:p>
        </w:tc>
        <w:tc>
          <w:tcPr>
            <w:tcW w:w="981" w:type="dxa"/>
            <w:shd w:val="clear" w:color="auto" w:fill="FFFFFF"/>
            <w:vAlign w:val="center"/>
          </w:tcPr>
          <w:p w14:paraId="4089D42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9" w:type="dxa"/>
            <w:vMerge w:val="continue"/>
            <w:shd w:val="clear" w:color="auto" w:fill="FFFFFF"/>
            <w:vAlign w:val="center"/>
          </w:tcPr>
          <w:p w14:paraId="71DD49F7">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0BB407B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★操作系统功能</w:t>
            </w:r>
          </w:p>
        </w:tc>
        <w:tc>
          <w:tcPr>
            <w:tcW w:w="3997" w:type="dxa"/>
            <w:shd w:val="clear" w:color="auto" w:fill="FFFFFF"/>
            <w:vAlign w:val="center"/>
          </w:tcPr>
          <w:p w14:paraId="4FB8CF2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a）支持访问控制、安全审计、网络接入鉴别等功能；b）操作系统其他功能应满足操作系统政府采购需求标准中加*的指标要求</w:t>
            </w:r>
          </w:p>
        </w:tc>
        <w:tc>
          <w:tcPr>
            <w:tcW w:w="1344" w:type="dxa"/>
            <w:shd w:val="clear" w:color="auto" w:fill="FFFFFF"/>
            <w:vAlign w:val="center"/>
          </w:tcPr>
          <w:p w14:paraId="173B19E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F43F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159E1A3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71</w:t>
            </w:r>
          </w:p>
        </w:tc>
        <w:tc>
          <w:tcPr>
            <w:tcW w:w="981" w:type="dxa"/>
            <w:shd w:val="clear" w:color="auto" w:fill="FFFFFF"/>
            <w:vAlign w:val="center"/>
          </w:tcPr>
          <w:p w14:paraId="408FC7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9" w:type="dxa"/>
            <w:shd w:val="clear" w:color="auto" w:fill="FFFFFF"/>
            <w:vAlign w:val="center"/>
          </w:tcPr>
          <w:p w14:paraId="6101B0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中文信息处理功能</w:t>
            </w:r>
          </w:p>
        </w:tc>
        <w:tc>
          <w:tcPr>
            <w:tcW w:w="1500" w:type="dxa"/>
            <w:shd w:val="clear" w:color="auto" w:fill="FFFFFF"/>
            <w:vAlign w:val="center"/>
          </w:tcPr>
          <w:p w14:paraId="59182B6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★中文信息处理</w:t>
            </w:r>
          </w:p>
        </w:tc>
        <w:tc>
          <w:tcPr>
            <w:tcW w:w="3997" w:type="dxa"/>
            <w:shd w:val="clear" w:color="auto" w:fill="FFFFFF"/>
            <w:vAlign w:val="center"/>
          </w:tcPr>
          <w:p w14:paraId="5B1C266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符合GB18030的有关规定</w:t>
            </w:r>
          </w:p>
        </w:tc>
        <w:tc>
          <w:tcPr>
            <w:tcW w:w="1344" w:type="dxa"/>
            <w:shd w:val="clear" w:color="auto" w:fill="FFFFFF"/>
            <w:vAlign w:val="center"/>
          </w:tcPr>
          <w:p w14:paraId="3DD08A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561A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3A489B3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72</w:t>
            </w:r>
          </w:p>
        </w:tc>
        <w:tc>
          <w:tcPr>
            <w:tcW w:w="981" w:type="dxa"/>
            <w:shd w:val="clear" w:color="auto" w:fill="FFFFFF"/>
            <w:vAlign w:val="center"/>
          </w:tcPr>
          <w:p w14:paraId="46AC84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9" w:type="dxa"/>
            <w:vMerge w:val="restart"/>
            <w:shd w:val="clear" w:color="auto" w:fill="FFFFFF"/>
            <w:vAlign w:val="center"/>
          </w:tcPr>
          <w:p w14:paraId="6D6689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机柜功能</w:t>
            </w:r>
          </w:p>
        </w:tc>
        <w:tc>
          <w:tcPr>
            <w:tcW w:w="1500" w:type="dxa"/>
            <w:shd w:val="clear" w:color="auto" w:fill="FFFFFF"/>
            <w:vAlign w:val="center"/>
          </w:tcPr>
          <w:p w14:paraId="221E52B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机柜管理功能</w:t>
            </w:r>
          </w:p>
        </w:tc>
        <w:tc>
          <w:tcPr>
            <w:tcW w:w="3997" w:type="dxa"/>
            <w:shd w:val="clear" w:color="auto" w:fill="FFFFFF"/>
            <w:vAlign w:val="center"/>
          </w:tcPr>
          <w:p w14:paraId="3415850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机柜管理系统包括服务器节点BMC管理系统、机柜管理系统或交换节点管理系统</w:t>
            </w:r>
          </w:p>
        </w:tc>
        <w:tc>
          <w:tcPr>
            <w:tcW w:w="1344" w:type="dxa"/>
            <w:shd w:val="clear" w:color="auto" w:fill="FFFFFF"/>
            <w:vAlign w:val="center"/>
          </w:tcPr>
          <w:p w14:paraId="1F9D34B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A8C7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075F2A2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73</w:t>
            </w:r>
          </w:p>
        </w:tc>
        <w:tc>
          <w:tcPr>
            <w:tcW w:w="981" w:type="dxa"/>
            <w:shd w:val="clear" w:color="auto" w:fill="FFFFFF"/>
            <w:vAlign w:val="center"/>
          </w:tcPr>
          <w:p w14:paraId="05F0048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9" w:type="dxa"/>
            <w:vMerge w:val="continue"/>
            <w:shd w:val="clear" w:color="auto" w:fill="FFFFFF"/>
            <w:vAlign w:val="center"/>
          </w:tcPr>
          <w:p w14:paraId="47523E1A">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3333EDE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机柜通信方式</w:t>
            </w:r>
          </w:p>
        </w:tc>
        <w:tc>
          <w:tcPr>
            <w:tcW w:w="3997" w:type="dxa"/>
            <w:shd w:val="clear" w:color="auto" w:fill="FFFFFF"/>
            <w:vAlign w:val="center"/>
          </w:tcPr>
          <w:p w14:paraId="0C18851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若配备机柜管理板可实现包括：资产管理、电源模块、功耗管理和液冷漏液检测等功能</w:t>
            </w:r>
          </w:p>
        </w:tc>
        <w:tc>
          <w:tcPr>
            <w:tcW w:w="1344" w:type="dxa"/>
            <w:shd w:val="clear" w:color="auto" w:fill="FFFFFF"/>
            <w:vAlign w:val="center"/>
          </w:tcPr>
          <w:p w14:paraId="30C3AFA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D28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201201F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74</w:t>
            </w:r>
          </w:p>
        </w:tc>
        <w:tc>
          <w:tcPr>
            <w:tcW w:w="981" w:type="dxa"/>
            <w:shd w:val="clear" w:color="auto" w:fill="FFFFFF"/>
            <w:vAlign w:val="center"/>
          </w:tcPr>
          <w:p w14:paraId="029FF4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1089" w:type="dxa"/>
            <w:vMerge w:val="continue"/>
            <w:shd w:val="clear" w:color="auto" w:fill="FFFFFF"/>
            <w:vAlign w:val="center"/>
          </w:tcPr>
          <w:p w14:paraId="6D07CB01">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2C65441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多集群作业管理</w:t>
            </w:r>
          </w:p>
        </w:tc>
        <w:tc>
          <w:tcPr>
            <w:tcW w:w="3997" w:type="dxa"/>
            <w:shd w:val="clear" w:color="auto" w:fill="FFFFFF"/>
            <w:vAlign w:val="center"/>
          </w:tcPr>
          <w:p w14:paraId="2072EC7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支持多集群作业管理功能</w:t>
            </w:r>
          </w:p>
        </w:tc>
        <w:tc>
          <w:tcPr>
            <w:tcW w:w="1344" w:type="dxa"/>
            <w:shd w:val="clear" w:color="auto" w:fill="FFFFFF"/>
            <w:vAlign w:val="center"/>
          </w:tcPr>
          <w:p w14:paraId="2D932D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17EE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72CA144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75</w:t>
            </w:r>
          </w:p>
        </w:tc>
        <w:tc>
          <w:tcPr>
            <w:tcW w:w="981" w:type="dxa"/>
            <w:shd w:val="clear" w:color="auto" w:fill="FFFFFF"/>
            <w:vAlign w:val="center"/>
          </w:tcPr>
          <w:p w14:paraId="0B7BBB6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9" w:type="dxa"/>
            <w:shd w:val="clear" w:color="auto" w:fill="FFFFFF"/>
            <w:vAlign w:val="center"/>
          </w:tcPr>
          <w:p w14:paraId="015F05A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关键部件安全要求</w:t>
            </w:r>
          </w:p>
        </w:tc>
        <w:tc>
          <w:tcPr>
            <w:tcW w:w="1500" w:type="dxa"/>
            <w:shd w:val="clear" w:color="auto" w:fill="FFFFFF"/>
            <w:vAlign w:val="center"/>
          </w:tcPr>
          <w:p w14:paraId="58C9D92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★关键部件安全要求</w:t>
            </w:r>
          </w:p>
        </w:tc>
        <w:tc>
          <w:tcPr>
            <w:tcW w:w="3997" w:type="dxa"/>
            <w:shd w:val="clear" w:color="auto" w:fill="FFFFFF"/>
            <w:vAlign w:val="center"/>
          </w:tcPr>
          <w:p w14:paraId="5A6B2EB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CPU和操作系统等关键部件应当符合安全可靠测评要求</w:t>
            </w:r>
          </w:p>
        </w:tc>
        <w:tc>
          <w:tcPr>
            <w:tcW w:w="1344" w:type="dxa"/>
            <w:shd w:val="clear" w:color="auto" w:fill="FFFFFF"/>
            <w:vAlign w:val="center"/>
          </w:tcPr>
          <w:p w14:paraId="533C7C6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C8F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1EB386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76</w:t>
            </w:r>
          </w:p>
        </w:tc>
        <w:tc>
          <w:tcPr>
            <w:tcW w:w="981" w:type="dxa"/>
            <w:shd w:val="clear" w:color="auto" w:fill="FFFFFF"/>
            <w:vAlign w:val="center"/>
          </w:tcPr>
          <w:p w14:paraId="45DC20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9" w:type="dxa"/>
            <w:vMerge w:val="restart"/>
            <w:shd w:val="clear" w:color="auto" w:fill="FFFFFF"/>
            <w:vAlign w:val="center"/>
          </w:tcPr>
          <w:p w14:paraId="42D45CA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固件安全要求</w:t>
            </w:r>
          </w:p>
        </w:tc>
        <w:tc>
          <w:tcPr>
            <w:tcW w:w="1500" w:type="dxa"/>
            <w:shd w:val="clear" w:color="auto" w:fill="FFFFFF"/>
            <w:vAlign w:val="center"/>
          </w:tcPr>
          <w:p w14:paraId="4B88688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★故障检测</w:t>
            </w:r>
          </w:p>
        </w:tc>
        <w:tc>
          <w:tcPr>
            <w:tcW w:w="3997" w:type="dxa"/>
            <w:shd w:val="clear" w:color="auto" w:fill="FFFFFF"/>
            <w:vAlign w:val="center"/>
          </w:tcPr>
          <w:p w14:paraId="65F1F1D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支持故障检测功能，可以检测到具体的FRU（内存、硬盘等）的故障并发出告警</w:t>
            </w:r>
          </w:p>
        </w:tc>
        <w:tc>
          <w:tcPr>
            <w:tcW w:w="1344" w:type="dxa"/>
            <w:shd w:val="clear" w:color="auto" w:fill="FFFFFF"/>
            <w:vAlign w:val="center"/>
          </w:tcPr>
          <w:p w14:paraId="48A586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92AE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6639A42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77</w:t>
            </w:r>
          </w:p>
        </w:tc>
        <w:tc>
          <w:tcPr>
            <w:tcW w:w="981" w:type="dxa"/>
            <w:shd w:val="clear" w:color="auto" w:fill="FFFFFF"/>
            <w:vAlign w:val="center"/>
          </w:tcPr>
          <w:p w14:paraId="47C9D80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9" w:type="dxa"/>
            <w:vMerge w:val="continue"/>
            <w:shd w:val="clear" w:color="auto" w:fill="FFFFFF"/>
            <w:vAlign w:val="center"/>
          </w:tcPr>
          <w:p w14:paraId="19B444C4">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3CCD012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内存故障智能预测和自愈修复</w:t>
            </w:r>
          </w:p>
        </w:tc>
        <w:tc>
          <w:tcPr>
            <w:tcW w:w="3997" w:type="dxa"/>
            <w:shd w:val="clear" w:color="auto" w:fill="FFFFFF"/>
            <w:vAlign w:val="center"/>
          </w:tcPr>
          <w:p w14:paraId="7FD3D89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支持内存故障智能预测和自愈修复，提前自动硬隔离，避免内存故障引起的非预期宕机以及内存寿命的降低</w:t>
            </w:r>
          </w:p>
        </w:tc>
        <w:tc>
          <w:tcPr>
            <w:tcW w:w="1344" w:type="dxa"/>
            <w:shd w:val="clear" w:color="auto" w:fill="FFFFFF"/>
            <w:vAlign w:val="center"/>
          </w:tcPr>
          <w:p w14:paraId="1CDF18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621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24" w:type="dxa"/>
            <w:shd w:val="clear" w:color="auto" w:fill="FFFFFF"/>
            <w:vAlign w:val="center"/>
          </w:tcPr>
          <w:p w14:paraId="3F10B88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78</w:t>
            </w:r>
          </w:p>
        </w:tc>
        <w:tc>
          <w:tcPr>
            <w:tcW w:w="981" w:type="dxa"/>
            <w:shd w:val="clear" w:color="auto" w:fill="FFFFFF"/>
            <w:vAlign w:val="center"/>
          </w:tcPr>
          <w:p w14:paraId="5BCE7E7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9" w:type="dxa"/>
            <w:vMerge w:val="continue"/>
            <w:shd w:val="clear" w:color="auto" w:fill="FFFFFF"/>
            <w:vAlign w:val="center"/>
          </w:tcPr>
          <w:p w14:paraId="027C3265">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656B2D8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硬盘故障智能预测</w:t>
            </w:r>
          </w:p>
        </w:tc>
        <w:tc>
          <w:tcPr>
            <w:tcW w:w="3997" w:type="dxa"/>
            <w:shd w:val="clear" w:color="auto" w:fill="FFFFFF"/>
            <w:vAlign w:val="center"/>
          </w:tcPr>
          <w:p w14:paraId="0BE4CF0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支持硬盘故障智能预测，基于故障模型预测出硬盘的故障</w:t>
            </w:r>
          </w:p>
        </w:tc>
        <w:tc>
          <w:tcPr>
            <w:tcW w:w="1344" w:type="dxa"/>
            <w:shd w:val="clear" w:color="auto" w:fill="FFFFFF"/>
            <w:vAlign w:val="center"/>
          </w:tcPr>
          <w:p w14:paraId="7A0375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4529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4CABABF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79</w:t>
            </w:r>
          </w:p>
        </w:tc>
        <w:tc>
          <w:tcPr>
            <w:tcW w:w="981" w:type="dxa"/>
            <w:shd w:val="clear" w:color="auto" w:fill="FFFFFF"/>
            <w:vAlign w:val="center"/>
          </w:tcPr>
          <w:p w14:paraId="6DFC4C5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9" w:type="dxa"/>
            <w:vMerge w:val="continue"/>
            <w:shd w:val="clear" w:color="auto" w:fill="FFFFFF"/>
            <w:vAlign w:val="center"/>
          </w:tcPr>
          <w:p w14:paraId="25F48C33">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070C4D3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PCIe链路故障智能诊断</w:t>
            </w:r>
          </w:p>
        </w:tc>
        <w:tc>
          <w:tcPr>
            <w:tcW w:w="3997" w:type="dxa"/>
            <w:shd w:val="clear" w:color="auto" w:fill="FFFFFF"/>
            <w:vAlign w:val="center"/>
          </w:tcPr>
          <w:p w14:paraId="63CF90E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支持PCIe链路故障智能诊断，判断出现故障的PCIe链路</w:t>
            </w:r>
          </w:p>
        </w:tc>
        <w:tc>
          <w:tcPr>
            <w:tcW w:w="1344" w:type="dxa"/>
            <w:shd w:val="clear" w:color="auto" w:fill="FFFFFF"/>
            <w:vAlign w:val="center"/>
          </w:tcPr>
          <w:p w14:paraId="00DFEF9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C194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7F2AF17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80</w:t>
            </w:r>
          </w:p>
        </w:tc>
        <w:tc>
          <w:tcPr>
            <w:tcW w:w="981" w:type="dxa"/>
            <w:shd w:val="clear" w:color="auto" w:fill="FFFFFF"/>
            <w:vAlign w:val="center"/>
          </w:tcPr>
          <w:p w14:paraId="38EFF4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9" w:type="dxa"/>
            <w:vMerge w:val="continue"/>
            <w:shd w:val="clear" w:color="auto" w:fill="FFFFFF"/>
            <w:vAlign w:val="center"/>
          </w:tcPr>
          <w:p w14:paraId="30A6D51A">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00E84A7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内存故障隔离</w:t>
            </w:r>
          </w:p>
        </w:tc>
        <w:tc>
          <w:tcPr>
            <w:tcW w:w="3997" w:type="dxa"/>
            <w:shd w:val="clear" w:color="auto" w:fill="FFFFFF"/>
            <w:vAlign w:val="center"/>
          </w:tcPr>
          <w:p w14:paraId="55ECEB2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支持内存故障隔离，在内存产生CE故障时，内存地址被隔离成功，服务器正常运行，业务系统不中断</w:t>
            </w:r>
          </w:p>
        </w:tc>
        <w:tc>
          <w:tcPr>
            <w:tcW w:w="1344" w:type="dxa"/>
            <w:shd w:val="clear" w:color="auto" w:fill="FFFFFF"/>
            <w:vAlign w:val="center"/>
          </w:tcPr>
          <w:p w14:paraId="450FC5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0CC6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24" w:type="dxa"/>
            <w:shd w:val="clear" w:color="auto" w:fill="FFFFFF"/>
            <w:vAlign w:val="center"/>
          </w:tcPr>
          <w:p w14:paraId="757776E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81</w:t>
            </w:r>
          </w:p>
        </w:tc>
        <w:tc>
          <w:tcPr>
            <w:tcW w:w="981" w:type="dxa"/>
            <w:shd w:val="clear" w:color="auto" w:fill="FFFFFF"/>
            <w:vAlign w:val="center"/>
          </w:tcPr>
          <w:p w14:paraId="6509B70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9" w:type="dxa"/>
            <w:vMerge w:val="continue"/>
            <w:shd w:val="clear" w:color="auto" w:fill="FFFFFF"/>
            <w:vAlign w:val="center"/>
          </w:tcPr>
          <w:p w14:paraId="1AE99137">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76A023F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内存、PCIe卡的故障精准告警功能</w:t>
            </w:r>
          </w:p>
        </w:tc>
        <w:tc>
          <w:tcPr>
            <w:tcW w:w="3997" w:type="dxa"/>
            <w:shd w:val="clear" w:color="auto" w:fill="FFFFFF"/>
            <w:vAlign w:val="center"/>
          </w:tcPr>
          <w:p w14:paraId="44D0008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支持内存、PCIe卡的故障精准告警功能，触发告警并明确指示具体的故障位置</w:t>
            </w:r>
          </w:p>
        </w:tc>
        <w:tc>
          <w:tcPr>
            <w:tcW w:w="1344" w:type="dxa"/>
            <w:shd w:val="clear" w:color="auto" w:fill="FFFFFF"/>
            <w:vAlign w:val="center"/>
          </w:tcPr>
          <w:p w14:paraId="1DA79C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D454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294795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82</w:t>
            </w:r>
          </w:p>
        </w:tc>
        <w:tc>
          <w:tcPr>
            <w:tcW w:w="981" w:type="dxa"/>
            <w:shd w:val="clear" w:color="auto" w:fill="FFFFFF"/>
            <w:vAlign w:val="center"/>
          </w:tcPr>
          <w:p w14:paraId="34AD4B2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9" w:type="dxa"/>
            <w:vMerge w:val="continue"/>
            <w:shd w:val="clear" w:color="auto" w:fill="FFFFFF"/>
            <w:vAlign w:val="center"/>
          </w:tcPr>
          <w:p w14:paraId="6E1FC795">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174A3A5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异常下电关键数据保护</w:t>
            </w:r>
          </w:p>
        </w:tc>
        <w:tc>
          <w:tcPr>
            <w:tcW w:w="3997" w:type="dxa"/>
            <w:shd w:val="clear" w:color="auto" w:fill="FFFFFF"/>
            <w:vAlign w:val="center"/>
          </w:tcPr>
          <w:p w14:paraId="1E8E859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支持异常掉电关键数据保护，支持数据备份恢复机制，防止系统异常掉电导致的数据文件丢失</w:t>
            </w:r>
          </w:p>
        </w:tc>
        <w:tc>
          <w:tcPr>
            <w:tcW w:w="1344" w:type="dxa"/>
            <w:shd w:val="clear" w:color="auto" w:fill="FFFFFF"/>
            <w:vAlign w:val="center"/>
          </w:tcPr>
          <w:p w14:paraId="3EBFD84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118F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24" w:type="dxa"/>
            <w:shd w:val="clear" w:color="auto" w:fill="FFFFFF"/>
            <w:vAlign w:val="center"/>
          </w:tcPr>
          <w:p w14:paraId="54B0352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83</w:t>
            </w:r>
          </w:p>
        </w:tc>
        <w:tc>
          <w:tcPr>
            <w:tcW w:w="981" w:type="dxa"/>
            <w:shd w:val="clear" w:color="auto" w:fill="FFFFFF"/>
            <w:vAlign w:val="center"/>
          </w:tcPr>
          <w:p w14:paraId="673FB6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9" w:type="dxa"/>
            <w:vMerge w:val="continue"/>
            <w:shd w:val="clear" w:color="auto" w:fill="FFFFFF"/>
            <w:vAlign w:val="center"/>
          </w:tcPr>
          <w:p w14:paraId="42C9C5D4">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64CB337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BMC/BIOS固件双镜像保护</w:t>
            </w:r>
          </w:p>
        </w:tc>
        <w:tc>
          <w:tcPr>
            <w:tcW w:w="3997" w:type="dxa"/>
            <w:shd w:val="clear" w:color="auto" w:fill="FFFFFF"/>
            <w:vAlign w:val="center"/>
          </w:tcPr>
          <w:p w14:paraId="6D78A7C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支持BMC/BIOS固件双镜像保护，运行异常时自动切换到备份镜像运行，提升系统稳定性</w:t>
            </w:r>
          </w:p>
        </w:tc>
        <w:tc>
          <w:tcPr>
            <w:tcW w:w="1344" w:type="dxa"/>
            <w:shd w:val="clear" w:color="auto" w:fill="FFFFFF"/>
            <w:vAlign w:val="center"/>
          </w:tcPr>
          <w:p w14:paraId="40589A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F19A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24" w:type="dxa"/>
            <w:shd w:val="clear" w:color="auto" w:fill="FFFFFF"/>
            <w:vAlign w:val="center"/>
          </w:tcPr>
          <w:p w14:paraId="5E14724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84</w:t>
            </w:r>
          </w:p>
        </w:tc>
        <w:tc>
          <w:tcPr>
            <w:tcW w:w="981" w:type="dxa"/>
            <w:shd w:val="clear" w:color="auto" w:fill="FFFFFF"/>
            <w:vAlign w:val="center"/>
          </w:tcPr>
          <w:p w14:paraId="792A41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9" w:type="dxa"/>
            <w:vMerge w:val="continue"/>
            <w:shd w:val="clear" w:color="auto" w:fill="FFFFFF"/>
            <w:vAlign w:val="center"/>
          </w:tcPr>
          <w:p w14:paraId="5A6C0529">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3FC2ED3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CPU核重启隔离</w:t>
            </w:r>
          </w:p>
        </w:tc>
        <w:tc>
          <w:tcPr>
            <w:tcW w:w="3997" w:type="dxa"/>
            <w:shd w:val="clear" w:color="auto" w:fill="FFFFFF"/>
            <w:vAlign w:val="center"/>
          </w:tcPr>
          <w:p w14:paraId="351F706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支持CPU核发生不可纠正故障后，重启后由BIOS隔离该故障核，OS不可见，防止OS再次使用导致系统异常，核0除外</w:t>
            </w:r>
          </w:p>
        </w:tc>
        <w:tc>
          <w:tcPr>
            <w:tcW w:w="1344" w:type="dxa"/>
            <w:shd w:val="clear" w:color="auto" w:fill="FFFFFF"/>
            <w:vAlign w:val="center"/>
          </w:tcPr>
          <w:p w14:paraId="118611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C37F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6EBDBF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85</w:t>
            </w:r>
          </w:p>
        </w:tc>
        <w:tc>
          <w:tcPr>
            <w:tcW w:w="981" w:type="dxa"/>
            <w:shd w:val="clear" w:color="auto" w:fill="FFFFFF"/>
            <w:vAlign w:val="center"/>
          </w:tcPr>
          <w:p w14:paraId="41E82E6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9" w:type="dxa"/>
            <w:vMerge w:val="continue"/>
            <w:shd w:val="clear" w:color="auto" w:fill="FFFFFF"/>
            <w:vAlign w:val="center"/>
          </w:tcPr>
          <w:p w14:paraId="398300A6">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3C45CE0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内存地址隔离</w:t>
            </w:r>
          </w:p>
        </w:tc>
        <w:tc>
          <w:tcPr>
            <w:tcW w:w="3997" w:type="dxa"/>
            <w:shd w:val="clear" w:color="auto" w:fill="FFFFFF"/>
            <w:vAlign w:val="center"/>
          </w:tcPr>
          <w:p w14:paraId="349CF3F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在硬件支持的情况下，支持故障内存地址重启后隔离</w:t>
            </w:r>
          </w:p>
        </w:tc>
        <w:tc>
          <w:tcPr>
            <w:tcW w:w="1344" w:type="dxa"/>
            <w:shd w:val="clear" w:color="auto" w:fill="FFFFFF"/>
            <w:vAlign w:val="center"/>
          </w:tcPr>
          <w:p w14:paraId="7EDE1C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AC86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5909B3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86</w:t>
            </w:r>
          </w:p>
        </w:tc>
        <w:tc>
          <w:tcPr>
            <w:tcW w:w="981" w:type="dxa"/>
            <w:shd w:val="clear" w:color="auto" w:fill="FFFFFF"/>
            <w:vAlign w:val="center"/>
          </w:tcPr>
          <w:p w14:paraId="31A4A87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9" w:type="dxa"/>
            <w:vMerge w:val="continue"/>
            <w:shd w:val="clear" w:color="auto" w:fill="FFFFFF"/>
            <w:vAlign w:val="center"/>
          </w:tcPr>
          <w:p w14:paraId="2309E683">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293526F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内存存储阵列替换</w:t>
            </w:r>
          </w:p>
        </w:tc>
        <w:tc>
          <w:tcPr>
            <w:tcW w:w="3997" w:type="dxa"/>
            <w:shd w:val="clear" w:color="auto" w:fill="FFFFFF"/>
            <w:vAlign w:val="center"/>
          </w:tcPr>
          <w:p w14:paraId="13250D4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在硬件支持的情况下，支持故障内存存储阵列替换</w:t>
            </w:r>
          </w:p>
        </w:tc>
        <w:tc>
          <w:tcPr>
            <w:tcW w:w="1344" w:type="dxa"/>
            <w:shd w:val="clear" w:color="auto" w:fill="FFFFFF"/>
            <w:vAlign w:val="center"/>
          </w:tcPr>
          <w:p w14:paraId="159197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A570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6BDAB7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87</w:t>
            </w:r>
          </w:p>
        </w:tc>
        <w:tc>
          <w:tcPr>
            <w:tcW w:w="981" w:type="dxa"/>
            <w:shd w:val="clear" w:color="auto" w:fill="FFFFFF"/>
            <w:vAlign w:val="center"/>
          </w:tcPr>
          <w:p w14:paraId="7E1FE59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9" w:type="dxa"/>
            <w:vMerge w:val="continue"/>
            <w:shd w:val="clear" w:color="auto" w:fill="FFFFFF"/>
            <w:vAlign w:val="center"/>
          </w:tcPr>
          <w:p w14:paraId="5BAC8B66">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4381917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安全启动</w:t>
            </w:r>
          </w:p>
        </w:tc>
        <w:tc>
          <w:tcPr>
            <w:tcW w:w="3997" w:type="dxa"/>
            <w:shd w:val="clear" w:color="auto" w:fill="FFFFFF"/>
            <w:vAlign w:val="center"/>
          </w:tcPr>
          <w:p w14:paraId="4506D60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支持执行环境要求在整个系统启动的过程中，系统应提供一个机制来保护平台的完整性</w:t>
            </w:r>
          </w:p>
        </w:tc>
        <w:tc>
          <w:tcPr>
            <w:tcW w:w="1344" w:type="dxa"/>
            <w:shd w:val="clear" w:color="auto" w:fill="FFFFFF"/>
            <w:vAlign w:val="center"/>
          </w:tcPr>
          <w:p w14:paraId="0627DCA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3624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02945FA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88</w:t>
            </w:r>
          </w:p>
        </w:tc>
        <w:tc>
          <w:tcPr>
            <w:tcW w:w="981" w:type="dxa"/>
            <w:shd w:val="clear" w:color="auto" w:fill="FFFFFF"/>
            <w:vAlign w:val="center"/>
          </w:tcPr>
          <w:p w14:paraId="05F3EFB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9" w:type="dxa"/>
            <w:vMerge w:val="restart"/>
            <w:shd w:val="clear" w:color="auto" w:fill="FFFFFF"/>
            <w:vAlign w:val="center"/>
          </w:tcPr>
          <w:p w14:paraId="3E535D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系统安全要求</w:t>
            </w:r>
          </w:p>
        </w:tc>
        <w:tc>
          <w:tcPr>
            <w:tcW w:w="1500" w:type="dxa"/>
            <w:shd w:val="clear" w:color="auto" w:fill="FFFFFF"/>
            <w:vAlign w:val="center"/>
          </w:tcPr>
          <w:p w14:paraId="75B0682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syslog双向鉴别</w:t>
            </w:r>
          </w:p>
        </w:tc>
        <w:tc>
          <w:tcPr>
            <w:tcW w:w="3997" w:type="dxa"/>
            <w:shd w:val="clear" w:color="auto" w:fill="FFFFFF"/>
            <w:vAlign w:val="center"/>
          </w:tcPr>
          <w:p w14:paraId="42EB91D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支持系统日志双向鉴别，对服务器根证书和客户端根证书进行鉴别</w:t>
            </w:r>
          </w:p>
        </w:tc>
        <w:tc>
          <w:tcPr>
            <w:tcW w:w="1344" w:type="dxa"/>
            <w:shd w:val="clear" w:color="auto" w:fill="FFFFFF"/>
            <w:vAlign w:val="center"/>
          </w:tcPr>
          <w:p w14:paraId="65B10D6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C778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24" w:type="dxa"/>
            <w:shd w:val="clear" w:color="auto" w:fill="FFFFFF"/>
            <w:vAlign w:val="center"/>
          </w:tcPr>
          <w:p w14:paraId="7A2E80E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89</w:t>
            </w:r>
          </w:p>
        </w:tc>
        <w:tc>
          <w:tcPr>
            <w:tcW w:w="981" w:type="dxa"/>
            <w:shd w:val="clear" w:color="auto" w:fill="FFFFFF"/>
            <w:vAlign w:val="center"/>
          </w:tcPr>
          <w:p w14:paraId="2980D84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9" w:type="dxa"/>
            <w:vMerge w:val="continue"/>
            <w:shd w:val="clear" w:color="auto" w:fill="FFFFFF"/>
            <w:vAlign w:val="center"/>
          </w:tcPr>
          <w:p w14:paraId="0A60DB4F">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098CA93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★弱口令字典检查</w:t>
            </w:r>
          </w:p>
        </w:tc>
        <w:tc>
          <w:tcPr>
            <w:tcW w:w="3997" w:type="dxa"/>
            <w:shd w:val="clear" w:color="auto" w:fill="FFFFFF"/>
            <w:vAlign w:val="center"/>
          </w:tcPr>
          <w:p w14:paraId="2E6611F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支持弱口令字典检查功能，出现在弱口令字典中的字符串不能被设置为用户口令</w:t>
            </w:r>
          </w:p>
        </w:tc>
        <w:tc>
          <w:tcPr>
            <w:tcW w:w="1344" w:type="dxa"/>
            <w:shd w:val="clear" w:color="auto" w:fill="FFFFFF"/>
            <w:vAlign w:val="center"/>
          </w:tcPr>
          <w:p w14:paraId="42AE3DD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5908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06554FE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90</w:t>
            </w:r>
          </w:p>
        </w:tc>
        <w:tc>
          <w:tcPr>
            <w:tcW w:w="981" w:type="dxa"/>
            <w:shd w:val="clear" w:color="auto" w:fill="FFFFFF"/>
            <w:vAlign w:val="center"/>
          </w:tcPr>
          <w:p w14:paraId="064754C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9" w:type="dxa"/>
            <w:vMerge w:val="continue"/>
            <w:shd w:val="clear" w:color="auto" w:fill="FFFFFF"/>
            <w:vAlign w:val="center"/>
          </w:tcPr>
          <w:p w14:paraId="1B04719A">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44A58FB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★白名单访问控制</w:t>
            </w:r>
          </w:p>
        </w:tc>
        <w:tc>
          <w:tcPr>
            <w:tcW w:w="3997" w:type="dxa"/>
            <w:shd w:val="clear" w:color="auto" w:fill="FFFFFF"/>
            <w:vAlign w:val="center"/>
          </w:tcPr>
          <w:p w14:paraId="3B13F68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支持基于时间、IP或MAC白名单访问控制</w:t>
            </w:r>
          </w:p>
        </w:tc>
        <w:tc>
          <w:tcPr>
            <w:tcW w:w="1344" w:type="dxa"/>
            <w:shd w:val="clear" w:color="auto" w:fill="FFFFFF"/>
            <w:vAlign w:val="center"/>
          </w:tcPr>
          <w:p w14:paraId="6A2C5AE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59AC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4938E61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91</w:t>
            </w:r>
          </w:p>
        </w:tc>
        <w:tc>
          <w:tcPr>
            <w:tcW w:w="981" w:type="dxa"/>
            <w:shd w:val="clear" w:color="auto" w:fill="FFFFFF"/>
            <w:vAlign w:val="center"/>
          </w:tcPr>
          <w:p w14:paraId="6D08973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9" w:type="dxa"/>
            <w:vMerge w:val="continue"/>
            <w:shd w:val="clear" w:color="auto" w:fill="FFFFFF"/>
            <w:vAlign w:val="center"/>
          </w:tcPr>
          <w:p w14:paraId="6246AF89">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799D593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双因素鉴别</w:t>
            </w:r>
          </w:p>
        </w:tc>
        <w:tc>
          <w:tcPr>
            <w:tcW w:w="3997" w:type="dxa"/>
            <w:shd w:val="clear" w:color="auto" w:fill="FFFFFF"/>
            <w:vAlign w:val="center"/>
          </w:tcPr>
          <w:p w14:paraId="4E1DDFD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支持使用客户端证书和证书密码的双因素鉴别方式登录管理系统</w:t>
            </w:r>
          </w:p>
        </w:tc>
        <w:tc>
          <w:tcPr>
            <w:tcW w:w="1344" w:type="dxa"/>
            <w:shd w:val="clear" w:color="auto" w:fill="FFFFFF"/>
            <w:vAlign w:val="center"/>
          </w:tcPr>
          <w:p w14:paraId="0D259CA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8034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3ED9F3B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92</w:t>
            </w:r>
          </w:p>
        </w:tc>
        <w:tc>
          <w:tcPr>
            <w:tcW w:w="981" w:type="dxa"/>
            <w:shd w:val="clear" w:color="auto" w:fill="FFFFFF"/>
            <w:vAlign w:val="center"/>
          </w:tcPr>
          <w:p w14:paraId="5E82773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9" w:type="dxa"/>
            <w:vMerge w:val="continue"/>
            <w:shd w:val="clear" w:color="auto" w:fill="FFFFFF"/>
            <w:vAlign w:val="center"/>
          </w:tcPr>
          <w:p w14:paraId="3BD26505">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436C205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★二次鉴别</w:t>
            </w:r>
          </w:p>
        </w:tc>
        <w:tc>
          <w:tcPr>
            <w:tcW w:w="3997" w:type="dxa"/>
            <w:shd w:val="clear" w:color="auto" w:fill="FFFFFF"/>
            <w:vAlign w:val="center"/>
          </w:tcPr>
          <w:p w14:paraId="180090D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支持二次鉴别功能。对于用户配置、权限配置、公钥导入等重要的管理操作，已登录用户应通过二次鉴别后，才能执行操作</w:t>
            </w:r>
          </w:p>
        </w:tc>
        <w:tc>
          <w:tcPr>
            <w:tcW w:w="1344" w:type="dxa"/>
            <w:shd w:val="clear" w:color="auto" w:fill="FFFFFF"/>
            <w:vAlign w:val="center"/>
          </w:tcPr>
          <w:p w14:paraId="094C578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6B54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28175A6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93</w:t>
            </w:r>
          </w:p>
        </w:tc>
        <w:tc>
          <w:tcPr>
            <w:tcW w:w="981" w:type="dxa"/>
            <w:shd w:val="clear" w:color="auto" w:fill="FFFFFF"/>
            <w:vAlign w:val="center"/>
          </w:tcPr>
          <w:p w14:paraId="37C0F8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9" w:type="dxa"/>
            <w:vMerge w:val="continue"/>
            <w:shd w:val="clear" w:color="auto" w:fill="FFFFFF"/>
            <w:vAlign w:val="center"/>
          </w:tcPr>
          <w:p w14:paraId="4FD018BB">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4EF7A2D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匿名化用户告警接收邮箱</w:t>
            </w:r>
          </w:p>
        </w:tc>
        <w:tc>
          <w:tcPr>
            <w:tcW w:w="3997" w:type="dxa"/>
            <w:shd w:val="clear" w:color="auto" w:fill="FFFFFF"/>
            <w:vAlign w:val="center"/>
          </w:tcPr>
          <w:p w14:paraId="6609D2E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支持带外管理系统中的用户告警接收邮箱进行匿名化处理</w:t>
            </w:r>
          </w:p>
        </w:tc>
        <w:tc>
          <w:tcPr>
            <w:tcW w:w="1344" w:type="dxa"/>
            <w:shd w:val="clear" w:color="auto" w:fill="FFFFFF"/>
            <w:vAlign w:val="center"/>
          </w:tcPr>
          <w:p w14:paraId="4E218C9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101C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24" w:type="dxa"/>
            <w:shd w:val="clear" w:color="auto" w:fill="FFFFFF"/>
            <w:vAlign w:val="center"/>
          </w:tcPr>
          <w:p w14:paraId="186E137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94</w:t>
            </w:r>
          </w:p>
        </w:tc>
        <w:tc>
          <w:tcPr>
            <w:tcW w:w="981" w:type="dxa"/>
            <w:shd w:val="clear" w:color="auto" w:fill="FFFFFF"/>
            <w:vAlign w:val="center"/>
          </w:tcPr>
          <w:p w14:paraId="425573A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9" w:type="dxa"/>
            <w:vMerge w:val="continue"/>
            <w:shd w:val="clear" w:color="auto" w:fill="FFFFFF"/>
            <w:vAlign w:val="center"/>
          </w:tcPr>
          <w:p w14:paraId="33D55481">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3D961ED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★密码证书安全加密存储</w:t>
            </w:r>
          </w:p>
        </w:tc>
        <w:tc>
          <w:tcPr>
            <w:tcW w:w="3997" w:type="dxa"/>
            <w:shd w:val="clear" w:color="auto" w:fill="FFFFFF"/>
            <w:vAlign w:val="center"/>
          </w:tcPr>
          <w:p w14:paraId="22ED3DC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支持对带外管理系统中的用户口令和证书等敏感信息进行加密存储，禁止使用私有的和业界已知不安全的密码算法</w:t>
            </w:r>
          </w:p>
        </w:tc>
        <w:tc>
          <w:tcPr>
            <w:tcW w:w="1344" w:type="dxa"/>
            <w:shd w:val="clear" w:color="auto" w:fill="FFFFFF"/>
            <w:vAlign w:val="center"/>
          </w:tcPr>
          <w:p w14:paraId="63630B5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629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614C8C7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95</w:t>
            </w:r>
          </w:p>
        </w:tc>
        <w:tc>
          <w:tcPr>
            <w:tcW w:w="981" w:type="dxa"/>
            <w:shd w:val="clear" w:color="auto" w:fill="FFFFFF"/>
            <w:vAlign w:val="center"/>
          </w:tcPr>
          <w:p w14:paraId="7CDAEB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9" w:type="dxa"/>
            <w:vMerge w:val="continue"/>
            <w:shd w:val="clear" w:color="auto" w:fill="FFFFFF"/>
            <w:vAlign w:val="center"/>
          </w:tcPr>
          <w:p w14:paraId="5CBE8950">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28104FE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★敏感信息安全加密传输</w:t>
            </w:r>
          </w:p>
        </w:tc>
        <w:tc>
          <w:tcPr>
            <w:tcW w:w="3997" w:type="dxa"/>
            <w:shd w:val="clear" w:color="auto" w:fill="FFFFFF"/>
            <w:vAlign w:val="center"/>
          </w:tcPr>
          <w:p w14:paraId="14A7DE3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支持使用安全的传输加密协议（如SSH或HTTPS等）传输用户的敏感信息</w:t>
            </w:r>
          </w:p>
        </w:tc>
        <w:tc>
          <w:tcPr>
            <w:tcW w:w="1344" w:type="dxa"/>
            <w:shd w:val="clear" w:color="auto" w:fill="FFFFFF"/>
            <w:vAlign w:val="center"/>
          </w:tcPr>
          <w:p w14:paraId="33EA0B1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51E7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24" w:type="dxa"/>
            <w:shd w:val="clear" w:color="auto" w:fill="FFFFFF"/>
            <w:vAlign w:val="center"/>
          </w:tcPr>
          <w:p w14:paraId="43BBAD5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96</w:t>
            </w:r>
          </w:p>
        </w:tc>
        <w:tc>
          <w:tcPr>
            <w:tcW w:w="981" w:type="dxa"/>
            <w:shd w:val="clear" w:color="auto" w:fill="FFFFFF"/>
            <w:vAlign w:val="center"/>
          </w:tcPr>
          <w:p w14:paraId="0B9E0FD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9" w:type="dxa"/>
            <w:vMerge w:val="restart"/>
            <w:shd w:val="clear" w:color="auto" w:fill="FFFFFF"/>
            <w:vAlign w:val="center"/>
          </w:tcPr>
          <w:p w14:paraId="024ED7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信息安全要求</w:t>
            </w:r>
          </w:p>
        </w:tc>
        <w:tc>
          <w:tcPr>
            <w:tcW w:w="1500" w:type="dxa"/>
            <w:shd w:val="clear" w:color="auto" w:fill="FFFFFF"/>
            <w:vAlign w:val="center"/>
          </w:tcPr>
          <w:p w14:paraId="6D66CC2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★研发过程安全</w:t>
            </w:r>
          </w:p>
        </w:tc>
        <w:tc>
          <w:tcPr>
            <w:tcW w:w="3997" w:type="dxa"/>
            <w:shd w:val="clear" w:color="auto" w:fill="FFFFFF"/>
            <w:vAlign w:val="center"/>
          </w:tcPr>
          <w:p w14:paraId="3A96243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供应商承诺，生产商已建立从需求、设计、开发、测试、维护端到端的开发流程管理机制，输出和保存开发流程中每个阶段的产品需求清单、设计文档、开发文档、测试记录等材料，保证各个流程可追溯</w:t>
            </w:r>
            <w:r>
              <w:rPr>
                <w:rFonts w:hint="eastAsia"/>
                <w:b/>
                <w:bCs/>
              </w:rPr>
              <w:t>（需提供加盖投标人公章的承诺书</w:t>
            </w:r>
            <w:r>
              <w:rPr>
                <w:rFonts w:hint="eastAsia"/>
                <w:b/>
                <w:bCs/>
                <w:lang w:eastAsia="zh-CN"/>
              </w:rPr>
              <w:t>）</w:t>
            </w:r>
          </w:p>
        </w:tc>
        <w:tc>
          <w:tcPr>
            <w:tcW w:w="1344" w:type="dxa"/>
            <w:shd w:val="clear" w:color="auto" w:fill="FFFFFF"/>
            <w:vAlign w:val="center"/>
          </w:tcPr>
          <w:p w14:paraId="75BE055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28C2F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4D0C626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97</w:t>
            </w:r>
          </w:p>
        </w:tc>
        <w:tc>
          <w:tcPr>
            <w:tcW w:w="981" w:type="dxa"/>
            <w:shd w:val="clear" w:color="auto" w:fill="FFFFFF"/>
            <w:vAlign w:val="center"/>
          </w:tcPr>
          <w:p w14:paraId="39D6F82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9" w:type="dxa"/>
            <w:vMerge w:val="continue"/>
            <w:shd w:val="clear" w:color="auto" w:fill="FFFFFF"/>
            <w:vAlign w:val="center"/>
          </w:tcPr>
          <w:p w14:paraId="5B80447F">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4CAEC92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漏洞管理</w:t>
            </w:r>
          </w:p>
        </w:tc>
        <w:tc>
          <w:tcPr>
            <w:tcW w:w="3997" w:type="dxa"/>
            <w:shd w:val="clear" w:color="auto" w:fill="FFFFFF"/>
            <w:vAlign w:val="center"/>
          </w:tcPr>
          <w:p w14:paraId="233A79F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供应商承诺，生产商已建立漏洞全量视图，保证产品版本涉及到的所有漏洞（如驱动程序、BMC软件等）都可以查看</w:t>
            </w:r>
            <w:r>
              <w:rPr>
                <w:rFonts w:hint="eastAsia"/>
                <w:b/>
                <w:bCs/>
              </w:rPr>
              <w:t>（需提供加盖投标人公章的承诺书</w:t>
            </w:r>
            <w:r>
              <w:rPr>
                <w:rFonts w:hint="eastAsia"/>
                <w:b/>
                <w:bCs/>
                <w:lang w:eastAsia="zh-CN"/>
              </w:rPr>
              <w:t>）</w:t>
            </w:r>
          </w:p>
        </w:tc>
        <w:tc>
          <w:tcPr>
            <w:tcW w:w="1344" w:type="dxa"/>
            <w:shd w:val="clear" w:color="auto" w:fill="FFFFFF"/>
            <w:vAlign w:val="center"/>
          </w:tcPr>
          <w:p w14:paraId="6C2D0B4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7BD7E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74D1BD5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98</w:t>
            </w:r>
          </w:p>
        </w:tc>
        <w:tc>
          <w:tcPr>
            <w:tcW w:w="981" w:type="dxa"/>
            <w:shd w:val="clear" w:color="auto" w:fill="FFFFFF"/>
            <w:vAlign w:val="center"/>
          </w:tcPr>
          <w:p w14:paraId="47CB632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9" w:type="dxa"/>
            <w:vMerge w:val="continue"/>
            <w:shd w:val="clear" w:color="auto" w:fill="FFFFFF"/>
            <w:vAlign w:val="center"/>
          </w:tcPr>
          <w:p w14:paraId="7129BDEC">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46AB463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网络关键设备服务器要求</w:t>
            </w:r>
          </w:p>
        </w:tc>
        <w:tc>
          <w:tcPr>
            <w:tcW w:w="3997" w:type="dxa"/>
            <w:shd w:val="clear" w:color="auto" w:fill="FFFFFF"/>
            <w:vAlign w:val="center"/>
          </w:tcPr>
          <w:p w14:paraId="0ADB8B3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作为网络关键设备的服务器应符合GB40050的相关规定</w:t>
            </w:r>
          </w:p>
        </w:tc>
        <w:tc>
          <w:tcPr>
            <w:tcW w:w="1344" w:type="dxa"/>
            <w:shd w:val="clear" w:color="auto" w:fill="FFFFFF"/>
            <w:vAlign w:val="center"/>
          </w:tcPr>
          <w:p w14:paraId="1E287C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9B18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6" w:hRule="atLeast"/>
        </w:trPr>
        <w:tc>
          <w:tcPr>
            <w:tcW w:w="624" w:type="dxa"/>
            <w:shd w:val="clear" w:color="auto" w:fill="FFFFFF"/>
            <w:vAlign w:val="center"/>
          </w:tcPr>
          <w:p w14:paraId="41B9676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99</w:t>
            </w:r>
          </w:p>
        </w:tc>
        <w:tc>
          <w:tcPr>
            <w:tcW w:w="981" w:type="dxa"/>
            <w:shd w:val="clear" w:color="auto" w:fill="FFFFFF"/>
            <w:vAlign w:val="center"/>
          </w:tcPr>
          <w:p w14:paraId="2209C85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9" w:type="dxa"/>
            <w:vMerge w:val="continue"/>
            <w:shd w:val="clear" w:color="auto" w:fill="FFFFFF"/>
            <w:vAlign w:val="center"/>
          </w:tcPr>
          <w:p w14:paraId="610A136B">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375770A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增强要求</w:t>
            </w:r>
          </w:p>
        </w:tc>
        <w:tc>
          <w:tcPr>
            <w:tcW w:w="3997" w:type="dxa"/>
            <w:shd w:val="clear" w:color="auto" w:fill="FFFFFF"/>
            <w:vAlign w:val="center"/>
          </w:tcPr>
          <w:p w14:paraId="05FA7A1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嵌入物理可信根，实现设备的信任链构建；b）支持可信平台控制模块（TPCM）；c）支持在固件系统（BMC、BIOS）启动前实现对固件度量的功能，支持物理可信根对BMC固件或BIOS固件进行完整性检测、更新和恢复；d）支持对CPU、网络控制器等关键处理器进行身份识别与度量的功能；e）支持基于处理器或可信计算模块度量的功能；f）所采用的可信密码模块接口应符合GM/T0012的相关规定；g）可信安全管理模块、处理器等硬件载体应通过国家相关部门的认证和许可</w:t>
            </w:r>
          </w:p>
        </w:tc>
        <w:tc>
          <w:tcPr>
            <w:tcW w:w="1344" w:type="dxa"/>
            <w:shd w:val="clear" w:color="auto" w:fill="FFFFFF"/>
            <w:vAlign w:val="center"/>
          </w:tcPr>
          <w:p w14:paraId="483B98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A68D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24" w:type="dxa"/>
            <w:shd w:val="clear" w:color="auto" w:fill="FFFFFF"/>
            <w:vAlign w:val="center"/>
          </w:tcPr>
          <w:p w14:paraId="61F8D4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100</w:t>
            </w:r>
          </w:p>
        </w:tc>
        <w:tc>
          <w:tcPr>
            <w:tcW w:w="981" w:type="dxa"/>
            <w:shd w:val="clear" w:color="auto" w:fill="FFFFFF"/>
            <w:vAlign w:val="center"/>
          </w:tcPr>
          <w:p w14:paraId="30C506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9" w:type="dxa"/>
            <w:shd w:val="clear" w:color="auto" w:fill="FFFFFF"/>
            <w:vAlign w:val="center"/>
          </w:tcPr>
          <w:p w14:paraId="2513407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物理安全</w:t>
            </w:r>
          </w:p>
        </w:tc>
        <w:tc>
          <w:tcPr>
            <w:tcW w:w="1500" w:type="dxa"/>
            <w:shd w:val="clear" w:color="auto" w:fill="FFFFFF"/>
            <w:vAlign w:val="center"/>
          </w:tcPr>
          <w:p w14:paraId="79E4B26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★物理安全</w:t>
            </w:r>
          </w:p>
        </w:tc>
        <w:tc>
          <w:tcPr>
            <w:tcW w:w="3997" w:type="dxa"/>
            <w:shd w:val="clear" w:color="auto" w:fill="FFFFFF"/>
            <w:vAlign w:val="center"/>
          </w:tcPr>
          <w:p w14:paraId="31911AF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安全要求应符合GB4943.1的规定</w:t>
            </w:r>
          </w:p>
        </w:tc>
        <w:tc>
          <w:tcPr>
            <w:tcW w:w="1344" w:type="dxa"/>
            <w:shd w:val="clear" w:color="auto" w:fill="FFFFFF"/>
            <w:vAlign w:val="center"/>
          </w:tcPr>
          <w:p w14:paraId="3ADF20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DD0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566D19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101</w:t>
            </w:r>
          </w:p>
        </w:tc>
        <w:tc>
          <w:tcPr>
            <w:tcW w:w="981" w:type="dxa"/>
            <w:shd w:val="clear" w:color="auto" w:fill="FFFFFF"/>
            <w:vAlign w:val="center"/>
          </w:tcPr>
          <w:p w14:paraId="015188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1089" w:type="dxa"/>
            <w:shd w:val="clear" w:color="auto" w:fill="FFFFFF"/>
            <w:vAlign w:val="center"/>
          </w:tcPr>
          <w:p w14:paraId="678A280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限用物质的限量要求</w:t>
            </w:r>
          </w:p>
        </w:tc>
        <w:tc>
          <w:tcPr>
            <w:tcW w:w="1500" w:type="dxa"/>
            <w:shd w:val="clear" w:color="auto" w:fill="FFFFFF"/>
            <w:vAlign w:val="center"/>
          </w:tcPr>
          <w:p w14:paraId="3AA0D64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★限用物质的限量要求</w:t>
            </w:r>
          </w:p>
        </w:tc>
        <w:tc>
          <w:tcPr>
            <w:tcW w:w="3997" w:type="dxa"/>
            <w:shd w:val="clear" w:color="auto" w:fill="FFFFFF"/>
            <w:vAlign w:val="center"/>
          </w:tcPr>
          <w:p w14:paraId="504F208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限用物质的限量应符合GB/T26572的要求</w:t>
            </w:r>
          </w:p>
        </w:tc>
        <w:tc>
          <w:tcPr>
            <w:tcW w:w="1344" w:type="dxa"/>
            <w:shd w:val="clear" w:color="auto" w:fill="FFFFFF"/>
            <w:vAlign w:val="center"/>
          </w:tcPr>
          <w:p w14:paraId="2AA3AAE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D423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24" w:type="dxa"/>
            <w:shd w:val="clear" w:color="auto" w:fill="FFFFFF"/>
            <w:vAlign w:val="center"/>
          </w:tcPr>
          <w:p w14:paraId="4F7713F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102</w:t>
            </w:r>
          </w:p>
        </w:tc>
        <w:tc>
          <w:tcPr>
            <w:tcW w:w="981" w:type="dxa"/>
            <w:shd w:val="clear" w:color="auto" w:fill="FFFFFF"/>
            <w:vAlign w:val="center"/>
          </w:tcPr>
          <w:p w14:paraId="52CC3FE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89" w:type="dxa"/>
            <w:vMerge w:val="restart"/>
            <w:shd w:val="clear" w:color="auto" w:fill="FFFFFF"/>
            <w:vAlign w:val="center"/>
          </w:tcPr>
          <w:p w14:paraId="38C0F8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CPU性能</w:t>
            </w:r>
          </w:p>
        </w:tc>
        <w:tc>
          <w:tcPr>
            <w:tcW w:w="1500" w:type="dxa"/>
            <w:shd w:val="clear" w:color="auto" w:fill="FFFFFF"/>
            <w:vAlign w:val="center"/>
          </w:tcPr>
          <w:p w14:paraId="4CDAD4D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★CPU主频</w:t>
            </w:r>
          </w:p>
        </w:tc>
        <w:tc>
          <w:tcPr>
            <w:tcW w:w="3997" w:type="dxa"/>
            <w:shd w:val="clear" w:color="auto" w:fill="FFFFFF"/>
            <w:vAlign w:val="center"/>
          </w:tcPr>
          <w:p w14:paraId="725B579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≥2.7GHz</w:t>
            </w:r>
          </w:p>
        </w:tc>
        <w:tc>
          <w:tcPr>
            <w:tcW w:w="1344" w:type="dxa"/>
            <w:shd w:val="clear" w:color="auto" w:fill="FFFFFF"/>
            <w:vAlign w:val="center"/>
          </w:tcPr>
          <w:p w14:paraId="50F4C0F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4AD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528332A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103</w:t>
            </w:r>
          </w:p>
        </w:tc>
        <w:tc>
          <w:tcPr>
            <w:tcW w:w="981" w:type="dxa"/>
            <w:shd w:val="clear" w:color="auto" w:fill="FFFFFF"/>
            <w:vAlign w:val="center"/>
          </w:tcPr>
          <w:p w14:paraId="284BFC1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89" w:type="dxa"/>
            <w:vMerge w:val="continue"/>
            <w:shd w:val="clear" w:color="auto" w:fill="FFFFFF"/>
            <w:vAlign w:val="center"/>
          </w:tcPr>
          <w:p w14:paraId="570D9112">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1D1A6A6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★单CPU核数</w:t>
            </w:r>
          </w:p>
        </w:tc>
        <w:tc>
          <w:tcPr>
            <w:tcW w:w="3997" w:type="dxa"/>
            <w:shd w:val="clear" w:color="auto" w:fill="FFFFFF"/>
            <w:vAlign w:val="center"/>
          </w:tcPr>
          <w:p w14:paraId="367BE1C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≥32核；</w:t>
            </w:r>
            <w:r>
              <w:rPr>
                <w:rFonts w:hint="eastAsia" w:asciiTheme="minorEastAsia" w:hAnsiTheme="minorEastAsia" w:eastAsiaTheme="minorEastAsia" w:cstheme="minorEastAsia"/>
                <w:sz w:val="24"/>
              </w:rPr>
              <w:t>≥2颗</w:t>
            </w:r>
          </w:p>
        </w:tc>
        <w:tc>
          <w:tcPr>
            <w:tcW w:w="1344" w:type="dxa"/>
            <w:shd w:val="clear" w:color="auto" w:fill="FFFFFF"/>
            <w:vAlign w:val="center"/>
          </w:tcPr>
          <w:p w14:paraId="16FF23A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257C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5353F49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104</w:t>
            </w:r>
          </w:p>
        </w:tc>
        <w:tc>
          <w:tcPr>
            <w:tcW w:w="981" w:type="dxa"/>
            <w:shd w:val="clear" w:color="auto" w:fill="FFFFFF"/>
            <w:vAlign w:val="center"/>
          </w:tcPr>
          <w:p w14:paraId="06A8BA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89" w:type="dxa"/>
            <w:vMerge w:val="continue"/>
            <w:shd w:val="clear" w:color="auto" w:fill="FFFFFF"/>
            <w:vAlign w:val="center"/>
          </w:tcPr>
          <w:p w14:paraId="5E801DD3">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3990210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★单CPU末级缓存容量</w:t>
            </w:r>
          </w:p>
        </w:tc>
        <w:tc>
          <w:tcPr>
            <w:tcW w:w="3997" w:type="dxa"/>
            <w:shd w:val="clear" w:color="auto" w:fill="FFFFFF"/>
            <w:vAlign w:val="center"/>
          </w:tcPr>
          <w:p w14:paraId="4779BDE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≥8MB</w:t>
            </w:r>
          </w:p>
        </w:tc>
        <w:tc>
          <w:tcPr>
            <w:tcW w:w="1344" w:type="dxa"/>
            <w:shd w:val="clear" w:color="auto" w:fill="FFFFFF"/>
            <w:vAlign w:val="center"/>
          </w:tcPr>
          <w:p w14:paraId="4E7283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3E95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24" w:type="dxa"/>
            <w:shd w:val="clear" w:color="auto" w:fill="FFFFFF"/>
            <w:vAlign w:val="center"/>
          </w:tcPr>
          <w:p w14:paraId="36373E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105</w:t>
            </w:r>
          </w:p>
        </w:tc>
        <w:tc>
          <w:tcPr>
            <w:tcW w:w="981" w:type="dxa"/>
            <w:shd w:val="clear" w:color="auto" w:fill="FFFFFF"/>
            <w:vAlign w:val="center"/>
          </w:tcPr>
          <w:p w14:paraId="62F514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89" w:type="dxa"/>
            <w:vMerge w:val="restart"/>
            <w:shd w:val="clear" w:color="auto" w:fill="FFFFFF"/>
            <w:vAlign w:val="center"/>
          </w:tcPr>
          <w:p w14:paraId="429854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内存性能</w:t>
            </w:r>
          </w:p>
        </w:tc>
        <w:tc>
          <w:tcPr>
            <w:tcW w:w="1500" w:type="dxa"/>
            <w:shd w:val="clear" w:color="auto" w:fill="FFFFFF"/>
            <w:vAlign w:val="center"/>
          </w:tcPr>
          <w:p w14:paraId="7196FE2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★单内存模块容量</w:t>
            </w:r>
          </w:p>
        </w:tc>
        <w:tc>
          <w:tcPr>
            <w:tcW w:w="3997" w:type="dxa"/>
            <w:shd w:val="clear" w:color="auto" w:fill="FFFFFF"/>
            <w:vAlign w:val="center"/>
          </w:tcPr>
          <w:p w14:paraId="2D59354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≥32GB；</w:t>
            </w:r>
          </w:p>
        </w:tc>
        <w:tc>
          <w:tcPr>
            <w:tcW w:w="1344" w:type="dxa"/>
            <w:shd w:val="clear" w:color="auto" w:fill="FFFFFF"/>
            <w:vAlign w:val="center"/>
          </w:tcPr>
          <w:p w14:paraId="008B26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828F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24" w:type="dxa"/>
            <w:shd w:val="clear" w:color="auto" w:fill="FFFFFF"/>
            <w:vAlign w:val="center"/>
          </w:tcPr>
          <w:p w14:paraId="0F25AEF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106</w:t>
            </w:r>
          </w:p>
        </w:tc>
        <w:tc>
          <w:tcPr>
            <w:tcW w:w="981" w:type="dxa"/>
            <w:shd w:val="clear" w:color="auto" w:fill="FFFFFF"/>
            <w:vAlign w:val="center"/>
          </w:tcPr>
          <w:p w14:paraId="02956B8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89" w:type="dxa"/>
            <w:vMerge w:val="continue"/>
            <w:shd w:val="clear" w:color="auto" w:fill="FFFFFF"/>
            <w:vAlign w:val="center"/>
          </w:tcPr>
          <w:p w14:paraId="2BFC73AD">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03386D3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★内存速率</w:t>
            </w:r>
          </w:p>
        </w:tc>
        <w:tc>
          <w:tcPr>
            <w:tcW w:w="3997" w:type="dxa"/>
            <w:shd w:val="clear" w:color="auto" w:fill="FFFFFF"/>
            <w:vAlign w:val="center"/>
          </w:tcPr>
          <w:p w14:paraId="7520E72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≥3200MT/s</w:t>
            </w:r>
          </w:p>
        </w:tc>
        <w:tc>
          <w:tcPr>
            <w:tcW w:w="1344" w:type="dxa"/>
            <w:shd w:val="clear" w:color="auto" w:fill="FFFFFF"/>
            <w:vAlign w:val="center"/>
          </w:tcPr>
          <w:p w14:paraId="7B318A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6A96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24" w:type="dxa"/>
            <w:shd w:val="clear" w:color="auto" w:fill="FFFFFF"/>
            <w:vAlign w:val="center"/>
          </w:tcPr>
          <w:p w14:paraId="0BF94D4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107</w:t>
            </w:r>
          </w:p>
        </w:tc>
        <w:tc>
          <w:tcPr>
            <w:tcW w:w="981" w:type="dxa"/>
            <w:shd w:val="clear" w:color="auto" w:fill="FFFFFF"/>
            <w:vAlign w:val="center"/>
          </w:tcPr>
          <w:p w14:paraId="2F4E8C8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89" w:type="dxa"/>
            <w:shd w:val="clear" w:color="auto" w:fill="FFFFFF"/>
            <w:vAlign w:val="center"/>
          </w:tcPr>
          <w:p w14:paraId="664CD42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存储性能</w:t>
            </w:r>
          </w:p>
        </w:tc>
        <w:tc>
          <w:tcPr>
            <w:tcW w:w="1500" w:type="dxa"/>
            <w:shd w:val="clear" w:color="auto" w:fill="FFFFFF"/>
            <w:vAlign w:val="center"/>
          </w:tcPr>
          <w:p w14:paraId="4394545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硬盘转速</w:t>
            </w:r>
          </w:p>
        </w:tc>
        <w:tc>
          <w:tcPr>
            <w:tcW w:w="3997" w:type="dxa"/>
            <w:shd w:val="clear" w:color="auto" w:fill="FFFFFF"/>
            <w:vAlign w:val="center"/>
          </w:tcPr>
          <w:p w14:paraId="58DA77E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安装的硬磁盘转速不小于7200rpm</w:t>
            </w:r>
          </w:p>
        </w:tc>
        <w:tc>
          <w:tcPr>
            <w:tcW w:w="1344" w:type="dxa"/>
            <w:shd w:val="clear" w:color="auto" w:fill="FFFFFF"/>
            <w:vAlign w:val="center"/>
          </w:tcPr>
          <w:p w14:paraId="21C969B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CF45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156FAD6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108</w:t>
            </w:r>
          </w:p>
        </w:tc>
        <w:tc>
          <w:tcPr>
            <w:tcW w:w="981" w:type="dxa"/>
            <w:shd w:val="clear" w:color="auto" w:fill="FFFFFF"/>
            <w:vAlign w:val="center"/>
          </w:tcPr>
          <w:p w14:paraId="4FAB4D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89" w:type="dxa"/>
            <w:shd w:val="clear" w:color="auto" w:fill="FFFFFF"/>
            <w:vAlign w:val="center"/>
          </w:tcPr>
          <w:p w14:paraId="6D1B916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RAID卡性能</w:t>
            </w:r>
          </w:p>
        </w:tc>
        <w:tc>
          <w:tcPr>
            <w:tcW w:w="1500" w:type="dxa"/>
            <w:shd w:val="clear" w:color="auto" w:fill="FFFFFF"/>
            <w:vAlign w:val="center"/>
          </w:tcPr>
          <w:p w14:paraId="1E0B616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RAID卡缓存容量大小</w:t>
            </w:r>
          </w:p>
        </w:tc>
        <w:tc>
          <w:tcPr>
            <w:tcW w:w="3997" w:type="dxa"/>
            <w:shd w:val="clear" w:color="auto" w:fill="FFFFFF"/>
            <w:vAlign w:val="center"/>
          </w:tcPr>
          <w:p w14:paraId="374AAA0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≥2GB</w:t>
            </w:r>
          </w:p>
        </w:tc>
        <w:tc>
          <w:tcPr>
            <w:tcW w:w="1344" w:type="dxa"/>
            <w:shd w:val="clear" w:color="auto" w:fill="FFFFFF"/>
            <w:vAlign w:val="center"/>
          </w:tcPr>
          <w:p w14:paraId="2F6DB1B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72CB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7D35C96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109</w:t>
            </w:r>
          </w:p>
        </w:tc>
        <w:tc>
          <w:tcPr>
            <w:tcW w:w="981" w:type="dxa"/>
            <w:shd w:val="clear" w:color="auto" w:fill="FFFFFF"/>
            <w:vAlign w:val="center"/>
          </w:tcPr>
          <w:p w14:paraId="13ECFC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89" w:type="dxa"/>
            <w:shd w:val="clear" w:color="auto" w:fill="FFFFFF"/>
            <w:vAlign w:val="center"/>
          </w:tcPr>
          <w:p w14:paraId="6536585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FCHBA卡性能</w:t>
            </w:r>
          </w:p>
        </w:tc>
        <w:tc>
          <w:tcPr>
            <w:tcW w:w="1500" w:type="dxa"/>
            <w:shd w:val="clear" w:color="auto" w:fill="FFFFFF"/>
            <w:vAlign w:val="center"/>
          </w:tcPr>
          <w:p w14:paraId="2495866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FCHBA卡速率</w:t>
            </w:r>
          </w:p>
        </w:tc>
        <w:tc>
          <w:tcPr>
            <w:tcW w:w="3997" w:type="dxa"/>
            <w:shd w:val="clear" w:color="auto" w:fill="FFFFFF"/>
            <w:vAlign w:val="center"/>
          </w:tcPr>
          <w:p w14:paraId="21A6AB3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若配备FCHBA卡，单端口最大的连接速率≥8Gb/s（不涉及）</w:t>
            </w:r>
          </w:p>
        </w:tc>
        <w:tc>
          <w:tcPr>
            <w:tcW w:w="1344" w:type="dxa"/>
            <w:shd w:val="clear" w:color="auto" w:fill="FFFFFF"/>
            <w:vAlign w:val="center"/>
          </w:tcPr>
          <w:p w14:paraId="7B3C1D1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F6F5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24" w:type="dxa"/>
            <w:shd w:val="clear" w:color="auto" w:fill="FFFFFF"/>
            <w:vAlign w:val="center"/>
          </w:tcPr>
          <w:p w14:paraId="2781643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110</w:t>
            </w:r>
          </w:p>
        </w:tc>
        <w:tc>
          <w:tcPr>
            <w:tcW w:w="981" w:type="dxa"/>
            <w:shd w:val="clear" w:color="auto" w:fill="FFFFFF"/>
            <w:vAlign w:val="center"/>
          </w:tcPr>
          <w:p w14:paraId="137CC44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89" w:type="dxa"/>
            <w:vMerge w:val="restart"/>
            <w:shd w:val="clear" w:color="auto" w:fill="FFFFFF"/>
            <w:vAlign w:val="center"/>
          </w:tcPr>
          <w:p w14:paraId="76E7510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网络性能</w:t>
            </w:r>
          </w:p>
        </w:tc>
        <w:tc>
          <w:tcPr>
            <w:tcW w:w="1500" w:type="dxa"/>
            <w:shd w:val="clear" w:color="auto" w:fill="FFFFFF"/>
            <w:vAlign w:val="center"/>
          </w:tcPr>
          <w:p w14:paraId="2DD2DDB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独立网卡速率</w:t>
            </w:r>
          </w:p>
        </w:tc>
        <w:tc>
          <w:tcPr>
            <w:tcW w:w="3997" w:type="dxa"/>
            <w:shd w:val="clear" w:color="auto" w:fill="FFFFFF"/>
            <w:vAlign w:val="center"/>
          </w:tcPr>
          <w:p w14:paraId="4ED8CF3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端口速率≥10GE</w:t>
            </w:r>
          </w:p>
        </w:tc>
        <w:tc>
          <w:tcPr>
            <w:tcW w:w="1344" w:type="dxa"/>
            <w:shd w:val="clear" w:color="auto" w:fill="FFFFFF"/>
            <w:vAlign w:val="center"/>
          </w:tcPr>
          <w:p w14:paraId="399A263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738F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4E45514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111</w:t>
            </w:r>
          </w:p>
        </w:tc>
        <w:tc>
          <w:tcPr>
            <w:tcW w:w="981" w:type="dxa"/>
            <w:shd w:val="clear" w:color="auto" w:fill="FFFFFF"/>
            <w:vAlign w:val="center"/>
          </w:tcPr>
          <w:p w14:paraId="7E1120D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89" w:type="dxa"/>
            <w:vMerge w:val="continue"/>
            <w:shd w:val="clear" w:color="auto" w:fill="FFFFFF"/>
            <w:vAlign w:val="center"/>
          </w:tcPr>
          <w:p w14:paraId="08768ED1">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2FC2096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板载网卡速率</w:t>
            </w:r>
          </w:p>
        </w:tc>
        <w:tc>
          <w:tcPr>
            <w:tcW w:w="3997" w:type="dxa"/>
            <w:shd w:val="clear" w:color="auto" w:fill="FFFFFF"/>
            <w:vAlign w:val="center"/>
          </w:tcPr>
          <w:p w14:paraId="2937BDA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端口速率≥1GE</w:t>
            </w:r>
          </w:p>
        </w:tc>
        <w:tc>
          <w:tcPr>
            <w:tcW w:w="1344" w:type="dxa"/>
            <w:shd w:val="clear" w:color="auto" w:fill="FFFFFF"/>
            <w:vAlign w:val="center"/>
          </w:tcPr>
          <w:p w14:paraId="1AB52B2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0356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24" w:type="dxa"/>
            <w:shd w:val="clear" w:color="auto" w:fill="FFFFFF"/>
            <w:vAlign w:val="center"/>
          </w:tcPr>
          <w:p w14:paraId="01E43D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112</w:t>
            </w:r>
          </w:p>
        </w:tc>
        <w:tc>
          <w:tcPr>
            <w:tcW w:w="981" w:type="dxa"/>
            <w:shd w:val="clear" w:color="auto" w:fill="FFFFFF"/>
            <w:vAlign w:val="center"/>
          </w:tcPr>
          <w:p w14:paraId="3886E0E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1089" w:type="dxa"/>
            <w:shd w:val="clear" w:color="auto" w:fill="FFFFFF"/>
            <w:vAlign w:val="center"/>
          </w:tcPr>
          <w:p w14:paraId="7D2C9AC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电源能耗</w:t>
            </w:r>
          </w:p>
        </w:tc>
        <w:tc>
          <w:tcPr>
            <w:tcW w:w="1500" w:type="dxa"/>
            <w:shd w:val="clear" w:color="auto" w:fill="FFFFFF"/>
            <w:vAlign w:val="center"/>
          </w:tcPr>
          <w:p w14:paraId="378A769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★电源能耗</w:t>
            </w:r>
          </w:p>
        </w:tc>
        <w:tc>
          <w:tcPr>
            <w:tcW w:w="3997" w:type="dxa"/>
            <w:shd w:val="clear" w:color="auto" w:fill="FFFFFF"/>
            <w:vAlign w:val="center"/>
          </w:tcPr>
          <w:p w14:paraId="225A9D3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符合GB/T9813.3的有关规定</w:t>
            </w:r>
          </w:p>
        </w:tc>
        <w:tc>
          <w:tcPr>
            <w:tcW w:w="1344" w:type="dxa"/>
            <w:shd w:val="clear" w:color="auto" w:fill="FFFFFF"/>
            <w:vAlign w:val="center"/>
          </w:tcPr>
          <w:p w14:paraId="57E3EFE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6CBD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275D83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113</w:t>
            </w:r>
          </w:p>
        </w:tc>
        <w:tc>
          <w:tcPr>
            <w:tcW w:w="981" w:type="dxa"/>
            <w:shd w:val="clear" w:color="auto" w:fill="FFFFFF"/>
            <w:vAlign w:val="center"/>
          </w:tcPr>
          <w:p w14:paraId="51A7158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89" w:type="dxa"/>
            <w:vMerge w:val="restart"/>
            <w:shd w:val="clear" w:color="auto" w:fill="FFFFFF"/>
            <w:vAlign w:val="center"/>
          </w:tcPr>
          <w:p w14:paraId="3333602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部件兼容性要求</w:t>
            </w:r>
          </w:p>
        </w:tc>
        <w:tc>
          <w:tcPr>
            <w:tcW w:w="1500" w:type="dxa"/>
            <w:shd w:val="clear" w:color="auto" w:fill="FFFFFF"/>
            <w:vAlign w:val="center"/>
          </w:tcPr>
          <w:p w14:paraId="1810DDF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内存兼容性</w:t>
            </w:r>
          </w:p>
        </w:tc>
        <w:tc>
          <w:tcPr>
            <w:tcW w:w="3997" w:type="dxa"/>
            <w:shd w:val="clear" w:color="auto" w:fill="FFFFFF"/>
            <w:vAlign w:val="center"/>
          </w:tcPr>
          <w:p w14:paraId="39642C6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适配3种及以上厂商的内存产品，且均不低于产品支持的内存规格</w:t>
            </w:r>
          </w:p>
        </w:tc>
        <w:tc>
          <w:tcPr>
            <w:tcW w:w="1344" w:type="dxa"/>
            <w:shd w:val="clear" w:color="auto" w:fill="FFFFFF"/>
            <w:vAlign w:val="center"/>
          </w:tcPr>
          <w:p w14:paraId="02C3E36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B823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24" w:type="dxa"/>
            <w:shd w:val="clear" w:color="auto" w:fill="FFFFFF"/>
            <w:vAlign w:val="center"/>
          </w:tcPr>
          <w:p w14:paraId="2F082F4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114</w:t>
            </w:r>
          </w:p>
        </w:tc>
        <w:tc>
          <w:tcPr>
            <w:tcW w:w="981" w:type="dxa"/>
            <w:shd w:val="clear" w:color="auto" w:fill="FFFFFF"/>
            <w:vAlign w:val="center"/>
          </w:tcPr>
          <w:p w14:paraId="46F77B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89" w:type="dxa"/>
            <w:vMerge w:val="continue"/>
            <w:shd w:val="clear" w:color="auto" w:fill="FFFFFF"/>
            <w:vAlign w:val="center"/>
          </w:tcPr>
          <w:p w14:paraId="5527FA42">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48C8818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★固态存储兼容性</w:t>
            </w:r>
          </w:p>
        </w:tc>
        <w:tc>
          <w:tcPr>
            <w:tcW w:w="3997" w:type="dxa"/>
            <w:shd w:val="clear" w:color="auto" w:fill="FFFFFF"/>
            <w:vAlign w:val="center"/>
          </w:tcPr>
          <w:p w14:paraId="2678FED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适配3种或以上厂商的固态存储产品，且均不低于产品支持的固态存储设备规格</w:t>
            </w:r>
          </w:p>
        </w:tc>
        <w:tc>
          <w:tcPr>
            <w:tcW w:w="1344" w:type="dxa"/>
            <w:shd w:val="clear" w:color="auto" w:fill="FFFFFF"/>
            <w:vAlign w:val="center"/>
          </w:tcPr>
          <w:p w14:paraId="291417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A2F4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24" w:type="dxa"/>
            <w:shd w:val="clear" w:color="auto" w:fill="FFFFFF"/>
            <w:vAlign w:val="center"/>
          </w:tcPr>
          <w:p w14:paraId="7CB0B8A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115</w:t>
            </w:r>
          </w:p>
        </w:tc>
        <w:tc>
          <w:tcPr>
            <w:tcW w:w="981" w:type="dxa"/>
            <w:shd w:val="clear" w:color="auto" w:fill="FFFFFF"/>
            <w:vAlign w:val="center"/>
          </w:tcPr>
          <w:p w14:paraId="77CF619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89" w:type="dxa"/>
            <w:vMerge w:val="continue"/>
            <w:shd w:val="clear" w:color="auto" w:fill="FFFFFF"/>
            <w:vAlign w:val="center"/>
          </w:tcPr>
          <w:p w14:paraId="77890FBD">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022B1D0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FCHBA卡兼容性</w:t>
            </w:r>
          </w:p>
        </w:tc>
        <w:tc>
          <w:tcPr>
            <w:tcW w:w="3997" w:type="dxa"/>
            <w:shd w:val="clear" w:color="auto" w:fill="FFFFFF"/>
            <w:vAlign w:val="center"/>
          </w:tcPr>
          <w:p w14:paraId="07B1085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FCHBA应适配两种或以上厂商产品</w:t>
            </w:r>
          </w:p>
        </w:tc>
        <w:tc>
          <w:tcPr>
            <w:tcW w:w="1344" w:type="dxa"/>
            <w:shd w:val="clear" w:color="auto" w:fill="FFFFFF"/>
            <w:vAlign w:val="center"/>
          </w:tcPr>
          <w:p w14:paraId="1970469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3841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1471C9A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116</w:t>
            </w:r>
          </w:p>
        </w:tc>
        <w:tc>
          <w:tcPr>
            <w:tcW w:w="981" w:type="dxa"/>
            <w:shd w:val="clear" w:color="auto" w:fill="FFFFFF"/>
            <w:vAlign w:val="center"/>
          </w:tcPr>
          <w:p w14:paraId="22F13B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89" w:type="dxa"/>
            <w:vMerge w:val="continue"/>
            <w:shd w:val="clear" w:color="auto" w:fill="FFFFFF"/>
            <w:vAlign w:val="center"/>
          </w:tcPr>
          <w:p w14:paraId="44A191F9">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60D63EC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RAID卡兼容性</w:t>
            </w:r>
          </w:p>
        </w:tc>
        <w:tc>
          <w:tcPr>
            <w:tcW w:w="3997" w:type="dxa"/>
            <w:shd w:val="clear" w:color="auto" w:fill="FFFFFF"/>
            <w:vAlign w:val="center"/>
          </w:tcPr>
          <w:p w14:paraId="52B5D43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RAID卡应适配两种或以上厂商产品</w:t>
            </w:r>
          </w:p>
        </w:tc>
        <w:tc>
          <w:tcPr>
            <w:tcW w:w="1344" w:type="dxa"/>
            <w:shd w:val="clear" w:color="auto" w:fill="FFFFFF"/>
            <w:vAlign w:val="center"/>
          </w:tcPr>
          <w:p w14:paraId="3855ABD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269E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6769C1F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117</w:t>
            </w:r>
          </w:p>
        </w:tc>
        <w:tc>
          <w:tcPr>
            <w:tcW w:w="981" w:type="dxa"/>
            <w:shd w:val="clear" w:color="auto" w:fill="FFFFFF"/>
            <w:vAlign w:val="center"/>
          </w:tcPr>
          <w:p w14:paraId="3C97263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89" w:type="dxa"/>
            <w:vMerge w:val="restart"/>
            <w:shd w:val="clear" w:color="auto" w:fill="FFFFFF"/>
            <w:vAlign w:val="center"/>
          </w:tcPr>
          <w:p w14:paraId="2BD3ED34">
            <w:pPr>
              <w:widowControl/>
              <w:jc w:val="center"/>
              <w:rPr>
                <w:rFonts w:asciiTheme="minorEastAsia" w:hAnsiTheme="minorEastAsia" w:eastAsiaTheme="minorEastAsia" w:cstheme="minorEastAsia"/>
                <w:kern w:val="0"/>
                <w:sz w:val="24"/>
              </w:rPr>
            </w:pPr>
          </w:p>
        </w:tc>
        <w:tc>
          <w:tcPr>
            <w:tcW w:w="1500" w:type="dxa"/>
            <w:shd w:val="clear" w:color="auto" w:fill="FFFFFF"/>
            <w:vAlign w:val="center"/>
          </w:tcPr>
          <w:p w14:paraId="329518D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★网卡兼容性</w:t>
            </w:r>
          </w:p>
        </w:tc>
        <w:tc>
          <w:tcPr>
            <w:tcW w:w="3997" w:type="dxa"/>
            <w:shd w:val="clear" w:color="auto" w:fill="FFFFFF"/>
            <w:vAlign w:val="center"/>
          </w:tcPr>
          <w:p w14:paraId="2740848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网卡应适配两种或以上厂商产品</w:t>
            </w:r>
          </w:p>
        </w:tc>
        <w:tc>
          <w:tcPr>
            <w:tcW w:w="1344" w:type="dxa"/>
            <w:shd w:val="clear" w:color="auto" w:fill="FFFFFF"/>
            <w:vAlign w:val="center"/>
          </w:tcPr>
          <w:p w14:paraId="0E8DEE2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7BD6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42CE070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118</w:t>
            </w:r>
          </w:p>
        </w:tc>
        <w:tc>
          <w:tcPr>
            <w:tcW w:w="981" w:type="dxa"/>
            <w:shd w:val="clear" w:color="auto" w:fill="FFFFFF"/>
            <w:vAlign w:val="center"/>
          </w:tcPr>
          <w:p w14:paraId="3765BE3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89" w:type="dxa"/>
            <w:vMerge w:val="continue"/>
            <w:shd w:val="clear" w:color="auto" w:fill="FFFFFF"/>
            <w:vAlign w:val="center"/>
          </w:tcPr>
          <w:p w14:paraId="43EADD9F">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7EAA426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★功能卡兼容性</w:t>
            </w:r>
          </w:p>
        </w:tc>
        <w:tc>
          <w:tcPr>
            <w:tcW w:w="3997" w:type="dxa"/>
            <w:shd w:val="clear" w:color="auto" w:fill="FFFFFF"/>
            <w:vAlign w:val="center"/>
          </w:tcPr>
          <w:p w14:paraId="46336F2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内置或适配符合PCIe的功能卡，如：网络功能卡、存储功能卡及图形显示功能卡</w:t>
            </w:r>
          </w:p>
        </w:tc>
        <w:tc>
          <w:tcPr>
            <w:tcW w:w="1344" w:type="dxa"/>
            <w:shd w:val="clear" w:color="auto" w:fill="FFFFFF"/>
            <w:vAlign w:val="center"/>
          </w:tcPr>
          <w:p w14:paraId="716F59D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B062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24" w:type="dxa"/>
            <w:shd w:val="clear" w:color="auto" w:fill="FFFFFF"/>
            <w:vAlign w:val="center"/>
          </w:tcPr>
          <w:p w14:paraId="5AB318C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119</w:t>
            </w:r>
          </w:p>
        </w:tc>
        <w:tc>
          <w:tcPr>
            <w:tcW w:w="981" w:type="dxa"/>
            <w:shd w:val="clear" w:color="auto" w:fill="FFFFFF"/>
            <w:vAlign w:val="center"/>
          </w:tcPr>
          <w:p w14:paraId="131184C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89" w:type="dxa"/>
            <w:shd w:val="clear" w:color="auto" w:fill="FFFFFF"/>
            <w:vAlign w:val="center"/>
          </w:tcPr>
          <w:p w14:paraId="31BB762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外设兼容性</w:t>
            </w:r>
          </w:p>
        </w:tc>
        <w:tc>
          <w:tcPr>
            <w:tcW w:w="1500" w:type="dxa"/>
            <w:shd w:val="clear" w:color="auto" w:fill="FFFFFF"/>
            <w:vAlign w:val="center"/>
          </w:tcPr>
          <w:p w14:paraId="7A00C10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★外设兼容性</w:t>
            </w:r>
          </w:p>
        </w:tc>
        <w:tc>
          <w:tcPr>
            <w:tcW w:w="3997" w:type="dxa"/>
            <w:shd w:val="clear" w:color="auto" w:fill="FFFFFF"/>
            <w:vAlign w:val="center"/>
          </w:tcPr>
          <w:p w14:paraId="1A36764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兼容多种主流生产商的外部设备，包括显示器、键盘、鼠标、闪存盘、移动硬盘、USB光驱及KVM等，要求使用不同厂商的外部设备时，系统均能正常识别和安装驱动</w:t>
            </w:r>
          </w:p>
        </w:tc>
        <w:tc>
          <w:tcPr>
            <w:tcW w:w="1344" w:type="dxa"/>
            <w:shd w:val="clear" w:color="auto" w:fill="FFFFFF"/>
            <w:vAlign w:val="center"/>
          </w:tcPr>
          <w:p w14:paraId="2D7B564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1C6B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1D8F4D2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120</w:t>
            </w:r>
          </w:p>
        </w:tc>
        <w:tc>
          <w:tcPr>
            <w:tcW w:w="981" w:type="dxa"/>
            <w:shd w:val="clear" w:color="auto" w:fill="FFFFFF"/>
            <w:vAlign w:val="center"/>
          </w:tcPr>
          <w:p w14:paraId="28FB82F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89" w:type="dxa"/>
            <w:vMerge w:val="restart"/>
            <w:shd w:val="clear" w:color="auto" w:fill="FFFFFF"/>
            <w:vAlign w:val="center"/>
          </w:tcPr>
          <w:p w14:paraId="28B7B9D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软件兼容性</w:t>
            </w:r>
          </w:p>
        </w:tc>
        <w:tc>
          <w:tcPr>
            <w:tcW w:w="1500" w:type="dxa"/>
            <w:shd w:val="clear" w:color="auto" w:fill="FFFFFF"/>
            <w:vAlign w:val="center"/>
          </w:tcPr>
          <w:p w14:paraId="0AC9AE8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★数据库兼容</w:t>
            </w:r>
          </w:p>
        </w:tc>
        <w:tc>
          <w:tcPr>
            <w:tcW w:w="3997" w:type="dxa"/>
            <w:shd w:val="clear" w:color="auto" w:fill="FFFFFF"/>
            <w:vAlign w:val="center"/>
          </w:tcPr>
          <w:p w14:paraId="175852B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兼容3个及以上厂商的数据库产品</w:t>
            </w:r>
          </w:p>
        </w:tc>
        <w:tc>
          <w:tcPr>
            <w:tcW w:w="1344" w:type="dxa"/>
            <w:shd w:val="clear" w:color="auto" w:fill="FFFFFF"/>
            <w:vAlign w:val="center"/>
          </w:tcPr>
          <w:p w14:paraId="35EF377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88CB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082289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121</w:t>
            </w:r>
          </w:p>
        </w:tc>
        <w:tc>
          <w:tcPr>
            <w:tcW w:w="981" w:type="dxa"/>
            <w:shd w:val="clear" w:color="auto" w:fill="FFFFFF"/>
            <w:vAlign w:val="center"/>
          </w:tcPr>
          <w:p w14:paraId="26D36B8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89" w:type="dxa"/>
            <w:vMerge w:val="continue"/>
            <w:shd w:val="clear" w:color="auto" w:fill="FFFFFF"/>
            <w:vAlign w:val="center"/>
          </w:tcPr>
          <w:p w14:paraId="059436B4">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3FB9362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★中间件兼容</w:t>
            </w:r>
          </w:p>
        </w:tc>
        <w:tc>
          <w:tcPr>
            <w:tcW w:w="3997" w:type="dxa"/>
            <w:shd w:val="clear" w:color="auto" w:fill="FFFFFF"/>
            <w:vAlign w:val="center"/>
          </w:tcPr>
          <w:p w14:paraId="0AE9C0C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兼容3个及以上厂商的中间件产品</w:t>
            </w:r>
          </w:p>
        </w:tc>
        <w:tc>
          <w:tcPr>
            <w:tcW w:w="1344" w:type="dxa"/>
            <w:shd w:val="clear" w:color="auto" w:fill="FFFFFF"/>
            <w:vAlign w:val="center"/>
          </w:tcPr>
          <w:p w14:paraId="7003C5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D62B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153DB7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122</w:t>
            </w:r>
          </w:p>
        </w:tc>
        <w:tc>
          <w:tcPr>
            <w:tcW w:w="981" w:type="dxa"/>
            <w:shd w:val="clear" w:color="auto" w:fill="FFFFFF"/>
            <w:vAlign w:val="center"/>
          </w:tcPr>
          <w:p w14:paraId="493B4CC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89" w:type="dxa"/>
            <w:vMerge w:val="continue"/>
            <w:shd w:val="clear" w:color="auto" w:fill="FFFFFF"/>
            <w:vAlign w:val="center"/>
          </w:tcPr>
          <w:p w14:paraId="04C88F64">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3732FC6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★平台软件兼容</w:t>
            </w:r>
          </w:p>
        </w:tc>
        <w:tc>
          <w:tcPr>
            <w:tcW w:w="3997" w:type="dxa"/>
            <w:shd w:val="clear" w:color="auto" w:fill="FFFFFF"/>
            <w:vAlign w:val="center"/>
          </w:tcPr>
          <w:p w14:paraId="6EACB81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兼容3个及以上厂商的大数据平台</w:t>
            </w:r>
          </w:p>
        </w:tc>
        <w:tc>
          <w:tcPr>
            <w:tcW w:w="1344" w:type="dxa"/>
            <w:shd w:val="clear" w:color="auto" w:fill="FFFFFF"/>
            <w:vAlign w:val="center"/>
          </w:tcPr>
          <w:p w14:paraId="30C411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412F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113C01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123</w:t>
            </w:r>
          </w:p>
        </w:tc>
        <w:tc>
          <w:tcPr>
            <w:tcW w:w="981" w:type="dxa"/>
            <w:shd w:val="clear" w:color="auto" w:fill="FFFFFF"/>
            <w:vAlign w:val="center"/>
          </w:tcPr>
          <w:p w14:paraId="0080FDF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1089" w:type="dxa"/>
            <w:vMerge w:val="continue"/>
            <w:shd w:val="clear" w:color="auto" w:fill="FFFFFF"/>
            <w:vAlign w:val="center"/>
          </w:tcPr>
          <w:p w14:paraId="3A71F34A">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42FA0F6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虚拟化软件兼容</w:t>
            </w:r>
          </w:p>
        </w:tc>
        <w:tc>
          <w:tcPr>
            <w:tcW w:w="3997" w:type="dxa"/>
            <w:shd w:val="clear" w:color="auto" w:fill="FFFFFF"/>
            <w:vAlign w:val="center"/>
          </w:tcPr>
          <w:p w14:paraId="724778C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兼容2款及以上虚拟化软件</w:t>
            </w:r>
          </w:p>
        </w:tc>
        <w:tc>
          <w:tcPr>
            <w:tcW w:w="1344" w:type="dxa"/>
            <w:shd w:val="clear" w:color="auto" w:fill="FFFFFF"/>
            <w:vAlign w:val="center"/>
          </w:tcPr>
          <w:p w14:paraId="6027331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837F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70BEAF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124</w:t>
            </w:r>
          </w:p>
        </w:tc>
        <w:tc>
          <w:tcPr>
            <w:tcW w:w="981" w:type="dxa"/>
            <w:shd w:val="clear" w:color="auto" w:fill="FFFFFF"/>
            <w:vAlign w:val="center"/>
          </w:tcPr>
          <w:p w14:paraId="178ECA2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1089" w:type="dxa"/>
            <w:shd w:val="clear" w:color="auto" w:fill="FFFFFF"/>
            <w:vAlign w:val="center"/>
          </w:tcPr>
          <w:p w14:paraId="3EC0AD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存储可靠性要求</w:t>
            </w:r>
          </w:p>
        </w:tc>
        <w:tc>
          <w:tcPr>
            <w:tcW w:w="1500" w:type="dxa"/>
            <w:shd w:val="clear" w:color="auto" w:fill="FFFFFF"/>
            <w:vAlign w:val="center"/>
          </w:tcPr>
          <w:p w14:paraId="772A2AD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SATASSD可靠性</w:t>
            </w:r>
          </w:p>
        </w:tc>
        <w:tc>
          <w:tcPr>
            <w:tcW w:w="3997" w:type="dxa"/>
            <w:shd w:val="clear" w:color="auto" w:fill="FFFFFF"/>
            <w:vAlign w:val="center"/>
          </w:tcPr>
          <w:p w14:paraId="416F883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SSD的m1值（MTBF的不可接受值）不低于200000h</w:t>
            </w:r>
          </w:p>
        </w:tc>
        <w:tc>
          <w:tcPr>
            <w:tcW w:w="1344" w:type="dxa"/>
            <w:shd w:val="clear" w:color="auto" w:fill="FFFFFF"/>
            <w:vAlign w:val="center"/>
          </w:tcPr>
          <w:p w14:paraId="5445EE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398E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62D658F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125</w:t>
            </w:r>
          </w:p>
        </w:tc>
        <w:tc>
          <w:tcPr>
            <w:tcW w:w="981" w:type="dxa"/>
            <w:shd w:val="clear" w:color="auto" w:fill="FFFFFF"/>
            <w:vAlign w:val="center"/>
          </w:tcPr>
          <w:p w14:paraId="7D086EE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1089" w:type="dxa"/>
            <w:vMerge w:val="restart"/>
            <w:shd w:val="clear" w:color="auto" w:fill="FFFFFF"/>
            <w:vAlign w:val="center"/>
          </w:tcPr>
          <w:p w14:paraId="0B06204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整机可靠性要求</w:t>
            </w:r>
          </w:p>
        </w:tc>
        <w:tc>
          <w:tcPr>
            <w:tcW w:w="1500" w:type="dxa"/>
            <w:shd w:val="clear" w:color="auto" w:fill="FFFFFF"/>
            <w:vAlign w:val="center"/>
          </w:tcPr>
          <w:p w14:paraId="3E81E43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★整机可靠性</w:t>
            </w:r>
          </w:p>
        </w:tc>
        <w:tc>
          <w:tcPr>
            <w:tcW w:w="3997" w:type="dxa"/>
            <w:shd w:val="clear" w:color="auto" w:fill="FFFFFF"/>
            <w:vAlign w:val="center"/>
          </w:tcPr>
          <w:p w14:paraId="15A7AAE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m1值（MTBF的不可接受值）不得低于30000h</w:t>
            </w:r>
          </w:p>
        </w:tc>
        <w:tc>
          <w:tcPr>
            <w:tcW w:w="1344" w:type="dxa"/>
            <w:shd w:val="clear" w:color="auto" w:fill="FFFFFF"/>
            <w:vAlign w:val="center"/>
          </w:tcPr>
          <w:p w14:paraId="610485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EE5E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383504A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126</w:t>
            </w:r>
          </w:p>
        </w:tc>
        <w:tc>
          <w:tcPr>
            <w:tcW w:w="981" w:type="dxa"/>
            <w:shd w:val="clear" w:color="auto" w:fill="FFFFFF"/>
            <w:vAlign w:val="center"/>
          </w:tcPr>
          <w:p w14:paraId="02BB09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1089" w:type="dxa"/>
            <w:vMerge w:val="continue"/>
            <w:shd w:val="clear" w:color="auto" w:fill="FFFFFF"/>
            <w:vAlign w:val="center"/>
          </w:tcPr>
          <w:p w14:paraId="4F3D198E">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288B3AC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★风扇可靠性</w:t>
            </w:r>
          </w:p>
        </w:tc>
        <w:tc>
          <w:tcPr>
            <w:tcW w:w="3997" w:type="dxa"/>
            <w:shd w:val="clear" w:color="auto" w:fill="FFFFFF"/>
            <w:vAlign w:val="center"/>
          </w:tcPr>
          <w:p w14:paraId="3B6ADA9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风扇寿命应不低于40000h</w:t>
            </w:r>
          </w:p>
        </w:tc>
        <w:tc>
          <w:tcPr>
            <w:tcW w:w="1344" w:type="dxa"/>
            <w:shd w:val="clear" w:color="auto" w:fill="FFFFFF"/>
            <w:vAlign w:val="center"/>
          </w:tcPr>
          <w:p w14:paraId="73F00A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5193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24" w:type="dxa"/>
            <w:shd w:val="clear" w:color="auto" w:fill="FFFFFF"/>
            <w:vAlign w:val="center"/>
          </w:tcPr>
          <w:p w14:paraId="2A3B34C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127</w:t>
            </w:r>
          </w:p>
        </w:tc>
        <w:tc>
          <w:tcPr>
            <w:tcW w:w="981" w:type="dxa"/>
            <w:shd w:val="clear" w:color="auto" w:fill="FFFFFF"/>
            <w:vAlign w:val="center"/>
          </w:tcPr>
          <w:p w14:paraId="20F54A3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1089" w:type="dxa"/>
            <w:vMerge w:val="continue"/>
            <w:shd w:val="clear" w:color="auto" w:fill="FFFFFF"/>
            <w:vAlign w:val="center"/>
          </w:tcPr>
          <w:p w14:paraId="479CE620">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7629C24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★部件可靠性</w:t>
            </w:r>
          </w:p>
        </w:tc>
        <w:tc>
          <w:tcPr>
            <w:tcW w:w="3997" w:type="dxa"/>
            <w:shd w:val="clear" w:color="auto" w:fill="FFFFFF"/>
            <w:vAlign w:val="center"/>
          </w:tcPr>
          <w:p w14:paraId="2A7DAD0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支持硬盘、电源、风扇热插拔（内置风扇除外）</w:t>
            </w:r>
          </w:p>
        </w:tc>
        <w:tc>
          <w:tcPr>
            <w:tcW w:w="1344" w:type="dxa"/>
            <w:shd w:val="clear" w:color="auto" w:fill="FFFFFF"/>
            <w:vAlign w:val="center"/>
          </w:tcPr>
          <w:p w14:paraId="2E41D54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CF45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2AABF21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128</w:t>
            </w:r>
          </w:p>
        </w:tc>
        <w:tc>
          <w:tcPr>
            <w:tcW w:w="981" w:type="dxa"/>
            <w:shd w:val="clear" w:color="auto" w:fill="FFFFFF"/>
            <w:vAlign w:val="center"/>
          </w:tcPr>
          <w:p w14:paraId="07601B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包装及运输要求</w:t>
            </w:r>
          </w:p>
        </w:tc>
        <w:tc>
          <w:tcPr>
            <w:tcW w:w="1089" w:type="dxa"/>
            <w:shd w:val="clear" w:color="auto" w:fill="FFFFFF"/>
            <w:vAlign w:val="center"/>
          </w:tcPr>
          <w:p w14:paraId="6E8C74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包装及运输要求</w:t>
            </w:r>
          </w:p>
        </w:tc>
        <w:tc>
          <w:tcPr>
            <w:tcW w:w="1500" w:type="dxa"/>
            <w:shd w:val="clear" w:color="auto" w:fill="FFFFFF"/>
            <w:vAlign w:val="center"/>
          </w:tcPr>
          <w:p w14:paraId="7EFE694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★标志、包装、运输和贮存</w:t>
            </w:r>
          </w:p>
        </w:tc>
        <w:tc>
          <w:tcPr>
            <w:tcW w:w="3997" w:type="dxa"/>
            <w:shd w:val="clear" w:color="auto" w:fill="FFFFFF"/>
            <w:vAlign w:val="center"/>
          </w:tcPr>
          <w:p w14:paraId="21B121B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符合GB/T9813.3和商品包装政府采购需求标准的相关规定</w:t>
            </w:r>
          </w:p>
        </w:tc>
        <w:tc>
          <w:tcPr>
            <w:tcW w:w="1344" w:type="dxa"/>
            <w:shd w:val="clear" w:color="auto" w:fill="FFFFFF"/>
            <w:vAlign w:val="center"/>
          </w:tcPr>
          <w:p w14:paraId="7460E6B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AC4D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624" w:type="dxa"/>
            <w:shd w:val="clear" w:color="auto" w:fill="FFFFFF"/>
            <w:vAlign w:val="center"/>
          </w:tcPr>
          <w:p w14:paraId="332812F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129</w:t>
            </w:r>
          </w:p>
        </w:tc>
        <w:tc>
          <w:tcPr>
            <w:tcW w:w="981" w:type="dxa"/>
            <w:shd w:val="clear" w:color="auto" w:fill="FFFFFF"/>
            <w:vAlign w:val="center"/>
          </w:tcPr>
          <w:p w14:paraId="7AAA869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89" w:type="dxa"/>
            <w:vMerge w:val="restart"/>
            <w:shd w:val="clear" w:color="auto" w:fill="FFFFFF"/>
            <w:vAlign w:val="center"/>
          </w:tcPr>
          <w:p w14:paraId="30636AF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服务响应</w:t>
            </w:r>
          </w:p>
        </w:tc>
        <w:tc>
          <w:tcPr>
            <w:tcW w:w="1500" w:type="dxa"/>
            <w:shd w:val="clear" w:color="auto" w:fill="FFFFFF"/>
            <w:vAlign w:val="center"/>
          </w:tcPr>
          <w:p w14:paraId="601D69F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★服务响应</w:t>
            </w:r>
          </w:p>
        </w:tc>
        <w:tc>
          <w:tcPr>
            <w:tcW w:w="3997" w:type="dxa"/>
            <w:shd w:val="clear" w:color="auto" w:fill="FFFFFF"/>
            <w:vAlign w:val="center"/>
          </w:tcPr>
          <w:p w14:paraId="1BE7FE1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提供电话、电子邮件、远程连接等多种形式服务；b）提供同城4h、异地12h技术响应服务，2个工作日解决问题，对于未能解决的问题和故障应提供可行的升级方案，并提供周转设备；c）建立全国技术服务体系和服务团体，符合专业服务体系标准要求，提供原厂中文服务；d）服务周期内提供产品的维修、换件和升级服务</w:t>
            </w:r>
          </w:p>
        </w:tc>
        <w:tc>
          <w:tcPr>
            <w:tcW w:w="1344" w:type="dxa"/>
            <w:shd w:val="clear" w:color="auto" w:fill="FFFFFF"/>
            <w:vAlign w:val="center"/>
          </w:tcPr>
          <w:p w14:paraId="0489682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49A8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2991C6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130</w:t>
            </w:r>
          </w:p>
        </w:tc>
        <w:tc>
          <w:tcPr>
            <w:tcW w:w="981" w:type="dxa"/>
            <w:shd w:val="clear" w:color="auto" w:fill="FFFFFF"/>
            <w:vAlign w:val="center"/>
          </w:tcPr>
          <w:p w14:paraId="74312CA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89" w:type="dxa"/>
            <w:vMerge w:val="continue"/>
            <w:shd w:val="clear" w:color="auto" w:fill="FFFFFF"/>
            <w:vAlign w:val="center"/>
          </w:tcPr>
          <w:p w14:paraId="2B9A1CA9">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31E603F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★培训服务</w:t>
            </w:r>
          </w:p>
        </w:tc>
        <w:tc>
          <w:tcPr>
            <w:tcW w:w="3997" w:type="dxa"/>
            <w:shd w:val="clear" w:color="auto" w:fill="FFFFFF"/>
            <w:vAlign w:val="center"/>
          </w:tcPr>
          <w:p w14:paraId="22B6A9E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供应商提供培训材料、产品手册、培训视频等培训相关内容</w:t>
            </w:r>
          </w:p>
        </w:tc>
        <w:tc>
          <w:tcPr>
            <w:tcW w:w="1344" w:type="dxa"/>
            <w:shd w:val="clear" w:color="auto" w:fill="FFFFFF"/>
            <w:vAlign w:val="center"/>
          </w:tcPr>
          <w:p w14:paraId="3199198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1E7A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624" w:type="dxa"/>
            <w:shd w:val="clear" w:color="auto" w:fill="FFFFFF"/>
            <w:vAlign w:val="center"/>
          </w:tcPr>
          <w:p w14:paraId="373FB2C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131</w:t>
            </w:r>
          </w:p>
        </w:tc>
        <w:tc>
          <w:tcPr>
            <w:tcW w:w="981" w:type="dxa"/>
            <w:shd w:val="clear" w:color="auto" w:fill="FFFFFF"/>
            <w:vAlign w:val="center"/>
          </w:tcPr>
          <w:p w14:paraId="46D02D0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89" w:type="dxa"/>
            <w:shd w:val="clear" w:color="auto" w:fill="FFFFFF"/>
            <w:vAlign w:val="center"/>
          </w:tcPr>
          <w:p w14:paraId="76AFEE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服务周期</w:t>
            </w:r>
          </w:p>
        </w:tc>
        <w:tc>
          <w:tcPr>
            <w:tcW w:w="1500" w:type="dxa"/>
            <w:shd w:val="clear" w:color="auto" w:fill="FFFFFF"/>
            <w:vAlign w:val="center"/>
          </w:tcPr>
          <w:p w14:paraId="6898520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★服务周期</w:t>
            </w:r>
          </w:p>
        </w:tc>
        <w:tc>
          <w:tcPr>
            <w:tcW w:w="3997" w:type="dxa"/>
            <w:shd w:val="clear" w:color="auto" w:fill="FFFFFF"/>
            <w:vAlign w:val="center"/>
          </w:tcPr>
          <w:p w14:paraId="38961F1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产品免费服务周期（含换件和维修）应不小于6年；b）设备停产后继续提供质量保障服务（含备品备件），服务终止时间与最后一批设备交付时间间隔不低于6年；c）产品停止服务时间应提前1年告知客户；d）产品发布日期需在技术文件或者技术白皮书中明确</w:t>
            </w:r>
          </w:p>
        </w:tc>
        <w:tc>
          <w:tcPr>
            <w:tcW w:w="1344" w:type="dxa"/>
            <w:shd w:val="clear" w:color="auto" w:fill="FFFFFF"/>
            <w:vAlign w:val="center"/>
          </w:tcPr>
          <w:p w14:paraId="10D755F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1FFA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24" w:type="dxa"/>
            <w:shd w:val="clear" w:color="auto" w:fill="FFFFFF"/>
            <w:vAlign w:val="center"/>
          </w:tcPr>
          <w:p w14:paraId="2FD0195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132</w:t>
            </w:r>
          </w:p>
        </w:tc>
        <w:tc>
          <w:tcPr>
            <w:tcW w:w="981" w:type="dxa"/>
            <w:shd w:val="clear" w:color="auto" w:fill="FFFFFF"/>
            <w:vAlign w:val="center"/>
          </w:tcPr>
          <w:p w14:paraId="366F670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89" w:type="dxa"/>
            <w:vMerge w:val="restart"/>
            <w:shd w:val="clear" w:color="auto" w:fill="FFFFFF"/>
            <w:vAlign w:val="center"/>
          </w:tcPr>
          <w:p w14:paraId="76AF29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服务工具要求</w:t>
            </w:r>
          </w:p>
        </w:tc>
        <w:tc>
          <w:tcPr>
            <w:tcW w:w="1500" w:type="dxa"/>
            <w:shd w:val="clear" w:color="auto" w:fill="FFFFFF"/>
            <w:vAlign w:val="center"/>
          </w:tcPr>
          <w:p w14:paraId="3C3C893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★工具要求</w:t>
            </w:r>
          </w:p>
        </w:tc>
        <w:tc>
          <w:tcPr>
            <w:tcW w:w="3997" w:type="dxa"/>
            <w:shd w:val="clear" w:color="auto" w:fill="FFFFFF"/>
            <w:vAlign w:val="center"/>
          </w:tcPr>
          <w:p w14:paraId="494F1FC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供应商提供设置服务器硬件、辅助操作系统安装等功能的辅助工具和管理软件。且随附软件应具有合法授权或版权</w:t>
            </w:r>
          </w:p>
        </w:tc>
        <w:tc>
          <w:tcPr>
            <w:tcW w:w="1344" w:type="dxa"/>
            <w:shd w:val="clear" w:color="auto" w:fill="FFFFFF"/>
            <w:vAlign w:val="center"/>
          </w:tcPr>
          <w:p w14:paraId="1729B9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B192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24" w:type="dxa"/>
            <w:shd w:val="clear" w:color="auto" w:fill="FFFFFF"/>
            <w:vAlign w:val="center"/>
          </w:tcPr>
          <w:p w14:paraId="299AE1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133</w:t>
            </w:r>
          </w:p>
        </w:tc>
        <w:tc>
          <w:tcPr>
            <w:tcW w:w="981" w:type="dxa"/>
            <w:shd w:val="clear" w:color="auto" w:fill="FFFFFF"/>
            <w:vAlign w:val="center"/>
          </w:tcPr>
          <w:p w14:paraId="07756D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89" w:type="dxa"/>
            <w:vMerge w:val="continue"/>
            <w:shd w:val="clear" w:color="auto" w:fill="FFFFFF"/>
            <w:vAlign w:val="center"/>
          </w:tcPr>
          <w:p w14:paraId="1FB4081F">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7E59027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辅助工具</w:t>
            </w:r>
          </w:p>
        </w:tc>
        <w:tc>
          <w:tcPr>
            <w:tcW w:w="3997" w:type="dxa"/>
            <w:shd w:val="clear" w:color="auto" w:fill="FFFFFF"/>
            <w:vAlign w:val="center"/>
          </w:tcPr>
          <w:p w14:paraId="7B743C4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支持如下功能a）本地的数据备份和还原功能；b）网络的数据备份和还原功能；c）通用服务器操作系统的自动安装功能；d）服务器所配硬件需要的驱动程序和系统补丁</w:t>
            </w:r>
          </w:p>
        </w:tc>
        <w:tc>
          <w:tcPr>
            <w:tcW w:w="1344" w:type="dxa"/>
            <w:shd w:val="clear" w:color="auto" w:fill="FFFFFF"/>
            <w:vAlign w:val="center"/>
          </w:tcPr>
          <w:p w14:paraId="5DABCEA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ACF2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0F4D7E9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134</w:t>
            </w:r>
          </w:p>
        </w:tc>
        <w:tc>
          <w:tcPr>
            <w:tcW w:w="981" w:type="dxa"/>
            <w:shd w:val="clear" w:color="auto" w:fill="FFFFFF"/>
            <w:vAlign w:val="center"/>
          </w:tcPr>
          <w:p w14:paraId="4EBB79B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89" w:type="dxa"/>
            <w:vMerge w:val="continue"/>
            <w:shd w:val="clear" w:color="auto" w:fill="FFFFFF"/>
            <w:vAlign w:val="center"/>
          </w:tcPr>
          <w:p w14:paraId="6699E781">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4A64A58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★驱动安装升级指引</w:t>
            </w:r>
          </w:p>
        </w:tc>
        <w:tc>
          <w:tcPr>
            <w:tcW w:w="3997" w:type="dxa"/>
            <w:shd w:val="clear" w:color="auto" w:fill="FFFFFF"/>
            <w:vAlign w:val="center"/>
          </w:tcPr>
          <w:p w14:paraId="2E6798B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供应商提供出厂安装的配件所需的驱动程序，形式包括但不限于驱动光盘、驱动下载链接等。其他配件应提供指引</w:t>
            </w:r>
          </w:p>
        </w:tc>
        <w:tc>
          <w:tcPr>
            <w:tcW w:w="1344" w:type="dxa"/>
            <w:shd w:val="clear" w:color="auto" w:fill="FFFFFF"/>
            <w:vAlign w:val="center"/>
          </w:tcPr>
          <w:p w14:paraId="34C7E3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57E6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3419734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135</w:t>
            </w:r>
          </w:p>
        </w:tc>
        <w:tc>
          <w:tcPr>
            <w:tcW w:w="981" w:type="dxa"/>
            <w:shd w:val="clear" w:color="auto" w:fill="FFFFFF"/>
            <w:vAlign w:val="center"/>
          </w:tcPr>
          <w:p w14:paraId="61935D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89" w:type="dxa"/>
            <w:vMerge w:val="continue"/>
            <w:shd w:val="clear" w:color="auto" w:fill="FFFFFF"/>
            <w:vAlign w:val="center"/>
          </w:tcPr>
          <w:p w14:paraId="760ADEA9">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38792F6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随机附开盖工具</w:t>
            </w:r>
          </w:p>
        </w:tc>
        <w:tc>
          <w:tcPr>
            <w:tcW w:w="3997" w:type="dxa"/>
            <w:shd w:val="clear" w:color="auto" w:fill="FFFFFF"/>
            <w:vAlign w:val="center"/>
          </w:tcPr>
          <w:p w14:paraId="1527D5B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随服务器打包提供开机箱工具</w:t>
            </w:r>
          </w:p>
        </w:tc>
        <w:tc>
          <w:tcPr>
            <w:tcW w:w="1344" w:type="dxa"/>
            <w:shd w:val="clear" w:color="auto" w:fill="FFFFFF"/>
            <w:vAlign w:val="center"/>
          </w:tcPr>
          <w:p w14:paraId="7C21E0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B6BA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624" w:type="dxa"/>
            <w:shd w:val="clear" w:color="auto" w:fill="FFFFFF"/>
            <w:vAlign w:val="center"/>
          </w:tcPr>
          <w:p w14:paraId="1E9BD3B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136</w:t>
            </w:r>
          </w:p>
        </w:tc>
        <w:tc>
          <w:tcPr>
            <w:tcW w:w="981" w:type="dxa"/>
            <w:shd w:val="clear" w:color="auto" w:fill="FFFFFF"/>
            <w:vAlign w:val="center"/>
          </w:tcPr>
          <w:p w14:paraId="212BF3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89" w:type="dxa"/>
            <w:vMerge w:val="continue"/>
            <w:shd w:val="clear" w:color="auto" w:fill="FFFFFF"/>
            <w:vAlign w:val="center"/>
          </w:tcPr>
          <w:p w14:paraId="6A3BB7F0">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3F21340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代码迁移工具</w:t>
            </w:r>
          </w:p>
        </w:tc>
        <w:tc>
          <w:tcPr>
            <w:tcW w:w="3997" w:type="dxa"/>
            <w:shd w:val="clear" w:color="auto" w:fill="FFFFFF"/>
            <w:vAlign w:val="center"/>
          </w:tcPr>
          <w:p w14:paraId="7941306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从其他CPU架构到当前服务器CPU架构的软件迁移工具产品，支持软件包迁移评估，对满足产品重构要求的软件包，能重构为当前服务器CPU架构的软件包。提供源码迁移功能，检查分析C/C++/Fortran/Go/解释型语言/汇编等源码文件，基于产品功能给出迁移指导</w:t>
            </w:r>
          </w:p>
        </w:tc>
        <w:tc>
          <w:tcPr>
            <w:tcW w:w="1344" w:type="dxa"/>
            <w:shd w:val="clear" w:color="auto" w:fill="FFFFFF"/>
            <w:vAlign w:val="center"/>
          </w:tcPr>
          <w:p w14:paraId="4182C64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41AC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24" w:type="dxa"/>
            <w:shd w:val="clear" w:color="auto" w:fill="FFFFFF"/>
            <w:vAlign w:val="center"/>
          </w:tcPr>
          <w:p w14:paraId="5B6E0BF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137</w:t>
            </w:r>
          </w:p>
        </w:tc>
        <w:tc>
          <w:tcPr>
            <w:tcW w:w="981" w:type="dxa"/>
            <w:shd w:val="clear" w:color="auto" w:fill="FFFFFF"/>
            <w:vAlign w:val="center"/>
          </w:tcPr>
          <w:p w14:paraId="6F2CA22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89" w:type="dxa"/>
            <w:vMerge w:val="continue"/>
            <w:shd w:val="clear" w:color="auto" w:fill="FFFFFF"/>
            <w:vAlign w:val="center"/>
          </w:tcPr>
          <w:p w14:paraId="716EDBD9">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4A9B9BD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性能分析工具</w:t>
            </w:r>
          </w:p>
        </w:tc>
        <w:tc>
          <w:tcPr>
            <w:tcW w:w="3997" w:type="dxa"/>
            <w:shd w:val="clear" w:color="auto" w:fill="FFFFFF"/>
            <w:vAlign w:val="center"/>
          </w:tcPr>
          <w:p w14:paraId="246F429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供应商提供支持当前服务器CPU架构的性能分析工具产品，支持系统性能分析、Java性能分析和系统诊断，可分析系统或应用在CPU、内存、IO、网络等方面的性能，并给出优化建议</w:t>
            </w:r>
          </w:p>
        </w:tc>
        <w:tc>
          <w:tcPr>
            <w:tcW w:w="1344" w:type="dxa"/>
            <w:shd w:val="clear" w:color="auto" w:fill="FFFFFF"/>
            <w:vAlign w:val="center"/>
          </w:tcPr>
          <w:p w14:paraId="6FC1950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9727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6A4DC14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138</w:t>
            </w:r>
          </w:p>
        </w:tc>
        <w:tc>
          <w:tcPr>
            <w:tcW w:w="981" w:type="dxa"/>
            <w:shd w:val="clear" w:color="auto" w:fill="FFFFFF"/>
            <w:vAlign w:val="center"/>
          </w:tcPr>
          <w:p w14:paraId="4E493AD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89" w:type="dxa"/>
            <w:vMerge w:val="continue"/>
            <w:shd w:val="clear" w:color="auto" w:fill="FFFFFF"/>
            <w:vAlign w:val="center"/>
          </w:tcPr>
          <w:p w14:paraId="2C4D947C">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348AEA5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跨架构平台应用兼容</w:t>
            </w:r>
          </w:p>
        </w:tc>
        <w:tc>
          <w:tcPr>
            <w:tcW w:w="3997" w:type="dxa"/>
            <w:shd w:val="clear" w:color="auto" w:fill="FFFFFF"/>
            <w:vAlign w:val="center"/>
          </w:tcPr>
          <w:p w14:paraId="536B2E7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跨CPU架构平台应用兼容工具，可兼容一种或者一种以上不同架构平台的应用</w:t>
            </w:r>
          </w:p>
        </w:tc>
        <w:tc>
          <w:tcPr>
            <w:tcW w:w="1344" w:type="dxa"/>
            <w:shd w:val="clear" w:color="auto" w:fill="FFFFFF"/>
            <w:vAlign w:val="center"/>
          </w:tcPr>
          <w:p w14:paraId="45C5128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4A67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24" w:type="dxa"/>
            <w:shd w:val="clear" w:color="auto" w:fill="FFFFFF"/>
            <w:vAlign w:val="center"/>
          </w:tcPr>
          <w:p w14:paraId="419E421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139</w:t>
            </w:r>
          </w:p>
        </w:tc>
        <w:tc>
          <w:tcPr>
            <w:tcW w:w="981" w:type="dxa"/>
            <w:shd w:val="clear" w:color="auto" w:fill="FFFFFF"/>
            <w:vAlign w:val="center"/>
          </w:tcPr>
          <w:p w14:paraId="538E97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89" w:type="dxa"/>
            <w:vMerge w:val="continue"/>
            <w:shd w:val="clear" w:color="auto" w:fill="FFFFFF"/>
            <w:vAlign w:val="center"/>
          </w:tcPr>
          <w:p w14:paraId="3CC2E560">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1E5AB90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★管理软件</w:t>
            </w:r>
          </w:p>
        </w:tc>
        <w:tc>
          <w:tcPr>
            <w:tcW w:w="3997" w:type="dxa"/>
            <w:shd w:val="clear" w:color="auto" w:fill="FFFFFF"/>
            <w:vAlign w:val="center"/>
          </w:tcPr>
          <w:p w14:paraId="674222A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具备资源管理、系统管理、性能监控、健康监控、基于网络控制、报警设置功能</w:t>
            </w:r>
          </w:p>
        </w:tc>
        <w:tc>
          <w:tcPr>
            <w:tcW w:w="1344" w:type="dxa"/>
            <w:shd w:val="clear" w:color="auto" w:fill="FFFFFF"/>
            <w:vAlign w:val="center"/>
          </w:tcPr>
          <w:p w14:paraId="04D8745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CF1E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5D623E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140</w:t>
            </w:r>
          </w:p>
        </w:tc>
        <w:tc>
          <w:tcPr>
            <w:tcW w:w="981" w:type="dxa"/>
            <w:shd w:val="clear" w:color="auto" w:fill="FFFFFF"/>
            <w:vAlign w:val="center"/>
          </w:tcPr>
          <w:p w14:paraId="223449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89" w:type="dxa"/>
            <w:vMerge w:val="restart"/>
            <w:shd w:val="clear" w:color="auto" w:fill="FFFFFF"/>
            <w:vAlign w:val="center"/>
          </w:tcPr>
          <w:p w14:paraId="69E9C1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增值服务</w:t>
            </w:r>
          </w:p>
        </w:tc>
        <w:tc>
          <w:tcPr>
            <w:tcW w:w="1500" w:type="dxa"/>
            <w:shd w:val="clear" w:color="auto" w:fill="FFFFFF"/>
            <w:vAlign w:val="center"/>
          </w:tcPr>
          <w:p w14:paraId="111F515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★厂家升级产品软件与扩容服务</w:t>
            </w:r>
          </w:p>
        </w:tc>
        <w:tc>
          <w:tcPr>
            <w:tcW w:w="3997" w:type="dxa"/>
            <w:shd w:val="clear" w:color="auto" w:fill="FFFFFF"/>
            <w:vAlign w:val="center"/>
          </w:tcPr>
          <w:p w14:paraId="10698CB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供应商提供原厂级的部件/软件产品升级和扩容能力</w:t>
            </w:r>
          </w:p>
        </w:tc>
        <w:tc>
          <w:tcPr>
            <w:tcW w:w="1344" w:type="dxa"/>
            <w:shd w:val="clear" w:color="auto" w:fill="FFFFFF"/>
            <w:vAlign w:val="center"/>
          </w:tcPr>
          <w:p w14:paraId="3630CE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9D6E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24" w:type="dxa"/>
            <w:shd w:val="clear" w:color="auto" w:fill="FFFFFF"/>
            <w:vAlign w:val="center"/>
          </w:tcPr>
          <w:p w14:paraId="021B74B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141</w:t>
            </w:r>
          </w:p>
        </w:tc>
        <w:tc>
          <w:tcPr>
            <w:tcW w:w="981" w:type="dxa"/>
            <w:shd w:val="clear" w:color="auto" w:fill="FFFFFF"/>
            <w:vAlign w:val="center"/>
          </w:tcPr>
          <w:p w14:paraId="2D9799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89" w:type="dxa"/>
            <w:vMerge w:val="continue"/>
            <w:shd w:val="clear" w:color="auto" w:fill="FFFFFF"/>
            <w:vAlign w:val="center"/>
          </w:tcPr>
          <w:p w14:paraId="7F19EC8A">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2DB2FD0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服务保障升级</w:t>
            </w:r>
          </w:p>
        </w:tc>
        <w:tc>
          <w:tcPr>
            <w:tcW w:w="3997" w:type="dxa"/>
            <w:shd w:val="clear" w:color="auto" w:fill="FFFFFF"/>
            <w:vAlign w:val="center"/>
          </w:tcPr>
          <w:p w14:paraId="0907D66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供应商有偿提供远程技术支持、软件授权服务、备件更换服务、现场支撑服务</w:t>
            </w:r>
          </w:p>
        </w:tc>
        <w:tc>
          <w:tcPr>
            <w:tcW w:w="1344" w:type="dxa"/>
            <w:shd w:val="clear" w:color="auto" w:fill="FFFFFF"/>
            <w:vAlign w:val="center"/>
          </w:tcPr>
          <w:p w14:paraId="6AFF1BA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5F48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35614C8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142</w:t>
            </w:r>
          </w:p>
        </w:tc>
        <w:tc>
          <w:tcPr>
            <w:tcW w:w="981" w:type="dxa"/>
            <w:shd w:val="clear" w:color="auto" w:fill="FFFFFF"/>
            <w:vAlign w:val="center"/>
          </w:tcPr>
          <w:p w14:paraId="534CDFA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89" w:type="dxa"/>
            <w:vMerge w:val="continue"/>
            <w:shd w:val="clear" w:color="auto" w:fill="FFFFFF"/>
            <w:vAlign w:val="center"/>
          </w:tcPr>
          <w:p w14:paraId="66B13C16">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757285B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★提供上门服务</w:t>
            </w:r>
          </w:p>
        </w:tc>
        <w:tc>
          <w:tcPr>
            <w:tcW w:w="3997" w:type="dxa"/>
            <w:shd w:val="clear" w:color="auto" w:fill="FFFFFF"/>
            <w:vAlign w:val="center"/>
          </w:tcPr>
          <w:p w14:paraId="49C95F1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供应商具备提供上门服务的能力</w:t>
            </w:r>
          </w:p>
        </w:tc>
        <w:tc>
          <w:tcPr>
            <w:tcW w:w="1344" w:type="dxa"/>
            <w:shd w:val="clear" w:color="auto" w:fill="FFFFFF"/>
            <w:vAlign w:val="center"/>
          </w:tcPr>
          <w:p w14:paraId="009D515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6423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0" w:hRule="atLeast"/>
        </w:trPr>
        <w:tc>
          <w:tcPr>
            <w:tcW w:w="624" w:type="dxa"/>
            <w:shd w:val="clear" w:color="auto" w:fill="FFFFFF"/>
            <w:vAlign w:val="center"/>
          </w:tcPr>
          <w:p w14:paraId="65C7213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143</w:t>
            </w:r>
          </w:p>
        </w:tc>
        <w:tc>
          <w:tcPr>
            <w:tcW w:w="981" w:type="dxa"/>
            <w:shd w:val="clear" w:color="auto" w:fill="FFFFFF"/>
            <w:vAlign w:val="center"/>
          </w:tcPr>
          <w:p w14:paraId="56203D4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1089" w:type="dxa"/>
            <w:vMerge w:val="continue"/>
            <w:shd w:val="clear" w:color="auto" w:fill="FFFFFF"/>
            <w:vAlign w:val="center"/>
          </w:tcPr>
          <w:p w14:paraId="21EE246F">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763F564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业务场景性能优化服务及整体架构升级服务</w:t>
            </w:r>
          </w:p>
        </w:tc>
        <w:tc>
          <w:tcPr>
            <w:tcW w:w="3997" w:type="dxa"/>
            <w:shd w:val="clear" w:color="auto" w:fill="FFFFFF"/>
            <w:vAlign w:val="center"/>
          </w:tcPr>
          <w:p w14:paraId="07813CE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供应商提供针对特定业务场景性能优化服务及整体架构升级服务</w:t>
            </w:r>
          </w:p>
        </w:tc>
        <w:tc>
          <w:tcPr>
            <w:tcW w:w="1344" w:type="dxa"/>
            <w:shd w:val="clear" w:color="auto" w:fill="FFFFFF"/>
            <w:vAlign w:val="center"/>
          </w:tcPr>
          <w:p w14:paraId="547C95E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101E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1DAAB99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144</w:t>
            </w:r>
          </w:p>
        </w:tc>
        <w:tc>
          <w:tcPr>
            <w:tcW w:w="981" w:type="dxa"/>
            <w:shd w:val="clear" w:color="auto" w:fill="FFFFFF"/>
            <w:vAlign w:val="center"/>
          </w:tcPr>
          <w:p w14:paraId="077F5AD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供保要求</w:t>
            </w:r>
          </w:p>
        </w:tc>
        <w:tc>
          <w:tcPr>
            <w:tcW w:w="1089" w:type="dxa"/>
            <w:vMerge w:val="restart"/>
            <w:shd w:val="clear" w:color="auto" w:fill="FFFFFF"/>
            <w:vAlign w:val="center"/>
          </w:tcPr>
          <w:p w14:paraId="448CC1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供应链质量</w:t>
            </w:r>
          </w:p>
        </w:tc>
        <w:tc>
          <w:tcPr>
            <w:tcW w:w="1500" w:type="dxa"/>
            <w:shd w:val="clear" w:color="auto" w:fill="FFFFFF"/>
            <w:vAlign w:val="center"/>
          </w:tcPr>
          <w:p w14:paraId="45DF890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★抗干扰性</w:t>
            </w:r>
          </w:p>
        </w:tc>
        <w:tc>
          <w:tcPr>
            <w:tcW w:w="3997" w:type="dxa"/>
            <w:shd w:val="clear" w:color="auto" w:fill="FFFFFF"/>
            <w:vAlign w:val="center"/>
          </w:tcPr>
          <w:p w14:paraId="00877A5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当产品部件出现供应风险时，应通知客户并提供风险应对方案确保产品的服务保障，必要时应停止相关受影响产品的销售</w:t>
            </w:r>
          </w:p>
        </w:tc>
        <w:tc>
          <w:tcPr>
            <w:tcW w:w="1344" w:type="dxa"/>
            <w:shd w:val="clear" w:color="auto" w:fill="FFFFFF"/>
            <w:vAlign w:val="center"/>
          </w:tcPr>
          <w:p w14:paraId="110ADC6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0665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24" w:type="dxa"/>
            <w:shd w:val="clear" w:color="auto" w:fill="FFFFFF"/>
            <w:vAlign w:val="center"/>
          </w:tcPr>
          <w:p w14:paraId="77ED24E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145</w:t>
            </w:r>
          </w:p>
        </w:tc>
        <w:tc>
          <w:tcPr>
            <w:tcW w:w="981" w:type="dxa"/>
            <w:shd w:val="clear" w:color="auto" w:fill="FFFFFF"/>
            <w:vAlign w:val="center"/>
          </w:tcPr>
          <w:p w14:paraId="65C246D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供保要求</w:t>
            </w:r>
          </w:p>
        </w:tc>
        <w:tc>
          <w:tcPr>
            <w:tcW w:w="1089" w:type="dxa"/>
            <w:vMerge w:val="continue"/>
            <w:shd w:val="clear" w:color="auto" w:fill="FFFFFF"/>
            <w:vAlign w:val="center"/>
          </w:tcPr>
          <w:p w14:paraId="44E88621">
            <w:pPr>
              <w:widowControl/>
              <w:jc w:val="left"/>
              <w:rPr>
                <w:rFonts w:asciiTheme="minorEastAsia" w:hAnsiTheme="minorEastAsia" w:eastAsiaTheme="minorEastAsia" w:cstheme="minorEastAsia"/>
                <w:kern w:val="0"/>
                <w:sz w:val="24"/>
              </w:rPr>
            </w:pPr>
          </w:p>
        </w:tc>
        <w:tc>
          <w:tcPr>
            <w:tcW w:w="1500" w:type="dxa"/>
            <w:shd w:val="clear" w:color="auto" w:fill="FFFFFF"/>
            <w:vAlign w:val="center"/>
          </w:tcPr>
          <w:p w14:paraId="6CB6CFE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★供应能力证明</w:t>
            </w:r>
          </w:p>
        </w:tc>
        <w:tc>
          <w:tcPr>
            <w:tcW w:w="3997" w:type="dxa"/>
            <w:shd w:val="clear" w:color="auto" w:fill="FFFFFF"/>
            <w:vAlign w:val="center"/>
          </w:tcPr>
          <w:p w14:paraId="21EA079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b/>
                <w:bCs/>
                <w:kern w:val="0"/>
                <w:sz w:val="24"/>
              </w:rPr>
              <w:t>供应商提供供应链稳定承诺书，确保产品的部件在产品服务周期内稳定供货（需提供加盖投标人公章的承诺书，否则作无效投标处理）</w:t>
            </w:r>
          </w:p>
        </w:tc>
        <w:tc>
          <w:tcPr>
            <w:tcW w:w="1344" w:type="dxa"/>
            <w:shd w:val="clear" w:color="auto" w:fill="FFFFFF"/>
            <w:vAlign w:val="center"/>
          </w:tcPr>
          <w:p w14:paraId="7D0265E0">
            <w:pPr>
              <w:widowControl/>
              <w:jc w:val="center"/>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kern w:val="0"/>
                <w:sz w:val="24"/>
              </w:rPr>
              <w:t>是</w:t>
            </w:r>
          </w:p>
        </w:tc>
      </w:tr>
      <w:tr w14:paraId="75EFE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24" w:type="dxa"/>
            <w:shd w:val="clear" w:color="auto" w:fill="FFFFFF"/>
            <w:vAlign w:val="center"/>
          </w:tcPr>
          <w:p w14:paraId="4694001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146</w:t>
            </w:r>
          </w:p>
        </w:tc>
        <w:tc>
          <w:tcPr>
            <w:tcW w:w="981" w:type="dxa"/>
            <w:shd w:val="clear" w:color="auto" w:fill="FFFFFF"/>
            <w:vAlign w:val="center"/>
          </w:tcPr>
          <w:p w14:paraId="6115254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shd w:val="clear" w:color="auto" w:fill="FFFFFF"/>
            <w:vAlign w:val="center"/>
          </w:tcPr>
          <w:p w14:paraId="262585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I/O扩展性</w:t>
            </w:r>
          </w:p>
        </w:tc>
        <w:tc>
          <w:tcPr>
            <w:tcW w:w="1500" w:type="dxa"/>
            <w:shd w:val="clear" w:color="auto" w:fill="FFFFFF"/>
            <w:vAlign w:val="center"/>
          </w:tcPr>
          <w:p w14:paraId="264286B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#I/O扩展性</w:t>
            </w:r>
          </w:p>
        </w:tc>
        <w:tc>
          <w:tcPr>
            <w:tcW w:w="3997" w:type="dxa"/>
            <w:shd w:val="clear" w:color="auto" w:fill="FFFFFF"/>
            <w:vAlign w:val="center"/>
          </w:tcPr>
          <w:p w14:paraId="2F8B45C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主板集成≥2个千兆以太网接口（RJ45），采用国产网络芯片</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需提供官方产品彩页或技术白皮书</w:t>
            </w:r>
            <w:r>
              <w:rPr>
                <w:rFonts w:hint="eastAsia" w:asciiTheme="minorEastAsia" w:hAnsiTheme="minorEastAsia" w:eastAsiaTheme="minorEastAsia" w:cstheme="minorEastAsia"/>
                <w:kern w:val="0"/>
                <w:sz w:val="24"/>
              </w:rPr>
              <w:t>；</w:t>
            </w:r>
          </w:p>
        </w:tc>
        <w:tc>
          <w:tcPr>
            <w:tcW w:w="1344" w:type="dxa"/>
            <w:shd w:val="clear" w:color="auto" w:fill="FFFFFF"/>
            <w:vAlign w:val="center"/>
          </w:tcPr>
          <w:p w14:paraId="66FB07D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4494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7D37473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147</w:t>
            </w:r>
          </w:p>
        </w:tc>
        <w:tc>
          <w:tcPr>
            <w:tcW w:w="981" w:type="dxa"/>
            <w:shd w:val="clear" w:color="auto" w:fill="FFFFFF"/>
            <w:vAlign w:val="center"/>
          </w:tcPr>
          <w:p w14:paraId="6DCB410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shd w:val="clear" w:color="auto" w:fill="FFFFFF"/>
            <w:noWrap/>
            <w:vAlign w:val="center"/>
          </w:tcPr>
          <w:p w14:paraId="48DFAD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磁盘扩展性</w:t>
            </w:r>
          </w:p>
        </w:tc>
        <w:tc>
          <w:tcPr>
            <w:tcW w:w="1500" w:type="dxa"/>
            <w:shd w:val="clear" w:color="auto" w:fill="FFFFFF"/>
            <w:vAlign w:val="center"/>
          </w:tcPr>
          <w:p w14:paraId="4B5F329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支持的磁盘数量和类型</w:t>
            </w:r>
          </w:p>
        </w:tc>
        <w:tc>
          <w:tcPr>
            <w:tcW w:w="3997" w:type="dxa"/>
            <w:shd w:val="clear" w:color="auto" w:fill="FFFFFF"/>
            <w:vAlign w:val="center"/>
          </w:tcPr>
          <w:p w14:paraId="56DF81E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机型最大支持≥20块3.5英寸硬盘； 机型最大支持≥24块NVMe SSD硬盘； 机型支持≥2块M.2 SSD硬盘。</w:t>
            </w:r>
          </w:p>
        </w:tc>
        <w:tc>
          <w:tcPr>
            <w:tcW w:w="1344" w:type="dxa"/>
            <w:shd w:val="clear" w:color="auto" w:fill="FFFFFF"/>
            <w:vAlign w:val="center"/>
          </w:tcPr>
          <w:p w14:paraId="58B24B3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EA74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627C93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148</w:t>
            </w:r>
          </w:p>
        </w:tc>
        <w:tc>
          <w:tcPr>
            <w:tcW w:w="981" w:type="dxa"/>
            <w:shd w:val="clear" w:color="auto" w:fill="FFFFFF"/>
            <w:vAlign w:val="center"/>
          </w:tcPr>
          <w:p w14:paraId="298E1C6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1089" w:type="dxa"/>
            <w:shd w:val="clear" w:color="auto" w:fill="FFFFFF"/>
            <w:noWrap/>
            <w:vAlign w:val="center"/>
          </w:tcPr>
          <w:p w14:paraId="59442AF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维护性</w:t>
            </w:r>
          </w:p>
        </w:tc>
        <w:tc>
          <w:tcPr>
            <w:tcW w:w="1500" w:type="dxa"/>
            <w:shd w:val="clear" w:color="auto" w:fill="FFFFFF"/>
            <w:vAlign w:val="center"/>
          </w:tcPr>
          <w:p w14:paraId="1BAAE23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易维护性</w:t>
            </w:r>
          </w:p>
        </w:tc>
        <w:tc>
          <w:tcPr>
            <w:tcW w:w="3997" w:type="dxa"/>
            <w:shd w:val="clear" w:color="auto" w:fill="FFFFFF"/>
            <w:vAlign w:val="center"/>
          </w:tcPr>
          <w:p w14:paraId="5146412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配置双UID指示灯（前后面板各1个），可通过BMC或UID按键点亮UID指示灯，快速定位服务器。</w:t>
            </w:r>
          </w:p>
        </w:tc>
        <w:tc>
          <w:tcPr>
            <w:tcW w:w="1344" w:type="dxa"/>
            <w:shd w:val="clear" w:color="auto" w:fill="FFFFFF"/>
            <w:vAlign w:val="center"/>
          </w:tcPr>
          <w:p w14:paraId="49F3F95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7489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27FE608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149</w:t>
            </w:r>
          </w:p>
        </w:tc>
        <w:tc>
          <w:tcPr>
            <w:tcW w:w="981" w:type="dxa"/>
            <w:shd w:val="clear" w:color="auto" w:fill="FFFFFF"/>
            <w:vAlign w:val="center"/>
          </w:tcPr>
          <w:p w14:paraId="6256E00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89" w:type="dxa"/>
            <w:shd w:val="clear" w:color="auto" w:fill="FFFFFF"/>
            <w:noWrap/>
            <w:vAlign w:val="center"/>
          </w:tcPr>
          <w:p w14:paraId="66D76C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中央处理器</w:t>
            </w:r>
          </w:p>
        </w:tc>
        <w:tc>
          <w:tcPr>
            <w:tcW w:w="1500" w:type="dxa"/>
            <w:shd w:val="clear" w:color="auto" w:fill="FFFFFF"/>
            <w:vAlign w:val="center"/>
          </w:tcPr>
          <w:p w14:paraId="6DEC9D8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加解密功能</w:t>
            </w:r>
          </w:p>
        </w:tc>
        <w:tc>
          <w:tcPr>
            <w:tcW w:w="3997" w:type="dxa"/>
            <w:shd w:val="clear" w:color="auto" w:fill="FFFFFF"/>
            <w:vAlign w:val="center"/>
          </w:tcPr>
          <w:p w14:paraId="0FD27EE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投标产品所配备的CPU（中央处理器）支持TEE可信执行环境，实现虚拟机在内存读写时的自动加解密功能。</w:t>
            </w:r>
          </w:p>
        </w:tc>
        <w:tc>
          <w:tcPr>
            <w:tcW w:w="1344" w:type="dxa"/>
            <w:shd w:val="clear" w:color="auto" w:fill="FFFFFF"/>
            <w:vAlign w:val="center"/>
          </w:tcPr>
          <w:p w14:paraId="27C4CEA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E105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0823D9D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150</w:t>
            </w:r>
          </w:p>
        </w:tc>
        <w:tc>
          <w:tcPr>
            <w:tcW w:w="981" w:type="dxa"/>
            <w:shd w:val="clear" w:color="auto" w:fill="FFFFFF"/>
            <w:vAlign w:val="center"/>
          </w:tcPr>
          <w:p w14:paraId="0AAE598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89" w:type="dxa"/>
            <w:shd w:val="clear" w:color="auto" w:fill="FFFFFF"/>
            <w:noWrap/>
            <w:vAlign w:val="center"/>
          </w:tcPr>
          <w:p w14:paraId="503C5C8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中央处理器</w:t>
            </w:r>
          </w:p>
        </w:tc>
        <w:tc>
          <w:tcPr>
            <w:tcW w:w="1500" w:type="dxa"/>
            <w:shd w:val="clear" w:color="auto" w:fill="FFFFFF"/>
            <w:vAlign w:val="center"/>
          </w:tcPr>
          <w:p w14:paraId="62722E2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超线程技术</w:t>
            </w:r>
          </w:p>
        </w:tc>
        <w:tc>
          <w:tcPr>
            <w:tcW w:w="3997" w:type="dxa"/>
            <w:shd w:val="clear" w:color="auto" w:fill="FFFFFF"/>
            <w:vAlign w:val="center"/>
          </w:tcPr>
          <w:p w14:paraId="0A52381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shd w:val="clear" w:color="auto" w:fill="FFFFFF" w:themeFill="background1"/>
              </w:rPr>
              <w:t>产品所配备的CPU（中央处理器）需支持且配置超线程技术；</w:t>
            </w:r>
          </w:p>
        </w:tc>
        <w:tc>
          <w:tcPr>
            <w:tcW w:w="1344" w:type="dxa"/>
            <w:shd w:val="clear" w:color="auto" w:fill="FFFFFF"/>
            <w:vAlign w:val="center"/>
          </w:tcPr>
          <w:p w14:paraId="191994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0731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7D6A0D6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151</w:t>
            </w:r>
          </w:p>
        </w:tc>
        <w:tc>
          <w:tcPr>
            <w:tcW w:w="981" w:type="dxa"/>
            <w:shd w:val="clear" w:color="auto" w:fill="FFFFFF"/>
            <w:noWrap/>
            <w:vAlign w:val="center"/>
          </w:tcPr>
          <w:p w14:paraId="3B3397E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89" w:type="dxa"/>
            <w:shd w:val="clear" w:color="auto" w:fill="FFFFFF"/>
            <w:noWrap/>
            <w:vAlign w:val="center"/>
          </w:tcPr>
          <w:p w14:paraId="026E4A4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00" w:type="dxa"/>
            <w:shd w:val="clear" w:color="auto" w:fill="FFFFFF"/>
            <w:vAlign w:val="center"/>
          </w:tcPr>
          <w:p w14:paraId="6EC54A0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★授权</w:t>
            </w:r>
          </w:p>
        </w:tc>
        <w:tc>
          <w:tcPr>
            <w:tcW w:w="3997" w:type="dxa"/>
            <w:shd w:val="clear" w:color="auto" w:fill="FFFFFF"/>
            <w:vAlign w:val="center"/>
          </w:tcPr>
          <w:p w14:paraId="26068D4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配置软件授权（包含≥2颗物理CPU或≥1台物理服务器授权），具备计算虚拟化、存储虚拟化、网络虚拟化功能；</w:t>
            </w:r>
          </w:p>
        </w:tc>
        <w:tc>
          <w:tcPr>
            <w:tcW w:w="1344" w:type="dxa"/>
            <w:shd w:val="clear" w:color="auto" w:fill="FFFFFF"/>
            <w:vAlign w:val="center"/>
          </w:tcPr>
          <w:p w14:paraId="631DA96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F905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24" w:type="dxa"/>
            <w:shd w:val="clear" w:color="auto" w:fill="FFFFFF"/>
            <w:vAlign w:val="center"/>
          </w:tcPr>
          <w:p w14:paraId="6F7336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152</w:t>
            </w:r>
          </w:p>
        </w:tc>
        <w:tc>
          <w:tcPr>
            <w:tcW w:w="981" w:type="dxa"/>
            <w:shd w:val="clear" w:color="auto" w:fill="FFFFFF"/>
            <w:noWrap/>
            <w:vAlign w:val="center"/>
          </w:tcPr>
          <w:p w14:paraId="7A78721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89" w:type="dxa"/>
            <w:shd w:val="clear" w:color="auto" w:fill="FFFFFF"/>
            <w:noWrap/>
            <w:vAlign w:val="center"/>
          </w:tcPr>
          <w:p w14:paraId="25246FB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00" w:type="dxa"/>
            <w:shd w:val="clear" w:color="auto" w:fill="FFFFFF"/>
            <w:vAlign w:val="center"/>
          </w:tcPr>
          <w:p w14:paraId="6E2D965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97" w:type="dxa"/>
            <w:shd w:val="clear" w:color="auto" w:fill="FFFFFF"/>
            <w:vAlign w:val="center"/>
          </w:tcPr>
          <w:p w14:paraId="29BE553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软件的代码自主率大于99%（按行数和文件数统计均不低于99%），同时为保证检测产品的代码完整性，要求代码检测量在100万以上；</w:t>
            </w:r>
          </w:p>
        </w:tc>
        <w:tc>
          <w:tcPr>
            <w:tcW w:w="1344" w:type="dxa"/>
            <w:shd w:val="clear" w:color="auto" w:fill="FFFFFF"/>
            <w:vAlign w:val="center"/>
          </w:tcPr>
          <w:p w14:paraId="5FA0FB8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AA36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24" w:type="dxa"/>
            <w:shd w:val="clear" w:color="auto" w:fill="FFFFFF"/>
            <w:vAlign w:val="center"/>
          </w:tcPr>
          <w:p w14:paraId="50F4B6E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153</w:t>
            </w:r>
          </w:p>
        </w:tc>
        <w:tc>
          <w:tcPr>
            <w:tcW w:w="981" w:type="dxa"/>
            <w:shd w:val="clear" w:color="auto" w:fill="FFFFFF"/>
            <w:noWrap/>
            <w:vAlign w:val="center"/>
          </w:tcPr>
          <w:p w14:paraId="74A18C3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89" w:type="dxa"/>
            <w:shd w:val="clear" w:color="auto" w:fill="FFFFFF"/>
            <w:noWrap/>
            <w:vAlign w:val="center"/>
          </w:tcPr>
          <w:p w14:paraId="3B8AC2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00" w:type="dxa"/>
            <w:shd w:val="clear" w:color="auto" w:fill="FFFFFF"/>
            <w:vAlign w:val="center"/>
          </w:tcPr>
          <w:p w14:paraId="08044A3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97" w:type="dxa"/>
            <w:shd w:val="clear" w:color="auto" w:fill="FFFFFF"/>
            <w:vAlign w:val="center"/>
          </w:tcPr>
          <w:p w14:paraId="2D58D92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为提升平台虚拟机的部署密度，有效降低硬件部署成本，超融合平台应支持对集群主机内存的分层设置，基于冷热分层实现内存超分，最大超分比≥10倍；虚拟机可按需一键开启或关闭内存超分；</w:t>
            </w:r>
          </w:p>
        </w:tc>
        <w:tc>
          <w:tcPr>
            <w:tcW w:w="1344" w:type="dxa"/>
            <w:shd w:val="clear" w:color="auto" w:fill="FFFFFF"/>
            <w:vAlign w:val="center"/>
          </w:tcPr>
          <w:p w14:paraId="5EEB5E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2FB1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37522F0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154</w:t>
            </w:r>
          </w:p>
        </w:tc>
        <w:tc>
          <w:tcPr>
            <w:tcW w:w="981" w:type="dxa"/>
            <w:shd w:val="clear" w:color="auto" w:fill="FFFFFF"/>
            <w:noWrap/>
            <w:vAlign w:val="center"/>
          </w:tcPr>
          <w:p w14:paraId="18D4173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89" w:type="dxa"/>
            <w:shd w:val="clear" w:color="auto" w:fill="FFFFFF"/>
            <w:noWrap/>
            <w:vAlign w:val="center"/>
          </w:tcPr>
          <w:p w14:paraId="637C93D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00" w:type="dxa"/>
            <w:shd w:val="clear" w:color="auto" w:fill="FFFFFF"/>
            <w:vAlign w:val="center"/>
          </w:tcPr>
          <w:p w14:paraId="58F7260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97" w:type="dxa"/>
            <w:shd w:val="clear" w:color="auto" w:fill="FFFFFF"/>
            <w:vAlign w:val="center"/>
          </w:tcPr>
          <w:p w14:paraId="3D1520D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支持物理机的全部功能。如：具有自己的资源（CPU，内存，网卡，存储、软驱、光驱、显卡等），可以指定单独的IP地址、MAC地址等；</w:t>
            </w:r>
          </w:p>
        </w:tc>
        <w:tc>
          <w:tcPr>
            <w:tcW w:w="1344" w:type="dxa"/>
            <w:shd w:val="clear" w:color="auto" w:fill="FFFFFF"/>
            <w:vAlign w:val="center"/>
          </w:tcPr>
          <w:p w14:paraId="6AE4520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33D8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497516B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155</w:t>
            </w:r>
          </w:p>
        </w:tc>
        <w:tc>
          <w:tcPr>
            <w:tcW w:w="981" w:type="dxa"/>
            <w:shd w:val="clear" w:color="auto" w:fill="FFFFFF"/>
            <w:noWrap/>
            <w:vAlign w:val="center"/>
          </w:tcPr>
          <w:p w14:paraId="519CAD9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89" w:type="dxa"/>
            <w:shd w:val="clear" w:color="auto" w:fill="FFFFFF"/>
            <w:noWrap/>
            <w:vAlign w:val="center"/>
          </w:tcPr>
          <w:p w14:paraId="0717526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00" w:type="dxa"/>
            <w:shd w:val="clear" w:color="auto" w:fill="FFFFFF"/>
            <w:vAlign w:val="center"/>
          </w:tcPr>
          <w:p w14:paraId="0B1696D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97" w:type="dxa"/>
            <w:shd w:val="clear" w:color="auto" w:fill="FFFFFF"/>
            <w:vAlign w:val="center"/>
          </w:tcPr>
          <w:p w14:paraId="4A11796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提供B/S和C/S两种虚拟机控制台使用方式，C/S客户端无任何授权限制，支持本地文件托拉拽到虚拟机内部且支持和本地共享粘贴板；</w:t>
            </w:r>
          </w:p>
        </w:tc>
        <w:tc>
          <w:tcPr>
            <w:tcW w:w="1344" w:type="dxa"/>
            <w:shd w:val="clear" w:color="auto" w:fill="FFFFFF"/>
            <w:vAlign w:val="center"/>
          </w:tcPr>
          <w:p w14:paraId="0A6016C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2C15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24" w:type="dxa"/>
            <w:shd w:val="clear" w:color="auto" w:fill="FFFFFF"/>
            <w:vAlign w:val="center"/>
          </w:tcPr>
          <w:p w14:paraId="7F1FCEF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156</w:t>
            </w:r>
          </w:p>
        </w:tc>
        <w:tc>
          <w:tcPr>
            <w:tcW w:w="981" w:type="dxa"/>
            <w:shd w:val="clear" w:color="auto" w:fill="FFFFFF"/>
            <w:noWrap/>
            <w:vAlign w:val="center"/>
          </w:tcPr>
          <w:p w14:paraId="16E266A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89" w:type="dxa"/>
            <w:shd w:val="clear" w:color="auto" w:fill="FFFFFF"/>
            <w:noWrap/>
            <w:vAlign w:val="center"/>
          </w:tcPr>
          <w:p w14:paraId="1722D62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00" w:type="dxa"/>
            <w:shd w:val="clear" w:color="auto" w:fill="FFFFFF"/>
            <w:vAlign w:val="center"/>
          </w:tcPr>
          <w:p w14:paraId="2A0598D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97" w:type="dxa"/>
            <w:shd w:val="clear" w:color="auto" w:fill="FFFFFF"/>
            <w:vAlign w:val="center"/>
          </w:tcPr>
          <w:p w14:paraId="3B2719D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虚拟机和裸金属服务器统一管理，支持对裸金属服务器远程电源管理、挂载安装ISO镜像等操作，可将虚拟机镜像部署为裸金属服务器操作系统，可查看裸金属服务器电源状态、CPU、内存、硬盘等硬件信息，支持打开裸金属服务器控制台进行运维操作；</w:t>
            </w:r>
          </w:p>
        </w:tc>
        <w:tc>
          <w:tcPr>
            <w:tcW w:w="1344" w:type="dxa"/>
            <w:shd w:val="clear" w:color="auto" w:fill="FFFFFF"/>
            <w:vAlign w:val="center"/>
          </w:tcPr>
          <w:p w14:paraId="3236FD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43EC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24" w:type="dxa"/>
            <w:shd w:val="clear" w:color="auto" w:fill="FFFFFF"/>
            <w:vAlign w:val="center"/>
          </w:tcPr>
          <w:p w14:paraId="0D9B726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157</w:t>
            </w:r>
          </w:p>
        </w:tc>
        <w:tc>
          <w:tcPr>
            <w:tcW w:w="981" w:type="dxa"/>
            <w:shd w:val="clear" w:color="auto" w:fill="FFFFFF"/>
            <w:noWrap/>
            <w:vAlign w:val="center"/>
          </w:tcPr>
          <w:p w14:paraId="4B779C3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89" w:type="dxa"/>
            <w:shd w:val="clear" w:color="auto" w:fill="FFFFFF"/>
            <w:noWrap/>
            <w:vAlign w:val="center"/>
          </w:tcPr>
          <w:p w14:paraId="4A3615E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00" w:type="dxa"/>
            <w:shd w:val="clear" w:color="auto" w:fill="FFFFFF"/>
            <w:vAlign w:val="center"/>
          </w:tcPr>
          <w:p w14:paraId="73893CF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97" w:type="dxa"/>
            <w:shd w:val="clear" w:color="auto" w:fill="FFFFFF"/>
            <w:vAlign w:val="center"/>
          </w:tcPr>
          <w:p w14:paraId="5007F30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支持在线跨云迁移功能，在管理界面内将其它站点虚拟机不中断的迁移到超融合平台内，跨云迁移的站点包括但不限于vSphere、投标品牌虚拟化平台等，迁移过程无需手动关机和重启操作</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44" w:type="dxa"/>
            <w:shd w:val="clear" w:color="auto" w:fill="FFFFFF"/>
            <w:vAlign w:val="center"/>
          </w:tcPr>
          <w:p w14:paraId="46FE3B8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1E311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6929E63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158</w:t>
            </w:r>
          </w:p>
        </w:tc>
        <w:tc>
          <w:tcPr>
            <w:tcW w:w="981" w:type="dxa"/>
            <w:shd w:val="clear" w:color="auto" w:fill="FFFFFF"/>
            <w:noWrap/>
            <w:vAlign w:val="center"/>
          </w:tcPr>
          <w:p w14:paraId="799D357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89" w:type="dxa"/>
            <w:shd w:val="clear" w:color="auto" w:fill="FFFFFF"/>
            <w:noWrap/>
            <w:vAlign w:val="center"/>
          </w:tcPr>
          <w:p w14:paraId="78CE23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00" w:type="dxa"/>
            <w:shd w:val="clear" w:color="auto" w:fill="FFFFFF"/>
            <w:vAlign w:val="center"/>
          </w:tcPr>
          <w:p w14:paraId="7A4AD97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97" w:type="dxa"/>
            <w:shd w:val="clear" w:color="auto" w:fill="FFFFFF"/>
            <w:vAlign w:val="center"/>
          </w:tcPr>
          <w:p w14:paraId="1413E61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提供云边协同管理功能，支持中心站点分发应用至各个边缘站点，可一键将中心站点已部署配置完毕的应用虚拟机迁移至各边缘站点，支持基于GIS技术的全局站点展示视图，实时查看各站点资源状态</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44" w:type="dxa"/>
            <w:shd w:val="clear" w:color="auto" w:fill="FFFFFF"/>
            <w:vAlign w:val="center"/>
          </w:tcPr>
          <w:p w14:paraId="4B1F291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2C938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1E301E6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159</w:t>
            </w:r>
          </w:p>
        </w:tc>
        <w:tc>
          <w:tcPr>
            <w:tcW w:w="981" w:type="dxa"/>
            <w:shd w:val="clear" w:color="auto" w:fill="FFFFFF"/>
            <w:noWrap/>
            <w:vAlign w:val="center"/>
          </w:tcPr>
          <w:p w14:paraId="4170DF1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89" w:type="dxa"/>
            <w:shd w:val="clear" w:color="auto" w:fill="FFFFFF"/>
            <w:noWrap/>
            <w:vAlign w:val="center"/>
          </w:tcPr>
          <w:p w14:paraId="0326E59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00" w:type="dxa"/>
            <w:shd w:val="clear" w:color="auto" w:fill="FFFFFF"/>
            <w:vAlign w:val="center"/>
          </w:tcPr>
          <w:p w14:paraId="580F690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97" w:type="dxa"/>
            <w:shd w:val="clear" w:color="auto" w:fill="FFFFFF"/>
            <w:vAlign w:val="center"/>
          </w:tcPr>
          <w:p w14:paraId="32D40E5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提供无授权限制的备份功能，支持虚拟机CBT模式备份，支持周期性备份和批量备份功能，备份策略可细化到分钟级，支持恢复过程中对虚拟机进行配置</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44" w:type="dxa"/>
            <w:shd w:val="clear" w:color="auto" w:fill="FFFFFF"/>
            <w:vAlign w:val="center"/>
          </w:tcPr>
          <w:p w14:paraId="278915D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31F6B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24" w:type="dxa"/>
            <w:shd w:val="clear" w:color="auto" w:fill="FFFFFF"/>
            <w:vAlign w:val="center"/>
          </w:tcPr>
          <w:p w14:paraId="7DE573B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160</w:t>
            </w:r>
          </w:p>
        </w:tc>
        <w:tc>
          <w:tcPr>
            <w:tcW w:w="981" w:type="dxa"/>
            <w:shd w:val="clear" w:color="auto" w:fill="FFFFFF"/>
            <w:noWrap/>
            <w:vAlign w:val="center"/>
          </w:tcPr>
          <w:p w14:paraId="1A1C5A6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89" w:type="dxa"/>
            <w:shd w:val="clear" w:color="auto" w:fill="FFFFFF"/>
            <w:noWrap/>
            <w:vAlign w:val="center"/>
          </w:tcPr>
          <w:p w14:paraId="0EDB756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00" w:type="dxa"/>
            <w:shd w:val="clear" w:color="auto" w:fill="FFFFFF"/>
            <w:vAlign w:val="center"/>
          </w:tcPr>
          <w:p w14:paraId="69CCB29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97" w:type="dxa"/>
            <w:shd w:val="clear" w:color="auto" w:fill="FFFFFF"/>
            <w:vAlign w:val="center"/>
          </w:tcPr>
          <w:p w14:paraId="0EBCFEF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常见的虚拟资源和物理资源报警，包括但不限于CPU、内存、网卡和硬盘等资源；平台支持不同类型的报警级别，不同级别的报警需要发出对应级别的报警消息；支持邮件、短信、微信、钉钉、Teams及webhook等工具接收告警消息；</w:t>
            </w:r>
          </w:p>
        </w:tc>
        <w:tc>
          <w:tcPr>
            <w:tcW w:w="1344" w:type="dxa"/>
            <w:shd w:val="clear" w:color="auto" w:fill="FFFFFF"/>
            <w:vAlign w:val="center"/>
          </w:tcPr>
          <w:p w14:paraId="7F59A5C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F94E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24" w:type="dxa"/>
            <w:shd w:val="clear" w:color="auto" w:fill="FFFFFF"/>
            <w:vAlign w:val="center"/>
          </w:tcPr>
          <w:p w14:paraId="71F8C5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161</w:t>
            </w:r>
          </w:p>
        </w:tc>
        <w:tc>
          <w:tcPr>
            <w:tcW w:w="981" w:type="dxa"/>
            <w:shd w:val="clear" w:color="auto" w:fill="FFFFFF"/>
            <w:noWrap/>
            <w:vAlign w:val="center"/>
          </w:tcPr>
          <w:p w14:paraId="0CDA1BA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89" w:type="dxa"/>
            <w:shd w:val="clear" w:color="auto" w:fill="FFFFFF"/>
            <w:noWrap/>
            <w:vAlign w:val="center"/>
          </w:tcPr>
          <w:p w14:paraId="141FF16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00" w:type="dxa"/>
            <w:shd w:val="clear" w:color="auto" w:fill="FFFFFF"/>
            <w:vAlign w:val="center"/>
          </w:tcPr>
          <w:p w14:paraId="234BB28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3997" w:type="dxa"/>
            <w:shd w:val="clear" w:color="auto" w:fill="FFFFFF"/>
            <w:vAlign w:val="center"/>
          </w:tcPr>
          <w:p w14:paraId="69A93C2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支持虚拟机启动、重置密码、暂停、恢复、重启、关闭、快速克隆、迁移、备份、模板导入导出、快照等功能，支持嵌套虚拟化；</w:t>
            </w:r>
          </w:p>
        </w:tc>
        <w:tc>
          <w:tcPr>
            <w:tcW w:w="1344" w:type="dxa"/>
            <w:shd w:val="clear" w:color="auto" w:fill="FFFFFF"/>
            <w:vAlign w:val="center"/>
          </w:tcPr>
          <w:p w14:paraId="2030298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EE4E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544FBA7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162</w:t>
            </w:r>
          </w:p>
        </w:tc>
        <w:tc>
          <w:tcPr>
            <w:tcW w:w="981" w:type="dxa"/>
            <w:shd w:val="clear" w:color="auto" w:fill="FFFFFF"/>
            <w:noWrap/>
            <w:vAlign w:val="center"/>
          </w:tcPr>
          <w:p w14:paraId="3013FC8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89" w:type="dxa"/>
            <w:shd w:val="clear" w:color="auto" w:fill="FFFFFF"/>
            <w:noWrap/>
            <w:vAlign w:val="center"/>
          </w:tcPr>
          <w:p w14:paraId="2C764A6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00" w:type="dxa"/>
            <w:shd w:val="clear" w:color="auto" w:fill="FFFFFF"/>
            <w:vAlign w:val="center"/>
          </w:tcPr>
          <w:p w14:paraId="43B12DF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3997" w:type="dxa"/>
            <w:shd w:val="clear" w:color="auto" w:fill="FFFFFF"/>
            <w:vAlign w:val="center"/>
          </w:tcPr>
          <w:p w14:paraId="03AE048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支持虚拟机故障HA功能，可配置HA接入控制策略，HA最大尝试次数，且支持HA故障切换主机设置，达到故障隔离的效果，并支持配置虚拟机自启动策略和启动优先级；</w:t>
            </w:r>
          </w:p>
        </w:tc>
        <w:tc>
          <w:tcPr>
            <w:tcW w:w="1344" w:type="dxa"/>
            <w:shd w:val="clear" w:color="auto" w:fill="FFFFFF"/>
            <w:vAlign w:val="center"/>
          </w:tcPr>
          <w:p w14:paraId="7FF7B35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0790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0872FA4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163</w:t>
            </w:r>
          </w:p>
        </w:tc>
        <w:tc>
          <w:tcPr>
            <w:tcW w:w="981" w:type="dxa"/>
            <w:shd w:val="clear" w:color="auto" w:fill="FFFFFF"/>
            <w:noWrap/>
            <w:vAlign w:val="center"/>
          </w:tcPr>
          <w:p w14:paraId="5C04F62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89" w:type="dxa"/>
            <w:shd w:val="clear" w:color="auto" w:fill="FFFFFF"/>
            <w:noWrap/>
            <w:vAlign w:val="center"/>
          </w:tcPr>
          <w:p w14:paraId="5A969C5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00" w:type="dxa"/>
            <w:shd w:val="clear" w:color="auto" w:fill="FFFFFF"/>
            <w:vAlign w:val="center"/>
          </w:tcPr>
          <w:p w14:paraId="29830BE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3997" w:type="dxa"/>
            <w:shd w:val="clear" w:color="auto" w:fill="FFFFFF"/>
            <w:vAlign w:val="center"/>
          </w:tcPr>
          <w:p w14:paraId="4CF63C3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 xml:space="preserve">虚拟机支持添加串口、双显卡、USB、看门狗、FPGA、自定义PCI等设备以适配丰富的应用需求，虚拟机添加串口设备支持以telnet、网络客户端、网络服务端等模式登录并支持指定telnet端口号； </w:t>
            </w:r>
          </w:p>
        </w:tc>
        <w:tc>
          <w:tcPr>
            <w:tcW w:w="1344" w:type="dxa"/>
            <w:shd w:val="clear" w:color="auto" w:fill="FFFFFF"/>
            <w:vAlign w:val="center"/>
          </w:tcPr>
          <w:p w14:paraId="641855C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0349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24" w:type="dxa"/>
            <w:shd w:val="clear" w:color="auto" w:fill="FFFFFF"/>
            <w:vAlign w:val="center"/>
          </w:tcPr>
          <w:p w14:paraId="59836C9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164</w:t>
            </w:r>
          </w:p>
        </w:tc>
        <w:tc>
          <w:tcPr>
            <w:tcW w:w="981" w:type="dxa"/>
            <w:shd w:val="clear" w:color="auto" w:fill="FFFFFF"/>
            <w:noWrap/>
            <w:vAlign w:val="center"/>
          </w:tcPr>
          <w:p w14:paraId="09BED09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89" w:type="dxa"/>
            <w:shd w:val="clear" w:color="auto" w:fill="FFFFFF"/>
            <w:noWrap/>
            <w:vAlign w:val="center"/>
          </w:tcPr>
          <w:p w14:paraId="178053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00" w:type="dxa"/>
            <w:shd w:val="clear" w:color="auto" w:fill="FFFFFF"/>
            <w:vAlign w:val="center"/>
          </w:tcPr>
          <w:p w14:paraId="4BD3D76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3997" w:type="dxa"/>
            <w:shd w:val="clear" w:color="auto" w:fill="FFFFFF"/>
            <w:vAlign w:val="center"/>
          </w:tcPr>
          <w:p w14:paraId="1E284C0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支持精细化的虚拟机迁移控制，可配置虚拟机迁移速度和虚拟机迁移带宽百分比，通过设置虚拟机迁移带宽百分比可调整虚拟机迁移时所占用的管理网带宽，保障用户业务正常运行；</w:t>
            </w:r>
          </w:p>
        </w:tc>
        <w:tc>
          <w:tcPr>
            <w:tcW w:w="1344" w:type="dxa"/>
            <w:shd w:val="clear" w:color="auto" w:fill="FFFFFF"/>
            <w:vAlign w:val="center"/>
          </w:tcPr>
          <w:p w14:paraId="327454F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830C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1D2B8F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165</w:t>
            </w:r>
          </w:p>
        </w:tc>
        <w:tc>
          <w:tcPr>
            <w:tcW w:w="981" w:type="dxa"/>
            <w:shd w:val="clear" w:color="auto" w:fill="FFFFFF"/>
            <w:noWrap/>
            <w:vAlign w:val="center"/>
          </w:tcPr>
          <w:p w14:paraId="7CBDEC7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89" w:type="dxa"/>
            <w:shd w:val="clear" w:color="auto" w:fill="FFFFFF"/>
            <w:noWrap/>
            <w:vAlign w:val="center"/>
          </w:tcPr>
          <w:p w14:paraId="5AD7E26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00" w:type="dxa"/>
            <w:shd w:val="clear" w:color="auto" w:fill="FFFFFF"/>
            <w:vAlign w:val="center"/>
          </w:tcPr>
          <w:p w14:paraId="07713C9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3997" w:type="dxa"/>
            <w:shd w:val="clear" w:color="auto" w:fill="FFFFFF"/>
            <w:vAlign w:val="center"/>
          </w:tcPr>
          <w:p w14:paraId="5015A4B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支持vAPP功能，可配置若干台虚拟机组成的应用组，可设置虚拟机启动顺序和启动间隔时间，可批量修改虚拟机组的参数；</w:t>
            </w:r>
          </w:p>
        </w:tc>
        <w:tc>
          <w:tcPr>
            <w:tcW w:w="1344" w:type="dxa"/>
            <w:shd w:val="clear" w:color="auto" w:fill="FFFFFF"/>
            <w:vAlign w:val="center"/>
          </w:tcPr>
          <w:p w14:paraId="25FFF4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C696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2B0123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166</w:t>
            </w:r>
          </w:p>
        </w:tc>
        <w:tc>
          <w:tcPr>
            <w:tcW w:w="981" w:type="dxa"/>
            <w:shd w:val="clear" w:color="auto" w:fill="FFFFFF"/>
            <w:noWrap/>
            <w:vAlign w:val="center"/>
          </w:tcPr>
          <w:p w14:paraId="286A9AE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89" w:type="dxa"/>
            <w:shd w:val="clear" w:color="auto" w:fill="FFFFFF"/>
            <w:noWrap/>
            <w:vAlign w:val="center"/>
          </w:tcPr>
          <w:p w14:paraId="1CBD776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00" w:type="dxa"/>
            <w:shd w:val="clear" w:color="auto" w:fill="FFFFFF"/>
            <w:vAlign w:val="center"/>
          </w:tcPr>
          <w:p w14:paraId="0F262A8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3997" w:type="dxa"/>
            <w:shd w:val="clear" w:color="auto" w:fill="FFFFFF"/>
            <w:vAlign w:val="center"/>
          </w:tcPr>
          <w:p w14:paraId="05C0FA0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支持一键开启和关闭数据中心内、集群内的所有虚拟机，并设置虚拟机跟随主机启动策略以及虚拟机启动优先级策略，方便机房搬迁或关电运维场景使用；</w:t>
            </w:r>
          </w:p>
        </w:tc>
        <w:tc>
          <w:tcPr>
            <w:tcW w:w="1344" w:type="dxa"/>
            <w:shd w:val="clear" w:color="auto" w:fill="FFFFFF"/>
            <w:vAlign w:val="center"/>
          </w:tcPr>
          <w:p w14:paraId="3A90312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190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7CAC8CC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167</w:t>
            </w:r>
          </w:p>
        </w:tc>
        <w:tc>
          <w:tcPr>
            <w:tcW w:w="981" w:type="dxa"/>
            <w:shd w:val="clear" w:color="auto" w:fill="FFFFFF"/>
            <w:noWrap/>
            <w:vAlign w:val="center"/>
          </w:tcPr>
          <w:p w14:paraId="76C73F3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89" w:type="dxa"/>
            <w:shd w:val="clear" w:color="auto" w:fill="FFFFFF"/>
            <w:noWrap/>
            <w:vAlign w:val="center"/>
          </w:tcPr>
          <w:p w14:paraId="3EF7CD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00" w:type="dxa"/>
            <w:shd w:val="clear" w:color="auto" w:fill="FFFFFF"/>
            <w:vAlign w:val="center"/>
          </w:tcPr>
          <w:p w14:paraId="205B3D5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存储虚拟化</w:t>
            </w:r>
          </w:p>
        </w:tc>
        <w:tc>
          <w:tcPr>
            <w:tcW w:w="3997" w:type="dxa"/>
            <w:shd w:val="clear" w:color="auto" w:fill="FFFFFF"/>
            <w:vAlign w:val="center"/>
          </w:tcPr>
          <w:p w14:paraId="7D12005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支持自定义存储策略，包括存储精简配置、存储白名单、自定义条带大小和条带数等。存储策略的颗粒度可以具体到存储卷（LUN）、虚拟机磁盘等，支持单虚拟机可配置不同副本和置备策略的虚拟磁盘；</w:t>
            </w:r>
          </w:p>
        </w:tc>
        <w:tc>
          <w:tcPr>
            <w:tcW w:w="1344" w:type="dxa"/>
            <w:shd w:val="clear" w:color="auto" w:fill="FFFFFF"/>
            <w:vAlign w:val="center"/>
          </w:tcPr>
          <w:p w14:paraId="6AFFB93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8368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330B38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168</w:t>
            </w:r>
          </w:p>
        </w:tc>
        <w:tc>
          <w:tcPr>
            <w:tcW w:w="981" w:type="dxa"/>
            <w:shd w:val="clear" w:color="auto" w:fill="FFFFFF"/>
            <w:noWrap/>
            <w:vAlign w:val="center"/>
          </w:tcPr>
          <w:p w14:paraId="154C12C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89" w:type="dxa"/>
            <w:shd w:val="clear" w:color="auto" w:fill="FFFFFF"/>
            <w:noWrap/>
            <w:vAlign w:val="center"/>
          </w:tcPr>
          <w:p w14:paraId="54B7657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00" w:type="dxa"/>
            <w:shd w:val="clear" w:color="auto" w:fill="FFFFFF"/>
            <w:vAlign w:val="center"/>
          </w:tcPr>
          <w:p w14:paraId="56D6169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存储虚拟化</w:t>
            </w:r>
          </w:p>
        </w:tc>
        <w:tc>
          <w:tcPr>
            <w:tcW w:w="3997" w:type="dxa"/>
            <w:shd w:val="clear" w:color="auto" w:fill="FFFFFF"/>
            <w:vAlign w:val="center"/>
          </w:tcPr>
          <w:p w14:paraId="1D3E339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机架感知，可提供基于服务器机架拓扑的存储副本智能分布功能，在超融合平台可以灵活编辑机架和主机拓扑，分布式存储根据拓扑结构自动调整数据副本分布策略，保证数据智能、均衡存储，避免出现由于单一机架的电源或网络故障造成的存储不可用和业务中断；</w:t>
            </w:r>
          </w:p>
        </w:tc>
        <w:tc>
          <w:tcPr>
            <w:tcW w:w="1344" w:type="dxa"/>
            <w:shd w:val="clear" w:color="auto" w:fill="FFFFFF"/>
            <w:vAlign w:val="center"/>
          </w:tcPr>
          <w:p w14:paraId="796337E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9428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24" w:type="dxa"/>
            <w:shd w:val="clear" w:color="auto" w:fill="FFFFFF"/>
            <w:vAlign w:val="center"/>
          </w:tcPr>
          <w:p w14:paraId="7CA7A4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169</w:t>
            </w:r>
          </w:p>
        </w:tc>
        <w:tc>
          <w:tcPr>
            <w:tcW w:w="981" w:type="dxa"/>
            <w:shd w:val="clear" w:color="auto" w:fill="FFFFFF"/>
            <w:noWrap/>
            <w:vAlign w:val="center"/>
          </w:tcPr>
          <w:p w14:paraId="587B967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89" w:type="dxa"/>
            <w:shd w:val="clear" w:color="auto" w:fill="FFFFFF"/>
            <w:noWrap/>
            <w:vAlign w:val="center"/>
          </w:tcPr>
          <w:p w14:paraId="59942E3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00" w:type="dxa"/>
            <w:shd w:val="clear" w:color="auto" w:fill="FFFFFF"/>
            <w:vAlign w:val="center"/>
          </w:tcPr>
          <w:p w14:paraId="43A565B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存储虚拟化</w:t>
            </w:r>
          </w:p>
        </w:tc>
        <w:tc>
          <w:tcPr>
            <w:tcW w:w="3997" w:type="dxa"/>
            <w:shd w:val="clear" w:color="auto" w:fill="FFFFFF"/>
            <w:vAlign w:val="center"/>
          </w:tcPr>
          <w:p w14:paraId="4C9085A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支持存储清理功能，可批量或单个扫描存储池，一键清理垃圾数据，节省物理资源；</w:t>
            </w:r>
          </w:p>
        </w:tc>
        <w:tc>
          <w:tcPr>
            <w:tcW w:w="1344" w:type="dxa"/>
            <w:shd w:val="clear" w:color="auto" w:fill="FFFFFF"/>
            <w:vAlign w:val="center"/>
          </w:tcPr>
          <w:p w14:paraId="48CEAB3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99D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76A693A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170</w:t>
            </w:r>
          </w:p>
        </w:tc>
        <w:tc>
          <w:tcPr>
            <w:tcW w:w="981" w:type="dxa"/>
            <w:shd w:val="clear" w:color="auto" w:fill="FFFFFF"/>
            <w:noWrap/>
            <w:vAlign w:val="center"/>
          </w:tcPr>
          <w:p w14:paraId="3B6DD90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89" w:type="dxa"/>
            <w:shd w:val="clear" w:color="auto" w:fill="FFFFFF"/>
            <w:noWrap/>
            <w:vAlign w:val="center"/>
          </w:tcPr>
          <w:p w14:paraId="44015FE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00" w:type="dxa"/>
            <w:shd w:val="clear" w:color="auto" w:fill="FFFFFF"/>
            <w:vAlign w:val="center"/>
          </w:tcPr>
          <w:p w14:paraId="2130199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网络虚拟化</w:t>
            </w:r>
          </w:p>
        </w:tc>
        <w:tc>
          <w:tcPr>
            <w:tcW w:w="3997" w:type="dxa"/>
            <w:shd w:val="clear" w:color="auto" w:fill="FFFFFF"/>
            <w:vAlign w:val="center"/>
          </w:tcPr>
          <w:p w14:paraId="754F432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提供全局分布式SDN功能，以避免SDN控制节点故障，提供分布式SDN硬件加速能力，可提供更高转发性能，SDN支持VLAN/VXLAN模式；</w:t>
            </w:r>
          </w:p>
        </w:tc>
        <w:tc>
          <w:tcPr>
            <w:tcW w:w="1344" w:type="dxa"/>
            <w:shd w:val="clear" w:color="auto" w:fill="FFFFFF"/>
            <w:vAlign w:val="center"/>
          </w:tcPr>
          <w:p w14:paraId="6663B02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9817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24" w:type="dxa"/>
            <w:shd w:val="clear" w:color="auto" w:fill="FFFFFF"/>
            <w:vAlign w:val="center"/>
          </w:tcPr>
          <w:p w14:paraId="211427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171</w:t>
            </w:r>
          </w:p>
        </w:tc>
        <w:tc>
          <w:tcPr>
            <w:tcW w:w="981" w:type="dxa"/>
            <w:shd w:val="clear" w:color="auto" w:fill="FFFFFF"/>
            <w:noWrap/>
            <w:vAlign w:val="center"/>
          </w:tcPr>
          <w:p w14:paraId="3DB490C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89" w:type="dxa"/>
            <w:shd w:val="clear" w:color="auto" w:fill="FFFFFF"/>
            <w:noWrap/>
            <w:vAlign w:val="center"/>
          </w:tcPr>
          <w:p w14:paraId="1283EDA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00" w:type="dxa"/>
            <w:shd w:val="clear" w:color="auto" w:fill="FFFFFF"/>
            <w:vAlign w:val="center"/>
          </w:tcPr>
          <w:p w14:paraId="4D39695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网络虚拟化</w:t>
            </w:r>
          </w:p>
        </w:tc>
        <w:tc>
          <w:tcPr>
            <w:tcW w:w="3997" w:type="dxa"/>
            <w:shd w:val="clear" w:color="auto" w:fill="FFFFFF"/>
            <w:vAlign w:val="center"/>
          </w:tcPr>
          <w:p w14:paraId="2976ADB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支持全局分布式SDN智能加速，卸载分布式SDN网络的数据平面到硬件网卡，通过对东西向Overlay网络流量和南北向流量卸载，大幅提高网络转发性能并节省主机资源；</w:t>
            </w:r>
          </w:p>
        </w:tc>
        <w:tc>
          <w:tcPr>
            <w:tcW w:w="1344" w:type="dxa"/>
            <w:shd w:val="clear" w:color="auto" w:fill="FFFFFF"/>
            <w:vAlign w:val="center"/>
          </w:tcPr>
          <w:p w14:paraId="4B0BBD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EA70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24" w:type="dxa"/>
            <w:shd w:val="clear" w:color="auto" w:fill="FFFFFF"/>
            <w:vAlign w:val="center"/>
          </w:tcPr>
          <w:p w14:paraId="3EDF05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172</w:t>
            </w:r>
          </w:p>
        </w:tc>
        <w:tc>
          <w:tcPr>
            <w:tcW w:w="981" w:type="dxa"/>
            <w:shd w:val="clear" w:color="auto" w:fill="FFFFFF"/>
            <w:noWrap/>
            <w:vAlign w:val="center"/>
          </w:tcPr>
          <w:p w14:paraId="67EB329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1089" w:type="dxa"/>
            <w:shd w:val="clear" w:color="auto" w:fill="FFFFFF"/>
            <w:noWrap/>
            <w:vAlign w:val="center"/>
          </w:tcPr>
          <w:p w14:paraId="755054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00" w:type="dxa"/>
            <w:shd w:val="clear" w:color="auto" w:fill="FFFFFF"/>
            <w:vAlign w:val="center"/>
          </w:tcPr>
          <w:p w14:paraId="1D8AB74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网络虚拟化</w:t>
            </w:r>
          </w:p>
        </w:tc>
        <w:tc>
          <w:tcPr>
            <w:tcW w:w="3997" w:type="dxa"/>
            <w:shd w:val="clear" w:color="auto" w:fill="FFFFFF"/>
            <w:vAlign w:val="center"/>
          </w:tcPr>
          <w:p w14:paraId="721DAE6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支持网络图形化编排，编辑网络拓扑及拖拽网元即可完成网络拓扑的创建、变更、属性编辑；</w:t>
            </w:r>
          </w:p>
        </w:tc>
        <w:tc>
          <w:tcPr>
            <w:tcW w:w="1344" w:type="dxa"/>
            <w:shd w:val="clear" w:color="auto" w:fill="FFFFFF"/>
            <w:vAlign w:val="center"/>
          </w:tcPr>
          <w:p w14:paraId="53746B4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bl>
    <w:p w14:paraId="2A2DDAE9">
      <w:pPr>
        <w:pStyle w:val="14"/>
        <w:ind w:left="0" w:leftChars="0" w:firstLine="0" w:firstLineChars="0"/>
        <w:rPr>
          <w:rFonts w:asciiTheme="minorEastAsia" w:hAnsiTheme="minorEastAsia" w:eastAsiaTheme="minorEastAsia" w:cstheme="minorEastAsia"/>
          <w:szCs w:val="24"/>
        </w:rPr>
      </w:pPr>
    </w:p>
    <w:p w14:paraId="0142301E">
      <w:pPr>
        <w:pStyle w:val="2"/>
        <w:numPr>
          <w:ilvl w:val="0"/>
          <w:numId w:val="2"/>
        </w:numPr>
        <w:ind w:left="442" w:hanging="442"/>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外网DMZ超融合集群</w:t>
      </w:r>
    </w:p>
    <w:tbl>
      <w:tblPr>
        <w:tblStyle w:val="15"/>
        <w:tblW w:w="9429" w:type="dxa"/>
        <w:tblInd w:w="-4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654"/>
        <w:gridCol w:w="981"/>
        <w:gridCol w:w="981"/>
        <w:gridCol w:w="1548"/>
        <w:gridCol w:w="3960"/>
        <w:gridCol w:w="1305"/>
      </w:tblGrid>
      <w:tr w14:paraId="715C0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85" w:hRule="atLeast"/>
        </w:trPr>
        <w:tc>
          <w:tcPr>
            <w:tcW w:w="654" w:type="dxa"/>
            <w:shd w:val="clear" w:color="auto" w:fill="FFFFFF"/>
            <w:vAlign w:val="center"/>
          </w:tcPr>
          <w:p w14:paraId="6BA2389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序号</w:t>
            </w:r>
          </w:p>
        </w:tc>
        <w:tc>
          <w:tcPr>
            <w:tcW w:w="981" w:type="dxa"/>
            <w:shd w:val="clear" w:color="auto" w:fill="FFFFFF"/>
            <w:vAlign w:val="center"/>
          </w:tcPr>
          <w:p w14:paraId="48A4C7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指标分类</w:t>
            </w:r>
          </w:p>
        </w:tc>
        <w:tc>
          <w:tcPr>
            <w:tcW w:w="981" w:type="dxa"/>
            <w:shd w:val="clear" w:color="auto" w:fill="FFFFFF"/>
            <w:vAlign w:val="center"/>
          </w:tcPr>
          <w:p w14:paraId="0CE388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一级指标</w:t>
            </w:r>
          </w:p>
        </w:tc>
        <w:tc>
          <w:tcPr>
            <w:tcW w:w="1548" w:type="dxa"/>
            <w:shd w:val="clear" w:color="auto" w:fill="FFFFFF"/>
            <w:vAlign w:val="center"/>
          </w:tcPr>
          <w:p w14:paraId="29FFBA7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二级指标</w:t>
            </w:r>
          </w:p>
        </w:tc>
        <w:tc>
          <w:tcPr>
            <w:tcW w:w="3960" w:type="dxa"/>
            <w:shd w:val="clear" w:color="auto" w:fill="FFFFFF"/>
            <w:vAlign w:val="center"/>
          </w:tcPr>
          <w:p w14:paraId="6F9701D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指标要求</w:t>
            </w:r>
          </w:p>
        </w:tc>
        <w:tc>
          <w:tcPr>
            <w:tcW w:w="1305" w:type="dxa"/>
            <w:shd w:val="clear" w:color="auto" w:fill="FFFFFF"/>
            <w:vAlign w:val="center"/>
          </w:tcPr>
          <w:p w14:paraId="07171A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是否提供证明材料</w:t>
            </w:r>
          </w:p>
        </w:tc>
      </w:tr>
      <w:tr w14:paraId="1F978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54" w:type="dxa"/>
            <w:shd w:val="clear" w:color="auto" w:fill="FFFFFF"/>
            <w:vAlign w:val="center"/>
          </w:tcPr>
          <w:p w14:paraId="4DB4B96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w:t>
            </w:r>
          </w:p>
        </w:tc>
        <w:tc>
          <w:tcPr>
            <w:tcW w:w="981" w:type="dxa"/>
            <w:shd w:val="clear" w:color="auto" w:fill="FFFFFF"/>
            <w:vAlign w:val="center"/>
          </w:tcPr>
          <w:p w14:paraId="6B1A9D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shd w:val="clear" w:color="auto" w:fill="FFFFFF"/>
            <w:vAlign w:val="center"/>
          </w:tcPr>
          <w:p w14:paraId="1AA6830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CPU规格</w:t>
            </w:r>
          </w:p>
        </w:tc>
        <w:tc>
          <w:tcPr>
            <w:tcW w:w="1548" w:type="dxa"/>
            <w:shd w:val="clear" w:color="auto" w:fill="FFFFFF"/>
            <w:vAlign w:val="center"/>
          </w:tcPr>
          <w:p w14:paraId="15D90C4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★CPU信息</w:t>
            </w:r>
          </w:p>
        </w:tc>
        <w:tc>
          <w:tcPr>
            <w:tcW w:w="3960" w:type="dxa"/>
            <w:shd w:val="clear" w:color="auto" w:fill="FFFFFF"/>
            <w:vAlign w:val="center"/>
          </w:tcPr>
          <w:p w14:paraId="330E250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供应商应给出CPU信息，包含CPU型号、物理核心数、主频、末级缓存容量、线程数、热设计功耗及支持内存的最高速率、通道数和位宽</w:t>
            </w:r>
          </w:p>
        </w:tc>
        <w:tc>
          <w:tcPr>
            <w:tcW w:w="1305" w:type="dxa"/>
            <w:shd w:val="clear" w:color="auto" w:fill="FFFFFF"/>
            <w:vAlign w:val="center"/>
          </w:tcPr>
          <w:p w14:paraId="425529A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858E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54" w:type="dxa"/>
            <w:shd w:val="clear" w:color="auto" w:fill="FFFFFF"/>
            <w:vAlign w:val="center"/>
          </w:tcPr>
          <w:p w14:paraId="0DFEB99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981" w:type="dxa"/>
            <w:shd w:val="clear" w:color="auto" w:fill="FFFFFF"/>
            <w:vAlign w:val="center"/>
          </w:tcPr>
          <w:p w14:paraId="66A90ED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6625778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主板规格</w:t>
            </w:r>
          </w:p>
        </w:tc>
        <w:tc>
          <w:tcPr>
            <w:tcW w:w="1548" w:type="dxa"/>
            <w:shd w:val="clear" w:color="auto" w:fill="FFFFFF"/>
            <w:vAlign w:val="center"/>
          </w:tcPr>
          <w:p w14:paraId="78BB9C2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★主板支持的CPU和内存情况</w:t>
            </w:r>
          </w:p>
        </w:tc>
        <w:tc>
          <w:tcPr>
            <w:tcW w:w="3960" w:type="dxa"/>
            <w:shd w:val="clear" w:color="auto" w:fill="FFFFFF"/>
            <w:vAlign w:val="center"/>
          </w:tcPr>
          <w:p w14:paraId="16E6D41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供应商给出主板支持的CPU和内存的型号数量</w:t>
            </w:r>
          </w:p>
        </w:tc>
        <w:tc>
          <w:tcPr>
            <w:tcW w:w="1305" w:type="dxa"/>
            <w:shd w:val="clear" w:color="auto" w:fill="FFFFFF"/>
            <w:vAlign w:val="center"/>
          </w:tcPr>
          <w:p w14:paraId="0F200EB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10EF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01A0C9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w:t>
            </w:r>
          </w:p>
        </w:tc>
        <w:tc>
          <w:tcPr>
            <w:tcW w:w="981" w:type="dxa"/>
            <w:shd w:val="clear" w:color="auto" w:fill="FFFFFF"/>
            <w:vAlign w:val="center"/>
          </w:tcPr>
          <w:p w14:paraId="72E5E0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F9FC39F">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28CE417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★主板内存槽数量</w:t>
            </w:r>
          </w:p>
        </w:tc>
        <w:tc>
          <w:tcPr>
            <w:tcW w:w="3960" w:type="dxa"/>
            <w:shd w:val="clear" w:color="auto" w:fill="FFFFFF"/>
            <w:vAlign w:val="center"/>
          </w:tcPr>
          <w:p w14:paraId="57BB727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非板载内存的可扩展插槽数量应≥4个</w:t>
            </w:r>
          </w:p>
        </w:tc>
        <w:tc>
          <w:tcPr>
            <w:tcW w:w="1305" w:type="dxa"/>
            <w:shd w:val="clear" w:color="auto" w:fill="FFFFFF"/>
            <w:vAlign w:val="center"/>
          </w:tcPr>
          <w:p w14:paraId="2705C31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303C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10A3ED9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w:t>
            </w:r>
          </w:p>
        </w:tc>
        <w:tc>
          <w:tcPr>
            <w:tcW w:w="981" w:type="dxa"/>
            <w:shd w:val="clear" w:color="auto" w:fill="FFFFFF"/>
            <w:vAlign w:val="center"/>
          </w:tcPr>
          <w:p w14:paraId="46A297B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4E59B14">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52B179A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★主板存储接口</w:t>
            </w:r>
          </w:p>
        </w:tc>
        <w:tc>
          <w:tcPr>
            <w:tcW w:w="3960" w:type="dxa"/>
            <w:shd w:val="clear" w:color="auto" w:fill="FFFFFF"/>
            <w:vAlign w:val="center"/>
          </w:tcPr>
          <w:p w14:paraId="4BB23D9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至少支持SATA、SAS、M.2、U.2等存储接口中的1种</w:t>
            </w:r>
          </w:p>
        </w:tc>
        <w:tc>
          <w:tcPr>
            <w:tcW w:w="1305" w:type="dxa"/>
            <w:shd w:val="clear" w:color="auto" w:fill="FFFFFF"/>
            <w:vAlign w:val="center"/>
          </w:tcPr>
          <w:p w14:paraId="627E94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8865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065BC5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w:t>
            </w:r>
          </w:p>
        </w:tc>
        <w:tc>
          <w:tcPr>
            <w:tcW w:w="981" w:type="dxa"/>
            <w:shd w:val="clear" w:color="auto" w:fill="FFFFFF"/>
            <w:vAlign w:val="center"/>
          </w:tcPr>
          <w:p w14:paraId="10A2BDD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5C4076B9">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68B4DFC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★PCIe插槽接口</w:t>
            </w:r>
          </w:p>
        </w:tc>
        <w:tc>
          <w:tcPr>
            <w:tcW w:w="3960" w:type="dxa"/>
            <w:shd w:val="clear" w:color="auto" w:fill="FFFFFF"/>
            <w:vAlign w:val="center"/>
          </w:tcPr>
          <w:p w14:paraId="030C828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符合PCIe3.0或以上的高速串行计算机扩展总线标准，PCIe的接口速率与位宽需保证向下兼容</w:t>
            </w:r>
          </w:p>
        </w:tc>
        <w:tc>
          <w:tcPr>
            <w:tcW w:w="1305" w:type="dxa"/>
            <w:shd w:val="clear" w:color="auto" w:fill="FFFFFF"/>
            <w:vAlign w:val="center"/>
          </w:tcPr>
          <w:p w14:paraId="5FB9559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6F24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54" w:type="dxa"/>
            <w:shd w:val="clear" w:color="auto" w:fill="FFFFFF"/>
            <w:vAlign w:val="center"/>
          </w:tcPr>
          <w:p w14:paraId="5009E8E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w:t>
            </w:r>
          </w:p>
        </w:tc>
        <w:tc>
          <w:tcPr>
            <w:tcW w:w="981" w:type="dxa"/>
            <w:shd w:val="clear" w:color="auto" w:fill="FFFFFF"/>
            <w:vAlign w:val="center"/>
          </w:tcPr>
          <w:p w14:paraId="26857C6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FA39139">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344EEE8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★主板PCIe插槽数量及规格</w:t>
            </w:r>
          </w:p>
        </w:tc>
        <w:tc>
          <w:tcPr>
            <w:tcW w:w="3960" w:type="dxa"/>
            <w:shd w:val="clear" w:color="auto" w:fill="FFFFFF"/>
            <w:vAlign w:val="center"/>
          </w:tcPr>
          <w:p w14:paraId="3D46C64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a）高度大于44.45mm双路或以上服务器PCIe插槽或接口应≥5个；</w:t>
            </w:r>
          </w:p>
          <w:p w14:paraId="5E08C3E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b）单路服务器PCIe插槽或接口应≥4个，可通过扩展卡进行插槽扩展</w:t>
            </w:r>
          </w:p>
        </w:tc>
        <w:tc>
          <w:tcPr>
            <w:tcW w:w="1305" w:type="dxa"/>
            <w:shd w:val="clear" w:color="auto" w:fill="FFFFFF"/>
            <w:vAlign w:val="center"/>
          </w:tcPr>
          <w:p w14:paraId="0FB122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399A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8" w:hRule="atLeast"/>
        </w:trPr>
        <w:tc>
          <w:tcPr>
            <w:tcW w:w="654" w:type="dxa"/>
            <w:shd w:val="clear" w:color="auto" w:fill="FFFFFF"/>
            <w:vAlign w:val="center"/>
          </w:tcPr>
          <w:p w14:paraId="5ECD0E5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w:t>
            </w:r>
          </w:p>
        </w:tc>
        <w:tc>
          <w:tcPr>
            <w:tcW w:w="981" w:type="dxa"/>
            <w:shd w:val="clear" w:color="auto" w:fill="FFFFFF"/>
            <w:vAlign w:val="center"/>
          </w:tcPr>
          <w:p w14:paraId="0184D12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1B7D787">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714EA30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特殊孔位及接口</w:t>
            </w:r>
          </w:p>
        </w:tc>
        <w:tc>
          <w:tcPr>
            <w:tcW w:w="3960" w:type="dxa"/>
            <w:shd w:val="clear" w:color="auto" w:fill="FFFFFF"/>
            <w:vAlign w:val="center"/>
          </w:tcPr>
          <w:p w14:paraId="2647464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服务器机箱内主板可根据用户实际使用需求支持安装多功能导入装置板卡，机箱内需预留多功能导入装置板卡安装位置，容量不小于55mm×45mm×15mm（长×宽×高，单位毫米）；b）服务器主板可根据用户实际使用需求预留满足USB2.0或USB3.0数据传输规范的接口，工作电压5V，采用USB2.0时，最大过电流应不小于0.5A，采用USB3.0时，最大过电流应不小于1A</w:t>
            </w:r>
          </w:p>
        </w:tc>
        <w:tc>
          <w:tcPr>
            <w:tcW w:w="1305" w:type="dxa"/>
            <w:shd w:val="clear" w:color="auto" w:fill="FFFFFF"/>
            <w:vAlign w:val="center"/>
          </w:tcPr>
          <w:p w14:paraId="39753C2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263F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11D4DE6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981" w:type="dxa"/>
            <w:shd w:val="clear" w:color="auto" w:fill="FFFFFF"/>
            <w:vAlign w:val="center"/>
          </w:tcPr>
          <w:p w14:paraId="15C0E1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FC8963D">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3A0CF94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板载网络接口</w:t>
            </w:r>
          </w:p>
        </w:tc>
        <w:tc>
          <w:tcPr>
            <w:tcW w:w="3960" w:type="dxa"/>
            <w:shd w:val="clear" w:color="auto" w:fill="FFFFFF"/>
            <w:vAlign w:val="center"/>
          </w:tcPr>
          <w:p w14:paraId="105E852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若支持板载网络接口应≥2个1GE网口</w:t>
            </w:r>
          </w:p>
        </w:tc>
        <w:tc>
          <w:tcPr>
            <w:tcW w:w="1305" w:type="dxa"/>
            <w:shd w:val="clear" w:color="auto" w:fill="FFFFFF"/>
            <w:vAlign w:val="center"/>
          </w:tcPr>
          <w:p w14:paraId="64E9642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81DF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53E7D7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w:t>
            </w:r>
          </w:p>
        </w:tc>
        <w:tc>
          <w:tcPr>
            <w:tcW w:w="981" w:type="dxa"/>
            <w:shd w:val="clear" w:color="auto" w:fill="FFFFFF"/>
            <w:vAlign w:val="center"/>
          </w:tcPr>
          <w:p w14:paraId="7FDECE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615EAC2F">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6B1FDFE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主板OCP插槽数量</w:t>
            </w:r>
          </w:p>
        </w:tc>
        <w:tc>
          <w:tcPr>
            <w:tcW w:w="3960" w:type="dxa"/>
            <w:shd w:val="clear" w:color="auto" w:fill="FFFFFF"/>
            <w:vAlign w:val="center"/>
          </w:tcPr>
          <w:p w14:paraId="24C9204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支持OCP2.0及以上插槽的数量≥1个</w:t>
            </w:r>
          </w:p>
        </w:tc>
        <w:tc>
          <w:tcPr>
            <w:tcW w:w="1305" w:type="dxa"/>
            <w:shd w:val="clear" w:color="auto" w:fill="FFFFFF"/>
            <w:vAlign w:val="center"/>
          </w:tcPr>
          <w:p w14:paraId="4D8DC1B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A1C8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54" w:type="dxa"/>
            <w:shd w:val="clear" w:color="auto" w:fill="FFFFFF"/>
            <w:vAlign w:val="center"/>
          </w:tcPr>
          <w:p w14:paraId="6A5339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w:t>
            </w:r>
          </w:p>
        </w:tc>
        <w:tc>
          <w:tcPr>
            <w:tcW w:w="981" w:type="dxa"/>
            <w:shd w:val="clear" w:color="auto" w:fill="FFFFFF"/>
            <w:vAlign w:val="center"/>
          </w:tcPr>
          <w:p w14:paraId="3D9F57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22CF976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内存规格</w:t>
            </w:r>
          </w:p>
        </w:tc>
        <w:tc>
          <w:tcPr>
            <w:tcW w:w="1548" w:type="dxa"/>
            <w:shd w:val="clear" w:color="auto" w:fill="FFFFFF"/>
            <w:vAlign w:val="center"/>
          </w:tcPr>
          <w:p w14:paraId="0DD6F25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★内存数量</w:t>
            </w:r>
          </w:p>
        </w:tc>
        <w:tc>
          <w:tcPr>
            <w:tcW w:w="3960" w:type="dxa"/>
            <w:shd w:val="clear" w:color="auto" w:fill="FFFFFF"/>
            <w:vAlign w:val="center"/>
          </w:tcPr>
          <w:p w14:paraId="5AAF0BD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w:t>
            </w:r>
          </w:p>
        </w:tc>
        <w:tc>
          <w:tcPr>
            <w:tcW w:w="1305" w:type="dxa"/>
            <w:shd w:val="clear" w:color="auto" w:fill="FFFFFF"/>
            <w:vAlign w:val="center"/>
          </w:tcPr>
          <w:p w14:paraId="600177A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575B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54" w:type="dxa"/>
            <w:shd w:val="clear" w:color="auto" w:fill="FFFFFF"/>
            <w:vAlign w:val="center"/>
          </w:tcPr>
          <w:p w14:paraId="277A96A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w:t>
            </w:r>
          </w:p>
        </w:tc>
        <w:tc>
          <w:tcPr>
            <w:tcW w:w="981" w:type="dxa"/>
            <w:shd w:val="clear" w:color="auto" w:fill="FFFFFF"/>
            <w:vAlign w:val="center"/>
          </w:tcPr>
          <w:p w14:paraId="6B8F80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194C3B2">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1337C46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★内存规格</w:t>
            </w:r>
          </w:p>
        </w:tc>
        <w:tc>
          <w:tcPr>
            <w:tcW w:w="3960" w:type="dxa"/>
            <w:shd w:val="clear" w:color="auto" w:fill="FFFFFF"/>
            <w:vAlign w:val="center"/>
          </w:tcPr>
          <w:p w14:paraId="4120F39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≥DDR4</w:t>
            </w:r>
          </w:p>
        </w:tc>
        <w:tc>
          <w:tcPr>
            <w:tcW w:w="1305" w:type="dxa"/>
            <w:shd w:val="clear" w:color="auto" w:fill="FFFFFF"/>
            <w:vAlign w:val="center"/>
          </w:tcPr>
          <w:p w14:paraId="00B8A1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7C2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54" w:type="dxa"/>
            <w:shd w:val="clear" w:color="auto" w:fill="FFFFFF"/>
            <w:vAlign w:val="center"/>
          </w:tcPr>
          <w:p w14:paraId="41291C0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w:t>
            </w:r>
          </w:p>
        </w:tc>
        <w:tc>
          <w:tcPr>
            <w:tcW w:w="981" w:type="dxa"/>
            <w:shd w:val="clear" w:color="auto" w:fill="FFFFFF"/>
            <w:vAlign w:val="center"/>
          </w:tcPr>
          <w:p w14:paraId="235911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8B2D6ED">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5558EF8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★内存通道</w:t>
            </w:r>
          </w:p>
        </w:tc>
        <w:tc>
          <w:tcPr>
            <w:tcW w:w="3960" w:type="dxa"/>
            <w:shd w:val="clear" w:color="auto" w:fill="FFFFFF"/>
            <w:vAlign w:val="center"/>
          </w:tcPr>
          <w:p w14:paraId="16F3CDB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支持多个内存接口通道，每个通道可支持1DPC或2DPC，当支持2DPC时，印制电路板上应具备插槽的序号标识，具体通道数应在随机文件中明确</w:t>
            </w:r>
          </w:p>
        </w:tc>
        <w:tc>
          <w:tcPr>
            <w:tcW w:w="1305" w:type="dxa"/>
            <w:shd w:val="clear" w:color="auto" w:fill="FFFFFF"/>
            <w:vAlign w:val="center"/>
          </w:tcPr>
          <w:p w14:paraId="19195A1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48C8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1EA5DE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w:t>
            </w:r>
          </w:p>
        </w:tc>
        <w:tc>
          <w:tcPr>
            <w:tcW w:w="981" w:type="dxa"/>
            <w:shd w:val="clear" w:color="auto" w:fill="FFFFFF"/>
            <w:vAlign w:val="center"/>
          </w:tcPr>
          <w:p w14:paraId="77DF4C5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32620E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存储规格</w:t>
            </w:r>
          </w:p>
        </w:tc>
        <w:tc>
          <w:tcPr>
            <w:tcW w:w="1548" w:type="dxa"/>
            <w:shd w:val="clear" w:color="auto" w:fill="FFFFFF"/>
            <w:vAlign w:val="center"/>
          </w:tcPr>
          <w:p w14:paraId="78FC0E3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硬盘类型</w:t>
            </w:r>
          </w:p>
        </w:tc>
        <w:tc>
          <w:tcPr>
            <w:tcW w:w="3960" w:type="dxa"/>
            <w:shd w:val="clear" w:color="auto" w:fill="FFFFFF"/>
            <w:vAlign w:val="center"/>
          </w:tcPr>
          <w:p w14:paraId="0087EE0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供应商给出服务器支持硬磁盘和固态盘类型及规格</w:t>
            </w:r>
          </w:p>
        </w:tc>
        <w:tc>
          <w:tcPr>
            <w:tcW w:w="1305" w:type="dxa"/>
            <w:shd w:val="clear" w:color="auto" w:fill="FFFFFF"/>
            <w:vAlign w:val="center"/>
          </w:tcPr>
          <w:p w14:paraId="6408A2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E2FB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54" w:type="dxa"/>
            <w:shd w:val="clear" w:color="auto" w:fill="FFFFFF"/>
            <w:vAlign w:val="center"/>
          </w:tcPr>
          <w:p w14:paraId="15FC48D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w:t>
            </w:r>
          </w:p>
        </w:tc>
        <w:tc>
          <w:tcPr>
            <w:tcW w:w="981" w:type="dxa"/>
            <w:shd w:val="clear" w:color="auto" w:fill="FFFFFF"/>
            <w:vAlign w:val="center"/>
          </w:tcPr>
          <w:p w14:paraId="6FF9DDA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1D0AF89C">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2D32EC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★硬磁盘实配容量</w:t>
            </w:r>
          </w:p>
        </w:tc>
        <w:tc>
          <w:tcPr>
            <w:tcW w:w="3960" w:type="dxa"/>
            <w:shd w:val="clear" w:color="auto" w:fill="FFFFFF"/>
            <w:vAlign w:val="center"/>
          </w:tcPr>
          <w:p w14:paraId="6974033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硬盘1：≥480G SATA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硬盘2：≥3.2T NVMe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硬盘3：≥8T 7.2K SATA硬磁盘</w:t>
            </w:r>
          </w:p>
        </w:tc>
        <w:tc>
          <w:tcPr>
            <w:tcW w:w="1305" w:type="dxa"/>
            <w:shd w:val="clear" w:color="auto" w:fill="FFFFFF"/>
            <w:vAlign w:val="center"/>
          </w:tcPr>
          <w:p w14:paraId="37C1B6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A6F3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54" w:type="dxa"/>
            <w:shd w:val="clear" w:color="auto" w:fill="FFFFFF"/>
            <w:vAlign w:val="center"/>
          </w:tcPr>
          <w:p w14:paraId="3DAE1D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w:t>
            </w:r>
          </w:p>
        </w:tc>
        <w:tc>
          <w:tcPr>
            <w:tcW w:w="981" w:type="dxa"/>
            <w:shd w:val="clear" w:color="auto" w:fill="FFFFFF"/>
            <w:vAlign w:val="center"/>
          </w:tcPr>
          <w:p w14:paraId="7AE19B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D9BF093">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32B6E00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硬盘接口类型</w:t>
            </w:r>
          </w:p>
        </w:tc>
        <w:tc>
          <w:tcPr>
            <w:tcW w:w="3960" w:type="dxa"/>
            <w:shd w:val="clear" w:color="auto" w:fill="FFFFFF"/>
            <w:vAlign w:val="center"/>
          </w:tcPr>
          <w:p w14:paraId="0E50617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a）若配备硬磁盘，应提供SAS3.0或SATA3.0及以上接口；b）若配备固态盘，应提供至少1种类型固态盘接口，如UFS、SATA、PCIe等</w:t>
            </w:r>
          </w:p>
        </w:tc>
        <w:tc>
          <w:tcPr>
            <w:tcW w:w="1305" w:type="dxa"/>
            <w:shd w:val="clear" w:color="auto" w:fill="FFFFFF"/>
            <w:vAlign w:val="center"/>
          </w:tcPr>
          <w:p w14:paraId="624F274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3987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54" w:type="dxa"/>
            <w:shd w:val="clear" w:color="auto" w:fill="FFFFFF"/>
            <w:vAlign w:val="center"/>
          </w:tcPr>
          <w:p w14:paraId="5998258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w:t>
            </w:r>
          </w:p>
        </w:tc>
        <w:tc>
          <w:tcPr>
            <w:tcW w:w="981" w:type="dxa"/>
            <w:shd w:val="clear" w:color="auto" w:fill="FFFFFF"/>
            <w:vAlign w:val="center"/>
          </w:tcPr>
          <w:p w14:paraId="7A7BCA4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2910F07">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0BC9BFE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★硬盘实配数量</w:t>
            </w:r>
          </w:p>
        </w:tc>
        <w:tc>
          <w:tcPr>
            <w:tcW w:w="3960" w:type="dxa"/>
            <w:shd w:val="clear" w:color="auto" w:fill="FFFFFF"/>
            <w:vAlign w:val="center"/>
          </w:tcPr>
          <w:p w14:paraId="5B7FAE1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硬盘1：≥2块480G SATA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硬盘2：≥2块3.2T NVMe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硬盘3：≥6块8T 7.2K SATA；</w:t>
            </w:r>
          </w:p>
        </w:tc>
        <w:tc>
          <w:tcPr>
            <w:tcW w:w="1305" w:type="dxa"/>
            <w:shd w:val="clear" w:color="auto" w:fill="FFFFFF"/>
            <w:vAlign w:val="center"/>
          </w:tcPr>
          <w:p w14:paraId="492B39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09A6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296" w:hRule="atLeast"/>
        </w:trPr>
        <w:tc>
          <w:tcPr>
            <w:tcW w:w="654" w:type="dxa"/>
            <w:shd w:val="clear" w:color="auto" w:fill="FFFFFF"/>
            <w:vAlign w:val="center"/>
          </w:tcPr>
          <w:p w14:paraId="139AE9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17</w:t>
            </w:r>
          </w:p>
        </w:tc>
        <w:tc>
          <w:tcPr>
            <w:tcW w:w="981" w:type="dxa"/>
            <w:shd w:val="clear" w:color="auto" w:fill="FFFFFF"/>
            <w:vAlign w:val="center"/>
          </w:tcPr>
          <w:p w14:paraId="6CC0EEF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987261F">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2D9F43B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★硬盘插槽数量及规格</w:t>
            </w:r>
          </w:p>
        </w:tc>
        <w:tc>
          <w:tcPr>
            <w:tcW w:w="3960" w:type="dxa"/>
            <w:shd w:val="clear" w:color="auto" w:fill="FFFFFF"/>
            <w:vAlign w:val="center"/>
          </w:tcPr>
          <w:p w14:paraId="5C374B0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供应商应给出配置的硬盘尺寸，如2.5英寸、3.5英寸硬磁盘；b）机箱高度为88.9mm的服务器可支持的硬盘数量应≥8块，机箱高度为44.45mm的服务器可支持的硬盘数量应≥4块。c）存储型服务器可支持硬盘数量应≥24块</w:t>
            </w:r>
          </w:p>
        </w:tc>
        <w:tc>
          <w:tcPr>
            <w:tcW w:w="1305" w:type="dxa"/>
            <w:shd w:val="clear" w:color="auto" w:fill="FFFFFF"/>
            <w:vAlign w:val="center"/>
          </w:tcPr>
          <w:p w14:paraId="11A5156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5BF9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54" w:type="dxa"/>
            <w:shd w:val="clear" w:color="auto" w:fill="FFFFFF"/>
            <w:vAlign w:val="center"/>
          </w:tcPr>
          <w:p w14:paraId="4FD07A7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18</w:t>
            </w:r>
          </w:p>
        </w:tc>
        <w:tc>
          <w:tcPr>
            <w:tcW w:w="981" w:type="dxa"/>
            <w:shd w:val="clear" w:color="auto" w:fill="FFFFFF"/>
            <w:vAlign w:val="center"/>
          </w:tcPr>
          <w:p w14:paraId="36DCA02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D4EA852">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6620281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硬盘其他参数要求</w:t>
            </w:r>
          </w:p>
        </w:tc>
        <w:tc>
          <w:tcPr>
            <w:tcW w:w="3960" w:type="dxa"/>
            <w:shd w:val="clear" w:color="auto" w:fill="FFFFFF"/>
            <w:vAlign w:val="center"/>
          </w:tcPr>
          <w:p w14:paraId="764C9D3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drawing>
                <wp:anchor distT="0" distB="0" distL="114300" distR="114300" simplePos="0" relativeHeight="251662336" behindDoc="0" locked="0" layoutInCell="1" allowOverlap="1">
                  <wp:simplePos x="0" y="0"/>
                  <wp:positionH relativeFrom="column">
                    <wp:posOffset>9525</wp:posOffset>
                  </wp:positionH>
                  <wp:positionV relativeFrom="paragraph">
                    <wp:posOffset>471170</wp:posOffset>
                  </wp:positionV>
                  <wp:extent cx="76200" cy="47625"/>
                  <wp:effectExtent l="0" t="0" r="0" b="0"/>
                  <wp:wrapNone/>
                  <wp:docPr id="4" name="图片 4"/>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5"/>
                          <a:stretch>
                            <a:fillRect/>
                          </a:stretch>
                        </pic:blipFill>
                        <pic:spPr>
                          <a:xfrm>
                            <a:off x="0" y="0"/>
                            <a:ext cx="76200" cy="47625"/>
                          </a:xfrm>
                          <a:prstGeom prst="rect">
                            <a:avLst/>
                          </a:prstGeom>
                          <a:noFill/>
                          <a:ln>
                            <a:noFill/>
                          </a:ln>
                        </pic:spPr>
                      </pic:pic>
                    </a:graphicData>
                  </a:graphic>
                </wp:anchor>
              </w:drawing>
            </w:r>
            <w:r>
              <w:rPr>
                <w:rFonts w:hint="eastAsia" w:asciiTheme="minorEastAsia" w:hAnsiTheme="minorEastAsia" w:eastAsiaTheme="minorEastAsia" w:cstheme="minorEastAsia"/>
                <w:kern w:val="0"/>
                <w:sz w:val="24"/>
              </w:rPr>
              <w:t>a）机械硬盘准备时间应≤30s；侧面固定螺丝孔数量可为4孔或6孔；工作状态环境温度应满足5℃55℃,其他参数应符合GB/T12628的相关规定；b）若服务器支持固态盘，固态盘符合SJ/T11654相关规定</w:t>
            </w:r>
          </w:p>
        </w:tc>
        <w:tc>
          <w:tcPr>
            <w:tcW w:w="1305" w:type="dxa"/>
            <w:shd w:val="clear" w:color="auto" w:fill="FFFFFF"/>
            <w:vAlign w:val="center"/>
          </w:tcPr>
          <w:p w14:paraId="4D3C4A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2305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54" w:type="dxa"/>
            <w:shd w:val="clear" w:color="auto" w:fill="FFFFFF"/>
            <w:vAlign w:val="center"/>
          </w:tcPr>
          <w:p w14:paraId="4A93B53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19</w:t>
            </w:r>
          </w:p>
        </w:tc>
        <w:tc>
          <w:tcPr>
            <w:tcW w:w="981" w:type="dxa"/>
            <w:shd w:val="clear" w:color="auto" w:fill="FFFFFF"/>
            <w:vAlign w:val="center"/>
          </w:tcPr>
          <w:p w14:paraId="00F3F29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shd w:val="clear" w:color="auto" w:fill="FFFFFF"/>
            <w:vAlign w:val="center"/>
          </w:tcPr>
          <w:p w14:paraId="7D8B50F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RAID卡规格（若支持RAID卡）</w:t>
            </w:r>
          </w:p>
        </w:tc>
        <w:tc>
          <w:tcPr>
            <w:tcW w:w="1548" w:type="dxa"/>
            <w:shd w:val="clear" w:color="auto" w:fill="FFFFFF"/>
            <w:vAlign w:val="center"/>
          </w:tcPr>
          <w:p w14:paraId="2BB3D70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RAID卡支持的SAS接口数</w:t>
            </w:r>
          </w:p>
        </w:tc>
        <w:tc>
          <w:tcPr>
            <w:tcW w:w="3960" w:type="dxa"/>
            <w:shd w:val="clear" w:color="auto" w:fill="FFFFFF"/>
            <w:vAlign w:val="center"/>
          </w:tcPr>
          <w:p w14:paraId="37F05DD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1305" w:type="dxa"/>
            <w:shd w:val="clear" w:color="auto" w:fill="FFFFFF"/>
            <w:vAlign w:val="center"/>
          </w:tcPr>
          <w:p w14:paraId="00DD288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3832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54" w:type="dxa"/>
            <w:shd w:val="clear" w:color="auto" w:fill="FFFFFF"/>
            <w:vAlign w:val="center"/>
          </w:tcPr>
          <w:p w14:paraId="24D1C5C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20</w:t>
            </w:r>
          </w:p>
        </w:tc>
        <w:tc>
          <w:tcPr>
            <w:tcW w:w="981" w:type="dxa"/>
            <w:shd w:val="clear" w:color="auto" w:fill="FFFFFF"/>
            <w:vAlign w:val="center"/>
          </w:tcPr>
          <w:p w14:paraId="11BF3E8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shd w:val="clear" w:color="auto" w:fill="FFFFFF"/>
            <w:vAlign w:val="center"/>
          </w:tcPr>
          <w:p w14:paraId="5674DFD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SAS直通卡规格（若支持SAS直通卡）</w:t>
            </w:r>
          </w:p>
        </w:tc>
        <w:tc>
          <w:tcPr>
            <w:tcW w:w="1548" w:type="dxa"/>
            <w:shd w:val="clear" w:color="auto" w:fill="FFFFFF"/>
            <w:vAlign w:val="center"/>
          </w:tcPr>
          <w:p w14:paraId="7FF0371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SAS直通卡SAS接口数量</w:t>
            </w:r>
          </w:p>
        </w:tc>
        <w:tc>
          <w:tcPr>
            <w:tcW w:w="3960" w:type="dxa"/>
            <w:shd w:val="clear" w:color="auto" w:fill="FFFFFF"/>
            <w:vAlign w:val="center"/>
          </w:tcPr>
          <w:p w14:paraId="6C6DAE2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≥0</w:t>
            </w:r>
          </w:p>
        </w:tc>
        <w:tc>
          <w:tcPr>
            <w:tcW w:w="1305" w:type="dxa"/>
            <w:shd w:val="clear" w:color="auto" w:fill="FFFFFF"/>
            <w:vAlign w:val="center"/>
          </w:tcPr>
          <w:p w14:paraId="76593F8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1863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54" w:type="dxa"/>
            <w:shd w:val="clear" w:color="auto" w:fill="FFFFFF"/>
            <w:vAlign w:val="center"/>
          </w:tcPr>
          <w:p w14:paraId="3AC2993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21</w:t>
            </w:r>
          </w:p>
        </w:tc>
        <w:tc>
          <w:tcPr>
            <w:tcW w:w="981" w:type="dxa"/>
            <w:shd w:val="clear" w:color="auto" w:fill="FFFFFF"/>
            <w:vAlign w:val="center"/>
          </w:tcPr>
          <w:p w14:paraId="09B3167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shd w:val="clear" w:color="auto" w:fill="FFFFFF"/>
            <w:vAlign w:val="center"/>
          </w:tcPr>
          <w:p w14:paraId="124D857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HBA卡规格（若支HBA直通卡）</w:t>
            </w:r>
          </w:p>
        </w:tc>
        <w:tc>
          <w:tcPr>
            <w:tcW w:w="1548" w:type="dxa"/>
            <w:shd w:val="clear" w:color="auto" w:fill="FFFFFF"/>
            <w:vAlign w:val="center"/>
          </w:tcPr>
          <w:p w14:paraId="448AB93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HBA卡端口数量</w:t>
            </w:r>
          </w:p>
        </w:tc>
        <w:tc>
          <w:tcPr>
            <w:tcW w:w="3960" w:type="dxa"/>
            <w:shd w:val="clear" w:color="auto" w:fill="FFFFFF"/>
            <w:vAlign w:val="center"/>
          </w:tcPr>
          <w:p w14:paraId="4B81C9D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≥0</w:t>
            </w:r>
          </w:p>
        </w:tc>
        <w:tc>
          <w:tcPr>
            <w:tcW w:w="1305" w:type="dxa"/>
            <w:shd w:val="clear" w:color="auto" w:fill="FFFFFF"/>
            <w:vAlign w:val="center"/>
          </w:tcPr>
          <w:p w14:paraId="50B9789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BED0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66B9009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22</w:t>
            </w:r>
          </w:p>
        </w:tc>
        <w:tc>
          <w:tcPr>
            <w:tcW w:w="981" w:type="dxa"/>
            <w:shd w:val="clear" w:color="auto" w:fill="FFFFFF"/>
            <w:vAlign w:val="center"/>
          </w:tcPr>
          <w:p w14:paraId="2B13E27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59E3E83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网络规格</w:t>
            </w:r>
          </w:p>
        </w:tc>
        <w:tc>
          <w:tcPr>
            <w:tcW w:w="1548" w:type="dxa"/>
            <w:shd w:val="clear" w:color="auto" w:fill="FFFFFF"/>
            <w:vAlign w:val="center"/>
          </w:tcPr>
          <w:p w14:paraId="41BB848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★网口速率和数量</w:t>
            </w:r>
          </w:p>
        </w:tc>
        <w:tc>
          <w:tcPr>
            <w:tcW w:w="3960" w:type="dxa"/>
            <w:shd w:val="clear" w:color="auto" w:fill="FFFFFF"/>
            <w:vAlign w:val="center"/>
          </w:tcPr>
          <w:p w14:paraId="6E3E821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配置10GE光口≥4个（满配10GE多模光模块）</w:t>
            </w:r>
          </w:p>
          <w:p w14:paraId="0413FB3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配置1GE电口≥2个</w:t>
            </w:r>
          </w:p>
        </w:tc>
        <w:tc>
          <w:tcPr>
            <w:tcW w:w="1305" w:type="dxa"/>
            <w:shd w:val="clear" w:color="auto" w:fill="FFFFFF"/>
            <w:vAlign w:val="center"/>
          </w:tcPr>
          <w:p w14:paraId="75A32A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A89F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54" w:type="dxa"/>
            <w:shd w:val="clear" w:color="auto" w:fill="FFFFFF"/>
            <w:vAlign w:val="center"/>
          </w:tcPr>
          <w:p w14:paraId="1AD1BC6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23</w:t>
            </w:r>
          </w:p>
        </w:tc>
        <w:tc>
          <w:tcPr>
            <w:tcW w:w="981" w:type="dxa"/>
            <w:shd w:val="clear" w:color="auto" w:fill="FFFFFF"/>
            <w:vAlign w:val="center"/>
          </w:tcPr>
          <w:p w14:paraId="16B1610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1F147DE8">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74FE156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存储型服务器网口速率和数量</w:t>
            </w:r>
          </w:p>
        </w:tc>
        <w:tc>
          <w:tcPr>
            <w:tcW w:w="3960" w:type="dxa"/>
            <w:shd w:val="clear" w:color="auto" w:fill="FFFFFF"/>
            <w:vAlign w:val="center"/>
          </w:tcPr>
          <w:p w14:paraId="51CCBAE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存储型服务器1GE 网口数量≥2 个，10GE 以上网口数量≥2个（不涉及）</w:t>
            </w:r>
          </w:p>
        </w:tc>
        <w:tc>
          <w:tcPr>
            <w:tcW w:w="1305" w:type="dxa"/>
            <w:shd w:val="clear" w:color="auto" w:fill="FFFFFF"/>
            <w:vAlign w:val="center"/>
          </w:tcPr>
          <w:p w14:paraId="76ABD9F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FEC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54" w:type="dxa"/>
            <w:shd w:val="clear" w:color="auto" w:fill="FFFFFF"/>
            <w:vAlign w:val="center"/>
          </w:tcPr>
          <w:p w14:paraId="6F5162D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24</w:t>
            </w:r>
          </w:p>
        </w:tc>
        <w:tc>
          <w:tcPr>
            <w:tcW w:w="981" w:type="dxa"/>
            <w:shd w:val="clear" w:color="auto" w:fill="FFFFFF"/>
            <w:vAlign w:val="center"/>
          </w:tcPr>
          <w:p w14:paraId="3716A6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510ED81">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390EC1A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独立网卡网口数量</w:t>
            </w:r>
          </w:p>
        </w:tc>
        <w:tc>
          <w:tcPr>
            <w:tcW w:w="3960" w:type="dxa"/>
            <w:shd w:val="clear" w:color="auto" w:fill="FFFFFF"/>
            <w:vAlign w:val="center"/>
          </w:tcPr>
          <w:p w14:paraId="4F51768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配备10GE独立网卡，独立网卡网口数量≥2</w:t>
            </w:r>
          </w:p>
        </w:tc>
        <w:tc>
          <w:tcPr>
            <w:tcW w:w="1305" w:type="dxa"/>
            <w:shd w:val="clear" w:color="auto" w:fill="FFFFFF"/>
            <w:vAlign w:val="center"/>
          </w:tcPr>
          <w:p w14:paraId="2F2E0C2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EBAE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3E0A4C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25</w:t>
            </w:r>
          </w:p>
        </w:tc>
        <w:tc>
          <w:tcPr>
            <w:tcW w:w="981" w:type="dxa"/>
            <w:shd w:val="clear" w:color="auto" w:fill="FFFFFF"/>
            <w:vAlign w:val="center"/>
          </w:tcPr>
          <w:p w14:paraId="48F6CBE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2F2AA939">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74F7257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独立网卡接口类型</w:t>
            </w:r>
          </w:p>
        </w:tc>
        <w:tc>
          <w:tcPr>
            <w:tcW w:w="3960" w:type="dxa"/>
            <w:shd w:val="clear" w:color="auto" w:fill="FFFFFF"/>
            <w:vAlign w:val="center"/>
          </w:tcPr>
          <w:p w14:paraId="34E1425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支持RJ45/QSFP/SFP等</w:t>
            </w:r>
          </w:p>
        </w:tc>
        <w:tc>
          <w:tcPr>
            <w:tcW w:w="1305" w:type="dxa"/>
            <w:shd w:val="clear" w:color="auto" w:fill="FFFFFF"/>
            <w:vAlign w:val="center"/>
          </w:tcPr>
          <w:p w14:paraId="5CCABA1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3518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64A0C2F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26</w:t>
            </w:r>
          </w:p>
        </w:tc>
        <w:tc>
          <w:tcPr>
            <w:tcW w:w="981" w:type="dxa"/>
            <w:shd w:val="clear" w:color="auto" w:fill="FFFFFF"/>
            <w:vAlign w:val="center"/>
          </w:tcPr>
          <w:p w14:paraId="554B87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58721BC">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6836357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板载网卡接口类型</w:t>
            </w:r>
          </w:p>
        </w:tc>
        <w:tc>
          <w:tcPr>
            <w:tcW w:w="3960" w:type="dxa"/>
            <w:shd w:val="clear" w:color="auto" w:fill="FFFFFF"/>
            <w:vAlign w:val="center"/>
          </w:tcPr>
          <w:p w14:paraId="4CBAC1E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支持RJ45/QSFP/SFP等</w:t>
            </w:r>
          </w:p>
        </w:tc>
        <w:tc>
          <w:tcPr>
            <w:tcW w:w="1305" w:type="dxa"/>
            <w:shd w:val="clear" w:color="auto" w:fill="FFFFFF"/>
            <w:vAlign w:val="center"/>
          </w:tcPr>
          <w:p w14:paraId="1329100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167B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36DAF36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27</w:t>
            </w:r>
          </w:p>
        </w:tc>
        <w:tc>
          <w:tcPr>
            <w:tcW w:w="981" w:type="dxa"/>
            <w:shd w:val="clear" w:color="auto" w:fill="FFFFFF"/>
            <w:vAlign w:val="center"/>
          </w:tcPr>
          <w:p w14:paraId="29A02DD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17D41A2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外部接口规格</w:t>
            </w:r>
          </w:p>
        </w:tc>
        <w:tc>
          <w:tcPr>
            <w:tcW w:w="1548" w:type="dxa"/>
            <w:shd w:val="clear" w:color="auto" w:fill="FFFFFF"/>
            <w:vAlign w:val="center"/>
          </w:tcPr>
          <w:p w14:paraId="75C8E9C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★显示接口</w:t>
            </w:r>
          </w:p>
        </w:tc>
        <w:tc>
          <w:tcPr>
            <w:tcW w:w="3960" w:type="dxa"/>
            <w:shd w:val="clear" w:color="auto" w:fill="FFFFFF"/>
            <w:vAlign w:val="center"/>
          </w:tcPr>
          <w:p w14:paraId="2A8C4D5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显示接口类型应≥1种，如：VGA、DP、HDMI等</w:t>
            </w:r>
          </w:p>
        </w:tc>
        <w:tc>
          <w:tcPr>
            <w:tcW w:w="1305" w:type="dxa"/>
            <w:shd w:val="clear" w:color="auto" w:fill="FFFFFF"/>
            <w:vAlign w:val="center"/>
          </w:tcPr>
          <w:p w14:paraId="3020EE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6E3B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54" w:type="dxa"/>
            <w:shd w:val="clear" w:color="auto" w:fill="FFFFFF"/>
            <w:vAlign w:val="center"/>
          </w:tcPr>
          <w:p w14:paraId="0301A5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28</w:t>
            </w:r>
          </w:p>
        </w:tc>
        <w:tc>
          <w:tcPr>
            <w:tcW w:w="981" w:type="dxa"/>
            <w:shd w:val="clear" w:color="auto" w:fill="FFFFFF"/>
            <w:vAlign w:val="center"/>
          </w:tcPr>
          <w:p w14:paraId="47DCE05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EBD00E9">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68F6EA6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★USB接口</w:t>
            </w:r>
          </w:p>
        </w:tc>
        <w:tc>
          <w:tcPr>
            <w:tcW w:w="3960" w:type="dxa"/>
            <w:shd w:val="clear" w:color="auto" w:fill="FFFFFF"/>
            <w:vAlign w:val="center"/>
          </w:tcPr>
          <w:p w14:paraId="15A24CB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配备USB接口，如USB2.0、USB3.0等</w:t>
            </w:r>
          </w:p>
        </w:tc>
        <w:tc>
          <w:tcPr>
            <w:tcW w:w="1305" w:type="dxa"/>
            <w:shd w:val="clear" w:color="auto" w:fill="FFFFFF"/>
            <w:vAlign w:val="center"/>
          </w:tcPr>
          <w:p w14:paraId="39BF547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336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18415A9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29</w:t>
            </w:r>
          </w:p>
        </w:tc>
        <w:tc>
          <w:tcPr>
            <w:tcW w:w="981" w:type="dxa"/>
            <w:shd w:val="clear" w:color="auto" w:fill="FFFFFF"/>
            <w:vAlign w:val="center"/>
          </w:tcPr>
          <w:p w14:paraId="2BDD81B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5731695">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3F1E0DA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特殊接口及孔位</w:t>
            </w:r>
          </w:p>
        </w:tc>
        <w:tc>
          <w:tcPr>
            <w:tcW w:w="3960" w:type="dxa"/>
            <w:shd w:val="clear" w:color="auto" w:fill="FFFFFF"/>
            <w:vAlign w:val="center"/>
          </w:tcPr>
          <w:p w14:paraId="5654D88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前面板预留1个专用USB母座接口孔位</w:t>
            </w:r>
          </w:p>
        </w:tc>
        <w:tc>
          <w:tcPr>
            <w:tcW w:w="1305" w:type="dxa"/>
            <w:shd w:val="clear" w:color="auto" w:fill="FFFFFF"/>
            <w:vAlign w:val="center"/>
          </w:tcPr>
          <w:p w14:paraId="328A76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B46B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54" w:type="dxa"/>
            <w:shd w:val="clear" w:color="auto" w:fill="FFFFFF"/>
            <w:vAlign w:val="center"/>
          </w:tcPr>
          <w:p w14:paraId="44E3DF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30</w:t>
            </w:r>
          </w:p>
        </w:tc>
        <w:tc>
          <w:tcPr>
            <w:tcW w:w="981" w:type="dxa"/>
            <w:shd w:val="clear" w:color="auto" w:fill="FFFFFF"/>
            <w:vAlign w:val="center"/>
          </w:tcPr>
          <w:p w14:paraId="1BF7A56B">
            <w:pPr>
              <w:widowControl/>
              <w:jc w:val="center"/>
              <w:rPr>
                <w:rFonts w:asciiTheme="minorEastAsia" w:hAnsiTheme="minorEastAsia" w:eastAsiaTheme="minorEastAsia" w:cstheme="minorEastAsia"/>
                <w:kern w:val="0"/>
                <w:sz w:val="24"/>
              </w:rPr>
            </w:pPr>
          </w:p>
        </w:tc>
        <w:tc>
          <w:tcPr>
            <w:tcW w:w="981" w:type="dxa"/>
            <w:vMerge w:val="continue"/>
            <w:shd w:val="clear" w:color="auto" w:fill="FFFFFF"/>
            <w:vAlign w:val="center"/>
          </w:tcPr>
          <w:p w14:paraId="0F096B9B">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61808F9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其他接口</w:t>
            </w:r>
          </w:p>
        </w:tc>
        <w:tc>
          <w:tcPr>
            <w:tcW w:w="3960" w:type="dxa"/>
            <w:shd w:val="clear" w:color="auto" w:fill="FFFFFF"/>
            <w:vAlign w:val="center"/>
          </w:tcPr>
          <w:p w14:paraId="20751F0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a）串口数量≥1个，并可实现GB/T6107或GB/T26803.2的相关功能；b）服务器主机前面板可根据用户实际使用需求预留1个专用USB母座接口孔位</w:t>
            </w:r>
          </w:p>
        </w:tc>
        <w:tc>
          <w:tcPr>
            <w:tcW w:w="1305" w:type="dxa"/>
            <w:shd w:val="clear" w:color="auto" w:fill="FFFFFF"/>
            <w:vAlign w:val="center"/>
          </w:tcPr>
          <w:p w14:paraId="6962AFB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24E1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0FA409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31</w:t>
            </w:r>
          </w:p>
        </w:tc>
        <w:tc>
          <w:tcPr>
            <w:tcW w:w="981" w:type="dxa"/>
            <w:shd w:val="clear" w:color="auto" w:fill="FFFFFF"/>
            <w:vAlign w:val="center"/>
          </w:tcPr>
          <w:p w14:paraId="49F2B09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15F50B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电源规格</w:t>
            </w:r>
          </w:p>
        </w:tc>
        <w:tc>
          <w:tcPr>
            <w:tcW w:w="1548" w:type="dxa"/>
            <w:shd w:val="clear" w:color="auto" w:fill="FFFFFF"/>
            <w:vAlign w:val="center"/>
          </w:tcPr>
          <w:p w14:paraId="02A9746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电源冗余模式</w:t>
            </w:r>
          </w:p>
        </w:tc>
        <w:tc>
          <w:tcPr>
            <w:tcW w:w="3960" w:type="dxa"/>
            <w:shd w:val="clear" w:color="auto" w:fill="FFFFFF"/>
            <w:vAlign w:val="center"/>
          </w:tcPr>
          <w:p w14:paraId="17C0598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整机电源模块按1+1冗余或N+1冗余配置</w:t>
            </w:r>
          </w:p>
        </w:tc>
        <w:tc>
          <w:tcPr>
            <w:tcW w:w="1305" w:type="dxa"/>
            <w:shd w:val="clear" w:color="auto" w:fill="FFFFFF"/>
            <w:vAlign w:val="center"/>
          </w:tcPr>
          <w:p w14:paraId="6C27763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B70E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54" w:type="dxa"/>
            <w:shd w:val="clear" w:color="auto" w:fill="FFFFFF"/>
            <w:vAlign w:val="center"/>
          </w:tcPr>
          <w:p w14:paraId="6C1D0D6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w:t>
            </w:r>
          </w:p>
        </w:tc>
        <w:tc>
          <w:tcPr>
            <w:tcW w:w="981" w:type="dxa"/>
            <w:shd w:val="clear" w:color="auto" w:fill="FFFFFF"/>
            <w:vAlign w:val="center"/>
          </w:tcPr>
          <w:p w14:paraId="1EA845C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5B24011">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477730C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★电源模块数量</w:t>
            </w:r>
          </w:p>
        </w:tc>
        <w:tc>
          <w:tcPr>
            <w:tcW w:w="3960" w:type="dxa"/>
            <w:shd w:val="clear" w:color="auto" w:fill="FFFFFF"/>
            <w:vAlign w:val="center"/>
          </w:tcPr>
          <w:p w14:paraId="780C0C9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1305" w:type="dxa"/>
            <w:shd w:val="clear" w:color="auto" w:fill="FFFFFF"/>
            <w:vAlign w:val="center"/>
          </w:tcPr>
          <w:p w14:paraId="387D80A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EE53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25BD052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33</w:t>
            </w:r>
          </w:p>
        </w:tc>
        <w:tc>
          <w:tcPr>
            <w:tcW w:w="981" w:type="dxa"/>
            <w:shd w:val="clear" w:color="auto" w:fill="FFFFFF"/>
            <w:vAlign w:val="center"/>
          </w:tcPr>
          <w:p w14:paraId="0222865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55FE3DF">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4896F21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★电源功率</w:t>
            </w:r>
          </w:p>
        </w:tc>
        <w:tc>
          <w:tcPr>
            <w:tcW w:w="3960" w:type="dxa"/>
            <w:shd w:val="clear" w:color="auto" w:fill="FFFFFF"/>
            <w:vAlign w:val="center"/>
          </w:tcPr>
          <w:p w14:paraId="40D1C03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电源模块功率应有一定冗余，满足处理器满载时的需求</w:t>
            </w:r>
          </w:p>
        </w:tc>
        <w:tc>
          <w:tcPr>
            <w:tcW w:w="1305" w:type="dxa"/>
            <w:shd w:val="clear" w:color="auto" w:fill="FFFFFF"/>
            <w:vAlign w:val="center"/>
          </w:tcPr>
          <w:p w14:paraId="362740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2253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54" w:type="dxa"/>
            <w:shd w:val="clear" w:color="auto" w:fill="FFFFFF"/>
            <w:vAlign w:val="center"/>
          </w:tcPr>
          <w:p w14:paraId="1DD4E7F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34</w:t>
            </w:r>
          </w:p>
        </w:tc>
        <w:tc>
          <w:tcPr>
            <w:tcW w:w="981" w:type="dxa"/>
            <w:shd w:val="clear" w:color="auto" w:fill="FFFFFF"/>
            <w:vAlign w:val="center"/>
          </w:tcPr>
          <w:p w14:paraId="48780B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1B2CD4E8">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075BD5E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电源指示灯</w:t>
            </w:r>
          </w:p>
        </w:tc>
        <w:tc>
          <w:tcPr>
            <w:tcW w:w="3960" w:type="dxa"/>
            <w:shd w:val="clear" w:color="auto" w:fill="FFFFFF"/>
            <w:vAlign w:val="center"/>
          </w:tcPr>
          <w:p w14:paraId="3006826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配备电源指示灯，指示待机、工作异常等状态</w:t>
            </w:r>
          </w:p>
        </w:tc>
        <w:tc>
          <w:tcPr>
            <w:tcW w:w="1305" w:type="dxa"/>
            <w:shd w:val="clear" w:color="auto" w:fill="FFFFFF"/>
            <w:vAlign w:val="center"/>
          </w:tcPr>
          <w:p w14:paraId="591D4DA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280A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4" w:hRule="atLeast"/>
        </w:trPr>
        <w:tc>
          <w:tcPr>
            <w:tcW w:w="654" w:type="dxa"/>
            <w:shd w:val="clear" w:color="auto" w:fill="FFFFFF"/>
            <w:vAlign w:val="center"/>
          </w:tcPr>
          <w:p w14:paraId="6E69F03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35</w:t>
            </w:r>
          </w:p>
        </w:tc>
        <w:tc>
          <w:tcPr>
            <w:tcW w:w="981" w:type="dxa"/>
            <w:shd w:val="clear" w:color="auto" w:fill="FFFFFF"/>
            <w:vAlign w:val="center"/>
          </w:tcPr>
          <w:p w14:paraId="4B249A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7E68497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整机规格</w:t>
            </w:r>
          </w:p>
        </w:tc>
        <w:tc>
          <w:tcPr>
            <w:tcW w:w="1548" w:type="dxa"/>
            <w:shd w:val="clear" w:color="auto" w:fill="FFFFFF"/>
            <w:vAlign w:val="center"/>
          </w:tcPr>
          <w:p w14:paraId="71A1570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★外观和结构</w:t>
            </w:r>
          </w:p>
        </w:tc>
        <w:tc>
          <w:tcPr>
            <w:tcW w:w="3960" w:type="dxa"/>
            <w:shd w:val="clear" w:color="auto" w:fill="FFFFFF"/>
            <w:vAlign w:val="center"/>
          </w:tcPr>
          <w:p w14:paraId="731C147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服务器的零部件应紧固无松动，可插拔部件应可靠连接，开关、按钮和其他控制部件应灵活可靠，布局应方便使用；b）产品表面不应有明显的凹痕、划伤、裂缝、变形和污染等。表面涂层均匀，不应起泡、龟裂、脱落和磨损，金属零部件无锈蚀及其它机械损伤；c）产品表面说明功能的文字、符号和标志应清晰、端正且牢固；d）应在服务器的显著位置提供运行状态的指示功能，并在技术文件或者技术白皮书中明确具体含义；e）机架、机箱的尺寸应符合通用机柜的安装要求，插入总线插座的电路板接口外形尺寸应符合有关总线标准的规定，将机箱固定在机柜上，机箱底面最大下垂变形不得干涉相邻机体；f）服务器尺寸具体要求在技术文件或者技术白皮书中明确</w:t>
            </w:r>
          </w:p>
        </w:tc>
        <w:tc>
          <w:tcPr>
            <w:tcW w:w="1305" w:type="dxa"/>
            <w:shd w:val="clear" w:color="auto" w:fill="FFFFFF"/>
            <w:vAlign w:val="center"/>
          </w:tcPr>
          <w:p w14:paraId="4662697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8E89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54" w:type="dxa"/>
            <w:shd w:val="clear" w:color="auto" w:fill="FFFFFF"/>
            <w:vAlign w:val="center"/>
          </w:tcPr>
          <w:p w14:paraId="69C550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36</w:t>
            </w:r>
          </w:p>
        </w:tc>
        <w:tc>
          <w:tcPr>
            <w:tcW w:w="981" w:type="dxa"/>
            <w:shd w:val="clear" w:color="auto" w:fill="FFFFFF"/>
            <w:vAlign w:val="center"/>
          </w:tcPr>
          <w:p w14:paraId="5F91690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9645EA0">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780BCAC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★尺寸（高×宽×深）</w:t>
            </w:r>
          </w:p>
        </w:tc>
        <w:tc>
          <w:tcPr>
            <w:tcW w:w="3960" w:type="dxa"/>
            <w:shd w:val="clear" w:color="auto" w:fill="FFFFFF"/>
            <w:vAlign w:val="center"/>
          </w:tcPr>
          <w:p w14:paraId="441F331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供应商给出产品尺寸；设计应遵循标准化、系列化的要求；机箱的内部结构符合通用部件的安装需要</w:t>
            </w:r>
          </w:p>
        </w:tc>
        <w:tc>
          <w:tcPr>
            <w:tcW w:w="1305" w:type="dxa"/>
            <w:shd w:val="clear" w:color="auto" w:fill="FFFFFF"/>
            <w:vAlign w:val="center"/>
          </w:tcPr>
          <w:p w14:paraId="5EFD4C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B389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54" w:type="dxa"/>
            <w:shd w:val="clear" w:color="auto" w:fill="FFFFFF"/>
            <w:vAlign w:val="center"/>
          </w:tcPr>
          <w:p w14:paraId="02D981F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37</w:t>
            </w:r>
          </w:p>
        </w:tc>
        <w:tc>
          <w:tcPr>
            <w:tcW w:w="981" w:type="dxa"/>
            <w:shd w:val="clear" w:color="auto" w:fill="FFFFFF"/>
            <w:vAlign w:val="center"/>
          </w:tcPr>
          <w:p w14:paraId="55BD087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5047D3B2">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7A434FE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服务器导轨</w:t>
            </w:r>
          </w:p>
        </w:tc>
        <w:tc>
          <w:tcPr>
            <w:tcW w:w="3960" w:type="dxa"/>
            <w:shd w:val="clear" w:color="auto" w:fill="FFFFFF"/>
            <w:vAlign w:val="center"/>
          </w:tcPr>
          <w:p w14:paraId="6D6640C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供应商给出导轨尺寸、安装方式等信息</w:t>
            </w:r>
          </w:p>
        </w:tc>
        <w:tc>
          <w:tcPr>
            <w:tcW w:w="1305" w:type="dxa"/>
            <w:shd w:val="clear" w:color="auto" w:fill="FFFFFF"/>
            <w:vAlign w:val="center"/>
          </w:tcPr>
          <w:p w14:paraId="5346ABF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5AC8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54" w:type="dxa"/>
            <w:shd w:val="clear" w:color="auto" w:fill="FFFFFF"/>
            <w:vAlign w:val="center"/>
          </w:tcPr>
          <w:p w14:paraId="74AA7D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38</w:t>
            </w:r>
          </w:p>
        </w:tc>
        <w:tc>
          <w:tcPr>
            <w:tcW w:w="981" w:type="dxa"/>
            <w:shd w:val="clear" w:color="auto" w:fill="FFFFFF"/>
            <w:vAlign w:val="center"/>
          </w:tcPr>
          <w:p w14:paraId="1B1949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6E1B3860">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44D817F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CPU个数与机柜高度单位（U）比</w:t>
            </w:r>
          </w:p>
        </w:tc>
        <w:tc>
          <w:tcPr>
            <w:tcW w:w="3960" w:type="dxa"/>
            <w:shd w:val="clear" w:color="auto" w:fill="FFFFFF"/>
            <w:vAlign w:val="center"/>
          </w:tcPr>
          <w:p w14:paraId="4015247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供应商给出CPU个数与机柜高度</w:t>
            </w:r>
          </w:p>
        </w:tc>
        <w:tc>
          <w:tcPr>
            <w:tcW w:w="1305" w:type="dxa"/>
            <w:shd w:val="clear" w:color="auto" w:fill="FFFFFF"/>
            <w:vAlign w:val="center"/>
          </w:tcPr>
          <w:p w14:paraId="2E542C9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D5F0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654" w:type="dxa"/>
            <w:shd w:val="clear" w:color="auto" w:fill="FFFFFF"/>
            <w:vAlign w:val="center"/>
          </w:tcPr>
          <w:p w14:paraId="3DB840C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39</w:t>
            </w:r>
          </w:p>
        </w:tc>
        <w:tc>
          <w:tcPr>
            <w:tcW w:w="981" w:type="dxa"/>
            <w:shd w:val="clear" w:color="auto" w:fill="FFFFFF"/>
            <w:vAlign w:val="center"/>
          </w:tcPr>
          <w:p w14:paraId="375B4E8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65F3F7E">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29E52D0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★环境适应性</w:t>
            </w:r>
          </w:p>
        </w:tc>
        <w:tc>
          <w:tcPr>
            <w:tcW w:w="3960" w:type="dxa"/>
            <w:shd w:val="clear" w:color="auto" w:fill="FFFFFF"/>
            <w:vAlign w:val="center"/>
          </w:tcPr>
          <w:p w14:paraId="423B2CD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气候环境适应性应符合GB/T9813.3的有关规定，工作温度10~35℃,贮存运输温度-40～55℃;工作相对湿度35%～80%，贮存运输相对湿度20％～93%（40℃）;大气压86～106kPa</w:t>
            </w:r>
          </w:p>
        </w:tc>
        <w:tc>
          <w:tcPr>
            <w:tcW w:w="1305" w:type="dxa"/>
            <w:shd w:val="clear" w:color="auto" w:fill="FFFFFF"/>
            <w:vAlign w:val="center"/>
          </w:tcPr>
          <w:p w14:paraId="27921DF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E142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54" w:type="dxa"/>
            <w:shd w:val="clear" w:color="auto" w:fill="FFFFFF"/>
            <w:vAlign w:val="center"/>
          </w:tcPr>
          <w:p w14:paraId="54FE104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40</w:t>
            </w:r>
          </w:p>
        </w:tc>
        <w:tc>
          <w:tcPr>
            <w:tcW w:w="981" w:type="dxa"/>
            <w:shd w:val="clear" w:color="auto" w:fill="FFFFFF"/>
            <w:vAlign w:val="center"/>
          </w:tcPr>
          <w:p w14:paraId="187C86B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3FE157B">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58A0B31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特殊机型环境适应性</w:t>
            </w:r>
          </w:p>
        </w:tc>
        <w:tc>
          <w:tcPr>
            <w:tcW w:w="3960" w:type="dxa"/>
            <w:shd w:val="clear" w:color="auto" w:fill="FFFFFF"/>
            <w:vAlign w:val="center"/>
          </w:tcPr>
          <w:p w14:paraId="0B2A161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边缘应用服务器，工作环境温度宜为0～45℃,短期工作可承受环境温度宜为-5～55℃,液冷服务器贮存运输温度宜为-30～55℃</w:t>
            </w:r>
          </w:p>
        </w:tc>
        <w:tc>
          <w:tcPr>
            <w:tcW w:w="1305" w:type="dxa"/>
            <w:shd w:val="clear" w:color="auto" w:fill="FFFFFF"/>
            <w:vAlign w:val="center"/>
          </w:tcPr>
          <w:p w14:paraId="35A3E99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2B0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54" w:type="dxa"/>
            <w:shd w:val="clear" w:color="auto" w:fill="FFFFFF"/>
            <w:vAlign w:val="center"/>
          </w:tcPr>
          <w:p w14:paraId="68DF5E8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41</w:t>
            </w:r>
          </w:p>
        </w:tc>
        <w:tc>
          <w:tcPr>
            <w:tcW w:w="981" w:type="dxa"/>
            <w:shd w:val="clear" w:color="auto" w:fill="FFFFFF"/>
            <w:vAlign w:val="center"/>
          </w:tcPr>
          <w:p w14:paraId="2B71527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2346FC36">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0E3BC64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★机械环境适应性</w:t>
            </w:r>
          </w:p>
        </w:tc>
        <w:tc>
          <w:tcPr>
            <w:tcW w:w="3960" w:type="dxa"/>
            <w:shd w:val="clear" w:color="auto" w:fill="FFFFFF"/>
            <w:vAlign w:val="center"/>
          </w:tcPr>
          <w:p w14:paraId="59D7D32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机械环境适应性应符合GB/T9813.3的有关规定</w:t>
            </w:r>
          </w:p>
        </w:tc>
        <w:tc>
          <w:tcPr>
            <w:tcW w:w="1305" w:type="dxa"/>
            <w:shd w:val="clear" w:color="auto" w:fill="FFFFFF"/>
            <w:vAlign w:val="center"/>
          </w:tcPr>
          <w:p w14:paraId="69274E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6AA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54" w:type="dxa"/>
            <w:shd w:val="clear" w:color="auto" w:fill="FFFFFF"/>
            <w:vAlign w:val="center"/>
          </w:tcPr>
          <w:p w14:paraId="6B96A21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42</w:t>
            </w:r>
          </w:p>
        </w:tc>
        <w:tc>
          <w:tcPr>
            <w:tcW w:w="981" w:type="dxa"/>
            <w:shd w:val="clear" w:color="auto" w:fill="FFFFFF"/>
            <w:vAlign w:val="center"/>
          </w:tcPr>
          <w:p w14:paraId="050DD68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469CDAC">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4A101A6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★噪声</w:t>
            </w:r>
          </w:p>
        </w:tc>
        <w:tc>
          <w:tcPr>
            <w:tcW w:w="3960" w:type="dxa"/>
            <w:shd w:val="clear" w:color="auto" w:fill="FFFFFF"/>
            <w:vAlign w:val="center"/>
          </w:tcPr>
          <w:p w14:paraId="53B89B7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符合GB/T9813.3的有关规定，在产品说明中给出具体测试值塔式服务器噪声在空闲状态下≤50dB</w:t>
            </w:r>
          </w:p>
        </w:tc>
        <w:tc>
          <w:tcPr>
            <w:tcW w:w="1305" w:type="dxa"/>
            <w:shd w:val="clear" w:color="auto" w:fill="FFFFFF"/>
            <w:vAlign w:val="center"/>
          </w:tcPr>
          <w:p w14:paraId="34D56F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75A0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654" w:type="dxa"/>
            <w:shd w:val="clear" w:color="auto" w:fill="FFFFFF"/>
            <w:vAlign w:val="center"/>
          </w:tcPr>
          <w:p w14:paraId="7D1EE1B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43</w:t>
            </w:r>
          </w:p>
        </w:tc>
        <w:tc>
          <w:tcPr>
            <w:tcW w:w="981" w:type="dxa"/>
            <w:shd w:val="clear" w:color="auto" w:fill="FFFFFF"/>
            <w:vAlign w:val="center"/>
          </w:tcPr>
          <w:p w14:paraId="3076588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24C9F9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AI计算单元规格</w:t>
            </w:r>
          </w:p>
        </w:tc>
        <w:tc>
          <w:tcPr>
            <w:tcW w:w="1548" w:type="dxa"/>
            <w:shd w:val="clear" w:color="auto" w:fill="FFFFFF"/>
            <w:vAlign w:val="center"/>
          </w:tcPr>
          <w:p w14:paraId="3E35B17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AI计算单元</w:t>
            </w:r>
          </w:p>
        </w:tc>
        <w:tc>
          <w:tcPr>
            <w:tcW w:w="3960" w:type="dxa"/>
            <w:shd w:val="clear" w:color="auto" w:fill="FFFFFF"/>
            <w:vAlign w:val="center"/>
          </w:tcPr>
          <w:p w14:paraId="70B3494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AI计算单元应符合如下要求：a）具备人工智能加速处理器，计算精度至少支持FP16、BF16、FP32、FP64、INT8和INT16等中的1种；b）单推理卡或模块，具备视频解析、文本识别、语音分析等推理能力；在视觉场景下配备可直接调用的接口实现视觉计算加速，路数不小于64（1080P30FPS）</w:t>
            </w:r>
          </w:p>
        </w:tc>
        <w:tc>
          <w:tcPr>
            <w:tcW w:w="1305" w:type="dxa"/>
            <w:shd w:val="clear" w:color="auto" w:fill="FFFFFF"/>
            <w:vAlign w:val="center"/>
          </w:tcPr>
          <w:p w14:paraId="3E947D3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0C56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34BC589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44</w:t>
            </w:r>
          </w:p>
        </w:tc>
        <w:tc>
          <w:tcPr>
            <w:tcW w:w="981" w:type="dxa"/>
            <w:shd w:val="clear" w:color="auto" w:fill="FFFFFF"/>
            <w:vAlign w:val="center"/>
          </w:tcPr>
          <w:p w14:paraId="3000FAA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FD816A6">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17D4627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一键式迁移</w:t>
            </w:r>
          </w:p>
        </w:tc>
        <w:tc>
          <w:tcPr>
            <w:tcW w:w="3960" w:type="dxa"/>
            <w:shd w:val="clear" w:color="auto" w:fill="FFFFFF"/>
            <w:vAlign w:val="center"/>
          </w:tcPr>
          <w:p w14:paraId="07D6D54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若服务器配备AI计算单元，提供训练脚本迁移工具</w:t>
            </w:r>
          </w:p>
        </w:tc>
        <w:tc>
          <w:tcPr>
            <w:tcW w:w="1305" w:type="dxa"/>
            <w:shd w:val="clear" w:color="auto" w:fill="FFFFFF"/>
            <w:vAlign w:val="center"/>
          </w:tcPr>
          <w:p w14:paraId="222EA0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38A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54" w:type="dxa"/>
            <w:shd w:val="clear" w:color="auto" w:fill="FFFFFF"/>
            <w:vAlign w:val="center"/>
          </w:tcPr>
          <w:p w14:paraId="268466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45</w:t>
            </w:r>
          </w:p>
        </w:tc>
        <w:tc>
          <w:tcPr>
            <w:tcW w:w="981" w:type="dxa"/>
            <w:shd w:val="clear" w:color="auto" w:fill="FFFFFF"/>
            <w:vAlign w:val="center"/>
          </w:tcPr>
          <w:p w14:paraId="7470F9E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641FA25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机柜规格</w:t>
            </w:r>
          </w:p>
        </w:tc>
        <w:tc>
          <w:tcPr>
            <w:tcW w:w="1548" w:type="dxa"/>
            <w:shd w:val="clear" w:color="auto" w:fill="FFFFFF"/>
            <w:vAlign w:val="center"/>
          </w:tcPr>
          <w:p w14:paraId="53F3C4E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★机柜尺寸</w:t>
            </w:r>
          </w:p>
        </w:tc>
        <w:tc>
          <w:tcPr>
            <w:tcW w:w="3960" w:type="dxa"/>
            <w:shd w:val="clear" w:color="auto" w:fill="FFFFFF"/>
            <w:vAlign w:val="center"/>
          </w:tcPr>
          <w:p w14:paraId="12773A3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供应商给出长度、高度和深度</w:t>
            </w:r>
          </w:p>
        </w:tc>
        <w:tc>
          <w:tcPr>
            <w:tcW w:w="1305" w:type="dxa"/>
            <w:shd w:val="clear" w:color="auto" w:fill="FFFFFF"/>
            <w:vAlign w:val="center"/>
          </w:tcPr>
          <w:p w14:paraId="21117C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8B42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54" w:type="dxa"/>
            <w:shd w:val="clear" w:color="auto" w:fill="FFFFFF"/>
            <w:vAlign w:val="center"/>
          </w:tcPr>
          <w:p w14:paraId="272C944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46</w:t>
            </w:r>
          </w:p>
        </w:tc>
        <w:tc>
          <w:tcPr>
            <w:tcW w:w="981" w:type="dxa"/>
            <w:shd w:val="clear" w:color="auto" w:fill="FFFFFF"/>
            <w:vAlign w:val="center"/>
          </w:tcPr>
          <w:p w14:paraId="7652C6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9956E44">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1BFC3AB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机柜管理板</w:t>
            </w:r>
          </w:p>
        </w:tc>
        <w:tc>
          <w:tcPr>
            <w:tcW w:w="3960" w:type="dxa"/>
            <w:shd w:val="clear" w:color="auto" w:fill="FFFFFF"/>
            <w:vAlign w:val="center"/>
          </w:tcPr>
          <w:p w14:paraId="0CEE276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配备机柜管理板</w:t>
            </w:r>
          </w:p>
        </w:tc>
        <w:tc>
          <w:tcPr>
            <w:tcW w:w="1305" w:type="dxa"/>
            <w:shd w:val="clear" w:color="auto" w:fill="FFFFFF"/>
            <w:vAlign w:val="center"/>
          </w:tcPr>
          <w:p w14:paraId="6B05F50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FD60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54" w:type="dxa"/>
            <w:shd w:val="clear" w:color="auto" w:fill="FFFFFF"/>
            <w:vAlign w:val="center"/>
          </w:tcPr>
          <w:p w14:paraId="4CD5562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47</w:t>
            </w:r>
          </w:p>
        </w:tc>
        <w:tc>
          <w:tcPr>
            <w:tcW w:w="981" w:type="dxa"/>
            <w:shd w:val="clear" w:color="auto" w:fill="FFFFFF"/>
            <w:vAlign w:val="center"/>
          </w:tcPr>
          <w:p w14:paraId="477D64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20A63772">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7BD725B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机柜电源规格</w:t>
            </w:r>
          </w:p>
        </w:tc>
        <w:tc>
          <w:tcPr>
            <w:tcW w:w="3960" w:type="dxa"/>
            <w:shd w:val="clear" w:color="auto" w:fill="FFFFFF"/>
            <w:vAlign w:val="center"/>
          </w:tcPr>
          <w:p w14:paraId="7D25F31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a）机柜电源支持集中供电，电源输入≥2路且支持自动切换；b）机柜电源模块支持N+1冗余配置，电源模块可独立更换</w:t>
            </w:r>
          </w:p>
        </w:tc>
        <w:tc>
          <w:tcPr>
            <w:tcW w:w="1305" w:type="dxa"/>
            <w:shd w:val="clear" w:color="auto" w:fill="FFFFFF"/>
            <w:vAlign w:val="center"/>
          </w:tcPr>
          <w:p w14:paraId="78A39B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0E14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72E5A3F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48</w:t>
            </w:r>
          </w:p>
        </w:tc>
        <w:tc>
          <w:tcPr>
            <w:tcW w:w="981" w:type="dxa"/>
            <w:shd w:val="clear" w:color="auto" w:fill="FFFFFF"/>
            <w:vAlign w:val="center"/>
          </w:tcPr>
          <w:p w14:paraId="43D9EB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570C7D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主板功能</w:t>
            </w:r>
          </w:p>
        </w:tc>
        <w:tc>
          <w:tcPr>
            <w:tcW w:w="1548" w:type="dxa"/>
            <w:shd w:val="clear" w:color="auto" w:fill="FFFFFF"/>
            <w:vAlign w:val="center"/>
          </w:tcPr>
          <w:p w14:paraId="0B699B1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★主板外部接口种类</w:t>
            </w:r>
          </w:p>
        </w:tc>
        <w:tc>
          <w:tcPr>
            <w:tcW w:w="3960" w:type="dxa"/>
            <w:shd w:val="clear" w:color="auto" w:fill="FFFFFF"/>
            <w:vAlign w:val="center"/>
          </w:tcPr>
          <w:p w14:paraId="5FDC8A2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支持USB、显示、管理等接口，如：VGA、DP、HDMI、USB3.0、PS/2接口、BMC管理端口</w:t>
            </w:r>
          </w:p>
        </w:tc>
        <w:tc>
          <w:tcPr>
            <w:tcW w:w="1305" w:type="dxa"/>
            <w:shd w:val="clear" w:color="auto" w:fill="FFFFFF"/>
            <w:vAlign w:val="center"/>
          </w:tcPr>
          <w:p w14:paraId="1113FAF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5E15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34EFE75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49</w:t>
            </w:r>
          </w:p>
        </w:tc>
        <w:tc>
          <w:tcPr>
            <w:tcW w:w="981" w:type="dxa"/>
            <w:shd w:val="clear" w:color="auto" w:fill="FFFFFF"/>
            <w:vAlign w:val="center"/>
          </w:tcPr>
          <w:p w14:paraId="4CB1155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7D95F08E">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257BE2A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主板防烧板设计</w:t>
            </w:r>
          </w:p>
        </w:tc>
        <w:tc>
          <w:tcPr>
            <w:tcW w:w="3960" w:type="dxa"/>
            <w:shd w:val="clear" w:color="auto" w:fill="FFFFFF"/>
            <w:vAlign w:val="center"/>
          </w:tcPr>
          <w:p w14:paraId="78689AC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支持主板防烧板设计，保证电源故障后不扩散</w:t>
            </w:r>
          </w:p>
        </w:tc>
        <w:tc>
          <w:tcPr>
            <w:tcW w:w="1305" w:type="dxa"/>
            <w:shd w:val="clear" w:color="auto" w:fill="FFFFFF"/>
            <w:vAlign w:val="center"/>
          </w:tcPr>
          <w:p w14:paraId="4AC40C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91DB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54" w:type="dxa"/>
            <w:shd w:val="clear" w:color="auto" w:fill="FFFFFF"/>
            <w:vAlign w:val="center"/>
          </w:tcPr>
          <w:p w14:paraId="2FF659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50</w:t>
            </w:r>
          </w:p>
        </w:tc>
        <w:tc>
          <w:tcPr>
            <w:tcW w:w="981" w:type="dxa"/>
            <w:shd w:val="clear" w:color="auto" w:fill="FFFFFF"/>
            <w:vAlign w:val="center"/>
          </w:tcPr>
          <w:p w14:paraId="6E7577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7A44E87E">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2EC9276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扩展功能</w:t>
            </w:r>
          </w:p>
        </w:tc>
        <w:tc>
          <w:tcPr>
            <w:tcW w:w="3960" w:type="dxa"/>
            <w:shd w:val="clear" w:color="auto" w:fill="FFFFFF"/>
            <w:vAlign w:val="center"/>
          </w:tcPr>
          <w:p w14:paraId="3F2F28B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实现至少一种扩展功能，如存储功能卡、显示功能卡、运算加速功能卡及网络功能卡等扩展功能</w:t>
            </w:r>
          </w:p>
        </w:tc>
        <w:tc>
          <w:tcPr>
            <w:tcW w:w="1305" w:type="dxa"/>
            <w:shd w:val="clear" w:color="auto" w:fill="FFFFFF"/>
            <w:vAlign w:val="center"/>
          </w:tcPr>
          <w:p w14:paraId="4FA1926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256D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16D076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51</w:t>
            </w:r>
          </w:p>
        </w:tc>
        <w:tc>
          <w:tcPr>
            <w:tcW w:w="981" w:type="dxa"/>
            <w:shd w:val="clear" w:color="auto" w:fill="FFFFFF"/>
            <w:vAlign w:val="center"/>
          </w:tcPr>
          <w:p w14:paraId="735EB1D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shd w:val="clear" w:color="auto" w:fill="FFFFFF"/>
            <w:vAlign w:val="center"/>
          </w:tcPr>
          <w:p w14:paraId="4D45F03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网络功能</w:t>
            </w:r>
          </w:p>
        </w:tc>
        <w:tc>
          <w:tcPr>
            <w:tcW w:w="1548" w:type="dxa"/>
            <w:shd w:val="clear" w:color="auto" w:fill="FFFFFF"/>
            <w:vAlign w:val="center"/>
          </w:tcPr>
          <w:p w14:paraId="5D461FC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★网络功能</w:t>
            </w:r>
          </w:p>
        </w:tc>
        <w:tc>
          <w:tcPr>
            <w:tcW w:w="3960" w:type="dxa"/>
            <w:shd w:val="clear" w:color="auto" w:fill="FFFFFF"/>
            <w:vAlign w:val="center"/>
          </w:tcPr>
          <w:p w14:paraId="4AF116F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支持网络连接、网络访问、数据交换和网络管控功能</w:t>
            </w:r>
          </w:p>
        </w:tc>
        <w:tc>
          <w:tcPr>
            <w:tcW w:w="1305" w:type="dxa"/>
            <w:shd w:val="clear" w:color="auto" w:fill="FFFFFF"/>
            <w:vAlign w:val="center"/>
          </w:tcPr>
          <w:p w14:paraId="28CB50B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CE69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080" w:hRule="atLeast"/>
        </w:trPr>
        <w:tc>
          <w:tcPr>
            <w:tcW w:w="654" w:type="dxa"/>
            <w:shd w:val="clear" w:color="auto" w:fill="FFFFFF"/>
            <w:vAlign w:val="center"/>
          </w:tcPr>
          <w:p w14:paraId="1B82FFF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52</w:t>
            </w:r>
          </w:p>
        </w:tc>
        <w:tc>
          <w:tcPr>
            <w:tcW w:w="981" w:type="dxa"/>
            <w:shd w:val="clear" w:color="auto" w:fill="FFFFFF"/>
            <w:vAlign w:val="center"/>
          </w:tcPr>
          <w:p w14:paraId="241DA9C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10F222C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CPU功能</w:t>
            </w:r>
          </w:p>
        </w:tc>
        <w:tc>
          <w:tcPr>
            <w:tcW w:w="1548" w:type="dxa"/>
            <w:shd w:val="clear" w:color="auto" w:fill="FFFFFF"/>
            <w:vAlign w:val="center"/>
          </w:tcPr>
          <w:p w14:paraId="0B48145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★计算处理</w:t>
            </w:r>
          </w:p>
        </w:tc>
        <w:tc>
          <w:tcPr>
            <w:tcW w:w="3960" w:type="dxa"/>
            <w:shd w:val="clear" w:color="auto" w:fill="FFFFFF"/>
            <w:vAlign w:val="center"/>
          </w:tcPr>
          <w:p w14:paraId="0A7BD2E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支持通用计算及虚拟化功能。处理器需集成整型计算单元、浮点计算单元、内存控制器、I/O模块等，处理器与存储部件、网络部件、I/O部件等组成计算系统，提供数据处理、网络接入等计算相关功能</w:t>
            </w:r>
          </w:p>
        </w:tc>
        <w:tc>
          <w:tcPr>
            <w:tcW w:w="1305" w:type="dxa"/>
            <w:shd w:val="clear" w:color="auto" w:fill="FFFFFF"/>
            <w:vAlign w:val="center"/>
          </w:tcPr>
          <w:p w14:paraId="5CA050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C5C0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54" w:type="dxa"/>
            <w:shd w:val="clear" w:color="auto" w:fill="FFFFFF"/>
            <w:vAlign w:val="center"/>
          </w:tcPr>
          <w:p w14:paraId="0B4BD45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53</w:t>
            </w:r>
          </w:p>
        </w:tc>
        <w:tc>
          <w:tcPr>
            <w:tcW w:w="981" w:type="dxa"/>
            <w:shd w:val="clear" w:color="auto" w:fill="FFFFFF"/>
            <w:vAlign w:val="center"/>
          </w:tcPr>
          <w:p w14:paraId="4D906F3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1A0FB921">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2E7D1A0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★密码算法实现</w:t>
            </w:r>
          </w:p>
        </w:tc>
        <w:tc>
          <w:tcPr>
            <w:tcW w:w="3960" w:type="dxa"/>
            <w:shd w:val="clear" w:color="auto" w:fill="FFFFFF"/>
            <w:vAlign w:val="center"/>
          </w:tcPr>
          <w:p w14:paraId="586902F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CPU芯片应符合GM/T0008的相关规定，或芯片密码模块应符合GB/T37092或GM/T0028的相关规定</w:t>
            </w:r>
          </w:p>
        </w:tc>
        <w:tc>
          <w:tcPr>
            <w:tcW w:w="1305" w:type="dxa"/>
            <w:shd w:val="clear" w:color="auto" w:fill="FFFFFF"/>
            <w:vAlign w:val="center"/>
          </w:tcPr>
          <w:p w14:paraId="0E0F4FB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3C60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54" w:type="dxa"/>
            <w:shd w:val="clear" w:color="auto" w:fill="FFFFFF"/>
            <w:vAlign w:val="center"/>
          </w:tcPr>
          <w:p w14:paraId="0B26B32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54</w:t>
            </w:r>
          </w:p>
        </w:tc>
        <w:tc>
          <w:tcPr>
            <w:tcW w:w="981" w:type="dxa"/>
            <w:shd w:val="clear" w:color="auto" w:fill="FFFFFF"/>
            <w:vAlign w:val="center"/>
          </w:tcPr>
          <w:p w14:paraId="06AAA8C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4829D7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存储功能</w:t>
            </w:r>
          </w:p>
        </w:tc>
        <w:tc>
          <w:tcPr>
            <w:tcW w:w="1548" w:type="dxa"/>
            <w:shd w:val="clear" w:color="auto" w:fill="FFFFFF"/>
            <w:vAlign w:val="center"/>
          </w:tcPr>
          <w:p w14:paraId="70B0C83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内存校验</w:t>
            </w:r>
          </w:p>
        </w:tc>
        <w:tc>
          <w:tcPr>
            <w:tcW w:w="3960" w:type="dxa"/>
            <w:shd w:val="clear" w:color="auto" w:fill="FFFFFF"/>
            <w:vAlign w:val="center"/>
          </w:tcPr>
          <w:p w14:paraId="06DF3CD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支持内存校验或内存增强型纠错功能</w:t>
            </w:r>
          </w:p>
        </w:tc>
        <w:tc>
          <w:tcPr>
            <w:tcW w:w="1305" w:type="dxa"/>
            <w:shd w:val="clear" w:color="auto" w:fill="FFFFFF"/>
            <w:vAlign w:val="center"/>
          </w:tcPr>
          <w:p w14:paraId="7D54A30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997A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54" w:type="dxa"/>
            <w:shd w:val="clear" w:color="auto" w:fill="FFFFFF"/>
            <w:vAlign w:val="center"/>
          </w:tcPr>
          <w:p w14:paraId="0A7F137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55</w:t>
            </w:r>
          </w:p>
        </w:tc>
        <w:tc>
          <w:tcPr>
            <w:tcW w:w="981" w:type="dxa"/>
            <w:shd w:val="clear" w:color="auto" w:fill="FFFFFF"/>
            <w:vAlign w:val="center"/>
          </w:tcPr>
          <w:p w14:paraId="1EAF12F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2BF62CDA">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6E6D9C0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SATASSDNAND健康状态上报</w:t>
            </w:r>
          </w:p>
        </w:tc>
        <w:tc>
          <w:tcPr>
            <w:tcW w:w="3960" w:type="dxa"/>
            <w:shd w:val="clear" w:color="auto" w:fill="FFFFFF"/>
            <w:vAlign w:val="center"/>
          </w:tcPr>
          <w:p w14:paraId="1EC559A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支持关键外部存储器（硬磁盘、SSD等）的健康状态上报并进行故障诊断</w:t>
            </w:r>
          </w:p>
        </w:tc>
        <w:tc>
          <w:tcPr>
            <w:tcW w:w="1305" w:type="dxa"/>
            <w:shd w:val="clear" w:color="auto" w:fill="FFFFFF"/>
            <w:vAlign w:val="center"/>
          </w:tcPr>
          <w:p w14:paraId="01686F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783E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54" w:type="dxa"/>
            <w:shd w:val="clear" w:color="auto" w:fill="FFFFFF"/>
            <w:vAlign w:val="center"/>
          </w:tcPr>
          <w:p w14:paraId="7608854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56</w:t>
            </w:r>
          </w:p>
        </w:tc>
        <w:tc>
          <w:tcPr>
            <w:tcW w:w="981" w:type="dxa"/>
            <w:shd w:val="clear" w:color="auto" w:fill="FFFFFF"/>
            <w:vAlign w:val="center"/>
          </w:tcPr>
          <w:p w14:paraId="7AD3AC0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57284013">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0294FBD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SATASSD单die故障隔离</w:t>
            </w:r>
          </w:p>
        </w:tc>
        <w:tc>
          <w:tcPr>
            <w:tcW w:w="3960" w:type="dxa"/>
            <w:shd w:val="clear" w:color="auto" w:fill="FFFFFF"/>
            <w:vAlign w:val="center"/>
          </w:tcPr>
          <w:p w14:paraId="6D59E72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支持SSD关键外部存储器中单存储晶元故障隔离</w:t>
            </w:r>
          </w:p>
        </w:tc>
        <w:tc>
          <w:tcPr>
            <w:tcW w:w="1305" w:type="dxa"/>
            <w:shd w:val="clear" w:color="auto" w:fill="FFFFFF"/>
            <w:vAlign w:val="center"/>
          </w:tcPr>
          <w:p w14:paraId="2EB287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5523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54" w:type="dxa"/>
            <w:shd w:val="clear" w:color="auto" w:fill="FFFFFF"/>
            <w:vAlign w:val="center"/>
          </w:tcPr>
          <w:p w14:paraId="2FD9524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57</w:t>
            </w:r>
          </w:p>
        </w:tc>
        <w:tc>
          <w:tcPr>
            <w:tcW w:w="981" w:type="dxa"/>
            <w:shd w:val="clear" w:color="auto" w:fill="FFFFFF"/>
            <w:vAlign w:val="center"/>
          </w:tcPr>
          <w:p w14:paraId="5451B5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5450CD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RAID卡功能</w:t>
            </w:r>
          </w:p>
        </w:tc>
        <w:tc>
          <w:tcPr>
            <w:tcW w:w="1548" w:type="dxa"/>
            <w:shd w:val="clear" w:color="auto" w:fill="FFFFFF"/>
            <w:vAlign w:val="center"/>
          </w:tcPr>
          <w:p w14:paraId="5E29897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RAID卡配置及RAID级别支持</w:t>
            </w:r>
          </w:p>
        </w:tc>
        <w:tc>
          <w:tcPr>
            <w:tcW w:w="3960" w:type="dxa"/>
            <w:shd w:val="clear" w:color="auto" w:fill="FFFFFF"/>
            <w:vAlign w:val="center"/>
          </w:tcPr>
          <w:p w14:paraId="66EB3AD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RAID模式支持RAID0/1/10/5；</w:t>
            </w:r>
          </w:p>
        </w:tc>
        <w:tc>
          <w:tcPr>
            <w:tcW w:w="1305" w:type="dxa"/>
            <w:shd w:val="clear" w:color="auto" w:fill="FFFFFF"/>
            <w:vAlign w:val="center"/>
          </w:tcPr>
          <w:p w14:paraId="59AB48C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A437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5DB3316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58</w:t>
            </w:r>
          </w:p>
        </w:tc>
        <w:tc>
          <w:tcPr>
            <w:tcW w:w="981" w:type="dxa"/>
            <w:shd w:val="clear" w:color="auto" w:fill="FFFFFF"/>
            <w:vAlign w:val="center"/>
          </w:tcPr>
          <w:p w14:paraId="67D2A30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46D62864">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7EB89BF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RAID卡BBU单元</w:t>
            </w:r>
          </w:p>
        </w:tc>
        <w:tc>
          <w:tcPr>
            <w:tcW w:w="3960" w:type="dxa"/>
            <w:shd w:val="clear" w:color="auto" w:fill="FFFFFF"/>
            <w:vAlign w:val="center"/>
          </w:tcPr>
          <w:p w14:paraId="3C8F153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RAID卡支持电池或电容备份单元</w:t>
            </w:r>
          </w:p>
        </w:tc>
        <w:tc>
          <w:tcPr>
            <w:tcW w:w="1305" w:type="dxa"/>
            <w:shd w:val="clear" w:color="auto" w:fill="FFFFFF"/>
            <w:vAlign w:val="center"/>
          </w:tcPr>
          <w:p w14:paraId="73ECE0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B266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54" w:type="dxa"/>
            <w:shd w:val="clear" w:color="auto" w:fill="FFFFFF"/>
            <w:vAlign w:val="center"/>
          </w:tcPr>
          <w:p w14:paraId="78CF2E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59</w:t>
            </w:r>
          </w:p>
        </w:tc>
        <w:tc>
          <w:tcPr>
            <w:tcW w:w="981" w:type="dxa"/>
            <w:shd w:val="clear" w:color="auto" w:fill="FFFFFF"/>
            <w:vAlign w:val="center"/>
          </w:tcPr>
          <w:p w14:paraId="41B19CF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shd w:val="clear" w:color="auto" w:fill="FFFFFF"/>
            <w:vAlign w:val="center"/>
          </w:tcPr>
          <w:p w14:paraId="2ED60B1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光驱功能</w:t>
            </w:r>
          </w:p>
        </w:tc>
        <w:tc>
          <w:tcPr>
            <w:tcW w:w="1548" w:type="dxa"/>
            <w:shd w:val="clear" w:color="auto" w:fill="FFFFFF"/>
            <w:vAlign w:val="center"/>
          </w:tcPr>
          <w:p w14:paraId="65C6305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光驱类型（是否支持RW，以及光盘类型CD/DVD）</w:t>
            </w:r>
          </w:p>
        </w:tc>
        <w:tc>
          <w:tcPr>
            <w:tcW w:w="3960" w:type="dxa"/>
            <w:shd w:val="clear" w:color="auto" w:fill="FFFFFF"/>
            <w:vAlign w:val="center"/>
          </w:tcPr>
          <w:p w14:paraId="22A1BA1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若配备光驱，应提供光驱的安装形式（如内置、外置）、光驱读写类型（如只读、可刻录等）、光盘类型的兼容列表（如CD-ROM、CD-RW、DVD±RW等）</w:t>
            </w:r>
          </w:p>
        </w:tc>
        <w:tc>
          <w:tcPr>
            <w:tcW w:w="1305" w:type="dxa"/>
            <w:shd w:val="clear" w:color="auto" w:fill="FFFFFF"/>
            <w:vAlign w:val="center"/>
          </w:tcPr>
          <w:p w14:paraId="2AD121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A57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54" w:type="dxa"/>
            <w:shd w:val="clear" w:color="auto" w:fill="FFFFFF"/>
            <w:vAlign w:val="center"/>
          </w:tcPr>
          <w:p w14:paraId="7D9BD94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60</w:t>
            </w:r>
          </w:p>
        </w:tc>
        <w:tc>
          <w:tcPr>
            <w:tcW w:w="981" w:type="dxa"/>
            <w:shd w:val="clear" w:color="auto" w:fill="FFFFFF"/>
            <w:vAlign w:val="center"/>
          </w:tcPr>
          <w:p w14:paraId="05E765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2AD0C4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电源功能</w:t>
            </w:r>
          </w:p>
        </w:tc>
        <w:tc>
          <w:tcPr>
            <w:tcW w:w="1548" w:type="dxa"/>
            <w:shd w:val="clear" w:color="auto" w:fill="FFFFFF"/>
            <w:vAlign w:val="center"/>
          </w:tcPr>
          <w:p w14:paraId="44E0701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★电源热插拔</w:t>
            </w:r>
          </w:p>
        </w:tc>
        <w:tc>
          <w:tcPr>
            <w:tcW w:w="3960" w:type="dxa"/>
            <w:shd w:val="clear" w:color="auto" w:fill="FFFFFF"/>
            <w:vAlign w:val="center"/>
          </w:tcPr>
          <w:p w14:paraId="7D836F5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整机电源模块应具备热插拔功能</w:t>
            </w:r>
          </w:p>
        </w:tc>
        <w:tc>
          <w:tcPr>
            <w:tcW w:w="1305" w:type="dxa"/>
            <w:shd w:val="clear" w:color="auto" w:fill="FFFFFF"/>
            <w:vAlign w:val="center"/>
          </w:tcPr>
          <w:p w14:paraId="7567D2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C2F6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54" w:type="dxa"/>
            <w:shd w:val="clear" w:color="auto" w:fill="FFFFFF"/>
            <w:vAlign w:val="center"/>
          </w:tcPr>
          <w:p w14:paraId="323CF56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61</w:t>
            </w:r>
          </w:p>
        </w:tc>
        <w:tc>
          <w:tcPr>
            <w:tcW w:w="981" w:type="dxa"/>
            <w:shd w:val="clear" w:color="auto" w:fill="FFFFFF"/>
            <w:vAlign w:val="center"/>
          </w:tcPr>
          <w:p w14:paraId="60160AF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67244AC7">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7227AEC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★电源过流保护</w:t>
            </w:r>
          </w:p>
        </w:tc>
        <w:tc>
          <w:tcPr>
            <w:tcW w:w="3960" w:type="dxa"/>
            <w:shd w:val="clear" w:color="auto" w:fill="FFFFFF"/>
            <w:vAlign w:val="center"/>
          </w:tcPr>
          <w:p w14:paraId="6039EE9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支持过流及短路保护的功能</w:t>
            </w:r>
          </w:p>
        </w:tc>
        <w:tc>
          <w:tcPr>
            <w:tcW w:w="1305" w:type="dxa"/>
            <w:shd w:val="clear" w:color="auto" w:fill="FFFFFF"/>
            <w:vAlign w:val="center"/>
          </w:tcPr>
          <w:p w14:paraId="02A2609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0EAC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54" w:type="dxa"/>
            <w:shd w:val="clear" w:color="auto" w:fill="FFFFFF"/>
            <w:vAlign w:val="center"/>
          </w:tcPr>
          <w:p w14:paraId="75046E4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62</w:t>
            </w:r>
          </w:p>
        </w:tc>
        <w:tc>
          <w:tcPr>
            <w:tcW w:w="981" w:type="dxa"/>
            <w:shd w:val="clear" w:color="auto" w:fill="FFFFFF"/>
            <w:vAlign w:val="center"/>
          </w:tcPr>
          <w:p w14:paraId="0F0DAA1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4147A5C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整机功能</w:t>
            </w:r>
          </w:p>
        </w:tc>
        <w:tc>
          <w:tcPr>
            <w:tcW w:w="1548" w:type="dxa"/>
            <w:shd w:val="clear" w:color="auto" w:fill="FFFFFF"/>
            <w:vAlign w:val="center"/>
          </w:tcPr>
          <w:p w14:paraId="23B72B6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★散热方式</w:t>
            </w:r>
          </w:p>
        </w:tc>
        <w:tc>
          <w:tcPr>
            <w:tcW w:w="3960" w:type="dxa"/>
            <w:shd w:val="clear" w:color="auto" w:fill="FFFFFF"/>
            <w:vAlign w:val="center"/>
          </w:tcPr>
          <w:p w14:paraId="59D3329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支持风冷或液冷等散热方式</w:t>
            </w:r>
          </w:p>
        </w:tc>
        <w:tc>
          <w:tcPr>
            <w:tcW w:w="1305" w:type="dxa"/>
            <w:shd w:val="clear" w:color="auto" w:fill="FFFFFF"/>
            <w:vAlign w:val="center"/>
          </w:tcPr>
          <w:p w14:paraId="793C69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A64B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52F7587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63</w:t>
            </w:r>
          </w:p>
        </w:tc>
        <w:tc>
          <w:tcPr>
            <w:tcW w:w="981" w:type="dxa"/>
            <w:shd w:val="clear" w:color="auto" w:fill="FFFFFF"/>
            <w:vAlign w:val="center"/>
          </w:tcPr>
          <w:p w14:paraId="46A8BE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4D1AFFF2">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3F19E63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其他功能</w:t>
            </w:r>
          </w:p>
        </w:tc>
        <w:tc>
          <w:tcPr>
            <w:tcW w:w="3960" w:type="dxa"/>
            <w:shd w:val="clear" w:color="auto" w:fill="FFFFFF"/>
            <w:vAlign w:val="center"/>
          </w:tcPr>
          <w:p w14:paraId="03C3A8F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a）支持关键部件冗余（包括电源、风扇等）；b）支持熔断保护与恢复功能</w:t>
            </w:r>
          </w:p>
        </w:tc>
        <w:tc>
          <w:tcPr>
            <w:tcW w:w="1305" w:type="dxa"/>
            <w:shd w:val="clear" w:color="auto" w:fill="FFFFFF"/>
            <w:vAlign w:val="center"/>
          </w:tcPr>
          <w:p w14:paraId="4FE28D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82CC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54" w:type="dxa"/>
            <w:shd w:val="clear" w:color="auto" w:fill="FFFFFF"/>
            <w:vAlign w:val="center"/>
          </w:tcPr>
          <w:p w14:paraId="00A2BAD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64</w:t>
            </w:r>
          </w:p>
        </w:tc>
        <w:tc>
          <w:tcPr>
            <w:tcW w:w="981" w:type="dxa"/>
            <w:shd w:val="clear" w:color="auto" w:fill="FFFFFF"/>
            <w:vAlign w:val="center"/>
          </w:tcPr>
          <w:p w14:paraId="3E8ACC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shd w:val="clear" w:color="auto" w:fill="FFFFFF"/>
            <w:vAlign w:val="center"/>
          </w:tcPr>
          <w:p w14:paraId="65B6620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管理系统功能</w:t>
            </w:r>
          </w:p>
        </w:tc>
        <w:tc>
          <w:tcPr>
            <w:tcW w:w="1548" w:type="dxa"/>
            <w:shd w:val="clear" w:color="auto" w:fill="FFFFFF"/>
            <w:vAlign w:val="center"/>
          </w:tcPr>
          <w:p w14:paraId="61AA118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★BMC固件基础功能</w:t>
            </w:r>
          </w:p>
        </w:tc>
        <w:tc>
          <w:tcPr>
            <w:tcW w:w="3960" w:type="dxa"/>
            <w:shd w:val="clear" w:color="auto" w:fill="FFFFFF"/>
            <w:vAlign w:val="center"/>
          </w:tcPr>
          <w:p w14:paraId="20C8187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支持DHCP设置网络功能；2）支持静态IP设置网络功能；3）支持设备日志记录，包括但不限于登录日志、操作日志和报警日志等功能；4）支持日志信息导出和记录删除功能；5）支持通过管理接口向外输出准确的报警信息功能；6）设备的BMC管理软件应能够按报警的严重程度进行区分；7）支持IPMI2.0、SNMP或Redfish等接口功能；8）支持键盘、鼠标和视频的重定向、文本控制台的重定向、远程虚拟媒体、高可靠的硬件监控和管理功能；9）支持基于网络开启、关闭和重启设备的功能，并查询当前设备开机运行状态；10）支持故障提示功能，并可通过接口读取服务器故障信息；11）支持基于网络的固件更新功能，包括BMC和BIOS等；12）支持基于网络安装操作系统的功能，并可通过网络控制台访问设备；13）支持通过本地的硬盘或光驱等存储设备，基于网络完成设备的操作系统安装功能；14）支持通过浏览器打开管理界面并登录功能；15）支持设置口令策略功能；16）支持访问权限设置功能，并通过日志记录访问事件；17）支持对出厂默认的用户名及口令进行安全保护功能，并提供默认口令修改提示；18）支持读取设备主板的工作环境温度功能；19）支持读取服务器CPU等核心器件的温度功能；20）支持通过外部管理工具进行BMC参数设置的功能，并可基于网络通过外部管理工具对BMC进行管理；21）应支持固件版本查询、固件升级22）支持基于网络实现开关机和复位控制的功能；23)BMC启动时间应不超过180s，实现功能包括网络、IPMI、散热、传感器服务可用；24）支持BMC固件设置的恢复出厂功能</w:t>
            </w:r>
          </w:p>
        </w:tc>
        <w:tc>
          <w:tcPr>
            <w:tcW w:w="1305" w:type="dxa"/>
            <w:shd w:val="clear" w:color="auto" w:fill="FFFFFF"/>
            <w:vAlign w:val="center"/>
          </w:tcPr>
          <w:p w14:paraId="4166B5B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8BC3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54" w:type="dxa"/>
            <w:shd w:val="clear" w:color="auto" w:fill="FFFFFF"/>
            <w:vAlign w:val="center"/>
          </w:tcPr>
          <w:p w14:paraId="709AB03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65</w:t>
            </w:r>
          </w:p>
        </w:tc>
        <w:tc>
          <w:tcPr>
            <w:tcW w:w="981" w:type="dxa"/>
            <w:shd w:val="clear" w:color="auto" w:fill="FFFFFF"/>
            <w:vAlign w:val="center"/>
          </w:tcPr>
          <w:p w14:paraId="3597D3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2298B62A">
            <w:pPr>
              <w:widowControl/>
              <w:jc w:val="center"/>
              <w:rPr>
                <w:rFonts w:asciiTheme="minorEastAsia" w:hAnsiTheme="minorEastAsia" w:eastAsiaTheme="minorEastAsia" w:cstheme="minorEastAsia"/>
                <w:kern w:val="0"/>
                <w:sz w:val="24"/>
              </w:rPr>
            </w:pPr>
          </w:p>
        </w:tc>
        <w:tc>
          <w:tcPr>
            <w:tcW w:w="1548" w:type="dxa"/>
            <w:shd w:val="clear" w:color="auto" w:fill="FFFFFF"/>
            <w:vAlign w:val="center"/>
          </w:tcPr>
          <w:p w14:paraId="37F4207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BMC固件增强功能</w:t>
            </w:r>
          </w:p>
        </w:tc>
        <w:tc>
          <w:tcPr>
            <w:tcW w:w="3960" w:type="dxa"/>
            <w:shd w:val="clear" w:color="auto" w:fill="FFFFFF"/>
            <w:vAlign w:val="center"/>
          </w:tcPr>
          <w:p w14:paraId="51ADE8B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a）网络控制、安装提供图形访问界面网络；b）设备的BMC管理软件界面显示报警信息，且能够按报警的严重程度进行区分；c）WebGUI采用BMC端口直连，平均响应时间为≤1s</w:t>
            </w:r>
          </w:p>
        </w:tc>
        <w:tc>
          <w:tcPr>
            <w:tcW w:w="1305" w:type="dxa"/>
            <w:shd w:val="clear" w:color="auto" w:fill="FFFFFF"/>
            <w:vAlign w:val="center"/>
          </w:tcPr>
          <w:p w14:paraId="528E4AE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E4F5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240" w:hRule="atLeast"/>
        </w:trPr>
        <w:tc>
          <w:tcPr>
            <w:tcW w:w="654" w:type="dxa"/>
            <w:shd w:val="clear" w:color="auto" w:fill="FFFFFF"/>
            <w:vAlign w:val="center"/>
          </w:tcPr>
          <w:p w14:paraId="0DA1D2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66</w:t>
            </w:r>
          </w:p>
        </w:tc>
        <w:tc>
          <w:tcPr>
            <w:tcW w:w="981" w:type="dxa"/>
            <w:shd w:val="clear" w:color="auto" w:fill="FFFFFF"/>
            <w:vAlign w:val="center"/>
          </w:tcPr>
          <w:p w14:paraId="04EBDC2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7B746289">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7187988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★BIOS固件基础功能</w:t>
            </w:r>
          </w:p>
        </w:tc>
        <w:tc>
          <w:tcPr>
            <w:tcW w:w="3960" w:type="dxa"/>
            <w:shd w:val="clear" w:color="auto" w:fill="FFFFFF"/>
            <w:vAlign w:val="center"/>
          </w:tcPr>
          <w:p w14:paraId="3AEA541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查看固件版本、内存信息、主板信息、处理器信息和系统时间信息功能；b）支持上电初始化界面显示CPU信息、内存信息、固件版本和部分快捷键信息功能；c）支持设置界面中英文显示切换功能；d）支持查看PCIe设备信息，SATA设备信息功能；e）支持操作系统安装和引导功能，应并向操作系统提供计算机主板信息和服务接口；f）支持设置启动顺序，并按照设置的启动顺序启动功能；g）支持安全启动功能；h）支持设置口令、修改口令、验证口令功能；i）支持板载显示控制或独立显卡的显示控制功能；j）支持RAID识别和启动功能；k）支持串口重定向功能；l）支持固件更新功能；m）支持BIOS固件设置的恢复出厂功能；n）支持网络引导启用和关闭功能</w:t>
            </w:r>
          </w:p>
        </w:tc>
        <w:tc>
          <w:tcPr>
            <w:tcW w:w="1305" w:type="dxa"/>
            <w:shd w:val="clear" w:color="auto" w:fill="FFFFFF"/>
            <w:vAlign w:val="center"/>
          </w:tcPr>
          <w:p w14:paraId="752E721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FBFB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54" w:type="dxa"/>
            <w:shd w:val="clear" w:color="auto" w:fill="FFFFFF"/>
            <w:vAlign w:val="center"/>
          </w:tcPr>
          <w:p w14:paraId="7264ECB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67</w:t>
            </w:r>
          </w:p>
        </w:tc>
        <w:tc>
          <w:tcPr>
            <w:tcW w:w="981" w:type="dxa"/>
            <w:shd w:val="clear" w:color="auto" w:fill="FFFFFF"/>
            <w:vAlign w:val="center"/>
          </w:tcPr>
          <w:p w14:paraId="3C1EC9C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6BB8BD32">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28A01F2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★远程控制</w:t>
            </w:r>
          </w:p>
        </w:tc>
        <w:tc>
          <w:tcPr>
            <w:tcW w:w="3960" w:type="dxa"/>
            <w:shd w:val="clear" w:color="auto" w:fill="FFFFFF"/>
            <w:vAlign w:val="center"/>
          </w:tcPr>
          <w:p w14:paraId="2C11FE7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支持远程关机和重新启动功能</w:t>
            </w:r>
          </w:p>
        </w:tc>
        <w:tc>
          <w:tcPr>
            <w:tcW w:w="1305" w:type="dxa"/>
            <w:shd w:val="clear" w:color="auto" w:fill="FFFFFF"/>
            <w:vAlign w:val="center"/>
          </w:tcPr>
          <w:p w14:paraId="74EA980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6D6A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54" w:type="dxa"/>
            <w:shd w:val="clear" w:color="auto" w:fill="FFFFFF"/>
            <w:vAlign w:val="center"/>
          </w:tcPr>
          <w:p w14:paraId="05F99D2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68</w:t>
            </w:r>
          </w:p>
        </w:tc>
        <w:tc>
          <w:tcPr>
            <w:tcW w:w="981" w:type="dxa"/>
            <w:shd w:val="clear" w:color="auto" w:fill="FFFFFF"/>
            <w:vAlign w:val="center"/>
          </w:tcPr>
          <w:p w14:paraId="2DDF83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00BFDD9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操作系统及驱动功能</w:t>
            </w:r>
          </w:p>
        </w:tc>
        <w:tc>
          <w:tcPr>
            <w:tcW w:w="1548" w:type="dxa"/>
            <w:shd w:val="clear" w:color="auto" w:fill="FFFFFF"/>
            <w:vAlign w:val="center"/>
          </w:tcPr>
          <w:p w14:paraId="351E590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★操作系统及驱动的升级</w:t>
            </w:r>
          </w:p>
        </w:tc>
        <w:tc>
          <w:tcPr>
            <w:tcW w:w="3960" w:type="dxa"/>
            <w:shd w:val="clear" w:color="auto" w:fill="FFFFFF"/>
            <w:vAlign w:val="center"/>
          </w:tcPr>
          <w:p w14:paraId="6C7876D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支持通过网络、闪存盘对操作系统、驱动进行升级</w:t>
            </w:r>
          </w:p>
        </w:tc>
        <w:tc>
          <w:tcPr>
            <w:tcW w:w="1305" w:type="dxa"/>
            <w:shd w:val="clear" w:color="auto" w:fill="FFFFFF"/>
            <w:vAlign w:val="center"/>
          </w:tcPr>
          <w:p w14:paraId="7BE980B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3E0E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54" w:type="dxa"/>
            <w:shd w:val="clear" w:color="auto" w:fill="FFFFFF"/>
            <w:vAlign w:val="center"/>
          </w:tcPr>
          <w:p w14:paraId="512BA67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69</w:t>
            </w:r>
          </w:p>
        </w:tc>
        <w:tc>
          <w:tcPr>
            <w:tcW w:w="981" w:type="dxa"/>
            <w:shd w:val="clear" w:color="auto" w:fill="FFFFFF"/>
            <w:vAlign w:val="center"/>
          </w:tcPr>
          <w:p w14:paraId="004B76B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51703229">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648DD36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操作系统及驱动的备份还原</w:t>
            </w:r>
          </w:p>
        </w:tc>
        <w:tc>
          <w:tcPr>
            <w:tcW w:w="3960" w:type="dxa"/>
            <w:shd w:val="clear" w:color="auto" w:fill="FFFFFF"/>
            <w:vAlign w:val="center"/>
          </w:tcPr>
          <w:p w14:paraId="5A1CB0B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支持操作系统备份及还原功能</w:t>
            </w:r>
          </w:p>
        </w:tc>
        <w:tc>
          <w:tcPr>
            <w:tcW w:w="1305" w:type="dxa"/>
            <w:shd w:val="clear" w:color="auto" w:fill="FFFFFF"/>
            <w:vAlign w:val="center"/>
          </w:tcPr>
          <w:p w14:paraId="4A953C6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8FDB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54" w:type="dxa"/>
            <w:shd w:val="clear" w:color="auto" w:fill="FFFFFF"/>
            <w:vAlign w:val="center"/>
          </w:tcPr>
          <w:p w14:paraId="3EFFB1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70</w:t>
            </w:r>
          </w:p>
        </w:tc>
        <w:tc>
          <w:tcPr>
            <w:tcW w:w="981" w:type="dxa"/>
            <w:shd w:val="clear" w:color="auto" w:fill="FFFFFF"/>
            <w:vAlign w:val="center"/>
          </w:tcPr>
          <w:p w14:paraId="53EAD3C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138E2E28">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1E3D002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★操作系统功能</w:t>
            </w:r>
          </w:p>
        </w:tc>
        <w:tc>
          <w:tcPr>
            <w:tcW w:w="3960" w:type="dxa"/>
            <w:shd w:val="clear" w:color="auto" w:fill="FFFFFF"/>
            <w:vAlign w:val="center"/>
          </w:tcPr>
          <w:p w14:paraId="60D9133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a）支持访问控制、安全审计、网络接入鉴别等功能；b）操作系统其他功能应满足操作系统政府采购需求标准中加*的指标要求</w:t>
            </w:r>
          </w:p>
        </w:tc>
        <w:tc>
          <w:tcPr>
            <w:tcW w:w="1305" w:type="dxa"/>
            <w:shd w:val="clear" w:color="auto" w:fill="FFFFFF"/>
            <w:vAlign w:val="center"/>
          </w:tcPr>
          <w:p w14:paraId="6194077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5B15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4B28F34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71</w:t>
            </w:r>
          </w:p>
        </w:tc>
        <w:tc>
          <w:tcPr>
            <w:tcW w:w="981" w:type="dxa"/>
            <w:shd w:val="clear" w:color="auto" w:fill="FFFFFF"/>
            <w:vAlign w:val="center"/>
          </w:tcPr>
          <w:p w14:paraId="1A7F3FB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shd w:val="clear" w:color="auto" w:fill="FFFFFF"/>
            <w:vAlign w:val="center"/>
          </w:tcPr>
          <w:p w14:paraId="494525D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中文信息处理功能</w:t>
            </w:r>
          </w:p>
        </w:tc>
        <w:tc>
          <w:tcPr>
            <w:tcW w:w="1548" w:type="dxa"/>
            <w:shd w:val="clear" w:color="auto" w:fill="FFFFFF"/>
            <w:vAlign w:val="center"/>
          </w:tcPr>
          <w:p w14:paraId="523F838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★中文信息处理</w:t>
            </w:r>
          </w:p>
        </w:tc>
        <w:tc>
          <w:tcPr>
            <w:tcW w:w="3960" w:type="dxa"/>
            <w:shd w:val="clear" w:color="auto" w:fill="FFFFFF"/>
            <w:vAlign w:val="center"/>
          </w:tcPr>
          <w:p w14:paraId="04CA3DB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符合GB18030的有关规定</w:t>
            </w:r>
          </w:p>
        </w:tc>
        <w:tc>
          <w:tcPr>
            <w:tcW w:w="1305" w:type="dxa"/>
            <w:shd w:val="clear" w:color="auto" w:fill="FFFFFF"/>
            <w:vAlign w:val="center"/>
          </w:tcPr>
          <w:p w14:paraId="48353E8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E9C5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54" w:type="dxa"/>
            <w:shd w:val="clear" w:color="auto" w:fill="FFFFFF"/>
            <w:vAlign w:val="center"/>
          </w:tcPr>
          <w:p w14:paraId="211E1F5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72</w:t>
            </w:r>
          </w:p>
        </w:tc>
        <w:tc>
          <w:tcPr>
            <w:tcW w:w="981" w:type="dxa"/>
            <w:shd w:val="clear" w:color="auto" w:fill="FFFFFF"/>
            <w:vAlign w:val="center"/>
          </w:tcPr>
          <w:p w14:paraId="5C2816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59A411A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机柜功能</w:t>
            </w:r>
          </w:p>
        </w:tc>
        <w:tc>
          <w:tcPr>
            <w:tcW w:w="1548" w:type="dxa"/>
            <w:shd w:val="clear" w:color="auto" w:fill="FFFFFF"/>
            <w:vAlign w:val="center"/>
          </w:tcPr>
          <w:p w14:paraId="34C3209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机柜管理功能</w:t>
            </w:r>
          </w:p>
        </w:tc>
        <w:tc>
          <w:tcPr>
            <w:tcW w:w="3960" w:type="dxa"/>
            <w:shd w:val="clear" w:color="auto" w:fill="FFFFFF"/>
            <w:vAlign w:val="center"/>
          </w:tcPr>
          <w:p w14:paraId="6D03710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机柜管理系统包括服务器节点BMC管理系统、机柜管理系统或交换节点管理系统</w:t>
            </w:r>
          </w:p>
        </w:tc>
        <w:tc>
          <w:tcPr>
            <w:tcW w:w="1305" w:type="dxa"/>
            <w:shd w:val="clear" w:color="auto" w:fill="FFFFFF"/>
            <w:vAlign w:val="center"/>
          </w:tcPr>
          <w:p w14:paraId="2535BE8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DF32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54" w:type="dxa"/>
            <w:shd w:val="clear" w:color="auto" w:fill="FFFFFF"/>
            <w:vAlign w:val="center"/>
          </w:tcPr>
          <w:p w14:paraId="033D345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73</w:t>
            </w:r>
          </w:p>
        </w:tc>
        <w:tc>
          <w:tcPr>
            <w:tcW w:w="981" w:type="dxa"/>
            <w:shd w:val="clear" w:color="auto" w:fill="FFFFFF"/>
            <w:vAlign w:val="center"/>
          </w:tcPr>
          <w:p w14:paraId="1951439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572019BF">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764F435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机柜通信方式</w:t>
            </w:r>
          </w:p>
        </w:tc>
        <w:tc>
          <w:tcPr>
            <w:tcW w:w="3960" w:type="dxa"/>
            <w:shd w:val="clear" w:color="auto" w:fill="FFFFFF"/>
            <w:vAlign w:val="center"/>
          </w:tcPr>
          <w:p w14:paraId="3CC18E5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若配备机柜管理板可实现包括：资产管理、电源模块、功耗管理和液冷漏液检测等功能</w:t>
            </w:r>
          </w:p>
        </w:tc>
        <w:tc>
          <w:tcPr>
            <w:tcW w:w="1305" w:type="dxa"/>
            <w:shd w:val="clear" w:color="auto" w:fill="FFFFFF"/>
            <w:vAlign w:val="center"/>
          </w:tcPr>
          <w:p w14:paraId="2859997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F152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23DF31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74</w:t>
            </w:r>
          </w:p>
        </w:tc>
        <w:tc>
          <w:tcPr>
            <w:tcW w:w="981" w:type="dxa"/>
            <w:shd w:val="clear" w:color="auto" w:fill="FFFFFF"/>
            <w:vAlign w:val="center"/>
          </w:tcPr>
          <w:p w14:paraId="48D68FD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300B38AE">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59BA0CD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多集群作业管理</w:t>
            </w:r>
          </w:p>
        </w:tc>
        <w:tc>
          <w:tcPr>
            <w:tcW w:w="3960" w:type="dxa"/>
            <w:shd w:val="clear" w:color="auto" w:fill="FFFFFF"/>
            <w:vAlign w:val="center"/>
          </w:tcPr>
          <w:p w14:paraId="71F7EE1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支持多集群作业管理功能</w:t>
            </w:r>
          </w:p>
        </w:tc>
        <w:tc>
          <w:tcPr>
            <w:tcW w:w="1305" w:type="dxa"/>
            <w:shd w:val="clear" w:color="auto" w:fill="FFFFFF"/>
            <w:vAlign w:val="center"/>
          </w:tcPr>
          <w:p w14:paraId="78C882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5D5F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54" w:type="dxa"/>
            <w:shd w:val="clear" w:color="auto" w:fill="FFFFFF"/>
            <w:vAlign w:val="center"/>
          </w:tcPr>
          <w:p w14:paraId="55913D3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75</w:t>
            </w:r>
          </w:p>
        </w:tc>
        <w:tc>
          <w:tcPr>
            <w:tcW w:w="981" w:type="dxa"/>
            <w:shd w:val="clear" w:color="auto" w:fill="FFFFFF"/>
            <w:vAlign w:val="center"/>
          </w:tcPr>
          <w:p w14:paraId="1D3ABAA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shd w:val="clear" w:color="auto" w:fill="FFFFFF"/>
            <w:vAlign w:val="center"/>
          </w:tcPr>
          <w:p w14:paraId="707AB94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关键部件安全要求</w:t>
            </w:r>
          </w:p>
        </w:tc>
        <w:tc>
          <w:tcPr>
            <w:tcW w:w="1548" w:type="dxa"/>
            <w:shd w:val="clear" w:color="auto" w:fill="FFFFFF"/>
            <w:vAlign w:val="center"/>
          </w:tcPr>
          <w:p w14:paraId="1187B3A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★关键部件安全要求</w:t>
            </w:r>
          </w:p>
        </w:tc>
        <w:tc>
          <w:tcPr>
            <w:tcW w:w="3960" w:type="dxa"/>
            <w:shd w:val="clear" w:color="auto" w:fill="FFFFFF"/>
            <w:vAlign w:val="center"/>
          </w:tcPr>
          <w:p w14:paraId="719B0D0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CPU和操作系统等关键部件应当符合安全可靠测评要求</w:t>
            </w:r>
          </w:p>
        </w:tc>
        <w:tc>
          <w:tcPr>
            <w:tcW w:w="1305" w:type="dxa"/>
            <w:shd w:val="clear" w:color="auto" w:fill="FFFFFF"/>
            <w:vAlign w:val="center"/>
          </w:tcPr>
          <w:p w14:paraId="193857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E895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502D52A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76</w:t>
            </w:r>
          </w:p>
        </w:tc>
        <w:tc>
          <w:tcPr>
            <w:tcW w:w="981" w:type="dxa"/>
            <w:shd w:val="clear" w:color="auto" w:fill="FFFFFF"/>
            <w:vAlign w:val="center"/>
          </w:tcPr>
          <w:p w14:paraId="763AE3A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restart"/>
            <w:shd w:val="clear" w:color="auto" w:fill="FFFFFF"/>
            <w:vAlign w:val="center"/>
          </w:tcPr>
          <w:p w14:paraId="7EE55DF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固件安全要求</w:t>
            </w:r>
          </w:p>
        </w:tc>
        <w:tc>
          <w:tcPr>
            <w:tcW w:w="1548" w:type="dxa"/>
            <w:shd w:val="clear" w:color="auto" w:fill="FFFFFF"/>
            <w:vAlign w:val="center"/>
          </w:tcPr>
          <w:p w14:paraId="28CB892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★故障检测</w:t>
            </w:r>
          </w:p>
        </w:tc>
        <w:tc>
          <w:tcPr>
            <w:tcW w:w="3960" w:type="dxa"/>
            <w:shd w:val="clear" w:color="auto" w:fill="FFFFFF"/>
            <w:vAlign w:val="center"/>
          </w:tcPr>
          <w:p w14:paraId="08587C3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支持故障检测功能，可以检测到具体的FRU（内存、硬盘等）的故障并发出告警</w:t>
            </w:r>
          </w:p>
        </w:tc>
        <w:tc>
          <w:tcPr>
            <w:tcW w:w="1305" w:type="dxa"/>
            <w:shd w:val="clear" w:color="auto" w:fill="FFFFFF"/>
            <w:vAlign w:val="center"/>
          </w:tcPr>
          <w:p w14:paraId="2A0344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AB35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54" w:type="dxa"/>
            <w:shd w:val="clear" w:color="auto" w:fill="FFFFFF"/>
            <w:vAlign w:val="center"/>
          </w:tcPr>
          <w:p w14:paraId="2D1E3EC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77</w:t>
            </w:r>
          </w:p>
        </w:tc>
        <w:tc>
          <w:tcPr>
            <w:tcW w:w="981" w:type="dxa"/>
            <w:shd w:val="clear" w:color="auto" w:fill="FFFFFF"/>
            <w:vAlign w:val="center"/>
          </w:tcPr>
          <w:p w14:paraId="4610BAC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2DE0ABB7">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4F10488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内存故障智能预测和自愈修复</w:t>
            </w:r>
          </w:p>
        </w:tc>
        <w:tc>
          <w:tcPr>
            <w:tcW w:w="3960" w:type="dxa"/>
            <w:shd w:val="clear" w:color="auto" w:fill="FFFFFF"/>
            <w:vAlign w:val="center"/>
          </w:tcPr>
          <w:p w14:paraId="49CFBEC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支持内存故障智能预测和自愈修复，提前自动硬隔离，避免内存故障引起的非预期宕机以及内存寿命的降低</w:t>
            </w:r>
          </w:p>
        </w:tc>
        <w:tc>
          <w:tcPr>
            <w:tcW w:w="1305" w:type="dxa"/>
            <w:shd w:val="clear" w:color="auto" w:fill="FFFFFF"/>
            <w:vAlign w:val="center"/>
          </w:tcPr>
          <w:p w14:paraId="7763802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903A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21B317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78</w:t>
            </w:r>
          </w:p>
        </w:tc>
        <w:tc>
          <w:tcPr>
            <w:tcW w:w="981" w:type="dxa"/>
            <w:shd w:val="clear" w:color="auto" w:fill="FFFFFF"/>
            <w:vAlign w:val="center"/>
          </w:tcPr>
          <w:p w14:paraId="090AB1C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619A7B0B">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7D4EEAF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硬盘故障智能预测</w:t>
            </w:r>
          </w:p>
        </w:tc>
        <w:tc>
          <w:tcPr>
            <w:tcW w:w="3960" w:type="dxa"/>
            <w:shd w:val="clear" w:color="auto" w:fill="FFFFFF"/>
            <w:vAlign w:val="center"/>
          </w:tcPr>
          <w:p w14:paraId="0ECDDCA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支持硬盘故障智能预测，基于故障模型预测出硬盘的故障</w:t>
            </w:r>
          </w:p>
        </w:tc>
        <w:tc>
          <w:tcPr>
            <w:tcW w:w="1305" w:type="dxa"/>
            <w:shd w:val="clear" w:color="auto" w:fill="FFFFFF"/>
            <w:vAlign w:val="center"/>
          </w:tcPr>
          <w:p w14:paraId="2754A3E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92F1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54" w:type="dxa"/>
            <w:shd w:val="clear" w:color="auto" w:fill="FFFFFF"/>
            <w:vAlign w:val="center"/>
          </w:tcPr>
          <w:p w14:paraId="231A9F5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79</w:t>
            </w:r>
          </w:p>
        </w:tc>
        <w:tc>
          <w:tcPr>
            <w:tcW w:w="981" w:type="dxa"/>
            <w:shd w:val="clear" w:color="auto" w:fill="FFFFFF"/>
            <w:vAlign w:val="center"/>
          </w:tcPr>
          <w:p w14:paraId="1FAD100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17A7F4B7">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76660FA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PCIe链路故障智能诊断</w:t>
            </w:r>
          </w:p>
        </w:tc>
        <w:tc>
          <w:tcPr>
            <w:tcW w:w="3960" w:type="dxa"/>
            <w:shd w:val="clear" w:color="auto" w:fill="FFFFFF"/>
            <w:vAlign w:val="center"/>
          </w:tcPr>
          <w:p w14:paraId="2270B28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支持PCIe链路故障智能诊断，判断出现故障的PCIe链路</w:t>
            </w:r>
          </w:p>
        </w:tc>
        <w:tc>
          <w:tcPr>
            <w:tcW w:w="1305" w:type="dxa"/>
            <w:shd w:val="clear" w:color="auto" w:fill="FFFFFF"/>
            <w:vAlign w:val="center"/>
          </w:tcPr>
          <w:p w14:paraId="0A9EA89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E3BF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54" w:type="dxa"/>
            <w:shd w:val="clear" w:color="auto" w:fill="FFFFFF"/>
            <w:vAlign w:val="center"/>
          </w:tcPr>
          <w:p w14:paraId="63475B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80</w:t>
            </w:r>
          </w:p>
        </w:tc>
        <w:tc>
          <w:tcPr>
            <w:tcW w:w="981" w:type="dxa"/>
            <w:shd w:val="clear" w:color="auto" w:fill="FFFFFF"/>
            <w:vAlign w:val="center"/>
          </w:tcPr>
          <w:p w14:paraId="276FD1F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5AC69886">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0480581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内存故障隔离</w:t>
            </w:r>
          </w:p>
        </w:tc>
        <w:tc>
          <w:tcPr>
            <w:tcW w:w="3960" w:type="dxa"/>
            <w:shd w:val="clear" w:color="auto" w:fill="FFFFFF"/>
            <w:vAlign w:val="center"/>
          </w:tcPr>
          <w:p w14:paraId="633DA20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支持内存故障隔离，在内存产生CE故障时，内存地址被隔离成功，服务器正常运行，业务系统不中断</w:t>
            </w:r>
          </w:p>
        </w:tc>
        <w:tc>
          <w:tcPr>
            <w:tcW w:w="1305" w:type="dxa"/>
            <w:shd w:val="clear" w:color="auto" w:fill="FFFFFF"/>
            <w:vAlign w:val="center"/>
          </w:tcPr>
          <w:p w14:paraId="2E9D36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BAC6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654" w:type="dxa"/>
            <w:shd w:val="clear" w:color="auto" w:fill="FFFFFF"/>
            <w:vAlign w:val="center"/>
          </w:tcPr>
          <w:p w14:paraId="461AE48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81</w:t>
            </w:r>
          </w:p>
        </w:tc>
        <w:tc>
          <w:tcPr>
            <w:tcW w:w="981" w:type="dxa"/>
            <w:shd w:val="clear" w:color="auto" w:fill="FFFFFF"/>
            <w:vAlign w:val="center"/>
          </w:tcPr>
          <w:p w14:paraId="2079C1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4E2CEB7A">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11DE949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内存、PCIe卡的故障精准告警功能</w:t>
            </w:r>
          </w:p>
        </w:tc>
        <w:tc>
          <w:tcPr>
            <w:tcW w:w="3960" w:type="dxa"/>
            <w:shd w:val="clear" w:color="auto" w:fill="FFFFFF"/>
            <w:vAlign w:val="center"/>
          </w:tcPr>
          <w:p w14:paraId="519C862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支持内存、PCIe卡的故障精准告警功能，触发告警并明确指示具体的故障位置</w:t>
            </w:r>
          </w:p>
        </w:tc>
        <w:tc>
          <w:tcPr>
            <w:tcW w:w="1305" w:type="dxa"/>
            <w:shd w:val="clear" w:color="auto" w:fill="FFFFFF"/>
            <w:vAlign w:val="center"/>
          </w:tcPr>
          <w:p w14:paraId="316A35B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E406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67B04B4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82</w:t>
            </w:r>
          </w:p>
        </w:tc>
        <w:tc>
          <w:tcPr>
            <w:tcW w:w="981" w:type="dxa"/>
            <w:shd w:val="clear" w:color="auto" w:fill="FFFFFF"/>
            <w:vAlign w:val="center"/>
          </w:tcPr>
          <w:p w14:paraId="379D4EA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4E1FD1A1">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1BD05D2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异常下电关键数据保护</w:t>
            </w:r>
          </w:p>
        </w:tc>
        <w:tc>
          <w:tcPr>
            <w:tcW w:w="3960" w:type="dxa"/>
            <w:shd w:val="clear" w:color="auto" w:fill="FFFFFF"/>
            <w:vAlign w:val="center"/>
          </w:tcPr>
          <w:p w14:paraId="2490C33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支持异常掉电关键数据保护，支持数据备份恢复机制，防止系统异常掉电导致的数据文件丢失</w:t>
            </w:r>
          </w:p>
        </w:tc>
        <w:tc>
          <w:tcPr>
            <w:tcW w:w="1305" w:type="dxa"/>
            <w:shd w:val="clear" w:color="auto" w:fill="FFFFFF"/>
            <w:vAlign w:val="center"/>
          </w:tcPr>
          <w:p w14:paraId="472963A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246A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54" w:type="dxa"/>
            <w:shd w:val="clear" w:color="auto" w:fill="FFFFFF"/>
            <w:vAlign w:val="center"/>
          </w:tcPr>
          <w:p w14:paraId="29D0B9A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83</w:t>
            </w:r>
          </w:p>
        </w:tc>
        <w:tc>
          <w:tcPr>
            <w:tcW w:w="981" w:type="dxa"/>
            <w:shd w:val="clear" w:color="auto" w:fill="FFFFFF"/>
            <w:vAlign w:val="center"/>
          </w:tcPr>
          <w:p w14:paraId="16C9948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5D236AE2">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616571D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BMC/BIOS固件双镜像保护</w:t>
            </w:r>
          </w:p>
        </w:tc>
        <w:tc>
          <w:tcPr>
            <w:tcW w:w="3960" w:type="dxa"/>
            <w:shd w:val="clear" w:color="auto" w:fill="FFFFFF"/>
            <w:vAlign w:val="center"/>
          </w:tcPr>
          <w:p w14:paraId="38D5FC7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支持BMC/BIOS固件双镜像保护，运行异常时自动切换到备份镜像运行，提升系统稳定性</w:t>
            </w:r>
          </w:p>
        </w:tc>
        <w:tc>
          <w:tcPr>
            <w:tcW w:w="1305" w:type="dxa"/>
            <w:shd w:val="clear" w:color="auto" w:fill="FFFFFF"/>
            <w:vAlign w:val="center"/>
          </w:tcPr>
          <w:p w14:paraId="4B42F39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58CA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54" w:type="dxa"/>
            <w:shd w:val="clear" w:color="auto" w:fill="FFFFFF"/>
            <w:vAlign w:val="center"/>
          </w:tcPr>
          <w:p w14:paraId="2C9219D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84</w:t>
            </w:r>
          </w:p>
        </w:tc>
        <w:tc>
          <w:tcPr>
            <w:tcW w:w="981" w:type="dxa"/>
            <w:shd w:val="clear" w:color="auto" w:fill="FFFFFF"/>
            <w:vAlign w:val="center"/>
          </w:tcPr>
          <w:p w14:paraId="2CE6D04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50B76DB5">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52E24B5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CPU核重启隔离</w:t>
            </w:r>
          </w:p>
        </w:tc>
        <w:tc>
          <w:tcPr>
            <w:tcW w:w="3960" w:type="dxa"/>
            <w:shd w:val="clear" w:color="auto" w:fill="FFFFFF"/>
            <w:vAlign w:val="center"/>
          </w:tcPr>
          <w:p w14:paraId="136F17D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支持CPU核发生不可纠正故障后，重启后由BIOS隔离该故障核，OS不可见，防止OS再次使用导致系统异常，核0除外</w:t>
            </w:r>
          </w:p>
        </w:tc>
        <w:tc>
          <w:tcPr>
            <w:tcW w:w="1305" w:type="dxa"/>
            <w:shd w:val="clear" w:color="auto" w:fill="FFFFFF"/>
            <w:vAlign w:val="center"/>
          </w:tcPr>
          <w:p w14:paraId="4783CAD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BFC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54" w:type="dxa"/>
            <w:shd w:val="clear" w:color="auto" w:fill="FFFFFF"/>
            <w:vAlign w:val="center"/>
          </w:tcPr>
          <w:p w14:paraId="4D320B5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85</w:t>
            </w:r>
          </w:p>
        </w:tc>
        <w:tc>
          <w:tcPr>
            <w:tcW w:w="981" w:type="dxa"/>
            <w:shd w:val="clear" w:color="auto" w:fill="FFFFFF"/>
            <w:vAlign w:val="center"/>
          </w:tcPr>
          <w:p w14:paraId="0C0F52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1D6BE201">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1667F92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内存地址隔离</w:t>
            </w:r>
          </w:p>
        </w:tc>
        <w:tc>
          <w:tcPr>
            <w:tcW w:w="3960" w:type="dxa"/>
            <w:shd w:val="clear" w:color="auto" w:fill="FFFFFF"/>
            <w:vAlign w:val="center"/>
          </w:tcPr>
          <w:p w14:paraId="7FB7BFD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在硬件支持的情况下，支持故障内存地址重启后隔离</w:t>
            </w:r>
          </w:p>
        </w:tc>
        <w:tc>
          <w:tcPr>
            <w:tcW w:w="1305" w:type="dxa"/>
            <w:shd w:val="clear" w:color="auto" w:fill="FFFFFF"/>
            <w:vAlign w:val="center"/>
          </w:tcPr>
          <w:p w14:paraId="23D3EE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0CB6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54" w:type="dxa"/>
            <w:shd w:val="clear" w:color="auto" w:fill="FFFFFF"/>
            <w:vAlign w:val="center"/>
          </w:tcPr>
          <w:p w14:paraId="642132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86</w:t>
            </w:r>
          </w:p>
        </w:tc>
        <w:tc>
          <w:tcPr>
            <w:tcW w:w="981" w:type="dxa"/>
            <w:shd w:val="clear" w:color="auto" w:fill="FFFFFF"/>
            <w:vAlign w:val="center"/>
          </w:tcPr>
          <w:p w14:paraId="0FEAE86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01EDEC91">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6E26758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内存存储阵列替换</w:t>
            </w:r>
          </w:p>
        </w:tc>
        <w:tc>
          <w:tcPr>
            <w:tcW w:w="3960" w:type="dxa"/>
            <w:shd w:val="clear" w:color="auto" w:fill="FFFFFF"/>
            <w:vAlign w:val="center"/>
          </w:tcPr>
          <w:p w14:paraId="0FB6E78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在硬件支持的情况下，支持故障内存存储阵列替换</w:t>
            </w:r>
          </w:p>
        </w:tc>
        <w:tc>
          <w:tcPr>
            <w:tcW w:w="1305" w:type="dxa"/>
            <w:shd w:val="clear" w:color="auto" w:fill="FFFFFF"/>
            <w:vAlign w:val="center"/>
          </w:tcPr>
          <w:p w14:paraId="478DC36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5C5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799DEDB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87</w:t>
            </w:r>
          </w:p>
        </w:tc>
        <w:tc>
          <w:tcPr>
            <w:tcW w:w="981" w:type="dxa"/>
            <w:shd w:val="clear" w:color="auto" w:fill="FFFFFF"/>
            <w:vAlign w:val="center"/>
          </w:tcPr>
          <w:p w14:paraId="577337D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447BABC0">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01D5017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安全启动</w:t>
            </w:r>
          </w:p>
        </w:tc>
        <w:tc>
          <w:tcPr>
            <w:tcW w:w="3960" w:type="dxa"/>
            <w:shd w:val="clear" w:color="auto" w:fill="FFFFFF"/>
            <w:vAlign w:val="center"/>
          </w:tcPr>
          <w:p w14:paraId="2BEDA26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支持执行环境要求在整个系统启动的过程中，系统应提供一个机制来保护平台的完整性</w:t>
            </w:r>
          </w:p>
        </w:tc>
        <w:tc>
          <w:tcPr>
            <w:tcW w:w="1305" w:type="dxa"/>
            <w:shd w:val="clear" w:color="auto" w:fill="FFFFFF"/>
            <w:vAlign w:val="center"/>
          </w:tcPr>
          <w:p w14:paraId="3DF6E54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94FB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54" w:type="dxa"/>
            <w:shd w:val="clear" w:color="auto" w:fill="FFFFFF"/>
            <w:vAlign w:val="center"/>
          </w:tcPr>
          <w:p w14:paraId="52E683D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88</w:t>
            </w:r>
          </w:p>
        </w:tc>
        <w:tc>
          <w:tcPr>
            <w:tcW w:w="981" w:type="dxa"/>
            <w:shd w:val="clear" w:color="auto" w:fill="FFFFFF"/>
            <w:vAlign w:val="center"/>
          </w:tcPr>
          <w:p w14:paraId="295177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restart"/>
            <w:shd w:val="clear" w:color="auto" w:fill="FFFFFF"/>
            <w:vAlign w:val="center"/>
          </w:tcPr>
          <w:p w14:paraId="37BDEFF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系统安全要求</w:t>
            </w:r>
          </w:p>
        </w:tc>
        <w:tc>
          <w:tcPr>
            <w:tcW w:w="1548" w:type="dxa"/>
            <w:shd w:val="clear" w:color="auto" w:fill="FFFFFF"/>
            <w:vAlign w:val="center"/>
          </w:tcPr>
          <w:p w14:paraId="5595F69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syslog双向鉴别</w:t>
            </w:r>
          </w:p>
        </w:tc>
        <w:tc>
          <w:tcPr>
            <w:tcW w:w="3960" w:type="dxa"/>
            <w:shd w:val="clear" w:color="auto" w:fill="FFFFFF"/>
            <w:vAlign w:val="center"/>
          </w:tcPr>
          <w:p w14:paraId="6B7F28E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支持系统日志双向鉴别，对服务器根证书和客户端根证书进行鉴别</w:t>
            </w:r>
          </w:p>
        </w:tc>
        <w:tc>
          <w:tcPr>
            <w:tcW w:w="1305" w:type="dxa"/>
            <w:shd w:val="clear" w:color="auto" w:fill="FFFFFF"/>
            <w:vAlign w:val="center"/>
          </w:tcPr>
          <w:p w14:paraId="53FBCDD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56AB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54" w:type="dxa"/>
            <w:shd w:val="clear" w:color="auto" w:fill="FFFFFF"/>
            <w:vAlign w:val="center"/>
          </w:tcPr>
          <w:p w14:paraId="0FD72A1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89</w:t>
            </w:r>
          </w:p>
        </w:tc>
        <w:tc>
          <w:tcPr>
            <w:tcW w:w="981" w:type="dxa"/>
            <w:shd w:val="clear" w:color="auto" w:fill="FFFFFF"/>
            <w:vAlign w:val="center"/>
          </w:tcPr>
          <w:p w14:paraId="51706DE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735247BB">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7F00FC0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★弱口令字典检查</w:t>
            </w:r>
          </w:p>
        </w:tc>
        <w:tc>
          <w:tcPr>
            <w:tcW w:w="3960" w:type="dxa"/>
            <w:shd w:val="clear" w:color="auto" w:fill="FFFFFF"/>
            <w:vAlign w:val="center"/>
          </w:tcPr>
          <w:p w14:paraId="4CCB63F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支持弱口令字典检查功能，出现在弱口令字典中的字符串不能被设置为用户口令</w:t>
            </w:r>
          </w:p>
        </w:tc>
        <w:tc>
          <w:tcPr>
            <w:tcW w:w="1305" w:type="dxa"/>
            <w:shd w:val="clear" w:color="auto" w:fill="FFFFFF"/>
            <w:vAlign w:val="center"/>
          </w:tcPr>
          <w:p w14:paraId="18FB2C1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1F61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552EEA1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90</w:t>
            </w:r>
          </w:p>
        </w:tc>
        <w:tc>
          <w:tcPr>
            <w:tcW w:w="981" w:type="dxa"/>
            <w:shd w:val="clear" w:color="auto" w:fill="FFFFFF"/>
            <w:vAlign w:val="center"/>
          </w:tcPr>
          <w:p w14:paraId="195B14D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628CB974">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26C78FD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★白名单访问控制</w:t>
            </w:r>
          </w:p>
        </w:tc>
        <w:tc>
          <w:tcPr>
            <w:tcW w:w="3960" w:type="dxa"/>
            <w:shd w:val="clear" w:color="auto" w:fill="FFFFFF"/>
            <w:vAlign w:val="center"/>
          </w:tcPr>
          <w:p w14:paraId="74C6323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支持基于时间、IP或MAC白名单访问控制</w:t>
            </w:r>
          </w:p>
        </w:tc>
        <w:tc>
          <w:tcPr>
            <w:tcW w:w="1305" w:type="dxa"/>
            <w:shd w:val="clear" w:color="auto" w:fill="FFFFFF"/>
            <w:vAlign w:val="center"/>
          </w:tcPr>
          <w:p w14:paraId="51A8913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8B88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005CDDE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91</w:t>
            </w:r>
          </w:p>
        </w:tc>
        <w:tc>
          <w:tcPr>
            <w:tcW w:w="981" w:type="dxa"/>
            <w:shd w:val="clear" w:color="auto" w:fill="FFFFFF"/>
            <w:vAlign w:val="center"/>
          </w:tcPr>
          <w:p w14:paraId="5E723CF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2DD61E48">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5CE85DB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双因素鉴别</w:t>
            </w:r>
          </w:p>
        </w:tc>
        <w:tc>
          <w:tcPr>
            <w:tcW w:w="3960" w:type="dxa"/>
            <w:shd w:val="clear" w:color="auto" w:fill="FFFFFF"/>
            <w:vAlign w:val="center"/>
          </w:tcPr>
          <w:p w14:paraId="48A65C7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支持使用客户端证书和证书密码的双因素鉴别方式登录管理系统</w:t>
            </w:r>
          </w:p>
        </w:tc>
        <w:tc>
          <w:tcPr>
            <w:tcW w:w="1305" w:type="dxa"/>
            <w:shd w:val="clear" w:color="auto" w:fill="FFFFFF"/>
            <w:vAlign w:val="center"/>
          </w:tcPr>
          <w:p w14:paraId="47FA61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67C0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54" w:type="dxa"/>
            <w:shd w:val="clear" w:color="auto" w:fill="FFFFFF"/>
            <w:vAlign w:val="center"/>
          </w:tcPr>
          <w:p w14:paraId="3CBB66A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92</w:t>
            </w:r>
          </w:p>
        </w:tc>
        <w:tc>
          <w:tcPr>
            <w:tcW w:w="981" w:type="dxa"/>
            <w:shd w:val="clear" w:color="auto" w:fill="FFFFFF"/>
            <w:vAlign w:val="center"/>
          </w:tcPr>
          <w:p w14:paraId="2A98687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7F6E1A36">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57EEA36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★二次鉴别</w:t>
            </w:r>
          </w:p>
        </w:tc>
        <w:tc>
          <w:tcPr>
            <w:tcW w:w="3960" w:type="dxa"/>
            <w:shd w:val="clear" w:color="auto" w:fill="FFFFFF"/>
            <w:vAlign w:val="center"/>
          </w:tcPr>
          <w:p w14:paraId="4E0B2BC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支持二次鉴别功能。对于用户配置、权限配置、公钥导入等重要的管理操作，已登录用户应通过二次鉴别后，才能执行操作</w:t>
            </w:r>
          </w:p>
        </w:tc>
        <w:tc>
          <w:tcPr>
            <w:tcW w:w="1305" w:type="dxa"/>
            <w:shd w:val="clear" w:color="auto" w:fill="FFFFFF"/>
            <w:vAlign w:val="center"/>
          </w:tcPr>
          <w:p w14:paraId="7371ABC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20F8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54" w:type="dxa"/>
            <w:shd w:val="clear" w:color="auto" w:fill="FFFFFF"/>
            <w:vAlign w:val="center"/>
          </w:tcPr>
          <w:p w14:paraId="2BE202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93</w:t>
            </w:r>
          </w:p>
        </w:tc>
        <w:tc>
          <w:tcPr>
            <w:tcW w:w="981" w:type="dxa"/>
            <w:shd w:val="clear" w:color="auto" w:fill="FFFFFF"/>
            <w:vAlign w:val="center"/>
          </w:tcPr>
          <w:p w14:paraId="55F403C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5D84BE46">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721B5AB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匿名化用户告警接收邮箱</w:t>
            </w:r>
          </w:p>
        </w:tc>
        <w:tc>
          <w:tcPr>
            <w:tcW w:w="3960" w:type="dxa"/>
            <w:shd w:val="clear" w:color="auto" w:fill="FFFFFF"/>
            <w:vAlign w:val="center"/>
          </w:tcPr>
          <w:p w14:paraId="57A2527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支持带外管理系统中的用户告警接收邮箱进行匿名化处理</w:t>
            </w:r>
          </w:p>
        </w:tc>
        <w:tc>
          <w:tcPr>
            <w:tcW w:w="1305" w:type="dxa"/>
            <w:shd w:val="clear" w:color="auto" w:fill="FFFFFF"/>
            <w:vAlign w:val="center"/>
          </w:tcPr>
          <w:p w14:paraId="19B8B09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199E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54" w:type="dxa"/>
            <w:shd w:val="clear" w:color="auto" w:fill="FFFFFF"/>
            <w:vAlign w:val="center"/>
          </w:tcPr>
          <w:p w14:paraId="377511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94</w:t>
            </w:r>
          </w:p>
        </w:tc>
        <w:tc>
          <w:tcPr>
            <w:tcW w:w="981" w:type="dxa"/>
            <w:shd w:val="clear" w:color="auto" w:fill="FFFFFF"/>
            <w:vAlign w:val="center"/>
          </w:tcPr>
          <w:p w14:paraId="4AA8B52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16802E58">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4040F47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★密码证书安全加密存储</w:t>
            </w:r>
          </w:p>
        </w:tc>
        <w:tc>
          <w:tcPr>
            <w:tcW w:w="3960" w:type="dxa"/>
            <w:shd w:val="clear" w:color="auto" w:fill="FFFFFF"/>
            <w:vAlign w:val="center"/>
          </w:tcPr>
          <w:p w14:paraId="3028889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支持对带外管理系统中的用户口令和证书等敏感信息进行加密存储，禁止使用私有的和业界已知不安全的密码算法</w:t>
            </w:r>
          </w:p>
        </w:tc>
        <w:tc>
          <w:tcPr>
            <w:tcW w:w="1305" w:type="dxa"/>
            <w:shd w:val="clear" w:color="auto" w:fill="FFFFFF"/>
            <w:vAlign w:val="center"/>
          </w:tcPr>
          <w:p w14:paraId="003C226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FC05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54" w:type="dxa"/>
            <w:shd w:val="clear" w:color="auto" w:fill="FFFFFF"/>
            <w:vAlign w:val="center"/>
          </w:tcPr>
          <w:p w14:paraId="523DF89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95</w:t>
            </w:r>
          </w:p>
        </w:tc>
        <w:tc>
          <w:tcPr>
            <w:tcW w:w="981" w:type="dxa"/>
            <w:shd w:val="clear" w:color="auto" w:fill="FFFFFF"/>
            <w:vAlign w:val="center"/>
          </w:tcPr>
          <w:p w14:paraId="627C852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65738E79">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3FE30E9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★敏感信息安全加密传输</w:t>
            </w:r>
          </w:p>
        </w:tc>
        <w:tc>
          <w:tcPr>
            <w:tcW w:w="3960" w:type="dxa"/>
            <w:shd w:val="clear" w:color="auto" w:fill="FFFFFF"/>
            <w:vAlign w:val="center"/>
          </w:tcPr>
          <w:p w14:paraId="48DE272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支持使用安全的传输加密协议（如SSH或HTTPS等）传输用户的敏感信息</w:t>
            </w:r>
          </w:p>
        </w:tc>
        <w:tc>
          <w:tcPr>
            <w:tcW w:w="1305" w:type="dxa"/>
            <w:shd w:val="clear" w:color="auto" w:fill="FFFFFF"/>
            <w:vAlign w:val="center"/>
          </w:tcPr>
          <w:p w14:paraId="4886C78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1E8C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080" w:hRule="atLeast"/>
        </w:trPr>
        <w:tc>
          <w:tcPr>
            <w:tcW w:w="654" w:type="dxa"/>
            <w:shd w:val="clear" w:color="auto" w:fill="FFFFFF"/>
            <w:vAlign w:val="center"/>
          </w:tcPr>
          <w:p w14:paraId="0187698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96</w:t>
            </w:r>
          </w:p>
        </w:tc>
        <w:tc>
          <w:tcPr>
            <w:tcW w:w="981" w:type="dxa"/>
            <w:shd w:val="clear" w:color="auto" w:fill="FFFFFF"/>
            <w:vAlign w:val="center"/>
          </w:tcPr>
          <w:p w14:paraId="271EEC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restart"/>
            <w:shd w:val="clear" w:color="auto" w:fill="FFFFFF"/>
            <w:vAlign w:val="center"/>
          </w:tcPr>
          <w:p w14:paraId="3E9DDD7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信息安全要求</w:t>
            </w:r>
          </w:p>
        </w:tc>
        <w:tc>
          <w:tcPr>
            <w:tcW w:w="1548" w:type="dxa"/>
            <w:shd w:val="clear" w:color="auto" w:fill="FFFFFF"/>
            <w:vAlign w:val="center"/>
          </w:tcPr>
          <w:p w14:paraId="42DE2F9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★研发过程安全</w:t>
            </w:r>
          </w:p>
        </w:tc>
        <w:tc>
          <w:tcPr>
            <w:tcW w:w="3960" w:type="dxa"/>
            <w:shd w:val="clear" w:color="auto" w:fill="FFFFFF"/>
            <w:vAlign w:val="center"/>
          </w:tcPr>
          <w:p w14:paraId="2BBAE84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供应商承诺，生产商已建立从需求、设计、开发、测试、维护端到端的开发流程管理机制，输出和保存开发流程中每个阶段的产品需求清单、设计文档、开发文档、测试记录等材料，保证各个流程可追溯</w:t>
            </w:r>
            <w:r>
              <w:rPr>
                <w:rFonts w:hint="eastAsia"/>
                <w:b/>
                <w:bCs/>
              </w:rPr>
              <w:t>（需提供加盖投标人公章的承诺书</w:t>
            </w:r>
            <w:r>
              <w:rPr>
                <w:rFonts w:hint="eastAsia"/>
                <w:b/>
                <w:bCs/>
                <w:lang w:eastAsia="zh-CN"/>
              </w:rPr>
              <w:t>）</w:t>
            </w:r>
          </w:p>
        </w:tc>
        <w:tc>
          <w:tcPr>
            <w:tcW w:w="1305" w:type="dxa"/>
            <w:shd w:val="clear" w:color="auto" w:fill="FFFFFF"/>
            <w:vAlign w:val="center"/>
          </w:tcPr>
          <w:p w14:paraId="3A68834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0ABDB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54" w:type="dxa"/>
            <w:shd w:val="clear" w:color="auto" w:fill="FFFFFF"/>
            <w:vAlign w:val="center"/>
          </w:tcPr>
          <w:p w14:paraId="17B36C6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97</w:t>
            </w:r>
          </w:p>
        </w:tc>
        <w:tc>
          <w:tcPr>
            <w:tcW w:w="981" w:type="dxa"/>
            <w:shd w:val="clear" w:color="auto" w:fill="FFFFFF"/>
            <w:vAlign w:val="center"/>
          </w:tcPr>
          <w:p w14:paraId="64CCC6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72A8BA5D">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3EB5B81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漏洞管理</w:t>
            </w:r>
          </w:p>
        </w:tc>
        <w:tc>
          <w:tcPr>
            <w:tcW w:w="3960" w:type="dxa"/>
            <w:shd w:val="clear" w:color="auto" w:fill="FFFFFF"/>
            <w:vAlign w:val="center"/>
          </w:tcPr>
          <w:p w14:paraId="4666E90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供应商承诺，生产商已建立漏洞全量视图，保证产品版本涉及到的所有漏洞（如驱动程序、BMC软件等）都可以查看</w:t>
            </w:r>
            <w:r>
              <w:rPr>
                <w:rFonts w:hint="eastAsia"/>
                <w:b/>
                <w:bCs/>
              </w:rPr>
              <w:t>（需提供加盖投标人公章的承诺书</w:t>
            </w:r>
            <w:r>
              <w:rPr>
                <w:rFonts w:hint="eastAsia"/>
                <w:b/>
                <w:bCs/>
                <w:lang w:eastAsia="zh-CN"/>
              </w:rPr>
              <w:t>）</w:t>
            </w:r>
          </w:p>
        </w:tc>
        <w:tc>
          <w:tcPr>
            <w:tcW w:w="1305" w:type="dxa"/>
            <w:shd w:val="clear" w:color="auto" w:fill="FFFFFF"/>
            <w:vAlign w:val="center"/>
          </w:tcPr>
          <w:p w14:paraId="525B16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7D904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54" w:type="dxa"/>
            <w:shd w:val="clear" w:color="auto" w:fill="FFFFFF"/>
            <w:vAlign w:val="center"/>
          </w:tcPr>
          <w:p w14:paraId="1529013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98</w:t>
            </w:r>
          </w:p>
        </w:tc>
        <w:tc>
          <w:tcPr>
            <w:tcW w:w="981" w:type="dxa"/>
            <w:shd w:val="clear" w:color="auto" w:fill="FFFFFF"/>
            <w:vAlign w:val="center"/>
          </w:tcPr>
          <w:p w14:paraId="7797FF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381B40A3">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62789BE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网络关键设备服务器要求</w:t>
            </w:r>
          </w:p>
        </w:tc>
        <w:tc>
          <w:tcPr>
            <w:tcW w:w="3960" w:type="dxa"/>
            <w:shd w:val="clear" w:color="auto" w:fill="FFFFFF"/>
            <w:vAlign w:val="center"/>
          </w:tcPr>
          <w:p w14:paraId="3BAAB6A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作为网络关键设备的服务器应符合GB40050的相关规定</w:t>
            </w:r>
          </w:p>
        </w:tc>
        <w:tc>
          <w:tcPr>
            <w:tcW w:w="1305" w:type="dxa"/>
            <w:shd w:val="clear" w:color="auto" w:fill="FFFFFF"/>
            <w:vAlign w:val="center"/>
          </w:tcPr>
          <w:p w14:paraId="5F6593A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56AA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6" w:hRule="atLeast"/>
        </w:trPr>
        <w:tc>
          <w:tcPr>
            <w:tcW w:w="654" w:type="dxa"/>
            <w:shd w:val="clear" w:color="auto" w:fill="FFFFFF"/>
            <w:vAlign w:val="center"/>
          </w:tcPr>
          <w:p w14:paraId="4379A20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99</w:t>
            </w:r>
          </w:p>
        </w:tc>
        <w:tc>
          <w:tcPr>
            <w:tcW w:w="981" w:type="dxa"/>
            <w:shd w:val="clear" w:color="auto" w:fill="FFFFFF"/>
            <w:vAlign w:val="center"/>
          </w:tcPr>
          <w:p w14:paraId="413332F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64C569F0">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4585729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增强要求</w:t>
            </w:r>
          </w:p>
        </w:tc>
        <w:tc>
          <w:tcPr>
            <w:tcW w:w="3960" w:type="dxa"/>
            <w:shd w:val="clear" w:color="auto" w:fill="FFFFFF"/>
            <w:vAlign w:val="center"/>
          </w:tcPr>
          <w:p w14:paraId="4B51966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嵌入物理可信根，实现设备的信任链构建；b）支持可信平台控制模块（TPCM）；c）支持在固件系统（BMC、BIOS）启动前实现对固件度量的功能，支持物理可信根对BMC固件或BIOS固件进行完整性检测、更新和恢复；d）支持对CPU、网络控制器等关键处理器进行身份识别与度量的功能；e）支持基于处理器或可信计算模块度量的功能；f）所采用的可信密码模块接口应符合GM/T0012的相关规定；g）可信安全管理模块、处理器等硬件载体应通过国家相关部门的认证和许可</w:t>
            </w:r>
          </w:p>
        </w:tc>
        <w:tc>
          <w:tcPr>
            <w:tcW w:w="1305" w:type="dxa"/>
            <w:shd w:val="clear" w:color="auto" w:fill="FFFFFF"/>
            <w:vAlign w:val="center"/>
          </w:tcPr>
          <w:p w14:paraId="77F427C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F614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54" w:type="dxa"/>
            <w:shd w:val="clear" w:color="auto" w:fill="FFFFFF"/>
            <w:vAlign w:val="center"/>
          </w:tcPr>
          <w:p w14:paraId="5B4A441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100</w:t>
            </w:r>
          </w:p>
        </w:tc>
        <w:tc>
          <w:tcPr>
            <w:tcW w:w="981" w:type="dxa"/>
            <w:shd w:val="clear" w:color="auto" w:fill="FFFFFF"/>
            <w:vAlign w:val="center"/>
          </w:tcPr>
          <w:p w14:paraId="3A5E533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shd w:val="clear" w:color="auto" w:fill="FFFFFF"/>
            <w:vAlign w:val="center"/>
          </w:tcPr>
          <w:p w14:paraId="62F745F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物理安全</w:t>
            </w:r>
          </w:p>
        </w:tc>
        <w:tc>
          <w:tcPr>
            <w:tcW w:w="1548" w:type="dxa"/>
            <w:shd w:val="clear" w:color="auto" w:fill="FFFFFF"/>
            <w:vAlign w:val="center"/>
          </w:tcPr>
          <w:p w14:paraId="5FBA76D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★物理安全</w:t>
            </w:r>
          </w:p>
        </w:tc>
        <w:tc>
          <w:tcPr>
            <w:tcW w:w="3960" w:type="dxa"/>
            <w:shd w:val="clear" w:color="auto" w:fill="FFFFFF"/>
            <w:vAlign w:val="center"/>
          </w:tcPr>
          <w:p w14:paraId="64F0742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安全要求应符合GB4943.1的规定</w:t>
            </w:r>
          </w:p>
        </w:tc>
        <w:tc>
          <w:tcPr>
            <w:tcW w:w="1305" w:type="dxa"/>
            <w:shd w:val="clear" w:color="auto" w:fill="FFFFFF"/>
            <w:vAlign w:val="center"/>
          </w:tcPr>
          <w:p w14:paraId="5723B8B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A968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0395E8D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101</w:t>
            </w:r>
          </w:p>
        </w:tc>
        <w:tc>
          <w:tcPr>
            <w:tcW w:w="981" w:type="dxa"/>
            <w:shd w:val="clear" w:color="auto" w:fill="FFFFFF"/>
            <w:vAlign w:val="center"/>
          </w:tcPr>
          <w:p w14:paraId="1D68174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shd w:val="clear" w:color="auto" w:fill="FFFFFF"/>
            <w:vAlign w:val="center"/>
          </w:tcPr>
          <w:p w14:paraId="016C80E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限用物质的限量要求</w:t>
            </w:r>
          </w:p>
        </w:tc>
        <w:tc>
          <w:tcPr>
            <w:tcW w:w="1548" w:type="dxa"/>
            <w:shd w:val="clear" w:color="auto" w:fill="FFFFFF"/>
            <w:vAlign w:val="center"/>
          </w:tcPr>
          <w:p w14:paraId="518AD11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★限用物质的限量要求</w:t>
            </w:r>
          </w:p>
        </w:tc>
        <w:tc>
          <w:tcPr>
            <w:tcW w:w="3960" w:type="dxa"/>
            <w:shd w:val="clear" w:color="auto" w:fill="FFFFFF"/>
            <w:vAlign w:val="center"/>
          </w:tcPr>
          <w:p w14:paraId="3CEB042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限用物质的限量应符合GB/T26572的要求</w:t>
            </w:r>
          </w:p>
        </w:tc>
        <w:tc>
          <w:tcPr>
            <w:tcW w:w="1305" w:type="dxa"/>
            <w:shd w:val="clear" w:color="auto" w:fill="FFFFFF"/>
            <w:vAlign w:val="center"/>
          </w:tcPr>
          <w:p w14:paraId="4780265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7412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54" w:type="dxa"/>
            <w:shd w:val="clear" w:color="auto" w:fill="FFFFFF"/>
            <w:vAlign w:val="center"/>
          </w:tcPr>
          <w:p w14:paraId="0F447EA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102</w:t>
            </w:r>
          </w:p>
        </w:tc>
        <w:tc>
          <w:tcPr>
            <w:tcW w:w="981" w:type="dxa"/>
            <w:shd w:val="clear" w:color="auto" w:fill="FFFFFF"/>
            <w:vAlign w:val="center"/>
          </w:tcPr>
          <w:p w14:paraId="6565C6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restart"/>
            <w:shd w:val="clear" w:color="auto" w:fill="FFFFFF"/>
            <w:vAlign w:val="center"/>
          </w:tcPr>
          <w:p w14:paraId="09632E9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CPU性能</w:t>
            </w:r>
          </w:p>
        </w:tc>
        <w:tc>
          <w:tcPr>
            <w:tcW w:w="1548" w:type="dxa"/>
            <w:shd w:val="clear" w:color="auto" w:fill="FFFFFF"/>
            <w:vAlign w:val="center"/>
          </w:tcPr>
          <w:p w14:paraId="428A8C7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★CPU主频</w:t>
            </w:r>
          </w:p>
        </w:tc>
        <w:tc>
          <w:tcPr>
            <w:tcW w:w="3960" w:type="dxa"/>
            <w:shd w:val="clear" w:color="auto" w:fill="FFFFFF"/>
            <w:vAlign w:val="center"/>
          </w:tcPr>
          <w:p w14:paraId="607A49E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≥2.7GHz</w:t>
            </w:r>
          </w:p>
        </w:tc>
        <w:tc>
          <w:tcPr>
            <w:tcW w:w="1305" w:type="dxa"/>
            <w:shd w:val="clear" w:color="auto" w:fill="FFFFFF"/>
            <w:vAlign w:val="center"/>
          </w:tcPr>
          <w:p w14:paraId="25B31C5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1064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54" w:type="dxa"/>
            <w:shd w:val="clear" w:color="auto" w:fill="FFFFFF"/>
            <w:vAlign w:val="center"/>
          </w:tcPr>
          <w:p w14:paraId="148F267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103</w:t>
            </w:r>
          </w:p>
        </w:tc>
        <w:tc>
          <w:tcPr>
            <w:tcW w:w="981" w:type="dxa"/>
            <w:shd w:val="clear" w:color="auto" w:fill="FFFFFF"/>
            <w:vAlign w:val="center"/>
          </w:tcPr>
          <w:p w14:paraId="40CAD01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continue"/>
            <w:shd w:val="clear" w:color="auto" w:fill="FFFFFF"/>
            <w:vAlign w:val="center"/>
          </w:tcPr>
          <w:p w14:paraId="09E2DA1C">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39B1704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★单CPU核数</w:t>
            </w:r>
          </w:p>
        </w:tc>
        <w:tc>
          <w:tcPr>
            <w:tcW w:w="3960" w:type="dxa"/>
            <w:shd w:val="clear" w:color="auto" w:fill="FFFFFF"/>
            <w:vAlign w:val="center"/>
          </w:tcPr>
          <w:p w14:paraId="36B339D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≥32核；</w:t>
            </w:r>
            <w:r>
              <w:rPr>
                <w:rFonts w:hint="eastAsia" w:asciiTheme="minorEastAsia" w:hAnsiTheme="minorEastAsia" w:eastAsiaTheme="minorEastAsia" w:cstheme="minorEastAsia"/>
                <w:sz w:val="24"/>
              </w:rPr>
              <w:t>≥2颗</w:t>
            </w:r>
          </w:p>
        </w:tc>
        <w:tc>
          <w:tcPr>
            <w:tcW w:w="1305" w:type="dxa"/>
            <w:shd w:val="clear" w:color="auto" w:fill="FFFFFF"/>
            <w:vAlign w:val="center"/>
          </w:tcPr>
          <w:p w14:paraId="25CC35D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324E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3B31B8D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104</w:t>
            </w:r>
          </w:p>
        </w:tc>
        <w:tc>
          <w:tcPr>
            <w:tcW w:w="981" w:type="dxa"/>
            <w:shd w:val="clear" w:color="auto" w:fill="FFFFFF"/>
            <w:vAlign w:val="center"/>
          </w:tcPr>
          <w:p w14:paraId="6325A2B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continue"/>
            <w:shd w:val="clear" w:color="auto" w:fill="FFFFFF"/>
            <w:vAlign w:val="center"/>
          </w:tcPr>
          <w:p w14:paraId="0EEB7F44">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30E6E50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★单CPU末级缓存容量</w:t>
            </w:r>
          </w:p>
        </w:tc>
        <w:tc>
          <w:tcPr>
            <w:tcW w:w="3960" w:type="dxa"/>
            <w:shd w:val="clear" w:color="auto" w:fill="FFFFFF"/>
            <w:vAlign w:val="center"/>
          </w:tcPr>
          <w:p w14:paraId="43604D5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≥8MB</w:t>
            </w:r>
          </w:p>
        </w:tc>
        <w:tc>
          <w:tcPr>
            <w:tcW w:w="1305" w:type="dxa"/>
            <w:shd w:val="clear" w:color="auto" w:fill="FFFFFF"/>
            <w:vAlign w:val="center"/>
          </w:tcPr>
          <w:p w14:paraId="19ACF5B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EA03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54" w:type="dxa"/>
            <w:shd w:val="clear" w:color="auto" w:fill="FFFFFF"/>
            <w:vAlign w:val="center"/>
          </w:tcPr>
          <w:p w14:paraId="1927123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105</w:t>
            </w:r>
          </w:p>
        </w:tc>
        <w:tc>
          <w:tcPr>
            <w:tcW w:w="981" w:type="dxa"/>
            <w:shd w:val="clear" w:color="auto" w:fill="FFFFFF"/>
            <w:vAlign w:val="center"/>
          </w:tcPr>
          <w:p w14:paraId="4064A36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restart"/>
            <w:shd w:val="clear" w:color="auto" w:fill="FFFFFF"/>
            <w:vAlign w:val="center"/>
          </w:tcPr>
          <w:p w14:paraId="674F324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内存性能</w:t>
            </w:r>
          </w:p>
        </w:tc>
        <w:tc>
          <w:tcPr>
            <w:tcW w:w="1548" w:type="dxa"/>
            <w:shd w:val="clear" w:color="auto" w:fill="FFFFFF"/>
            <w:vAlign w:val="center"/>
          </w:tcPr>
          <w:p w14:paraId="23EA3A0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★单内存模块容量</w:t>
            </w:r>
          </w:p>
        </w:tc>
        <w:tc>
          <w:tcPr>
            <w:tcW w:w="3960" w:type="dxa"/>
            <w:shd w:val="clear" w:color="auto" w:fill="FFFFFF"/>
            <w:vAlign w:val="center"/>
          </w:tcPr>
          <w:p w14:paraId="48279AC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≥32GB；</w:t>
            </w:r>
          </w:p>
        </w:tc>
        <w:tc>
          <w:tcPr>
            <w:tcW w:w="1305" w:type="dxa"/>
            <w:shd w:val="clear" w:color="auto" w:fill="FFFFFF"/>
            <w:vAlign w:val="center"/>
          </w:tcPr>
          <w:p w14:paraId="28D7AF1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D544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54" w:type="dxa"/>
            <w:shd w:val="clear" w:color="auto" w:fill="FFFFFF"/>
            <w:vAlign w:val="center"/>
          </w:tcPr>
          <w:p w14:paraId="0438114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106</w:t>
            </w:r>
          </w:p>
        </w:tc>
        <w:tc>
          <w:tcPr>
            <w:tcW w:w="981" w:type="dxa"/>
            <w:shd w:val="clear" w:color="auto" w:fill="FFFFFF"/>
            <w:vAlign w:val="center"/>
          </w:tcPr>
          <w:p w14:paraId="2C6CEA7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continue"/>
            <w:shd w:val="clear" w:color="auto" w:fill="FFFFFF"/>
            <w:vAlign w:val="center"/>
          </w:tcPr>
          <w:p w14:paraId="295421C8">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3057C91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★内存速率</w:t>
            </w:r>
          </w:p>
        </w:tc>
        <w:tc>
          <w:tcPr>
            <w:tcW w:w="3960" w:type="dxa"/>
            <w:shd w:val="clear" w:color="auto" w:fill="FFFFFF"/>
            <w:vAlign w:val="center"/>
          </w:tcPr>
          <w:p w14:paraId="6B1C95D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≥3200MT/s</w:t>
            </w:r>
          </w:p>
        </w:tc>
        <w:tc>
          <w:tcPr>
            <w:tcW w:w="1305" w:type="dxa"/>
            <w:shd w:val="clear" w:color="auto" w:fill="FFFFFF"/>
            <w:vAlign w:val="center"/>
          </w:tcPr>
          <w:p w14:paraId="3787D6F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5371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54" w:type="dxa"/>
            <w:shd w:val="clear" w:color="auto" w:fill="FFFFFF"/>
            <w:vAlign w:val="center"/>
          </w:tcPr>
          <w:p w14:paraId="1F57915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107</w:t>
            </w:r>
          </w:p>
        </w:tc>
        <w:tc>
          <w:tcPr>
            <w:tcW w:w="981" w:type="dxa"/>
            <w:shd w:val="clear" w:color="auto" w:fill="FFFFFF"/>
            <w:vAlign w:val="center"/>
          </w:tcPr>
          <w:p w14:paraId="12A30D5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shd w:val="clear" w:color="auto" w:fill="FFFFFF"/>
            <w:vAlign w:val="center"/>
          </w:tcPr>
          <w:p w14:paraId="0B71BC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存储性能</w:t>
            </w:r>
          </w:p>
        </w:tc>
        <w:tc>
          <w:tcPr>
            <w:tcW w:w="1548" w:type="dxa"/>
            <w:shd w:val="clear" w:color="auto" w:fill="FFFFFF"/>
            <w:vAlign w:val="center"/>
          </w:tcPr>
          <w:p w14:paraId="2BD71EA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硬盘转速</w:t>
            </w:r>
          </w:p>
        </w:tc>
        <w:tc>
          <w:tcPr>
            <w:tcW w:w="3960" w:type="dxa"/>
            <w:shd w:val="clear" w:color="auto" w:fill="FFFFFF"/>
            <w:vAlign w:val="center"/>
          </w:tcPr>
          <w:p w14:paraId="7330B91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安装的硬磁盘转速不小于7200rpm</w:t>
            </w:r>
          </w:p>
        </w:tc>
        <w:tc>
          <w:tcPr>
            <w:tcW w:w="1305" w:type="dxa"/>
            <w:shd w:val="clear" w:color="auto" w:fill="FFFFFF"/>
            <w:vAlign w:val="center"/>
          </w:tcPr>
          <w:p w14:paraId="6F3924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23B5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0EEAFC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108</w:t>
            </w:r>
          </w:p>
        </w:tc>
        <w:tc>
          <w:tcPr>
            <w:tcW w:w="981" w:type="dxa"/>
            <w:shd w:val="clear" w:color="auto" w:fill="FFFFFF"/>
            <w:vAlign w:val="center"/>
          </w:tcPr>
          <w:p w14:paraId="4BBE6B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shd w:val="clear" w:color="auto" w:fill="FFFFFF"/>
            <w:vAlign w:val="center"/>
          </w:tcPr>
          <w:p w14:paraId="0831250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RAID卡性能</w:t>
            </w:r>
          </w:p>
        </w:tc>
        <w:tc>
          <w:tcPr>
            <w:tcW w:w="1548" w:type="dxa"/>
            <w:shd w:val="clear" w:color="auto" w:fill="FFFFFF"/>
            <w:vAlign w:val="center"/>
          </w:tcPr>
          <w:p w14:paraId="71FC821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RAID卡缓存容量大小</w:t>
            </w:r>
          </w:p>
        </w:tc>
        <w:tc>
          <w:tcPr>
            <w:tcW w:w="3960" w:type="dxa"/>
            <w:shd w:val="clear" w:color="auto" w:fill="FFFFFF"/>
            <w:vAlign w:val="center"/>
          </w:tcPr>
          <w:p w14:paraId="2D3EF1B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≥2GB</w:t>
            </w:r>
          </w:p>
        </w:tc>
        <w:tc>
          <w:tcPr>
            <w:tcW w:w="1305" w:type="dxa"/>
            <w:shd w:val="clear" w:color="auto" w:fill="FFFFFF"/>
            <w:vAlign w:val="center"/>
          </w:tcPr>
          <w:p w14:paraId="26B0BF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C823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45DD250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109</w:t>
            </w:r>
          </w:p>
        </w:tc>
        <w:tc>
          <w:tcPr>
            <w:tcW w:w="981" w:type="dxa"/>
            <w:shd w:val="clear" w:color="auto" w:fill="FFFFFF"/>
            <w:vAlign w:val="center"/>
          </w:tcPr>
          <w:p w14:paraId="0C7BD88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shd w:val="clear" w:color="auto" w:fill="FFFFFF"/>
            <w:vAlign w:val="center"/>
          </w:tcPr>
          <w:p w14:paraId="7511F6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FCHBA卡性能</w:t>
            </w:r>
          </w:p>
        </w:tc>
        <w:tc>
          <w:tcPr>
            <w:tcW w:w="1548" w:type="dxa"/>
            <w:shd w:val="clear" w:color="auto" w:fill="FFFFFF"/>
            <w:vAlign w:val="center"/>
          </w:tcPr>
          <w:p w14:paraId="224C25D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FCHBA卡速率</w:t>
            </w:r>
          </w:p>
        </w:tc>
        <w:tc>
          <w:tcPr>
            <w:tcW w:w="3960" w:type="dxa"/>
            <w:shd w:val="clear" w:color="auto" w:fill="FFFFFF"/>
            <w:vAlign w:val="center"/>
          </w:tcPr>
          <w:p w14:paraId="2EB079B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若配备FCHBA卡，单端口最大的连接速率≥8Gb/s（不涉及）</w:t>
            </w:r>
          </w:p>
        </w:tc>
        <w:tc>
          <w:tcPr>
            <w:tcW w:w="1305" w:type="dxa"/>
            <w:shd w:val="clear" w:color="auto" w:fill="FFFFFF"/>
            <w:vAlign w:val="center"/>
          </w:tcPr>
          <w:p w14:paraId="6D7F317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7A47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50AEE57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110</w:t>
            </w:r>
          </w:p>
        </w:tc>
        <w:tc>
          <w:tcPr>
            <w:tcW w:w="981" w:type="dxa"/>
            <w:shd w:val="clear" w:color="auto" w:fill="FFFFFF"/>
            <w:vAlign w:val="center"/>
          </w:tcPr>
          <w:p w14:paraId="13223AA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restart"/>
            <w:shd w:val="clear" w:color="auto" w:fill="FFFFFF"/>
            <w:vAlign w:val="center"/>
          </w:tcPr>
          <w:p w14:paraId="4916C37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网络性能</w:t>
            </w:r>
          </w:p>
        </w:tc>
        <w:tc>
          <w:tcPr>
            <w:tcW w:w="1548" w:type="dxa"/>
            <w:shd w:val="clear" w:color="auto" w:fill="FFFFFF"/>
            <w:vAlign w:val="center"/>
          </w:tcPr>
          <w:p w14:paraId="6EFDB74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独立网卡速率</w:t>
            </w:r>
          </w:p>
        </w:tc>
        <w:tc>
          <w:tcPr>
            <w:tcW w:w="3960" w:type="dxa"/>
            <w:shd w:val="clear" w:color="auto" w:fill="FFFFFF"/>
            <w:vAlign w:val="center"/>
          </w:tcPr>
          <w:p w14:paraId="1BF9E49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端口速率≥10GE</w:t>
            </w:r>
          </w:p>
        </w:tc>
        <w:tc>
          <w:tcPr>
            <w:tcW w:w="1305" w:type="dxa"/>
            <w:shd w:val="clear" w:color="auto" w:fill="FFFFFF"/>
            <w:vAlign w:val="center"/>
          </w:tcPr>
          <w:p w14:paraId="235C029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520A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7171E0A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111</w:t>
            </w:r>
          </w:p>
        </w:tc>
        <w:tc>
          <w:tcPr>
            <w:tcW w:w="981" w:type="dxa"/>
            <w:shd w:val="clear" w:color="auto" w:fill="FFFFFF"/>
            <w:vAlign w:val="center"/>
          </w:tcPr>
          <w:p w14:paraId="4459EE9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continue"/>
            <w:shd w:val="clear" w:color="auto" w:fill="FFFFFF"/>
            <w:vAlign w:val="center"/>
          </w:tcPr>
          <w:p w14:paraId="6711D9AE">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16B0AF2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板载网卡速率</w:t>
            </w:r>
          </w:p>
        </w:tc>
        <w:tc>
          <w:tcPr>
            <w:tcW w:w="3960" w:type="dxa"/>
            <w:shd w:val="clear" w:color="auto" w:fill="FFFFFF"/>
            <w:vAlign w:val="center"/>
          </w:tcPr>
          <w:p w14:paraId="2C7C7B8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端口速率≥1GE</w:t>
            </w:r>
          </w:p>
        </w:tc>
        <w:tc>
          <w:tcPr>
            <w:tcW w:w="1305" w:type="dxa"/>
            <w:shd w:val="clear" w:color="auto" w:fill="FFFFFF"/>
            <w:vAlign w:val="center"/>
          </w:tcPr>
          <w:p w14:paraId="56079A5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C70F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54" w:type="dxa"/>
            <w:shd w:val="clear" w:color="auto" w:fill="FFFFFF"/>
            <w:vAlign w:val="center"/>
          </w:tcPr>
          <w:p w14:paraId="1E92CA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112</w:t>
            </w:r>
          </w:p>
        </w:tc>
        <w:tc>
          <w:tcPr>
            <w:tcW w:w="981" w:type="dxa"/>
            <w:shd w:val="clear" w:color="auto" w:fill="FFFFFF"/>
            <w:vAlign w:val="center"/>
          </w:tcPr>
          <w:p w14:paraId="1F4F6C9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shd w:val="clear" w:color="auto" w:fill="FFFFFF"/>
            <w:vAlign w:val="center"/>
          </w:tcPr>
          <w:p w14:paraId="3D0DDC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电源能耗</w:t>
            </w:r>
          </w:p>
        </w:tc>
        <w:tc>
          <w:tcPr>
            <w:tcW w:w="1548" w:type="dxa"/>
            <w:shd w:val="clear" w:color="auto" w:fill="FFFFFF"/>
            <w:vAlign w:val="center"/>
          </w:tcPr>
          <w:p w14:paraId="6C865B2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★电源能耗</w:t>
            </w:r>
          </w:p>
        </w:tc>
        <w:tc>
          <w:tcPr>
            <w:tcW w:w="3960" w:type="dxa"/>
            <w:shd w:val="clear" w:color="auto" w:fill="FFFFFF"/>
            <w:vAlign w:val="center"/>
          </w:tcPr>
          <w:p w14:paraId="4BFBF75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符合GB/T9813.3的有关规定</w:t>
            </w:r>
          </w:p>
        </w:tc>
        <w:tc>
          <w:tcPr>
            <w:tcW w:w="1305" w:type="dxa"/>
            <w:shd w:val="clear" w:color="auto" w:fill="FFFFFF"/>
            <w:vAlign w:val="center"/>
          </w:tcPr>
          <w:p w14:paraId="6BC2DBD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B485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1F4A375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113</w:t>
            </w:r>
          </w:p>
        </w:tc>
        <w:tc>
          <w:tcPr>
            <w:tcW w:w="981" w:type="dxa"/>
            <w:shd w:val="clear" w:color="auto" w:fill="FFFFFF"/>
            <w:vAlign w:val="center"/>
          </w:tcPr>
          <w:p w14:paraId="5809EF5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restart"/>
            <w:shd w:val="clear" w:color="auto" w:fill="FFFFFF"/>
            <w:vAlign w:val="center"/>
          </w:tcPr>
          <w:p w14:paraId="01B140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部件兼容性要求</w:t>
            </w:r>
          </w:p>
        </w:tc>
        <w:tc>
          <w:tcPr>
            <w:tcW w:w="1548" w:type="dxa"/>
            <w:shd w:val="clear" w:color="auto" w:fill="FFFFFF"/>
            <w:noWrap/>
            <w:vAlign w:val="center"/>
          </w:tcPr>
          <w:p w14:paraId="375298E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内存兼容性</w:t>
            </w:r>
          </w:p>
        </w:tc>
        <w:tc>
          <w:tcPr>
            <w:tcW w:w="3960" w:type="dxa"/>
            <w:shd w:val="clear" w:color="auto" w:fill="FFFFFF"/>
            <w:vAlign w:val="center"/>
          </w:tcPr>
          <w:p w14:paraId="437D7DC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适配3种及以上厂商的内存产品，且均不低于产品支持的内存规格</w:t>
            </w:r>
          </w:p>
        </w:tc>
        <w:tc>
          <w:tcPr>
            <w:tcW w:w="1305" w:type="dxa"/>
            <w:shd w:val="clear" w:color="auto" w:fill="FFFFFF"/>
            <w:vAlign w:val="center"/>
          </w:tcPr>
          <w:p w14:paraId="791D76C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831D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45D6F56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114</w:t>
            </w:r>
          </w:p>
        </w:tc>
        <w:tc>
          <w:tcPr>
            <w:tcW w:w="981" w:type="dxa"/>
            <w:shd w:val="clear" w:color="auto" w:fill="FFFFFF"/>
            <w:vAlign w:val="center"/>
          </w:tcPr>
          <w:p w14:paraId="574F61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7F065291">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3E8A11C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★固态存储兼容性</w:t>
            </w:r>
          </w:p>
        </w:tc>
        <w:tc>
          <w:tcPr>
            <w:tcW w:w="3960" w:type="dxa"/>
            <w:shd w:val="clear" w:color="auto" w:fill="FFFFFF"/>
            <w:vAlign w:val="center"/>
          </w:tcPr>
          <w:p w14:paraId="7FCA481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适配3种或以上厂商的固态存储产品，且均不低于产品支持的固态存储设备规格</w:t>
            </w:r>
          </w:p>
        </w:tc>
        <w:tc>
          <w:tcPr>
            <w:tcW w:w="1305" w:type="dxa"/>
            <w:shd w:val="clear" w:color="auto" w:fill="FFFFFF"/>
            <w:vAlign w:val="center"/>
          </w:tcPr>
          <w:p w14:paraId="526CEC1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0C42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423AFB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115</w:t>
            </w:r>
          </w:p>
        </w:tc>
        <w:tc>
          <w:tcPr>
            <w:tcW w:w="981" w:type="dxa"/>
            <w:shd w:val="clear" w:color="auto" w:fill="FFFFFF"/>
            <w:vAlign w:val="center"/>
          </w:tcPr>
          <w:p w14:paraId="66C69A3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06476A3A">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7C462AD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FCHBA卡兼容性</w:t>
            </w:r>
          </w:p>
        </w:tc>
        <w:tc>
          <w:tcPr>
            <w:tcW w:w="3960" w:type="dxa"/>
            <w:shd w:val="clear" w:color="auto" w:fill="FFFFFF"/>
            <w:vAlign w:val="center"/>
          </w:tcPr>
          <w:p w14:paraId="69F9337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FCHBA应适配两种或以上厂商产品</w:t>
            </w:r>
          </w:p>
        </w:tc>
        <w:tc>
          <w:tcPr>
            <w:tcW w:w="1305" w:type="dxa"/>
            <w:shd w:val="clear" w:color="auto" w:fill="FFFFFF"/>
            <w:vAlign w:val="center"/>
          </w:tcPr>
          <w:p w14:paraId="6215A3F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0AE3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6092428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116</w:t>
            </w:r>
          </w:p>
        </w:tc>
        <w:tc>
          <w:tcPr>
            <w:tcW w:w="981" w:type="dxa"/>
            <w:shd w:val="clear" w:color="auto" w:fill="FFFFFF"/>
            <w:vAlign w:val="center"/>
          </w:tcPr>
          <w:p w14:paraId="0D9FC68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4F6FB47A">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7BD17EA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RAID卡兼容性</w:t>
            </w:r>
          </w:p>
        </w:tc>
        <w:tc>
          <w:tcPr>
            <w:tcW w:w="3960" w:type="dxa"/>
            <w:shd w:val="clear" w:color="auto" w:fill="FFFFFF"/>
            <w:vAlign w:val="center"/>
          </w:tcPr>
          <w:p w14:paraId="19B5EF5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RAID卡应适配两种或以上厂商产品</w:t>
            </w:r>
          </w:p>
        </w:tc>
        <w:tc>
          <w:tcPr>
            <w:tcW w:w="1305" w:type="dxa"/>
            <w:shd w:val="clear" w:color="auto" w:fill="FFFFFF"/>
            <w:vAlign w:val="center"/>
          </w:tcPr>
          <w:p w14:paraId="386405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206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54" w:type="dxa"/>
            <w:shd w:val="clear" w:color="auto" w:fill="FFFFFF"/>
            <w:vAlign w:val="center"/>
          </w:tcPr>
          <w:p w14:paraId="5B9383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117</w:t>
            </w:r>
          </w:p>
        </w:tc>
        <w:tc>
          <w:tcPr>
            <w:tcW w:w="981" w:type="dxa"/>
            <w:shd w:val="clear" w:color="auto" w:fill="FFFFFF"/>
            <w:vAlign w:val="center"/>
          </w:tcPr>
          <w:p w14:paraId="726F7D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restart"/>
            <w:shd w:val="clear" w:color="auto" w:fill="FFFFFF"/>
            <w:vAlign w:val="center"/>
          </w:tcPr>
          <w:p w14:paraId="5ACD17D7">
            <w:pPr>
              <w:widowControl/>
              <w:jc w:val="center"/>
              <w:rPr>
                <w:rFonts w:asciiTheme="minorEastAsia" w:hAnsiTheme="minorEastAsia" w:eastAsiaTheme="minorEastAsia" w:cstheme="minorEastAsia"/>
                <w:kern w:val="0"/>
                <w:sz w:val="24"/>
              </w:rPr>
            </w:pPr>
          </w:p>
        </w:tc>
        <w:tc>
          <w:tcPr>
            <w:tcW w:w="1548" w:type="dxa"/>
            <w:shd w:val="clear" w:color="auto" w:fill="FFFFFF"/>
            <w:vAlign w:val="center"/>
          </w:tcPr>
          <w:p w14:paraId="52B9D41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★网卡兼容性</w:t>
            </w:r>
          </w:p>
        </w:tc>
        <w:tc>
          <w:tcPr>
            <w:tcW w:w="3960" w:type="dxa"/>
            <w:shd w:val="clear" w:color="auto" w:fill="FFFFFF"/>
            <w:vAlign w:val="center"/>
          </w:tcPr>
          <w:p w14:paraId="548D266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网卡应适配两种或以上厂商产品</w:t>
            </w:r>
          </w:p>
        </w:tc>
        <w:tc>
          <w:tcPr>
            <w:tcW w:w="1305" w:type="dxa"/>
            <w:shd w:val="clear" w:color="auto" w:fill="FFFFFF"/>
            <w:vAlign w:val="center"/>
          </w:tcPr>
          <w:p w14:paraId="11FFA68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F63C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0BD732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118</w:t>
            </w:r>
          </w:p>
        </w:tc>
        <w:tc>
          <w:tcPr>
            <w:tcW w:w="981" w:type="dxa"/>
            <w:shd w:val="clear" w:color="auto" w:fill="FFFFFF"/>
            <w:vAlign w:val="center"/>
          </w:tcPr>
          <w:p w14:paraId="1E99A8A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19ABA401">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4B99DAC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★功能卡兼容性</w:t>
            </w:r>
          </w:p>
        </w:tc>
        <w:tc>
          <w:tcPr>
            <w:tcW w:w="3960" w:type="dxa"/>
            <w:shd w:val="clear" w:color="auto" w:fill="FFFFFF"/>
            <w:vAlign w:val="center"/>
          </w:tcPr>
          <w:p w14:paraId="7E55828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内置或适配符合PCIe的功能卡，如：网络功能卡、存储功能卡及图形显示功能卡</w:t>
            </w:r>
          </w:p>
        </w:tc>
        <w:tc>
          <w:tcPr>
            <w:tcW w:w="1305" w:type="dxa"/>
            <w:shd w:val="clear" w:color="auto" w:fill="FFFFFF"/>
            <w:vAlign w:val="center"/>
          </w:tcPr>
          <w:p w14:paraId="6CA42DF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5C4B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54" w:type="dxa"/>
            <w:shd w:val="clear" w:color="auto" w:fill="FFFFFF"/>
            <w:vAlign w:val="center"/>
          </w:tcPr>
          <w:p w14:paraId="1F9B53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119</w:t>
            </w:r>
          </w:p>
        </w:tc>
        <w:tc>
          <w:tcPr>
            <w:tcW w:w="981" w:type="dxa"/>
            <w:shd w:val="clear" w:color="auto" w:fill="FFFFFF"/>
            <w:vAlign w:val="center"/>
          </w:tcPr>
          <w:p w14:paraId="3FBC3C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shd w:val="clear" w:color="auto" w:fill="FFFFFF"/>
            <w:vAlign w:val="center"/>
          </w:tcPr>
          <w:p w14:paraId="7E4C4C3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外设兼容性</w:t>
            </w:r>
          </w:p>
        </w:tc>
        <w:tc>
          <w:tcPr>
            <w:tcW w:w="1548" w:type="dxa"/>
            <w:shd w:val="clear" w:color="auto" w:fill="FFFFFF"/>
            <w:vAlign w:val="center"/>
          </w:tcPr>
          <w:p w14:paraId="52545EE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★外设兼容性</w:t>
            </w:r>
          </w:p>
        </w:tc>
        <w:tc>
          <w:tcPr>
            <w:tcW w:w="3960" w:type="dxa"/>
            <w:shd w:val="clear" w:color="auto" w:fill="FFFFFF"/>
            <w:vAlign w:val="center"/>
          </w:tcPr>
          <w:p w14:paraId="1406FE8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兼容多种主流生产商的外部设备，包括显示器、键盘、鼠标、闪存盘、移动硬盘、USB光驱及KVM等，要求使用不同厂商的外部设备时，系统均能正常识别和安装驱动</w:t>
            </w:r>
          </w:p>
        </w:tc>
        <w:tc>
          <w:tcPr>
            <w:tcW w:w="1305" w:type="dxa"/>
            <w:shd w:val="clear" w:color="auto" w:fill="FFFFFF"/>
            <w:vAlign w:val="center"/>
          </w:tcPr>
          <w:p w14:paraId="059F40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D7D7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42E1F4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120</w:t>
            </w:r>
          </w:p>
        </w:tc>
        <w:tc>
          <w:tcPr>
            <w:tcW w:w="981" w:type="dxa"/>
            <w:shd w:val="clear" w:color="auto" w:fill="FFFFFF"/>
            <w:vAlign w:val="center"/>
          </w:tcPr>
          <w:p w14:paraId="565670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restart"/>
            <w:shd w:val="clear" w:color="auto" w:fill="FFFFFF"/>
            <w:vAlign w:val="center"/>
          </w:tcPr>
          <w:p w14:paraId="4A55242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软件兼容性</w:t>
            </w:r>
          </w:p>
        </w:tc>
        <w:tc>
          <w:tcPr>
            <w:tcW w:w="1548" w:type="dxa"/>
            <w:shd w:val="clear" w:color="auto" w:fill="FFFFFF"/>
            <w:vAlign w:val="center"/>
          </w:tcPr>
          <w:p w14:paraId="6E6E0AB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★数据库兼容</w:t>
            </w:r>
          </w:p>
        </w:tc>
        <w:tc>
          <w:tcPr>
            <w:tcW w:w="3960" w:type="dxa"/>
            <w:shd w:val="clear" w:color="auto" w:fill="FFFFFF"/>
            <w:vAlign w:val="center"/>
          </w:tcPr>
          <w:p w14:paraId="315E47D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兼容3个及以上厂商的数据库产品</w:t>
            </w:r>
          </w:p>
        </w:tc>
        <w:tc>
          <w:tcPr>
            <w:tcW w:w="1305" w:type="dxa"/>
            <w:shd w:val="clear" w:color="auto" w:fill="FFFFFF"/>
            <w:vAlign w:val="center"/>
          </w:tcPr>
          <w:p w14:paraId="44DB632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968D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54" w:type="dxa"/>
            <w:shd w:val="clear" w:color="auto" w:fill="FFFFFF"/>
            <w:vAlign w:val="center"/>
          </w:tcPr>
          <w:p w14:paraId="3FE9E34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121</w:t>
            </w:r>
          </w:p>
        </w:tc>
        <w:tc>
          <w:tcPr>
            <w:tcW w:w="981" w:type="dxa"/>
            <w:shd w:val="clear" w:color="auto" w:fill="FFFFFF"/>
            <w:vAlign w:val="center"/>
          </w:tcPr>
          <w:p w14:paraId="1EE1FD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5B24AE3E">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0BEFDA5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★中间件兼容</w:t>
            </w:r>
          </w:p>
        </w:tc>
        <w:tc>
          <w:tcPr>
            <w:tcW w:w="3960" w:type="dxa"/>
            <w:shd w:val="clear" w:color="auto" w:fill="FFFFFF"/>
            <w:vAlign w:val="center"/>
          </w:tcPr>
          <w:p w14:paraId="476D60D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兼容3个及以上厂商的中间件产品</w:t>
            </w:r>
          </w:p>
        </w:tc>
        <w:tc>
          <w:tcPr>
            <w:tcW w:w="1305" w:type="dxa"/>
            <w:shd w:val="clear" w:color="auto" w:fill="FFFFFF"/>
            <w:vAlign w:val="center"/>
          </w:tcPr>
          <w:p w14:paraId="3166386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845A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7B862FE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122</w:t>
            </w:r>
          </w:p>
        </w:tc>
        <w:tc>
          <w:tcPr>
            <w:tcW w:w="981" w:type="dxa"/>
            <w:shd w:val="clear" w:color="auto" w:fill="FFFFFF"/>
            <w:vAlign w:val="center"/>
          </w:tcPr>
          <w:p w14:paraId="415297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37218FBA">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2DFD132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★平台软件兼容</w:t>
            </w:r>
          </w:p>
        </w:tc>
        <w:tc>
          <w:tcPr>
            <w:tcW w:w="3960" w:type="dxa"/>
            <w:shd w:val="clear" w:color="auto" w:fill="FFFFFF"/>
            <w:vAlign w:val="center"/>
          </w:tcPr>
          <w:p w14:paraId="3F8A88A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兼容3个及以上厂商的大数据平台</w:t>
            </w:r>
          </w:p>
        </w:tc>
        <w:tc>
          <w:tcPr>
            <w:tcW w:w="1305" w:type="dxa"/>
            <w:shd w:val="clear" w:color="auto" w:fill="FFFFFF"/>
            <w:vAlign w:val="center"/>
          </w:tcPr>
          <w:p w14:paraId="7B552E2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9C4D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4DDF86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123</w:t>
            </w:r>
          </w:p>
        </w:tc>
        <w:tc>
          <w:tcPr>
            <w:tcW w:w="981" w:type="dxa"/>
            <w:shd w:val="clear" w:color="auto" w:fill="FFFFFF"/>
            <w:vAlign w:val="center"/>
          </w:tcPr>
          <w:p w14:paraId="2E12BCC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61D232B5">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0052F30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虚拟化软件兼容</w:t>
            </w:r>
          </w:p>
        </w:tc>
        <w:tc>
          <w:tcPr>
            <w:tcW w:w="3960" w:type="dxa"/>
            <w:shd w:val="clear" w:color="auto" w:fill="FFFFFF"/>
            <w:vAlign w:val="center"/>
          </w:tcPr>
          <w:p w14:paraId="61316E4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兼容2款及以上虚拟化软件</w:t>
            </w:r>
          </w:p>
        </w:tc>
        <w:tc>
          <w:tcPr>
            <w:tcW w:w="1305" w:type="dxa"/>
            <w:shd w:val="clear" w:color="auto" w:fill="FFFFFF"/>
            <w:vAlign w:val="center"/>
          </w:tcPr>
          <w:p w14:paraId="514FD0F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D130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54" w:type="dxa"/>
            <w:shd w:val="clear" w:color="auto" w:fill="FFFFFF"/>
            <w:vAlign w:val="center"/>
          </w:tcPr>
          <w:p w14:paraId="38D917C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124</w:t>
            </w:r>
          </w:p>
        </w:tc>
        <w:tc>
          <w:tcPr>
            <w:tcW w:w="981" w:type="dxa"/>
            <w:shd w:val="clear" w:color="auto" w:fill="FFFFFF"/>
            <w:vAlign w:val="center"/>
          </w:tcPr>
          <w:p w14:paraId="1FCE82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81" w:type="dxa"/>
            <w:shd w:val="clear" w:color="auto" w:fill="FFFFFF"/>
            <w:vAlign w:val="center"/>
          </w:tcPr>
          <w:p w14:paraId="095045F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存储可靠性要求</w:t>
            </w:r>
          </w:p>
        </w:tc>
        <w:tc>
          <w:tcPr>
            <w:tcW w:w="1548" w:type="dxa"/>
            <w:shd w:val="clear" w:color="auto" w:fill="FFFFFF"/>
            <w:vAlign w:val="center"/>
          </w:tcPr>
          <w:p w14:paraId="18A0EE7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SATASSD可靠性</w:t>
            </w:r>
          </w:p>
        </w:tc>
        <w:tc>
          <w:tcPr>
            <w:tcW w:w="3960" w:type="dxa"/>
            <w:shd w:val="clear" w:color="auto" w:fill="FFFFFF"/>
            <w:vAlign w:val="center"/>
          </w:tcPr>
          <w:p w14:paraId="63999CE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SSD的m1值（MTBF的不可接受值）不低于200000h</w:t>
            </w:r>
          </w:p>
        </w:tc>
        <w:tc>
          <w:tcPr>
            <w:tcW w:w="1305" w:type="dxa"/>
            <w:shd w:val="clear" w:color="auto" w:fill="FFFFFF"/>
            <w:vAlign w:val="center"/>
          </w:tcPr>
          <w:p w14:paraId="3A1756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85AF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604390D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125</w:t>
            </w:r>
          </w:p>
        </w:tc>
        <w:tc>
          <w:tcPr>
            <w:tcW w:w="981" w:type="dxa"/>
            <w:shd w:val="clear" w:color="auto" w:fill="FFFFFF"/>
            <w:vAlign w:val="center"/>
          </w:tcPr>
          <w:p w14:paraId="2D45A1B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81" w:type="dxa"/>
            <w:vMerge w:val="restart"/>
            <w:shd w:val="clear" w:color="auto" w:fill="FFFFFF"/>
            <w:vAlign w:val="center"/>
          </w:tcPr>
          <w:p w14:paraId="630DF46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整机可靠性要求</w:t>
            </w:r>
          </w:p>
        </w:tc>
        <w:tc>
          <w:tcPr>
            <w:tcW w:w="1548" w:type="dxa"/>
            <w:shd w:val="clear" w:color="auto" w:fill="FFFFFF"/>
            <w:vAlign w:val="center"/>
          </w:tcPr>
          <w:p w14:paraId="45234C7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★整机可靠性</w:t>
            </w:r>
          </w:p>
        </w:tc>
        <w:tc>
          <w:tcPr>
            <w:tcW w:w="3960" w:type="dxa"/>
            <w:shd w:val="clear" w:color="auto" w:fill="FFFFFF"/>
            <w:vAlign w:val="center"/>
          </w:tcPr>
          <w:p w14:paraId="5CC5241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m1值（MTBF的不可接受值）不得低于30000h</w:t>
            </w:r>
          </w:p>
        </w:tc>
        <w:tc>
          <w:tcPr>
            <w:tcW w:w="1305" w:type="dxa"/>
            <w:shd w:val="clear" w:color="auto" w:fill="FFFFFF"/>
            <w:vAlign w:val="center"/>
          </w:tcPr>
          <w:p w14:paraId="23ABD38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4094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69CBB56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126</w:t>
            </w:r>
          </w:p>
        </w:tc>
        <w:tc>
          <w:tcPr>
            <w:tcW w:w="981" w:type="dxa"/>
            <w:shd w:val="clear" w:color="auto" w:fill="FFFFFF"/>
            <w:vAlign w:val="center"/>
          </w:tcPr>
          <w:p w14:paraId="126C91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81" w:type="dxa"/>
            <w:vMerge w:val="continue"/>
            <w:shd w:val="clear" w:color="auto" w:fill="FFFFFF"/>
            <w:vAlign w:val="center"/>
          </w:tcPr>
          <w:p w14:paraId="4D219C46">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77EC741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★风扇可靠性</w:t>
            </w:r>
          </w:p>
        </w:tc>
        <w:tc>
          <w:tcPr>
            <w:tcW w:w="3960" w:type="dxa"/>
            <w:shd w:val="clear" w:color="auto" w:fill="FFFFFF"/>
            <w:vAlign w:val="center"/>
          </w:tcPr>
          <w:p w14:paraId="3EA0AA0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风扇寿命应不低于40000h</w:t>
            </w:r>
          </w:p>
        </w:tc>
        <w:tc>
          <w:tcPr>
            <w:tcW w:w="1305" w:type="dxa"/>
            <w:shd w:val="clear" w:color="auto" w:fill="FFFFFF"/>
            <w:vAlign w:val="center"/>
          </w:tcPr>
          <w:p w14:paraId="059BA0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3EDB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340A675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127</w:t>
            </w:r>
          </w:p>
        </w:tc>
        <w:tc>
          <w:tcPr>
            <w:tcW w:w="981" w:type="dxa"/>
            <w:shd w:val="clear" w:color="auto" w:fill="FFFFFF"/>
            <w:vAlign w:val="center"/>
          </w:tcPr>
          <w:p w14:paraId="4E6825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81" w:type="dxa"/>
            <w:vMerge w:val="continue"/>
            <w:shd w:val="clear" w:color="auto" w:fill="FFFFFF"/>
            <w:vAlign w:val="center"/>
          </w:tcPr>
          <w:p w14:paraId="57C363B9">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679DC3F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★部件可靠性</w:t>
            </w:r>
          </w:p>
        </w:tc>
        <w:tc>
          <w:tcPr>
            <w:tcW w:w="3960" w:type="dxa"/>
            <w:shd w:val="clear" w:color="auto" w:fill="FFFFFF"/>
            <w:vAlign w:val="center"/>
          </w:tcPr>
          <w:p w14:paraId="5D698B6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支持硬盘、电源、风扇热插拔（内置风扇除外）</w:t>
            </w:r>
          </w:p>
        </w:tc>
        <w:tc>
          <w:tcPr>
            <w:tcW w:w="1305" w:type="dxa"/>
            <w:shd w:val="clear" w:color="auto" w:fill="FFFFFF"/>
            <w:vAlign w:val="center"/>
          </w:tcPr>
          <w:p w14:paraId="18FD8BF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5D36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54" w:type="dxa"/>
            <w:shd w:val="clear" w:color="auto" w:fill="FFFFFF"/>
            <w:vAlign w:val="center"/>
          </w:tcPr>
          <w:p w14:paraId="167CD2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128</w:t>
            </w:r>
          </w:p>
        </w:tc>
        <w:tc>
          <w:tcPr>
            <w:tcW w:w="981" w:type="dxa"/>
            <w:shd w:val="clear" w:color="auto" w:fill="FFFFFF"/>
            <w:vAlign w:val="center"/>
          </w:tcPr>
          <w:p w14:paraId="1D0E2C2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包装及运输要求</w:t>
            </w:r>
          </w:p>
        </w:tc>
        <w:tc>
          <w:tcPr>
            <w:tcW w:w="981" w:type="dxa"/>
            <w:shd w:val="clear" w:color="auto" w:fill="FFFFFF"/>
            <w:vAlign w:val="center"/>
          </w:tcPr>
          <w:p w14:paraId="3E25170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包装及运输要求</w:t>
            </w:r>
          </w:p>
        </w:tc>
        <w:tc>
          <w:tcPr>
            <w:tcW w:w="1548" w:type="dxa"/>
            <w:shd w:val="clear" w:color="auto" w:fill="FFFFFF"/>
            <w:vAlign w:val="center"/>
          </w:tcPr>
          <w:p w14:paraId="458FFD4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★标志、包装、运输和贮存</w:t>
            </w:r>
          </w:p>
        </w:tc>
        <w:tc>
          <w:tcPr>
            <w:tcW w:w="3960" w:type="dxa"/>
            <w:shd w:val="clear" w:color="auto" w:fill="FFFFFF"/>
            <w:vAlign w:val="center"/>
          </w:tcPr>
          <w:p w14:paraId="3AC323A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符合GB/T9813.3和商品包装政府采购需求标准的相关规定</w:t>
            </w:r>
          </w:p>
        </w:tc>
        <w:tc>
          <w:tcPr>
            <w:tcW w:w="1305" w:type="dxa"/>
            <w:shd w:val="clear" w:color="auto" w:fill="FFFFFF"/>
            <w:vAlign w:val="center"/>
          </w:tcPr>
          <w:p w14:paraId="58A1EEC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76D5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512" w:hRule="atLeast"/>
        </w:trPr>
        <w:tc>
          <w:tcPr>
            <w:tcW w:w="654" w:type="dxa"/>
            <w:shd w:val="clear" w:color="auto" w:fill="FFFFFF"/>
            <w:vAlign w:val="center"/>
          </w:tcPr>
          <w:p w14:paraId="27FC64F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129</w:t>
            </w:r>
          </w:p>
        </w:tc>
        <w:tc>
          <w:tcPr>
            <w:tcW w:w="981" w:type="dxa"/>
            <w:shd w:val="clear" w:color="auto" w:fill="FFFFFF"/>
            <w:vAlign w:val="center"/>
          </w:tcPr>
          <w:p w14:paraId="368F919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restart"/>
            <w:shd w:val="clear" w:color="auto" w:fill="FFFFFF"/>
            <w:vAlign w:val="center"/>
          </w:tcPr>
          <w:p w14:paraId="188EE6F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服务响应</w:t>
            </w:r>
          </w:p>
        </w:tc>
        <w:tc>
          <w:tcPr>
            <w:tcW w:w="1548" w:type="dxa"/>
            <w:shd w:val="clear" w:color="auto" w:fill="FFFFFF"/>
            <w:vAlign w:val="center"/>
          </w:tcPr>
          <w:p w14:paraId="78876A1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★服务响应</w:t>
            </w:r>
          </w:p>
        </w:tc>
        <w:tc>
          <w:tcPr>
            <w:tcW w:w="3960" w:type="dxa"/>
            <w:shd w:val="clear" w:color="auto" w:fill="FFFFFF"/>
            <w:vAlign w:val="center"/>
          </w:tcPr>
          <w:p w14:paraId="0D69E24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提供电话、电子邮件、远程连接等多种形式服务；b）提供同城4h、异地12h技术响应服务，2个工作日解决问题，对于未能解决的问题和故障应提供可行的升级方案，并提供周转设备；c）建立全国技术服务体系和服务团体，符合专业服务体系标准要求，提供原厂中文服务；d）服务周期内提供产品的维修、换件和升级服务</w:t>
            </w:r>
          </w:p>
        </w:tc>
        <w:tc>
          <w:tcPr>
            <w:tcW w:w="1305" w:type="dxa"/>
            <w:shd w:val="clear" w:color="auto" w:fill="FFFFFF"/>
            <w:vAlign w:val="center"/>
          </w:tcPr>
          <w:p w14:paraId="6BD9B14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7CA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54" w:type="dxa"/>
            <w:shd w:val="clear" w:color="auto" w:fill="FFFFFF"/>
            <w:vAlign w:val="center"/>
          </w:tcPr>
          <w:p w14:paraId="2C529C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130</w:t>
            </w:r>
          </w:p>
        </w:tc>
        <w:tc>
          <w:tcPr>
            <w:tcW w:w="981" w:type="dxa"/>
            <w:shd w:val="clear" w:color="auto" w:fill="FFFFFF"/>
            <w:vAlign w:val="center"/>
          </w:tcPr>
          <w:p w14:paraId="42D21A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060FAA06">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076DA8D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★培训服务</w:t>
            </w:r>
          </w:p>
        </w:tc>
        <w:tc>
          <w:tcPr>
            <w:tcW w:w="3960" w:type="dxa"/>
            <w:shd w:val="clear" w:color="auto" w:fill="FFFFFF"/>
            <w:vAlign w:val="center"/>
          </w:tcPr>
          <w:p w14:paraId="1235EC3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供应商提供培训材料、产品手册、培训视频等培训相关内容</w:t>
            </w:r>
          </w:p>
        </w:tc>
        <w:tc>
          <w:tcPr>
            <w:tcW w:w="1305" w:type="dxa"/>
            <w:shd w:val="clear" w:color="auto" w:fill="FFFFFF"/>
            <w:vAlign w:val="center"/>
          </w:tcPr>
          <w:p w14:paraId="1C01579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BFD1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654" w:type="dxa"/>
            <w:shd w:val="clear" w:color="auto" w:fill="FFFFFF"/>
            <w:vAlign w:val="center"/>
          </w:tcPr>
          <w:p w14:paraId="314A036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131</w:t>
            </w:r>
          </w:p>
        </w:tc>
        <w:tc>
          <w:tcPr>
            <w:tcW w:w="981" w:type="dxa"/>
            <w:shd w:val="clear" w:color="auto" w:fill="FFFFFF"/>
            <w:vAlign w:val="center"/>
          </w:tcPr>
          <w:p w14:paraId="7E4826F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shd w:val="clear" w:color="auto" w:fill="FFFFFF"/>
            <w:vAlign w:val="center"/>
          </w:tcPr>
          <w:p w14:paraId="21763FC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服务周期</w:t>
            </w:r>
          </w:p>
        </w:tc>
        <w:tc>
          <w:tcPr>
            <w:tcW w:w="1548" w:type="dxa"/>
            <w:shd w:val="clear" w:color="auto" w:fill="FFFFFF"/>
            <w:vAlign w:val="center"/>
          </w:tcPr>
          <w:p w14:paraId="26811CE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★服务周期</w:t>
            </w:r>
          </w:p>
        </w:tc>
        <w:tc>
          <w:tcPr>
            <w:tcW w:w="3960" w:type="dxa"/>
            <w:shd w:val="clear" w:color="auto" w:fill="FFFFFF"/>
            <w:vAlign w:val="center"/>
          </w:tcPr>
          <w:p w14:paraId="2EEEEA4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产品免费服务周期（含换件和维修）应不小于6年；b）设备停产后继续提供质量保障服务（含备品备件），服务终止时间与最后一批设备交付时间间隔不低于6年；c）产品停止服务时间应提前1年告知客户；d）产品发布日期需在技术文件或者技术白皮书中明确</w:t>
            </w:r>
          </w:p>
        </w:tc>
        <w:tc>
          <w:tcPr>
            <w:tcW w:w="1305" w:type="dxa"/>
            <w:shd w:val="clear" w:color="auto" w:fill="FFFFFF"/>
            <w:vAlign w:val="center"/>
          </w:tcPr>
          <w:p w14:paraId="4A1E51D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4712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54" w:type="dxa"/>
            <w:shd w:val="clear" w:color="auto" w:fill="FFFFFF"/>
            <w:vAlign w:val="center"/>
          </w:tcPr>
          <w:p w14:paraId="3820D48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132</w:t>
            </w:r>
          </w:p>
        </w:tc>
        <w:tc>
          <w:tcPr>
            <w:tcW w:w="981" w:type="dxa"/>
            <w:shd w:val="clear" w:color="auto" w:fill="FFFFFF"/>
            <w:vAlign w:val="center"/>
          </w:tcPr>
          <w:p w14:paraId="49D8A7F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restart"/>
            <w:shd w:val="clear" w:color="auto" w:fill="FFFFFF"/>
            <w:vAlign w:val="center"/>
          </w:tcPr>
          <w:p w14:paraId="3FEE50F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服务工具要求</w:t>
            </w:r>
          </w:p>
        </w:tc>
        <w:tc>
          <w:tcPr>
            <w:tcW w:w="1548" w:type="dxa"/>
            <w:shd w:val="clear" w:color="auto" w:fill="FFFFFF"/>
            <w:vAlign w:val="center"/>
          </w:tcPr>
          <w:p w14:paraId="1BC180E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★工具要求</w:t>
            </w:r>
          </w:p>
        </w:tc>
        <w:tc>
          <w:tcPr>
            <w:tcW w:w="3960" w:type="dxa"/>
            <w:shd w:val="clear" w:color="auto" w:fill="FFFFFF"/>
            <w:vAlign w:val="center"/>
          </w:tcPr>
          <w:p w14:paraId="110D14C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供应商提供设置服务器硬件、辅助操作系统安装等功能的辅助工具和管理软件。且随附软件应具有合法授权或版权</w:t>
            </w:r>
          </w:p>
        </w:tc>
        <w:tc>
          <w:tcPr>
            <w:tcW w:w="1305" w:type="dxa"/>
            <w:shd w:val="clear" w:color="auto" w:fill="FFFFFF"/>
            <w:vAlign w:val="center"/>
          </w:tcPr>
          <w:p w14:paraId="3D0A10C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8996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654" w:type="dxa"/>
            <w:shd w:val="clear" w:color="auto" w:fill="FFFFFF"/>
            <w:vAlign w:val="center"/>
          </w:tcPr>
          <w:p w14:paraId="0F2B98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133</w:t>
            </w:r>
          </w:p>
        </w:tc>
        <w:tc>
          <w:tcPr>
            <w:tcW w:w="981" w:type="dxa"/>
            <w:shd w:val="clear" w:color="auto" w:fill="FFFFFF"/>
            <w:vAlign w:val="center"/>
          </w:tcPr>
          <w:p w14:paraId="63D177C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5FA500C4">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2B4CBDC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辅助工具</w:t>
            </w:r>
          </w:p>
        </w:tc>
        <w:tc>
          <w:tcPr>
            <w:tcW w:w="3960" w:type="dxa"/>
            <w:shd w:val="clear" w:color="auto" w:fill="FFFFFF"/>
            <w:vAlign w:val="center"/>
          </w:tcPr>
          <w:p w14:paraId="549BDDF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支持如下功能a）本地的数据备份和还原功能；b）网络的数据备份和还原功能；c）通用服务器操作系统的自动安装功能；d）服务器所配硬件需要的驱动程序和系统补丁</w:t>
            </w:r>
          </w:p>
        </w:tc>
        <w:tc>
          <w:tcPr>
            <w:tcW w:w="1305" w:type="dxa"/>
            <w:shd w:val="clear" w:color="auto" w:fill="FFFFFF"/>
            <w:vAlign w:val="center"/>
          </w:tcPr>
          <w:p w14:paraId="3764BB0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EBC9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54" w:type="dxa"/>
            <w:shd w:val="clear" w:color="auto" w:fill="FFFFFF"/>
            <w:vAlign w:val="center"/>
          </w:tcPr>
          <w:p w14:paraId="00702C2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134</w:t>
            </w:r>
          </w:p>
        </w:tc>
        <w:tc>
          <w:tcPr>
            <w:tcW w:w="981" w:type="dxa"/>
            <w:shd w:val="clear" w:color="auto" w:fill="FFFFFF"/>
            <w:vAlign w:val="center"/>
          </w:tcPr>
          <w:p w14:paraId="5801E9B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4BFD5E27">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6E24F85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★驱动安装升级指引</w:t>
            </w:r>
          </w:p>
        </w:tc>
        <w:tc>
          <w:tcPr>
            <w:tcW w:w="3960" w:type="dxa"/>
            <w:shd w:val="clear" w:color="auto" w:fill="FFFFFF"/>
            <w:vAlign w:val="center"/>
          </w:tcPr>
          <w:p w14:paraId="28DA419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供应商提供出厂安装的配件所需的驱动程序，形式包括但不限于驱动光盘、驱动下载链接等。其他配件应提供指引</w:t>
            </w:r>
          </w:p>
        </w:tc>
        <w:tc>
          <w:tcPr>
            <w:tcW w:w="1305" w:type="dxa"/>
            <w:shd w:val="clear" w:color="auto" w:fill="FFFFFF"/>
            <w:vAlign w:val="center"/>
          </w:tcPr>
          <w:p w14:paraId="1DA794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2EC2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7B8B58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135</w:t>
            </w:r>
          </w:p>
        </w:tc>
        <w:tc>
          <w:tcPr>
            <w:tcW w:w="981" w:type="dxa"/>
            <w:shd w:val="clear" w:color="auto" w:fill="FFFFFF"/>
            <w:vAlign w:val="center"/>
          </w:tcPr>
          <w:p w14:paraId="4B34194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552F7F21">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20FF617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随机附开盖工具</w:t>
            </w:r>
          </w:p>
        </w:tc>
        <w:tc>
          <w:tcPr>
            <w:tcW w:w="3960" w:type="dxa"/>
            <w:shd w:val="clear" w:color="auto" w:fill="FFFFFF"/>
            <w:vAlign w:val="center"/>
          </w:tcPr>
          <w:p w14:paraId="7D5FA2E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随服务器打包提供开机箱工具</w:t>
            </w:r>
          </w:p>
        </w:tc>
        <w:tc>
          <w:tcPr>
            <w:tcW w:w="1305" w:type="dxa"/>
            <w:shd w:val="clear" w:color="auto" w:fill="FFFFFF"/>
            <w:vAlign w:val="center"/>
          </w:tcPr>
          <w:p w14:paraId="359A1F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D1A5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654" w:type="dxa"/>
            <w:shd w:val="clear" w:color="auto" w:fill="FFFFFF"/>
            <w:vAlign w:val="center"/>
          </w:tcPr>
          <w:p w14:paraId="249E419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136</w:t>
            </w:r>
          </w:p>
        </w:tc>
        <w:tc>
          <w:tcPr>
            <w:tcW w:w="981" w:type="dxa"/>
            <w:shd w:val="clear" w:color="auto" w:fill="FFFFFF"/>
            <w:vAlign w:val="center"/>
          </w:tcPr>
          <w:p w14:paraId="3186B5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5E4D688B">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273D8E4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代码迁移工具</w:t>
            </w:r>
          </w:p>
        </w:tc>
        <w:tc>
          <w:tcPr>
            <w:tcW w:w="3960" w:type="dxa"/>
            <w:shd w:val="clear" w:color="auto" w:fill="FFFFFF"/>
            <w:vAlign w:val="center"/>
          </w:tcPr>
          <w:p w14:paraId="73E28A5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从其他CPU架构到当前服务器CPU架构的软件迁移工具产品，支持软件包迁移评估，对满足产品重构要求的软件包，能重构为当前服务器CPU架构的软件包。提供源码迁移功能，检查分析C/C++/Fortran/Go/解释型语言/汇编等源码文件，基于产品功能给出迁移指导</w:t>
            </w:r>
          </w:p>
        </w:tc>
        <w:tc>
          <w:tcPr>
            <w:tcW w:w="1305" w:type="dxa"/>
            <w:shd w:val="clear" w:color="auto" w:fill="FFFFFF"/>
            <w:vAlign w:val="center"/>
          </w:tcPr>
          <w:p w14:paraId="08AE768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F7FD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54" w:type="dxa"/>
            <w:shd w:val="clear" w:color="auto" w:fill="FFFFFF"/>
            <w:vAlign w:val="center"/>
          </w:tcPr>
          <w:p w14:paraId="62DBD2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137</w:t>
            </w:r>
          </w:p>
        </w:tc>
        <w:tc>
          <w:tcPr>
            <w:tcW w:w="981" w:type="dxa"/>
            <w:shd w:val="clear" w:color="auto" w:fill="FFFFFF"/>
            <w:vAlign w:val="center"/>
          </w:tcPr>
          <w:p w14:paraId="21A5F4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139AD3C4">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46E5BCF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性能分析工具</w:t>
            </w:r>
          </w:p>
        </w:tc>
        <w:tc>
          <w:tcPr>
            <w:tcW w:w="3960" w:type="dxa"/>
            <w:shd w:val="clear" w:color="auto" w:fill="FFFFFF"/>
            <w:vAlign w:val="center"/>
          </w:tcPr>
          <w:p w14:paraId="76AEFE0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供应商提供支持当前服务器CPU架构的性能分析工具产品，支持系统性能分析、Java性能分析和系统诊断，可分析系统或应用在CPU、内存、IO、网络等方面的性能，并给出优化建议</w:t>
            </w:r>
          </w:p>
        </w:tc>
        <w:tc>
          <w:tcPr>
            <w:tcW w:w="1305" w:type="dxa"/>
            <w:shd w:val="clear" w:color="auto" w:fill="FFFFFF"/>
            <w:vAlign w:val="center"/>
          </w:tcPr>
          <w:p w14:paraId="02FB51B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752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54" w:type="dxa"/>
            <w:shd w:val="clear" w:color="auto" w:fill="FFFFFF"/>
            <w:vAlign w:val="center"/>
          </w:tcPr>
          <w:p w14:paraId="419758E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138</w:t>
            </w:r>
          </w:p>
        </w:tc>
        <w:tc>
          <w:tcPr>
            <w:tcW w:w="981" w:type="dxa"/>
            <w:shd w:val="clear" w:color="auto" w:fill="FFFFFF"/>
            <w:vAlign w:val="center"/>
          </w:tcPr>
          <w:p w14:paraId="0A2B9A6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572AD2A5">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09A20F5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跨架构平台应用兼容</w:t>
            </w:r>
          </w:p>
        </w:tc>
        <w:tc>
          <w:tcPr>
            <w:tcW w:w="3960" w:type="dxa"/>
            <w:shd w:val="clear" w:color="auto" w:fill="FFFFFF"/>
            <w:vAlign w:val="center"/>
          </w:tcPr>
          <w:p w14:paraId="2727D7A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跨CPU架构平台应用兼容工具，可兼容一种或者一种以上不同架构平台的应用</w:t>
            </w:r>
          </w:p>
        </w:tc>
        <w:tc>
          <w:tcPr>
            <w:tcW w:w="1305" w:type="dxa"/>
            <w:shd w:val="clear" w:color="auto" w:fill="FFFFFF"/>
            <w:vAlign w:val="center"/>
          </w:tcPr>
          <w:p w14:paraId="2E2FE0D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EA4E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54" w:type="dxa"/>
            <w:shd w:val="clear" w:color="auto" w:fill="FFFFFF"/>
            <w:vAlign w:val="center"/>
          </w:tcPr>
          <w:p w14:paraId="677BCA1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139</w:t>
            </w:r>
          </w:p>
        </w:tc>
        <w:tc>
          <w:tcPr>
            <w:tcW w:w="981" w:type="dxa"/>
            <w:shd w:val="clear" w:color="auto" w:fill="FFFFFF"/>
            <w:vAlign w:val="center"/>
          </w:tcPr>
          <w:p w14:paraId="754A8C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245AA5FB">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32E2E16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★管理软件</w:t>
            </w:r>
          </w:p>
        </w:tc>
        <w:tc>
          <w:tcPr>
            <w:tcW w:w="3960" w:type="dxa"/>
            <w:shd w:val="clear" w:color="auto" w:fill="FFFFFF"/>
            <w:vAlign w:val="center"/>
          </w:tcPr>
          <w:p w14:paraId="154FA06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具备资源管理、系统管理、性能监控、健康监控、基于网络控制、报警设置功能</w:t>
            </w:r>
          </w:p>
        </w:tc>
        <w:tc>
          <w:tcPr>
            <w:tcW w:w="1305" w:type="dxa"/>
            <w:shd w:val="clear" w:color="auto" w:fill="FFFFFF"/>
            <w:vAlign w:val="center"/>
          </w:tcPr>
          <w:p w14:paraId="1C6597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ABBC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54" w:type="dxa"/>
            <w:shd w:val="clear" w:color="auto" w:fill="FFFFFF"/>
            <w:vAlign w:val="center"/>
          </w:tcPr>
          <w:p w14:paraId="4316EA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140</w:t>
            </w:r>
          </w:p>
        </w:tc>
        <w:tc>
          <w:tcPr>
            <w:tcW w:w="981" w:type="dxa"/>
            <w:shd w:val="clear" w:color="auto" w:fill="FFFFFF"/>
            <w:vAlign w:val="center"/>
          </w:tcPr>
          <w:p w14:paraId="3A0BC12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restart"/>
            <w:shd w:val="clear" w:color="auto" w:fill="FFFFFF"/>
            <w:vAlign w:val="center"/>
          </w:tcPr>
          <w:p w14:paraId="1BF431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增值服务</w:t>
            </w:r>
          </w:p>
        </w:tc>
        <w:tc>
          <w:tcPr>
            <w:tcW w:w="1548" w:type="dxa"/>
            <w:shd w:val="clear" w:color="auto" w:fill="FFFFFF"/>
            <w:vAlign w:val="center"/>
          </w:tcPr>
          <w:p w14:paraId="15C838A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★厂家升级产品软件与扩容服务</w:t>
            </w:r>
          </w:p>
        </w:tc>
        <w:tc>
          <w:tcPr>
            <w:tcW w:w="3960" w:type="dxa"/>
            <w:shd w:val="clear" w:color="auto" w:fill="FFFFFF"/>
            <w:vAlign w:val="center"/>
          </w:tcPr>
          <w:p w14:paraId="1EE152C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供应商提供原厂级的部件/软件产品升级和扩容能力</w:t>
            </w:r>
          </w:p>
        </w:tc>
        <w:tc>
          <w:tcPr>
            <w:tcW w:w="1305" w:type="dxa"/>
            <w:shd w:val="clear" w:color="auto" w:fill="FFFFFF"/>
            <w:vAlign w:val="center"/>
          </w:tcPr>
          <w:p w14:paraId="6550BD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8102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35007B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141</w:t>
            </w:r>
          </w:p>
        </w:tc>
        <w:tc>
          <w:tcPr>
            <w:tcW w:w="981" w:type="dxa"/>
            <w:shd w:val="clear" w:color="auto" w:fill="FFFFFF"/>
            <w:vAlign w:val="center"/>
          </w:tcPr>
          <w:p w14:paraId="4737600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40AD9B41">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60F0295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服务保障升级</w:t>
            </w:r>
          </w:p>
        </w:tc>
        <w:tc>
          <w:tcPr>
            <w:tcW w:w="3960" w:type="dxa"/>
            <w:shd w:val="clear" w:color="auto" w:fill="FFFFFF"/>
            <w:vAlign w:val="center"/>
          </w:tcPr>
          <w:p w14:paraId="32A78D8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供应商有偿提供远程技术支持、软件授权服务、备件更换服务、现场支撑服务</w:t>
            </w:r>
          </w:p>
        </w:tc>
        <w:tc>
          <w:tcPr>
            <w:tcW w:w="1305" w:type="dxa"/>
            <w:shd w:val="clear" w:color="auto" w:fill="FFFFFF"/>
            <w:vAlign w:val="center"/>
          </w:tcPr>
          <w:p w14:paraId="3FCA1FF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AE56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10A931D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142</w:t>
            </w:r>
          </w:p>
        </w:tc>
        <w:tc>
          <w:tcPr>
            <w:tcW w:w="981" w:type="dxa"/>
            <w:shd w:val="clear" w:color="auto" w:fill="FFFFFF"/>
            <w:vAlign w:val="center"/>
          </w:tcPr>
          <w:p w14:paraId="4A03B86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3AB7EA45">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1A1DBFD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★提供上门服务</w:t>
            </w:r>
          </w:p>
        </w:tc>
        <w:tc>
          <w:tcPr>
            <w:tcW w:w="3960" w:type="dxa"/>
            <w:shd w:val="clear" w:color="auto" w:fill="FFFFFF"/>
            <w:vAlign w:val="center"/>
          </w:tcPr>
          <w:p w14:paraId="3D3C39F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供应商具备提供上门服务的能力</w:t>
            </w:r>
          </w:p>
        </w:tc>
        <w:tc>
          <w:tcPr>
            <w:tcW w:w="1305" w:type="dxa"/>
            <w:shd w:val="clear" w:color="auto" w:fill="FFFFFF"/>
            <w:vAlign w:val="center"/>
          </w:tcPr>
          <w:p w14:paraId="04BA15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5CA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54" w:type="dxa"/>
            <w:shd w:val="clear" w:color="auto" w:fill="FFFFFF"/>
            <w:vAlign w:val="center"/>
          </w:tcPr>
          <w:p w14:paraId="1CDE817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143</w:t>
            </w:r>
          </w:p>
        </w:tc>
        <w:tc>
          <w:tcPr>
            <w:tcW w:w="981" w:type="dxa"/>
            <w:shd w:val="clear" w:color="auto" w:fill="FFFFFF"/>
            <w:vAlign w:val="center"/>
          </w:tcPr>
          <w:p w14:paraId="6B06158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0EFB73F6">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2EAE7B6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业务场景性能优化服务及整体架构升级服务</w:t>
            </w:r>
          </w:p>
        </w:tc>
        <w:tc>
          <w:tcPr>
            <w:tcW w:w="3960" w:type="dxa"/>
            <w:shd w:val="clear" w:color="auto" w:fill="FFFFFF"/>
            <w:vAlign w:val="center"/>
          </w:tcPr>
          <w:p w14:paraId="536E92A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供应商提供针对特定业务场景性能优化服务及整体架构升级服务</w:t>
            </w:r>
          </w:p>
        </w:tc>
        <w:tc>
          <w:tcPr>
            <w:tcW w:w="1305" w:type="dxa"/>
            <w:shd w:val="clear" w:color="auto" w:fill="FFFFFF"/>
            <w:vAlign w:val="center"/>
          </w:tcPr>
          <w:p w14:paraId="0D3E164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B3E6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54" w:type="dxa"/>
            <w:shd w:val="clear" w:color="auto" w:fill="FFFFFF"/>
            <w:vAlign w:val="center"/>
          </w:tcPr>
          <w:p w14:paraId="676B9CA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144</w:t>
            </w:r>
          </w:p>
        </w:tc>
        <w:tc>
          <w:tcPr>
            <w:tcW w:w="981" w:type="dxa"/>
            <w:shd w:val="clear" w:color="auto" w:fill="FFFFFF"/>
            <w:vAlign w:val="center"/>
          </w:tcPr>
          <w:p w14:paraId="255F8AB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供保要求</w:t>
            </w:r>
          </w:p>
        </w:tc>
        <w:tc>
          <w:tcPr>
            <w:tcW w:w="981" w:type="dxa"/>
            <w:vMerge w:val="restart"/>
            <w:shd w:val="clear" w:color="auto" w:fill="FFFFFF"/>
            <w:vAlign w:val="center"/>
          </w:tcPr>
          <w:p w14:paraId="23B186A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供应链质量</w:t>
            </w:r>
          </w:p>
        </w:tc>
        <w:tc>
          <w:tcPr>
            <w:tcW w:w="1548" w:type="dxa"/>
            <w:shd w:val="clear" w:color="auto" w:fill="FFFFFF"/>
            <w:vAlign w:val="center"/>
          </w:tcPr>
          <w:p w14:paraId="131DD16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★抗干扰性</w:t>
            </w:r>
          </w:p>
        </w:tc>
        <w:tc>
          <w:tcPr>
            <w:tcW w:w="3960" w:type="dxa"/>
            <w:shd w:val="clear" w:color="auto" w:fill="FFFFFF"/>
            <w:vAlign w:val="center"/>
          </w:tcPr>
          <w:p w14:paraId="49AC507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当产品部件出现供应风险时，应通知客户并提供风险应对方案确保产品的服务保障，必要时应停止相关受影响产品的销售</w:t>
            </w:r>
          </w:p>
        </w:tc>
        <w:tc>
          <w:tcPr>
            <w:tcW w:w="1305" w:type="dxa"/>
            <w:shd w:val="clear" w:color="auto" w:fill="FFFFFF"/>
            <w:vAlign w:val="center"/>
          </w:tcPr>
          <w:p w14:paraId="7D52116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701A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792FFA3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145</w:t>
            </w:r>
          </w:p>
        </w:tc>
        <w:tc>
          <w:tcPr>
            <w:tcW w:w="981" w:type="dxa"/>
            <w:shd w:val="clear" w:color="auto" w:fill="FFFFFF"/>
            <w:vAlign w:val="center"/>
          </w:tcPr>
          <w:p w14:paraId="44738C6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供保要求</w:t>
            </w:r>
          </w:p>
        </w:tc>
        <w:tc>
          <w:tcPr>
            <w:tcW w:w="981" w:type="dxa"/>
            <w:vMerge w:val="continue"/>
            <w:shd w:val="clear" w:color="auto" w:fill="FFFFFF"/>
            <w:vAlign w:val="center"/>
          </w:tcPr>
          <w:p w14:paraId="6634CF41">
            <w:pPr>
              <w:widowControl/>
              <w:jc w:val="left"/>
              <w:rPr>
                <w:rFonts w:asciiTheme="minorEastAsia" w:hAnsiTheme="minorEastAsia" w:eastAsiaTheme="minorEastAsia" w:cstheme="minorEastAsia"/>
                <w:kern w:val="0"/>
                <w:sz w:val="24"/>
              </w:rPr>
            </w:pPr>
          </w:p>
        </w:tc>
        <w:tc>
          <w:tcPr>
            <w:tcW w:w="1548" w:type="dxa"/>
            <w:shd w:val="clear" w:color="auto" w:fill="FFFFFF"/>
            <w:vAlign w:val="center"/>
          </w:tcPr>
          <w:p w14:paraId="680ED5B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★供应能力证明</w:t>
            </w:r>
          </w:p>
        </w:tc>
        <w:tc>
          <w:tcPr>
            <w:tcW w:w="3960" w:type="dxa"/>
            <w:shd w:val="clear" w:color="auto" w:fill="FFFFFF"/>
            <w:vAlign w:val="center"/>
          </w:tcPr>
          <w:p w14:paraId="44DB7E6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b/>
                <w:bCs/>
                <w:kern w:val="0"/>
                <w:sz w:val="24"/>
              </w:rPr>
              <w:t>供应商提供供应链稳定承诺书，确保产品的部件在产品服务周期内稳定供货（需提供加盖投标人公章的承诺书，否则作无效投标处理）</w:t>
            </w:r>
          </w:p>
        </w:tc>
        <w:tc>
          <w:tcPr>
            <w:tcW w:w="1305" w:type="dxa"/>
            <w:shd w:val="clear" w:color="auto" w:fill="FFFFFF"/>
            <w:vAlign w:val="center"/>
          </w:tcPr>
          <w:p w14:paraId="45C117D3">
            <w:pPr>
              <w:widowControl/>
              <w:jc w:val="center"/>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kern w:val="0"/>
                <w:sz w:val="24"/>
              </w:rPr>
              <w:t>是</w:t>
            </w:r>
          </w:p>
        </w:tc>
      </w:tr>
      <w:tr w14:paraId="5E492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1610AB5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146</w:t>
            </w:r>
          </w:p>
        </w:tc>
        <w:tc>
          <w:tcPr>
            <w:tcW w:w="981" w:type="dxa"/>
            <w:shd w:val="clear" w:color="auto" w:fill="FFFFFF"/>
            <w:vAlign w:val="center"/>
          </w:tcPr>
          <w:p w14:paraId="438832C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vAlign w:val="center"/>
          </w:tcPr>
          <w:p w14:paraId="2D5F35A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中央处理器</w:t>
            </w:r>
          </w:p>
        </w:tc>
        <w:tc>
          <w:tcPr>
            <w:tcW w:w="1548" w:type="dxa"/>
            <w:shd w:val="clear" w:color="auto" w:fill="FFFFFF"/>
            <w:vAlign w:val="center"/>
          </w:tcPr>
          <w:p w14:paraId="7ED490D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加解密功能</w:t>
            </w:r>
          </w:p>
        </w:tc>
        <w:tc>
          <w:tcPr>
            <w:tcW w:w="3960" w:type="dxa"/>
            <w:shd w:val="clear" w:color="auto" w:fill="FFFFFF"/>
            <w:vAlign w:val="center"/>
          </w:tcPr>
          <w:p w14:paraId="580EA4C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 xml:space="preserve">投标产品所配备的CPU（中央处理器）支持TEE可信执行环境，实现虚拟机在内存读写时的自动加解密功能。 </w:t>
            </w:r>
          </w:p>
        </w:tc>
        <w:tc>
          <w:tcPr>
            <w:tcW w:w="1305" w:type="dxa"/>
            <w:shd w:val="clear" w:color="auto" w:fill="FFFFFF"/>
            <w:vAlign w:val="center"/>
          </w:tcPr>
          <w:p w14:paraId="1AC211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CBCF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000B37A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147</w:t>
            </w:r>
          </w:p>
        </w:tc>
        <w:tc>
          <w:tcPr>
            <w:tcW w:w="981" w:type="dxa"/>
            <w:shd w:val="clear" w:color="auto" w:fill="FFFFFF"/>
            <w:vAlign w:val="center"/>
          </w:tcPr>
          <w:p w14:paraId="12DDF09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vAlign w:val="center"/>
          </w:tcPr>
          <w:p w14:paraId="2EDA146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中央处理器</w:t>
            </w:r>
          </w:p>
        </w:tc>
        <w:tc>
          <w:tcPr>
            <w:tcW w:w="1548" w:type="dxa"/>
            <w:shd w:val="clear" w:color="auto" w:fill="FFFFFF"/>
            <w:vAlign w:val="center"/>
          </w:tcPr>
          <w:p w14:paraId="3DF0D3E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超线程技术</w:t>
            </w:r>
          </w:p>
        </w:tc>
        <w:tc>
          <w:tcPr>
            <w:tcW w:w="3960" w:type="dxa"/>
            <w:shd w:val="clear" w:color="auto" w:fill="FFFFFF"/>
            <w:vAlign w:val="center"/>
          </w:tcPr>
          <w:p w14:paraId="4F0A38C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产品所配备的CPU（中央处理器）需支持且配置超线程技术；</w:t>
            </w:r>
          </w:p>
        </w:tc>
        <w:tc>
          <w:tcPr>
            <w:tcW w:w="1305" w:type="dxa"/>
            <w:shd w:val="clear" w:color="auto" w:fill="FFFFFF"/>
            <w:vAlign w:val="center"/>
          </w:tcPr>
          <w:p w14:paraId="73D85D8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E022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54" w:type="dxa"/>
            <w:shd w:val="clear" w:color="auto" w:fill="FFFFFF"/>
            <w:vAlign w:val="center"/>
          </w:tcPr>
          <w:p w14:paraId="6F7AC54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148</w:t>
            </w:r>
          </w:p>
        </w:tc>
        <w:tc>
          <w:tcPr>
            <w:tcW w:w="981" w:type="dxa"/>
            <w:shd w:val="clear" w:color="auto" w:fill="FFFFFF"/>
            <w:noWrap/>
            <w:vAlign w:val="center"/>
          </w:tcPr>
          <w:p w14:paraId="53171DE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7D408D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48" w:type="dxa"/>
            <w:shd w:val="clear" w:color="auto" w:fill="FFFFFF"/>
            <w:vAlign w:val="center"/>
          </w:tcPr>
          <w:p w14:paraId="1D51E34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★授权</w:t>
            </w:r>
          </w:p>
        </w:tc>
        <w:tc>
          <w:tcPr>
            <w:tcW w:w="3960" w:type="dxa"/>
            <w:shd w:val="clear" w:color="auto" w:fill="FFFFFF"/>
            <w:vAlign w:val="center"/>
          </w:tcPr>
          <w:p w14:paraId="2F38121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配置软件授权（包含≥2颗物理CPU或≥1台物理服务器授权），具备计算虚拟化、存储虚拟化、网络虚拟化功能；</w:t>
            </w:r>
          </w:p>
        </w:tc>
        <w:tc>
          <w:tcPr>
            <w:tcW w:w="1305" w:type="dxa"/>
            <w:shd w:val="clear" w:color="auto" w:fill="FFFFFF"/>
            <w:vAlign w:val="center"/>
          </w:tcPr>
          <w:p w14:paraId="12D3557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0EDC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54" w:type="dxa"/>
            <w:shd w:val="clear" w:color="auto" w:fill="FFFFFF"/>
            <w:vAlign w:val="center"/>
          </w:tcPr>
          <w:p w14:paraId="77FA9CA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149</w:t>
            </w:r>
          </w:p>
        </w:tc>
        <w:tc>
          <w:tcPr>
            <w:tcW w:w="981" w:type="dxa"/>
            <w:shd w:val="clear" w:color="auto" w:fill="FFFFFF"/>
            <w:noWrap/>
            <w:vAlign w:val="center"/>
          </w:tcPr>
          <w:p w14:paraId="7097D98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5443795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48" w:type="dxa"/>
            <w:shd w:val="clear" w:color="auto" w:fill="FFFFFF"/>
            <w:noWrap/>
            <w:vAlign w:val="center"/>
          </w:tcPr>
          <w:p w14:paraId="46B5B9F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60" w:type="dxa"/>
            <w:shd w:val="clear" w:color="auto" w:fill="FFFFFF"/>
            <w:vAlign w:val="center"/>
          </w:tcPr>
          <w:p w14:paraId="7F4AD93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软件的代码自主率大于99%（按行数和文件数统计均不低于99%），同时为保证检测产品的代码完整性，要求代码检测量在100万以上；</w:t>
            </w:r>
          </w:p>
        </w:tc>
        <w:tc>
          <w:tcPr>
            <w:tcW w:w="1305" w:type="dxa"/>
            <w:shd w:val="clear" w:color="auto" w:fill="FFFFFF"/>
            <w:vAlign w:val="center"/>
          </w:tcPr>
          <w:p w14:paraId="5C03604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E5C8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54" w:type="dxa"/>
            <w:shd w:val="clear" w:color="auto" w:fill="FFFFFF"/>
            <w:vAlign w:val="center"/>
          </w:tcPr>
          <w:p w14:paraId="463ED9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150</w:t>
            </w:r>
          </w:p>
        </w:tc>
        <w:tc>
          <w:tcPr>
            <w:tcW w:w="981" w:type="dxa"/>
            <w:shd w:val="clear" w:color="auto" w:fill="FFFFFF"/>
            <w:noWrap/>
            <w:vAlign w:val="center"/>
          </w:tcPr>
          <w:p w14:paraId="28B617B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192102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48" w:type="dxa"/>
            <w:shd w:val="clear" w:color="auto" w:fill="FFFFFF"/>
            <w:noWrap/>
            <w:vAlign w:val="center"/>
          </w:tcPr>
          <w:p w14:paraId="470D804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60" w:type="dxa"/>
            <w:shd w:val="clear" w:color="auto" w:fill="FFFFFF"/>
            <w:vAlign w:val="center"/>
          </w:tcPr>
          <w:p w14:paraId="4CA7D31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为提升平台虚拟机的部署密度，有效降低硬件部署成本，超融合平台应支持对集群主机内存的分层设置，基于冷热分层实现内存超分，最大超分比≥10倍；虚拟机可按需一键开启或关闭内存超分；</w:t>
            </w:r>
          </w:p>
        </w:tc>
        <w:tc>
          <w:tcPr>
            <w:tcW w:w="1305" w:type="dxa"/>
            <w:shd w:val="clear" w:color="auto" w:fill="FFFFFF"/>
            <w:vAlign w:val="center"/>
          </w:tcPr>
          <w:p w14:paraId="5CFC0AA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BF5D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54" w:type="dxa"/>
            <w:shd w:val="clear" w:color="auto" w:fill="FFFFFF"/>
            <w:vAlign w:val="center"/>
          </w:tcPr>
          <w:p w14:paraId="5F6E4C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151</w:t>
            </w:r>
          </w:p>
        </w:tc>
        <w:tc>
          <w:tcPr>
            <w:tcW w:w="981" w:type="dxa"/>
            <w:shd w:val="clear" w:color="auto" w:fill="FFFFFF"/>
            <w:noWrap/>
            <w:vAlign w:val="center"/>
          </w:tcPr>
          <w:p w14:paraId="6231042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6747DFE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48" w:type="dxa"/>
            <w:shd w:val="clear" w:color="auto" w:fill="FFFFFF"/>
            <w:noWrap/>
            <w:vAlign w:val="center"/>
          </w:tcPr>
          <w:p w14:paraId="30BE7A7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60" w:type="dxa"/>
            <w:shd w:val="clear" w:color="auto" w:fill="FFFFFF"/>
            <w:vAlign w:val="center"/>
          </w:tcPr>
          <w:p w14:paraId="652D2F3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支持物理机的全部功能。如：具有自己的资源（CPU，内存，网卡，存储、软驱、光驱、显卡等），可以指定单独的IP地址、MAC地址等；</w:t>
            </w:r>
          </w:p>
        </w:tc>
        <w:tc>
          <w:tcPr>
            <w:tcW w:w="1305" w:type="dxa"/>
            <w:shd w:val="clear" w:color="auto" w:fill="FFFFFF"/>
            <w:vAlign w:val="center"/>
          </w:tcPr>
          <w:p w14:paraId="0FC5340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3161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54" w:type="dxa"/>
            <w:shd w:val="clear" w:color="auto" w:fill="FFFFFF"/>
            <w:vAlign w:val="center"/>
          </w:tcPr>
          <w:p w14:paraId="2CE7778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152</w:t>
            </w:r>
          </w:p>
        </w:tc>
        <w:tc>
          <w:tcPr>
            <w:tcW w:w="981" w:type="dxa"/>
            <w:shd w:val="clear" w:color="auto" w:fill="FFFFFF"/>
            <w:noWrap/>
            <w:vAlign w:val="center"/>
          </w:tcPr>
          <w:p w14:paraId="72E06D9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06ACAFD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48" w:type="dxa"/>
            <w:shd w:val="clear" w:color="auto" w:fill="FFFFFF"/>
            <w:noWrap/>
            <w:vAlign w:val="center"/>
          </w:tcPr>
          <w:p w14:paraId="017905E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60" w:type="dxa"/>
            <w:shd w:val="clear" w:color="auto" w:fill="FFFFFF"/>
            <w:vAlign w:val="center"/>
          </w:tcPr>
          <w:p w14:paraId="4B8C8CF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提供B/S和C/S两种虚拟机控制台使用方式，C/S客户端无任何授权限制，支持本地文件托拉拽到虚拟机内部且支持和本地共享粘贴板；</w:t>
            </w:r>
          </w:p>
        </w:tc>
        <w:tc>
          <w:tcPr>
            <w:tcW w:w="1305" w:type="dxa"/>
            <w:shd w:val="clear" w:color="auto" w:fill="FFFFFF"/>
            <w:vAlign w:val="center"/>
          </w:tcPr>
          <w:p w14:paraId="0D78AB2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AAA4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654" w:type="dxa"/>
            <w:shd w:val="clear" w:color="auto" w:fill="FFFFFF"/>
            <w:vAlign w:val="center"/>
          </w:tcPr>
          <w:p w14:paraId="03F63E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153</w:t>
            </w:r>
          </w:p>
        </w:tc>
        <w:tc>
          <w:tcPr>
            <w:tcW w:w="981" w:type="dxa"/>
            <w:shd w:val="clear" w:color="auto" w:fill="FFFFFF"/>
            <w:noWrap/>
            <w:vAlign w:val="center"/>
          </w:tcPr>
          <w:p w14:paraId="4EC8555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774E90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48" w:type="dxa"/>
            <w:shd w:val="clear" w:color="auto" w:fill="FFFFFF"/>
            <w:noWrap/>
            <w:vAlign w:val="center"/>
          </w:tcPr>
          <w:p w14:paraId="3C15099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60" w:type="dxa"/>
            <w:shd w:val="clear" w:color="auto" w:fill="FFFFFF"/>
            <w:vAlign w:val="center"/>
          </w:tcPr>
          <w:p w14:paraId="78390A2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虚拟机和裸金属服务器统一管理，支持对裸金属服务器远程电源管理、挂载安装ISO镜像等操作，可将虚拟机镜像部署为裸金属服务器操作系统，可查看裸金属服务器电源状态、CPU、内存、硬盘等硬件信息，支持打开裸金属服务器控制台进行运维操作；</w:t>
            </w:r>
          </w:p>
        </w:tc>
        <w:tc>
          <w:tcPr>
            <w:tcW w:w="1305" w:type="dxa"/>
            <w:shd w:val="clear" w:color="auto" w:fill="FFFFFF"/>
            <w:vAlign w:val="center"/>
          </w:tcPr>
          <w:p w14:paraId="481917A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6DB2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54" w:type="dxa"/>
            <w:shd w:val="clear" w:color="auto" w:fill="FFFFFF"/>
            <w:vAlign w:val="center"/>
          </w:tcPr>
          <w:p w14:paraId="1241D4F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154</w:t>
            </w:r>
          </w:p>
        </w:tc>
        <w:tc>
          <w:tcPr>
            <w:tcW w:w="981" w:type="dxa"/>
            <w:shd w:val="clear" w:color="auto" w:fill="FFFFFF"/>
            <w:noWrap/>
            <w:vAlign w:val="center"/>
          </w:tcPr>
          <w:p w14:paraId="1BC5860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15DB6ED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48" w:type="dxa"/>
            <w:shd w:val="clear" w:color="auto" w:fill="FFFFFF"/>
            <w:noWrap/>
            <w:vAlign w:val="center"/>
          </w:tcPr>
          <w:p w14:paraId="4A51B60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60" w:type="dxa"/>
            <w:shd w:val="clear" w:color="auto" w:fill="FFFFFF"/>
            <w:vAlign w:val="center"/>
          </w:tcPr>
          <w:p w14:paraId="2FE67F4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支持在线跨云迁移功能，在管理界面内将其它站点虚拟机不中断的迁移到超融合平台内，跨云迁移的站点包括但不限于vSphere、投标品牌虚拟化平台等，迁移过程无需手动关机和重启操作；</w:t>
            </w:r>
          </w:p>
        </w:tc>
        <w:tc>
          <w:tcPr>
            <w:tcW w:w="1305" w:type="dxa"/>
            <w:shd w:val="clear" w:color="auto" w:fill="FFFFFF"/>
            <w:vAlign w:val="center"/>
          </w:tcPr>
          <w:p w14:paraId="5EA3A8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8DCD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080" w:hRule="atLeast"/>
        </w:trPr>
        <w:tc>
          <w:tcPr>
            <w:tcW w:w="654" w:type="dxa"/>
            <w:shd w:val="clear" w:color="auto" w:fill="FFFFFF"/>
            <w:vAlign w:val="center"/>
          </w:tcPr>
          <w:p w14:paraId="24827FF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155</w:t>
            </w:r>
          </w:p>
        </w:tc>
        <w:tc>
          <w:tcPr>
            <w:tcW w:w="981" w:type="dxa"/>
            <w:shd w:val="clear" w:color="auto" w:fill="FFFFFF"/>
            <w:noWrap/>
            <w:vAlign w:val="center"/>
          </w:tcPr>
          <w:p w14:paraId="32029B9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533AE1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48" w:type="dxa"/>
            <w:shd w:val="clear" w:color="auto" w:fill="FFFFFF"/>
            <w:noWrap/>
            <w:vAlign w:val="center"/>
          </w:tcPr>
          <w:p w14:paraId="4005D3F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60" w:type="dxa"/>
            <w:shd w:val="clear" w:color="auto" w:fill="FFFFFF"/>
            <w:vAlign w:val="center"/>
          </w:tcPr>
          <w:p w14:paraId="4E0F541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提供云边协同管理功能，支持中心站点分发应用至各个边缘站点，可一键将中心站点已部署配置完毕的应用虚拟机迁移至各边缘站点，支持基于GIS技术的全局站点展示视图，实时查看各站点资源状态；</w:t>
            </w:r>
          </w:p>
        </w:tc>
        <w:tc>
          <w:tcPr>
            <w:tcW w:w="1305" w:type="dxa"/>
            <w:shd w:val="clear" w:color="auto" w:fill="FFFFFF"/>
            <w:vAlign w:val="center"/>
          </w:tcPr>
          <w:p w14:paraId="49857B6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0A38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54" w:type="dxa"/>
            <w:shd w:val="clear" w:color="auto" w:fill="FFFFFF"/>
            <w:vAlign w:val="center"/>
          </w:tcPr>
          <w:p w14:paraId="605E9C8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156</w:t>
            </w:r>
          </w:p>
        </w:tc>
        <w:tc>
          <w:tcPr>
            <w:tcW w:w="981" w:type="dxa"/>
            <w:shd w:val="clear" w:color="auto" w:fill="FFFFFF"/>
            <w:noWrap/>
            <w:vAlign w:val="center"/>
          </w:tcPr>
          <w:p w14:paraId="2E8FC82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31B622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48" w:type="dxa"/>
            <w:shd w:val="clear" w:color="auto" w:fill="FFFFFF"/>
            <w:noWrap/>
            <w:vAlign w:val="center"/>
          </w:tcPr>
          <w:p w14:paraId="7DF3FA4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60" w:type="dxa"/>
            <w:shd w:val="clear" w:color="auto" w:fill="FFFFFF"/>
            <w:vAlign w:val="center"/>
          </w:tcPr>
          <w:p w14:paraId="1C0F97E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提供无授权限制的备份功能，支持虚拟机CBT模式备份，支持周期性备份和批量备份功能，备份策略可细化到分钟级，支持恢复过程中对虚拟机进行配置；</w:t>
            </w:r>
          </w:p>
        </w:tc>
        <w:tc>
          <w:tcPr>
            <w:tcW w:w="1305" w:type="dxa"/>
            <w:shd w:val="clear" w:color="auto" w:fill="FFFFFF"/>
            <w:vAlign w:val="center"/>
          </w:tcPr>
          <w:p w14:paraId="28A8BA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A18A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54" w:type="dxa"/>
            <w:shd w:val="clear" w:color="auto" w:fill="FFFFFF"/>
            <w:vAlign w:val="center"/>
          </w:tcPr>
          <w:p w14:paraId="341D91D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157</w:t>
            </w:r>
          </w:p>
        </w:tc>
        <w:tc>
          <w:tcPr>
            <w:tcW w:w="981" w:type="dxa"/>
            <w:shd w:val="clear" w:color="auto" w:fill="FFFFFF"/>
            <w:noWrap/>
            <w:vAlign w:val="center"/>
          </w:tcPr>
          <w:p w14:paraId="581C550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485EB6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48" w:type="dxa"/>
            <w:shd w:val="clear" w:color="auto" w:fill="FFFFFF"/>
            <w:noWrap/>
            <w:vAlign w:val="center"/>
          </w:tcPr>
          <w:p w14:paraId="67AF9F2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60" w:type="dxa"/>
            <w:shd w:val="clear" w:color="auto" w:fill="FFFFFF"/>
            <w:vAlign w:val="center"/>
          </w:tcPr>
          <w:p w14:paraId="379B9DE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常见的虚拟资源和物理资源报警，包括但不限于CPU、内存、网卡和硬盘等资源；平台支持不同类型的报警级别，不同级别的报警需要发出对应级别的报警消息；支持邮件、短信、微信、钉钉、Teams及webhook等工具接收告警消息；</w:t>
            </w:r>
          </w:p>
        </w:tc>
        <w:tc>
          <w:tcPr>
            <w:tcW w:w="1305" w:type="dxa"/>
            <w:shd w:val="clear" w:color="auto" w:fill="FFFFFF"/>
            <w:vAlign w:val="center"/>
          </w:tcPr>
          <w:p w14:paraId="4D33DC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DAF4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54" w:type="dxa"/>
            <w:shd w:val="clear" w:color="auto" w:fill="FFFFFF"/>
            <w:vAlign w:val="center"/>
          </w:tcPr>
          <w:p w14:paraId="542051C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158</w:t>
            </w:r>
          </w:p>
        </w:tc>
        <w:tc>
          <w:tcPr>
            <w:tcW w:w="981" w:type="dxa"/>
            <w:shd w:val="clear" w:color="auto" w:fill="FFFFFF"/>
            <w:noWrap/>
            <w:vAlign w:val="center"/>
          </w:tcPr>
          <w:p w14:paraId="16F5884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5A91DAF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48" w:type="dxa"/>
            <w:shd w:val="clear" w:color="auto" w:fill="FFFFFF"/>
            <w:noWrap/>
            <w:vAlign w:val="center"/>
          </w:tcPr>
          <w:p w14:paraId="194F208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3960" w:type="dxa"/>
            <w:shd w:val="clear" w:color="auto" w:fill="FFFFFF"/>
            <w:vAlign w:val="center"/>
          </w:tcPr>
          <w:p w14:paraId="46BDFC3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支持虚拟机启动、重置密码、暂停、恢复、重启、关闭、快速克隆、迁移、备份、模板导入导出、快照等功能，支持嵌套虚拟化；</w:t>
            </w:r>
          </w:p>
        </w:tc>
        <w:tc>
          <w:tcPr>
            <w:tcW w:w="1305" w:type="dxa"/>
            <w:shd w:val="clear" w:color="auto" w:fill="FFFFFF"/>
            <w:vAlign w:val="center"/>
          </w:tcPr>
          <w:p w14:paraId="37068D1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7BB0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54" w:type="dxa"/>
            <w:shd w:val="clear" w:color="auto" w:fill="FFFFFF"/>
            <w:vAlign w:val="center"/>
          </w:tcPr>
          <w:p w14:paraId="67FF5A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159</w:t>
            </w:r>
          </w:p>
        </w:tc>
        <w:tc>
          <w:tcPr>
            <w:tcW w:w="981" w:type="dxa"/>
            <w:shd w:val="clear" w:color="auto" w:fill="FFFFFF"/>
            <w:noWrap/>
            <w:vAlign w:val="center"/>
          </w:tcPr>
          <w:p w14:paraId="0D1A56E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78E99BE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48" w:type="dxa"/>
            <w:shd w:val="clear" w:color="auto" w:fill="FFFFFF"/>
            <w:noWrap/>
            <w:vAlign w:val="center"/>
          </w:tcPr>
          <w:p w14:paraId="5EA2725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3960" w:type="dxa"/>
            <w:shd w:val="clear" w:color="auto" w:fill="FFFFFF"/>
            <w:vAlign w:val="center"/>
          </w:tcPr>
          <w:p w14:paraId="44613EB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支持虚拟机故障HA功能，可配置HA接入控制策略，HA最大尝试次数，且支持HA故障切换主机设置，达到故障隔离的效果，并支持配置虚拟机自启动策略和启动优先级；</w:t>
            </w:r>
          </w:p>
        </w:tc>
        <w:tc>
          <w:tcPr>
            <w:tcW w:w="1305" w:type="dxa"/>
            <w:shd w:val="clear" w:color="auto" w:fill="FFFFFF"/>
            <w:vAlign w:val="center"/>
          </w:tcPr>
          <w:p w14:paraId="14B4C48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3EEB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54" w:type="dxa"/>
            <w:shd w:val="clear" w:color="auto" w:fill="FFFFFF"/>
            <w:vAlign w:val="center"/>
          </w:tcPr>
          <w:p w14:paraId="4BB749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160</w:t>
            </w:r>
          </w:p>
        </w:tc>
        <w:tc>
          <w:tcPr>
            <w:tcW w:w="981" w:type="dxa"/>
            <w:shd w:val="clear" w:color="auto" w:fill="FFFFFF"/>
            <w:noWrap/>
            <w:vAlign w:val="center"/>
          </w:tcPr>
          <w:p w14:paraId="6873A77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73B43E1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48" w:type="dxa"/>
            <w:shd w:val="clear" w:color="auto" w:fill="FFFFFF"/>
            <w:noWrap/>
            <w:vAlign w:val="center"/>
          </w:tcPr>
          <w:p w14:paraId="5EC1E98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3960" w:type="dxa"/>
            <w:shd w:val="clear" w:color="auto" w:fill="FFFFFF"/>
            <w:vAlign w:val="center"/>
          </w:tcPr>
          <w:p w14:paraId="0D01FFE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 xml:space="preserve">虚拟机支持添加串口、双显卡、USB、看门狗、FPGA、自定义PCI等设备以适配丰富的应用需求，虚拟机添加串口设备支持以telnet、网络客户端、网络服务端等模式登录并支持指定telnet端口号； </w:t>
            </w:r>
          </w:p>
        </w:tc>
        <w:tc>
          <w:tcPr>
            <w:tcW w:w="1305" w:type="dxa"/>
            <w:shd w:val="clear" w:color="auto" w:fill="FFFFFF"/>
            <w:vAlign w:val="center"/>
          </w:tcPr>
          <w:p w14:paraId="78CC0FF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F99F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54" w:type="dxa"/>
            <w:shd w:val="clear" w:color="auto" w:fill="FFFFFF"/>
            <w:vAlign w:val="center"/>
          </w:tcPr>
          <w:p w14:paraId="501F514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161</w:t>
            </w:r>
          </w:p>
        </w:tc>
        <w:tc>
          <w:tcPr>
            <w:tcW w:w="981" w:type="dxa"/>
            <w:shd w:val="clear" w:color="auto" w:fill="FFFFFF"/>
            <w:noWrap/>
            <w:vAlign w:val="center"/>
          </w:tcPr>
          <w:p w14:paraId="4DF9750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083E5B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48" w:type="dxa"/>
            <w:shd w:val="clear" w:color="auto" w:fill="FFFFFF"/>
            <w:noWrap/>
            <w:vAlign w:val="center"/>
          </w:tcPr>
          <w:p w14:paraId="51CD42E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3960" w:type="dxa"/>
            <w:shd w:val="clear" w:color="auto" w:fill="FFFFFF"/>
            <w:vAlign w:val="center"/>
          </w:tcPr>
          <w:p w14:paraId="316A4C8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支持精细化的虚拟机迁移控制，可配置虚拟机迁移速度和虚拟机迁移带宽百分比，通过设置虚拟机迁移带宽百分比可调整虚拟机迁移时所占用的管理网带宽，保障用户业务正常运行；</w:t>
            </w:r>
          </w:p>
        </w:tc>
        <w:tc>
          <w:tcPr>
            <w:tcW w:w="1305" w:type="dxa"/>
            <w:shd w:val="clear" w:color="auto" w:fill="FFFFFF"/>
            <w:vAlign w:val="center"/>
          </w:tcPr>
          <w:p w14:paraId="06AD565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4794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54" w:type="dxa"/>
            <w:shd w:val="clear" w:color="auto" w:fill="FFFFFF"/>
            <w:vAlign w:val="center"/>
          </w:tcPr>
          <w:p w14:paraId="4795A8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162</w:t>
            </w:r>
          </w:p>
        </w:tc>
        <w:tc>
          <w:tcPr>
            <w:tcW w:w="981" w:type="dxa"/>
            <w:shd w:val="clear" w:color="auto" w:fill="FFFFFF"/>
            <w:noWrap/>
            <w:vAlign w:val="center"/>
          </w:tcPr>
          <w:p w14:paraId="6955BB0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74A75BC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48" w:type="dxa"/>
            <w:shd w:val="clear" w:color="auto" w:fill="FFFFFF"/>
            <w:noWrap/>
            <w:vAlign w:val="center"/>
          </w:tcPr>
          <w:p w14:paraId="5511436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3960" w:type="dxa"/>
            <w:shd w:val="clear" w:color="auto" w:fill="FFFFFF"/>
            <w:vAlign w:val="center"/>
          </w:tcPr>
          <w:p w14:paraId="795CA2A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支持vAPP功能，可配置若干台虚拟机组成的应用组，可设置虚拟机启动顺序和启动间隔时间，可批量修改虚拟机组的参数；</w:t>
            </w:r>
          </w:p>
        </w:tc>
        <w:tc>
          <w:tcPr>
            <w:tcW w:w="1305" w:type="dxa"/>
            <w:shd w:val="clear" w:color="auto" w:fill="FFFFFF"/>
            <w:vAlign w:val="center"/>
          </w:tcPr>
          <w:p w14:paraId="1913D0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3BD3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654" w:type="dxa"/>
            <w:shd w:val="clear" w:color="auto" w:fill="FFFFFF"/>
            <w:vAlign w:val="center"/>
          </w:tcPr>
          <w:p w14:paraId="5AEF0FF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163</w:t>
            </w:r>
          </w:p>
        </w:tc>
        <w:tc>
          <w:tcPr>
            <w:tcW w:w="981" w:type="dxa"/>
            <w:shd w:val="clear" w:color="auto" w:fill="FFFFFF"/>
            <w:noWrap/>
            <w:vAlign w:val="center"/>
          </w:tcPr>
          <w:p w14:paraId="0476AB0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212A2D3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48" w:type="dxa"/>
            <w:shd w:val="clear" w:color="auto" w:fill="FFFFFF"/>
            <w:noWrap/>
            <w:vAlign w:val="center"/>
          </w:tcPr>
          <w:p w14:paraId="79CF32D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3960" w:type="dxa"/>
            <w:shd w:val="clear" w:color="auto" w:fill="FFFFFF"/>
            <w:vAlign w:val="center"/>
          </w:tcPr>
          <w:p w14:paraId="0E4AE4B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支持一键开启和关闭数据中心内、集群内的所有虚拟机，并设置虚拟机跟随主机启动策略以及虚拟机启动优先级策略，方便机房搬迁或关电运维场景使用；</w:t>
            </w:r>
          </w:p>
        </w:tc>
        <w:tc>
          <w:tcPr>
            <w:tcW w:w="1305" w:type="dxa"/>
            <w:shd w:val="clear" w:color="auto" w:fill="FFFFFF"/>
            <w:vAlign w:val="center"/>
          </w:tcPr>
          <w:p w14:paraId="701679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DC78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54" w:type="dxa"/>
            <w:shd w:val="clear" w:color="auto" w:fill="FFFFFF"/>
            <w:vAlign w:val="center"/>
          </w:tcPr>
          <w:p w14:paraId="54A2188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164</w:t>
            </w:r>
          </w:p>
        </w:tc>
        <w:tc>
          <w:tcPr>
            <w:tcW w:w="981" w:type="dxa"/>
            <w:shd w:val="clear" w:color="auto" w:fill="FFFFFF"/>
            <w:noWrap/>
            <w:vAlign w:val="center"/>
          </w:tcPr>
          <w:p w14:paraId="4916E5A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1AE0B1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48" w:type="dxa"/>
            <w:shd w:val="clear" w:color="auto" w:fill="FFFFFF"/>
            <w:noWrap/>
            <w:vAlign w:val="center"/>
          </w:tcPr>
          <w:p w14:paraId="11400B2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存储虚拟化</w:t>
            </w:r>
          </w:p>
        </w:tc>
        <w:tc>
          <w:tcPr>
            <w:tcW w:w="3960" w:type="dxa"/>
            <w:shd w:val="clear" w:color="auto" w:fill="FFFFFF"/>
            <w:vAlign w:val="center"/>
          </w:tcPr>
          <w:p w14:paraId="60F0686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支持自定义存储策略，包括存储精简配置、存储白名单、自定义条带大小和条带数等。存储策略的颗粒度可以具体到存储卷（LUN）、虚拟机磁盘等，支持单虚拟机可配置不同副本和置备策略的虚拟磁盘；</w:t>
            </w:r>
          </w:p>
        </w:tc>
        <w:tc>
          <w:tcPr>
            <w:tcW w:w="1305" w:type="dxa"/>
            <w:shd w:val="clear" w:color="auto" w:fill="FFFFFF"/>
            <w:vAlign w:val="center"/>
          </w:tcPr>
          <w:p w14:paraId="6F6BE7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FD5D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654" w:type="dxa"/>
            <w:shd w:val="clear" w:color="auto" w:fill="FFFFFF"/>
            <w:vAlign w:val="center"/>
          </w:tcPr>
          <w:p w14:paraId="6630724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165</w:t>
            </w:r>
          </w:p>
        </w:tc>
        <w:tc>
          <w:tcPr>
            <w:tcW w:w="981" w:type="dxa"/>
            <w:shd w:val="clear" w:color="auto" w:fill="FFFFFF"/>
            <w:noWrap/>
            <w:vAlign w:val="center"/>
          </w:tcPr>
          <w:p w14:paraId="122C31B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14E641C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48" w:type="dxa"/>
            <w:shd w:val="clear" w:color="auto" w:fill="FFFFFF"/>
            <w:noWrap/>
            <w:vAlign w:val="center"/>
          </w:tcPr>
          <w:p w14:paraId="226600A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存储虚拟化</w:t>
            </w:r>
          </w:p>
        </w:tc>
        <w:tc>
          <w:tcPr>
            <w:tcW w:w="3960" w:type="dxa"/>
            <w:shd w:val="clear" w:color="auto" w:fill="FFFFFF"/>
            <w:vAlign w:val="center"/>
          </w:tcPr>
          <w:p w14:paraId="07CF538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机架感知，可提供基于服务器机架拓扑的存储副本智能分布功能，在超融合平台可以灵活编辑机架和主机拓扑，分布式存储根据拓扑结构自动调整数据副本分布策略，保证数据智能、均衡存储，避免出现由于单一机架的电源或网络故障造成的存储不可用和业务中断；</w:t>
            </w:r>
          </w:p>
        </w:tc>
        <w:tc>
          <w:tcPr>
            <w:tcW w:w="1305" w:type="dxa"/>
            <w:shd w:val="clear" w:color="auto" w:fill="FFFFFF"/>
            <w:vAlign w:val="center"/>
          </w:tcPr>
          <w:p w14:paraId="79D6AD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3D82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54" w:type="dxa"/>
            <w:shd w:val="clear" w:color="auto" w:fill="FFFFFF"/>
            <w:vAlign w:val="center"/>
          </w:tcPr>
          <w:p w14:paraId="5BD86C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166</w:t>
            </w:r>
          </w:p>
        </w:tc>
        <w:tc>
          <w:tcPr>
            <w:tcW w:w="981" w:type="dxa"/>
            <w:shd w:val="clear" w:color="auto" w:fill="FFFFFF"/>
            <w:noWrap/>
            <w:vAlign w:val="center"/>
          </w:tcPr>
          <w:p w14:paraId="7AE77DA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7535066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48" w:type="dxa"/>
            <w:shd w:val="clear" w:color="auto" w:fill="FFFFFF"/>
            <w:noWrap/>
            <w:vAlign w:val="center"/>
          </w:tcPr>
          <w:p w14:paraId="6B802E2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存储虚拟化</w:t>
            </w:r>
          </w:p>
        </w:tc>
        <w:tc>
          <w:tcPr>
            <w:tcW w:w="3960" w:type="dxa"/>
            <w:shd w:val="clear" w:color="auto" w:fill="FFFFFF"/>
            <w:vAlign w:val="center"/>
          </w:tcPr>
          <w:p w14:paraId="25BEDA5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支持存储清理功能，可批量或单个扫描存储池，一键清理垃圾数据，节省物理资源；</w:t>
            </w:r>
          </w:p>
        </w:tc>
        <w:tc>
          <w:tcPr>
            <w:tcW w:w="1305" w:type="dxa"/>
            <w:shd w:val="clear" w:color="auto" w:fill="FFFFFF"/>
            <w:vAlign w:val="center"/>
          </w:tcPr>
          <w:p w14:paraId="766F3D2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48A9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54" w:type="dxa"/>
            <w:shd w:val="clear" w:color="auto" w:fill="FFFFFF"/>
            <w:vAlign w:val="center"/>
          </w:tcPr>
          <w:p w14:paraId="26110E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167</w:t>
            </w:r>
          </w:p>
        </w:tc>
        <w:tc>
          <w:tcPr>
            <w:tcW w:w="981" w:type="dxa"/>
            <w:shd w:val="clear" w:color="auto" w:fill="FFFFFF"/>
            <w:noWrap/>
            <w:vAlign w:val="center"/>
          </w:tcPr>
          <w:p w14:paraId="1874AD2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7F49802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48" w:type="dxa"/>
            <w:shd w:val="clear" w:color="auto" w:fill="FFFFFF"/>
            <w:noWrap/>
            <w:vAlign w:val="center"/>
          </w:tcPr>
          <w:p w14:paraId="70FD40C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网络虚拟化</w:t>
            </w:r>
          </w:p>
        </w:tc>
        <w:tc>
          <w:tcPr>
            <w:tcW w:w="3960" w:type="dxa"/>
            <w:shd w:val="clear" w:color="auto" w:fill="FFFFFF"/>
            <w:vAlign w:val="center"/>
          </w:tcPr>
          <w:p w14:paraId="20E829B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提供全局分布式SDN功能，以避免SDN控制节点故障，提供分布式SDN硬件加速能力，可提供更高转发性能，SDN支持VLAN/VXLAN模式；</w:t>
            </w:r>
          </w:p>
        </w:tc>
        <w:tc>
          <w:tcPr>
            <w:tcW w:w="1305" w:type="dxa"/>
            <w:shd w:val="clear" w:color="auto" w:fill="FFFFFF"/>
            <w:vAlign w:val="center"/>
          </w:tcPr>
          <w:p w14:paraId="32AB6F1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E368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654" w:type="dxa"/>
            <w:shd w:val="clear" w:color="auto" w:fill="FFFFFF"/>
            <w:vAlign w:val="center"/>
          </w:tcPr>
          <w:p w14:paraId="495E429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168</w:t>
            </w:r>
          </w:p>
        </w:tc>
        <w:tc>
          <w:tcPr>
            <w:tcW w:w="981" w:type="dxa"/>
            <w:shd w:val="clear" w:color="auto" w:fill="FFFFFF"/>
            <w:noWrap/>
            <w:vAlign w:val="center"/>
          </w:tcPr>
          <w:p w14:paraId="5DDBFEF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23DE84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48" w:type="dxa"/>
            <w:shd w:val="clear" w:color="auto" w:fill="FFFFFF"/>
            <w:noWrap/>
            <w:vAlign w:val="center"/>
          </w:tcPr>
          <w:p w14:paraId="2D11244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网络虚拟化</w:t>
            </w:r>
          </w:p>
        </w:tc>
        <w:tc>
          <w:tcPr>
            <w:tcW w:w="3960" w:type="dxa"/>
            <w:shd w:val="clear" w:color="auto" w:fill="FFFFFF"/>
            <w:vAlign w:val="center"/>
          </w:tcPr>
          <w:p w14:paraId="7078519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支持全局分布式SDN智能加速，卸载分布式SDN网络的数据平面到硬件网卡，通过对东西向Overlay网络流量和南北向流量卸载，大幅提高网络转发性能并节省主机资源；</w:t>
            </w:r>
          </w:p>
        </w:tc>
        <w:tc>
          <w:tcPr>
            <w:tcW w:w="1305" w:type="dxa"/>
            <w:shd w:val="clear" w:color="auto" w:fill="FFFFFF"/>
            <w:vAlign w:val="center"/>
          </w:tcPr>
          <w:p w14:paraId="42E620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7633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54" w:type="dxa"/>
            <w:shd w:val="clear" w:color="auto" w:fill="FFFFFF"/>
            <w:vAlign w:val="center"/>
          </w:tcPr>
          <w:p w14:paraId="4A2E553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169</w:t>
            </w:r>
          </w:p>
        </w:tc>
        <w:tc>
          <w:tcPr>
            <w:tcW w:w="981" w:type="dxa"/>
            <w:shd w:val="clear" w:color="auto" w:fill="FFFFFF"/>
            <w:noWrap/>
            <w:vAlign w:val="center"/>
          </w:tcPr>
          <w:p w14:paraId="33C14CA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6A11E26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48" w:type="dxa"/>
            <w:shd w:val="clear" w:color="auto" w:fill="FFFFFF"/>
            <w:noWrap/>
            <w:vAlign w:val="center"/>
          </w:tcPr>
          <w:p w14:paraId="048224D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网络虚拟化</w:t>
            </w:r>
          </w:p>
        </w:tc>
        <w:tc>
          <w:tcPr>
            <w:tcW w:w="3960" w:type="dxa"/>
            <w:shd w:val="clear" w:color="auto" w:fill="FFFFFF"/>
            <w:vAlign w:val="center"/>
          </w:tcPr>
          <w:p w14:paraId="2C6742A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支持网络图形化编排，编辑网络拓扑及拖拽网元即可完成网络拓扑的创建、变更、属性编辑；</w:t>
            </w:r>
          </w:p>
        </w:tc>
        <w:tc>
          <w:tcPr>
            <w:tcW w:w="1305" w:type="dxa"/>
            <w:shd w:val="clear" w:color="auto" w:fill="FFFFFF"/>
            <w:vAlign w:val="center"/>
          </w:tcPr>
          <w:p w14:paraId="6F13D37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376D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54" w:type="dxa"/>
            <w:shd w:val="clear" w:color="auto" w:fill="FFFFFF"/>
            <w:vAlign w:val="center"/>
          </w:tcPr>
          <w:p w14:paraId="3B9C1C4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170</w:t>
            </w:r>
          </w:p>
        </w:tc>
        <w:tc>
          <w:tcPr>
            <w:tcW w:w="981" w:type="dxa"/>
            <w:shd w:val="clear" w:color="auto" w:fill="FFFFFF"/>
            <w:noWrap/>
            <w:vAlign w:val="center"/>
          </w:tcPr>
          <w:p w14:paraId="19D1D12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5386D39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48" w:type="dxa"/>
            <w:shd w:val="clear" w:color="auto" w:fill="FFFFFF"/>
            <w:noWrap/>
            <w:vAlign w:val="center"/>
          </w:tcPr>
          <w:p w14:paraId="1F0DD6E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网络虚拟化</w:t>
            </w:r>
          </w:p>
        </w:tc>
        <w:tc>
          <w:tcPr>
            <w:tcW w:w="3960" w:type="dxa"/>
            <w:shd w:val="clear" w:color="auto" w:fill="FFFFFF"/>
            <w:vAlign w:val="center"/>
          </w:tcPr>
          <w:p w14:paraId="0C29704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支持物理网卡定位功能，可在平台发现网卡故障后，在管理界面直接点亮损坏网卡，方便运维人员到机房快速发现故障网卡设备；</w:t>
            </w:r>
          </w:p>
        </w:tc>
        <w:tc>
          <w:tcPr>
            <w:tcW w:w="1305" w:type="dxa"/>
            <w:shd w:val="clear" w:color="auto" w:fill="FFFFFF"/>
            <w:vAlign w:val="center"/>
          </w:tcPr>
          <w:p w14:paraId="1D07B5F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bl>
    <w:p w14:paraId="6FE986CA">
      <w:pPr>
        <w:pStyle w:val="14"/>
        <w:ind w:left="0" w:leftChars="0" w:firstLine="0" w:firstLineChars="0"/>
        <w:rPr>
          <w:rFonts w:asciiTheme="minorEastAsia" w:hAnsiTheme="minorEastAsia" w:eastAsiaTheme="minorEastAsia" w:cstheme="minorEastAsia"/>
          <w:szCs w:val="24"/>
        </w:rPr>
      </w:pPr>
    </w:p>
    <w:p w14:paraId="12683C39">
      <w:pPr>
        <w:pStyle w:val="2"/>
        <w:numPr>
          <w:ilvl w:val="0"/>
          <w:numId w:val="2"/>
        </w:numPr>
        <w:ind w:left="442" w:hanging="442"/>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外网业务超融合集群</w:t>
      </w:r>
    </w:p>
    <w:tbl>
      <w:tblPr>
        <w:tblStyle w:val="15"/>
        <w:tblW w:w="9450" w:type="dxa"/>
        <w:tblInd w:w="-4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594"/>
        <w:gridCol w:w="981"/>
        <w:gridCol w:w="981"/>
        <w:gridCol w:w="1578"/>
        <w:gridCol w:w="3990"/>
        <w:gridCol w:w="1326"/>
      </w:tblGrid>
      <w:tr w14:paraId="373D3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85" w:hRule="atLeast"/>
        </w:trPr>
        <w:tc>
          <w:tcPr>
            <w:tcW w:w="594" w:type="dxa"/>
            <w:shd w:val="clear" w:color="auto" w:fill="FFFFFF"/>
            <w:vAlign w:val="center"/>
          </w:tcPr>
          <w:p w14:paraId="7DBCAAC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序号</w:t>
            </w:r>
          </w:p>
        </w:tc>
        <w:tc>
          <w:tcPr>
            <w:tcW w:w="981" w:type="dxa"/>
            <w:shd w:val="clear" w:color="auto" w:fill="FFFFFF"/>
            <w:vAlign w:val="center"/>
          </w:tcPr>
          <w:p w14:paraId="6AE2BCB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指标分类</w:t>
            </w:r>
          </w:p>
        </w:tc>
        <w:tc>
          <w:tcPr>
            <w:tcW w:w="981" w:type="dxa"/>
            <w:shd w:val="clear" w:color="auto" w:fill="FFFFFF"/>
            <w:vAlign w:val="center"/>
          </w:tcPr>
          <w:p w14:paraId="0DCB5C7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一级指标</w:t>
            </w:r>
          </w:p>
        </w:tc>
        <w:tc>
          <w:tcPr>
            <w:tcW w:w="1578" w:type="dxa"/>
            <w:shd w:val="clear" w:color="auto" w:fill="FFFFFF"/>
            <w:vAlign w:val="center"/>
          </w:tcPr>
          <w:p w14:paraId="0FA2BF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二级指标</w:t>
            </w:r>
          </w:p>
        </w:tc>
        <w:tc>
          <w:tcPr>
            <w:tcW w:w="3990" w:type="dxa"/>
            <w:shd w:val="clear" w:color="auto" w:fill="FFFFFF"/>
            <w:vAlign w:val="center"/>
          </w:tcPr>
          <w:p w14:paraId="75FD15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指标要求</w:t>
            </w:r>
          </w:p>
        </w:tc>
        <w:tc>
          <w:tcPr>
            <w:tcW w:w="1326" w:type="dxa"/>
            <w:shd w:val="clear" w:color="auto" w:fill="FFFFFF"/>
            <w:vAlign w:val="center"/>
          </w:tcPr>
          <w:p w14:paraId="1FC8483F">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是否提供证明材料</w:t>
            </w:r>
          </w:p>
        </w:tc>
      </w:tr>
      <w:tr w14:paraId="5B58B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594" w:type="dxa"/>
            <w:shd w:val="clear" w:color="auto" w:fill="FFFFFF"/>
            <w:vAlign w:val="center"/>
          </w:tcPr>
          <w:p w14:paraId="6683DF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w:t>
            </w:r>
          </w:p>
        </w:tc>
        <w:tc>
          <w:tcPr>
            <w:tcW w:w="981" w:type="dxa"/>
            <w:shd w:val="clear" w:color="auto" w:fill="FFFFFF"/>
            <w:vAlign w:val="center"/>
          </w:tcPr>
          <w:p w14:paraId="403719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shd w:val="clear" w:color="auto" w:fill="FFFFFF"/>
            <w:vAlign w:val="center"/>
          </w:tcPr>
          <w:p w14:paraId="04E7F0C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CPU规格</w:t>
            </w:r>
          </w:p>
        </w:tc>
        <w:tc>
          <w:tcPr>
            <w:tcW w:w="1578" w:type="dxa"/>
            <w:shd w:val="clear" w:color="auto" w:fill="FFFFFF"/>
            <w:vAlign w:val="center"/>
          </w:tcPr>
          <w:p w14:paraId="05D0133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★CPU信息</w:t>
            </w:r>
          </w:p>
        </w:tc>
        <w:tc>
          <w:tcPr>
            <w:tcW w:w="3990" w:type="dxa"/>
            <w:shd w:val="clear" w:color="auto" w:fill="FFFFFF"/>
            <w:vAlign w:val="center"/>
          </w:tcPr>
          <w:p w14:paraId="476573B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供应商应给出CPU信息，包含CPU型号、物理核心数、主频、末级缓存容量、线程数、热设计功耗及支持内存的最高速率、通道数和位宽</w:t>
            </w:r>
          </w:p>
        </w:tc>
        <w:tc>
          <w:tcPr>
            <w:tcW w:w="1326" w:type="dxa"/>
            <w:shd w:val="clear" w:color="auto" w:fill="FFFFFF"/>
            <w:vAlign w:val="center"/>
          </w:tcPr>
          <w:p w14:paraId="20F4DB16">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3F49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 w:type="dxa"/>
            <w:shd w:val="clear" w:color="auto" w:fill="FFFFFF"/>
            <w:vAlign w:val="center"/>
          </w:tcPr>
          <w:p w14:paraId="258C6E1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981" w:type="dxa"/>
            <w:shd w:val="clear" w:color="auto" w:fill="FFFFFF"/>
            <w:vAlign w:val="center"/>
          </w:tcPr>
          <w:p w14:paraId="2F07879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239F885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主板规格</w:t>
            </w:r>
          </w:p>
        </w:tc>
        <w:tc>
          <w:tcPr>
            <w:tcW w:w="1578" w:type="dxa"/>
            <w:shd w:val="clear" w:color="auto" w:fill="FFFFFF"/>
            <w:vAlign w:val="center"/>
          </w:tcPr>
          <w:p w14:paraId="424DC4E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★主板支持的CPU和内存情况</w:t>
            </w:r>
          </w:p>
        </w:tc>
        <w:tc>
          <w:tcPr>
            <w:tcW w:w="3990" w:type="dxa"/>
            <w:shd w:val="clear" w:color="auto" w:fill="FFFFFF"/>
            <w:vAlign w:val="center"/>
          </w:tcPr>
          <w:p w14:paraId="16A1526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供应商给出主板支持的CPU和内存的型号数量</w:t>
            </w:r>
          </w:p>
        </w:tc>
        <w:tc>
          <w:tcPr>
            <w:tcW w:w="1326" w:type="dxa"/>
            <w:shd w:val="clear" w:color="auto" w:fill="FFFFFF"/>
            <w:vAlign w:val="center"/>
          </w:tcPr>
          <w:p w14:paraId="1F667D64">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F14B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4110226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w:t>
            </w:r>
          </w:p>
        </w:tc>
        <w:tc>
          <w:tcPr>
            <w:tcW w:w="981" w:type="dxa"/>
            <w:shd w:val="clear" w:color="auto" w:fill="FFFFFF"/>
            <w:vAlign w:val="center"/>
          </w:tcPr>
          <w:p w14:paraId="57CF58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51B2637F">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4D0DF2E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★主板内存槽数量</w:t>
            </w:r>
          </w:p>
        </w:tc>
        <w:tc>
          <w:tcPr>
            <w:tcW w:w="3990" w:type="dxa"/>
            <w:shd w:val="clear" w:color="auto" w:fill="FFFFFF"/>
            <w:vAlign w:val="center"/>
          </w:tcPr>
          <w:p w14:paraId="406FA03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非板载内存的可扩展插槽数量应≥4个</w:t>
            </w:r>
          </w:p>
        </w:tc>
        <w:tc>
          <w:tcPr>
            <w:tcW w:w="1326" w:type="dxa"/>
            <w:shd w:val="clear" w:color="auto" w:fill="FFFFFF"/>
            <w:vAlign w:val="center"/>
          </w:tcPr>
          <w:p w14:paraId="71CE691B">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054B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6A0E4AE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w:t>
            </w:r>
          </w:p>
        </w:tc>
        <w:tc>
          <w:tcPr>
            <w:tcW w:w="981" w:type="dxa"/>
            <w:shd w:val="clear" w:color="auto" w:fill="FFFFFF"/>
            <w:vAlign w:val="center"/>
          </w:tcPr>
          <w:p w14:paraId="3BD159F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65AF4C8B">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41177F5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★主板存储接口</w:t>
            </w:r>
          </w:p>
        </w:tc>
        <w:tc>
          <w:tcPr>
            <w:tcW w:w="3990" w:type="dxa"/>
            <w:shd w:val="clear" w:color="auto" w:fill="FFFFFF"/>
            <w:vAlign w:val="center"/>
          </w:tcPr>
          <w:p w14:paraId="5637712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至少支持SATA、SAS、M.2、U.2等存储接口中的1种</w:t>
            </w:r>
          </w:p>
        </w:tc>
        <w:tc>
          <w:tcPr>
            <w:tcW w:w="1326" w:type="dxa"/>
            <w:shd w:val="clear" w:color="auto" w:fill="FFFFFF"/>
            <w:vAlign w:val="center"/>
          </w:tcPr>
          <w:p w14:paraId="49634668">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F4E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6DEF31C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w:t>
            </w:r>
          </w:p>
        </w:tc>
        <w:tc>
          <w:tcPr>
            <w:tcW w:w="981" w:type="dxa"/>
            <w:shd w:val="clear" w:color="auto" w:fill="FFFFFF"/>
            <w:vAlign w:val="center"/>
          </w:tcPr>
          <w:p w14:paraId="1B226E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C83ABAC">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2B49BC9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★PCIe插槽接口</w:t>
            </w:r>
          </w:p>
        </w:tc>
        <w:tc>
          <w:tcPr>
            <w:tcW w:w="3990" w:type="dxa"/>
            <w:shd w:val="clear" w:color="auto" w:fill="FFFFFF"/>
            <w:vAlign w:val="center"/>
          </w:tcPr>
          <w:p w14:paraId="1880A9F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符合PCIe3.0或以上的高速串行计算机扩展总线标准，PCIe的接口速率与位宽需保证向下兼容</w:t>
            </w:r>
          </w:p>
        </w:tc>
        <w:tc>
          <w:tcPr>
            <w:tcW w:w="1326" w:type="dxa"/>
            <w:shd w:val="clear" w:color="auto" w:fill="FFFFFF"/>
            <w:vAlign w:val="center"/>
          </w:tcPr>
          <w:p w14:paraId="69029A93">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F075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 w:type="dxa"/>
            <w:shd w:val="clear" w:color="auto" w:fill="FFFFFF"/>
            <w:vAlign w:val="center"/>
          </w:tcPr>
          <w:p w14:paraId="2FA0FB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w:t>
            </w:r>
          </w:p>
        </w:tc>
        <w:tc>
          <w:tcPr>
            <w:tcW w:w="981" w:type="dxa"/>
            <w:shd w:val="clear" w:color="auto" w:fill="FFFFFF"/>
            <w:vAlign w:val="center"/>
          </w:tcPr>
          <w:p w14:paraId="0DA4B3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0918474">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6136F4C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★主板PCIe插槽数量及规格</w:t>
            </w:r>
          </w:p>
        </w:tc>
        <w:tc>
          <w:tcPr>
            <w:tcW w:w="3990" w:type="dxa"/>
            <w:shd w:val="clear" w:color="auto" w:fill="FFFFFF"/>
            <w:vAlign w:val="center"/>
          </w:tcPr>
          <w:p w14:paraId="5F16D8F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a）高度大于44.45mm双路或以上服务器PCIe插槽或接口应≥5个；</w:t>
            </w:r>
          </w:p>
          <w:p w14:paraId="2E202E0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b）单路服务器PCIe插槽或接口应≥4个，可通过扩展卡进行插槽扩展</w:t>
            </w:r>
          </w:p>
        </w:tc>
        <w:tc>
          <w:tcPr>
            <w:tcW w:w="1326" w:type="dxa"/>
            <w:shd w:val="clear" w:color="auto" w:fill="FFFFFF"/>
            <w:vAlign w:val="center"/>
          </w:tcPr>
          <w:p w14:paraId="17E3D8CF">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1622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8" w:hRule="atLeast"/>
        </w:trPr>
        <w:tc>
          <w:tcPr>
            <w:tcW w:w="594" w:type="dxa"/>
            <w:shd w:val="clear" w:color="auto" w:fill="FFFFFF"/>
            <w:vAlign w:val="center"/>
          </w:tcPr>
          <w:p w14:paraId="6F58985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w:t>
            </w:r>
          </w:p>
        </w:tc>
        <w:tc>
          <w:tcPr>
            <w:tcW w:w="981" w:type="dxa"/>
            <w:shd w:val="clear" w:color="auto" w:fill="FFFFFF"/>
            <w:vAlign w:val="center"/>
          </w:tcPr>
          <w:p w14:paraId="42DF0AD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6A08133C">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56D8EA7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特殊孔位及接口</w:t>
            </w:r>
          </w:p>
        </w:tc>
        <w:tc>
          <w:tcPr>
            <w:tcW w:w="3990" w:type="dxa"/>
            <w:shd w:val="clear" w:color="auto" w:fill="FFFFFF"/>
            <w:vAlign w:val="center"/>
          </w:tcPr>
          <w:p w14:paraId="45B887F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服务器机箱内主板可根据用户实际使用需求支持安装多功能导入装置板卡，机箱内需预留多功能导入装置板卡安装位置，容量不小于55mm×45mm×15mm（长×宽×高，单位毫米）；b）服务器主板可根据用户实际使用需求预留满足USB2.0或USB3.0数据传输规范的接口，工作电压5V，采用USB2.0时，最大过电流应不小于0.5A，采用USB3.0时，最大过电流应不小于1A</w:t>
            </w:r>
          </w:p>
        </w:tc>
        <w:tc>
          <w:tcPr>
            <w:tcW w:w="1326" w:type="dxa"/>
            <w:shd w:val="clear" w:color="auto" w:fill="FFFFFF"/>
            <w:vAlign w:val="center"/>
          </w:tcPr>
          <w:p w14:paraId="15D8AE34">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4BCE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7343BF6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981" w:type="dxa"/>
            <w:shd w:val="clear" w:color="auto" w:fill="FFFFFF"/>
            <w:vAlign w:val="center"/>
          </w:tcPr>
          <w:p w14:paraId="2D3EFB6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B64E79B">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0E9AE49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板载网络接口</w:t>
            </w:r>
          </w:p>
        </w:tc>
        <w:tc>
          <w:tcPr>
            <w:tcW w:w="3990" w:type="dxa"/>
            <w:shd w:val="clear" w:color="auto" w:fill="FFFFFF"/>
            <w:vAlign w:val="center"/>
          </w:tcPr>
          <w:p w14:paraId="4BA3659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若支持板载网络接口应≥2个1GE网口</w:t>
            </w:r>
          </w:p>
        </w:tc>
        <w:tc>
          <w:tcPr>
            <w:tcW w:w="1326" w:type="dxa"/>
            <w:shd w:val="clear" w:color="auto" w:fill="FFFFFF"/>
            <w:vAlign w:val="center"/>
          </w:tcPr>
          <w:p w14:paraId="57DC42BE">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D733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5481D1C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w:t>
            </w:r>
          </w:p>
        </w:tc>
        <w:tc>
          <w:tcPr>
            <w:tcW w:w="981" w:type="dxa"/>
            <w:shd w:val="clear" w:color="auto" w:fill="FFFFFF"/>
            <w:vAlign w:val="center"/>
          </w:tcPr>
          <w:p w14:paraId="5E30D7C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10C23B10">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1DB2F34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主板OCP插槽数量</w:t>
            </w:r>
          </w:p>
        </w:tc>
        <w:tc>
          <w:tcPr>
            <w:tcW w:w="3990" w:type="dxa"/>
            <w:shd w:val="clear" w:color="auto" w:fill="FFFFFF"/>
            <w:vAlign w:val="center"/>
          </w:tcPr>
          <w:p w14:paraId="64F5C3F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支持OCP2.0及以上插槽的数量≥1个</w:t>
            </w:r>
          </w:p>
        </w:tc>
        <w:tc>
          <w:tcPr>
            <w:tcW w:w="1326" w:type="dxa"/>
            <w:shd w:val="clear" w:color="auto" w:fill="FFFFFF"/>
            <w:vAlign w:val="center"/>
          </w:tcPr>
          <w:p w14:paraId="3C608C49">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20CE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594" w:type="dxa"/>
            <w:shd w:val="clear" w:color="auto" w:fill="FFFFFF"/>
            <w:vAlign w:val="center"/>
          </w:tcPr>
          <w:p w14:paraId="0329D6B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w:t>
            </w:r>
          </w:p>
        </w:tc>
        <w:tc>
          <w:tcPr>
            <w:tcW w:w="981" w:type="dxa"/>
            <w:shd w:val="clear" w:color="auto" w:fill="FFFFFF"/>
            <w:vAlign w:val="center"/>
          </w:tcPr>
          <w:p w14:paraId="0C5B5BB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6E64AF5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内存规格</w:t>
            </w:r>
          </w:p>
        </w:tc>
        <w:tc>
          <w:tcPr>
            <w:tcW w:w="1578" w:type="dxa"/>
            <w:shd w:val="clear" w:color="auto" w:fill="FFFFFF"/>
            <w:vAlign w:val="center"/>
          </w:tcPr>
          <w:p w14:paraId="59C88FF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★内存数量</w:t>
            </w:r>
          </w:p>
        </w:tc>
        <w:tc>
          <w:tcPr>
            <w:tcW w:w="3990" w:type="dxa"/>
            <w:shd w:val="clear" w:color="auto" w:fill="FFFFFF"/>
            <w:vAlign w:val="center"/>
          </w:tcPr>
          <w:p w14:paraId="05E9773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w:t>
            </w:r>
          </w:p>
        </w:tc>
        <w:tc>
          <w:tcPr>
            <w:tcW w:w="1326" w:type="dxa"/>
            <w:shd w:val="clear" w:color="auto" w:fill="FFFFFF"/>
            <w:vAlign w:val="center"/>
          </w:tcPr>
          <w:p w14:paraId="53E28FBC">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EE32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594" w:type="dxa"/>
            <w:shd w:val="clear" w:color="auto" w:fill="FFFFFF"/>
            <w:vAlign w:val="center"/>
          </w:tcPr>
          <w:p w14:paraId="7B629F6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w:t>
            </w:r>
          </w:p>
        </w:tc>
        <w:tc>
          <w:tcPr>
            <w:tcW w:w="981" w:type="dxa"/>
            <w:shd w:val="clear" w:color="auto" w:fill="FFFFFF"/>
            <w:vAlign w:val="center"/>
          </w:tcPr>
          <w:p w14:paraId="6EA81E2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F10BA77">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4E8CF18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★内存规格</w:t>
            </w:r>
          </w:p>
        </w:tc>
        <w:tc>
          <w:tcPr>
            <w:tcW w:w="3990" w:type="dxa"/>
            <w:shd w:val="clear" w:color="auto" w:fill="FFFFFF"/>
            <w:vAlign w:val="center"/>
          </w:tcPr>
          <w:p w14:paraId="2842075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≥DDR4</w:t>
            </w:r>
          </w:p>
        </w:tc>
        <w:tc>
          <w:tcPr>
            <w:tcW w:w="1326" w:type="dxa"/>
            <w:shd w:val="clear" w:color="auto" w:fill="FFFFFF"/>
            <w:vAlign w:val="center"/>
          </w:tcPr>
          <w:p w14:paraId="47ECC4F4">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6B94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594" w:type="dxa"/>
            <w:shd w:val="clear" w:color="auto" w:fill="FFFFFF"/>
            <w:vAlign w:val="center"/>
          </w:tcPr>
          <w:p w14:paraId="10D41BB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w:t>
            </w:r>
          </w:p>
        </w:tc>
        <w:tc>
          <w:tcPr>
            <w:tcW w:w="981" w:type="dxa"/>
            <w:shd w:val="clear" w:color="auto" w:fill="FFFFFF"/>
            <w:vAlign w:val="center"/>
          </w:tcPr>
          <w:p w14:paraId="6F0691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078AE6C">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241BE17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★内存通道</w:t>
            </w:r>
          </w:p>
        </w:tc>
        <w:tc>
          <w:tcPr>
            <w:tcW w:w="3990" w:type="dxa"/>
            <w:shd w:val="clear" w:color="auto" w:fill="FFFFFF"/>
            <w:vAlign w:val="center"/>
          </w:tcPr>
          <w:p w14:paraId="55EB0A1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支持多个内存接口通道，每个通道可支持1DPC或2DPC，当支持2DPC时，印制电路板上应具备插槽的序号标识，具体通道数应在随机文件中明确</w:t>
            </w:r>
          </w:p>
        </w:tc>
        <w:tc>
          <w:tcPr>
            <w:tcW w:w="1326" w:type="dxa"/>
            <w:shd w:val="clear" w:color="auto" w:fill="FFFFFF"/>
            <w:vAlign w:val="center"/>
          </w:tcPr>
          <w:p w14:paraId="26284713">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158B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1284E09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w:t>
            </w:r>
          </w:p>
        </w:tc>
        <w:tc>
          <w:tcPr>
            <w:tcW w:w="981" w:type="dxa"/>
            <w:shd w:val="clear" w:color="auto" w:fill="FFFFFF"/>
            <w:vAlign w:val="center"/>
          </w:tcPr>
          <w:p w14:paraId="5018B04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153855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存储规格</w:t>
            </w:r>
          </w:p>
        </w:tc>
        <w:tc>
          <w:tcPr>
            <w:tcW w:w="1578" w:type="dxa"/>
            <w:shd w:val="clear" w:color="auto" w:fill="FFFFFF"/>
            <w:vAlign w:val="center"/>
          </w:tcPr>
          <w:p w14:paraId="3EF3AE8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硬盘类型</w:t>
            </w:r>
          </w:p>
        </w:tc>
        <w:tc>
          <w:tcPr>
            <w:tcW w:w="3990" w:type="dxa"/>
            <w:shd w:val="clear" w:color="auto" w:fill="FFFFFF"/>
            <w:vAlign w:val="center"/>
          </w:tcPr>
          <w:p w14:paraId="573CE64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供应商给出服务器支持硬磁盘和固态盘类型及规格</w:t>
            </w:r>
          </w:p>
        </w:tc>
        <w:tc>
          <w:tcPr>
            <w:tcW w:w="1326" w:type="dxa"/>
            <w:shd w:val="clear" w:color="auto" w:fill="FFFFFF"/>
            <w:vAlign w:val="center"/>
          </w:tcPr>
          <w:p w14:paraId="729CCC6C">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5AB4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 w:type="dxa"/>
            <w:shd w:val="clear" w:color="auto" w:fill="FFFFFF"/>
            <w:vAlign w:val="center"/>
          </w:tcPr>
          <w:p w14:paraId="3908419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w:t>
            </w:r>
          </w:p>
        </w:tc>
        <w:tc>
          <w:tcPr>
            <w:tcW w:w="981" w:type="dxa"/>
            <w:shd w:val="clear" w:color="auto" w:fill="FFFFFF"/>
            <w:vAlign w:val="center"/>
          </w:tcPr>
          <w:p w14:paraId="37557B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B84E73B">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246BFA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★硬磁盘实配容量</w:t>
            </w:r>
          </w:p>
        </w:tc>
        <w:tc>
          <w:tcPr>
            <w:tcW w:w="3990" w:type="dxa"/>
            <w:shd w:val="clear" w:color="auto" w:fill="FFFFFF"/>
            <w:vAlign w:val="center"/>
          </w:tcPr>
          <w:p w14:paraId="007BEB5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硬盘1：≥480G SATA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硬盘2：≥3.2T NVMe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硬盘3：≥8T 7.2K SATA硬磁盘</w:t>
            </w:r>
          </w:p>
        </w:tc>
        <w:tc>
          <w:tcPr>
            <w:tcW w:w="1326" w:type="dxa"/>
            <w:shd w:val="clear" w:color="auto" w:fill="FFFFFF"/>
            <w:vAlign w:val="center"/>
          </w:tcPr>
          <w:p w14:paraId="5706F202">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12A8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 w:type="dxa"/>
            <w:shd w:val="clear" w:color="auto" w:fill="FFFFFF"/>
            <w:vAlign w:val="center"/>
          </w:tcPr>
          <w:p w14:paraId="2A471BB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w:t>
            </w:r>
          </w:p>
        </w:tc>
        <w:tc>
          <w:tcPr>
            <w:tcW w:w="981" w:type="dxa"/>
            <w:shd w:val="clear" w:color="auto" w:fill="FFFFFF"/>
            <w:vAlign w:val="center"/>
          </w:tcPr>
          <w:p w14:paraId="1069A95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C46FDA4">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770F3F0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硬盘接口类型</w:t>
            </w:r>
          </w:p>
        </w:tc>
        <w:tc>
          <w:tcPr>
            <w:tcW w:w="3990" w:type="dxa"/>
            <w:shd w:val="clear" w:color="auto" w:fill="FFFFFF"/>
            <w:vAlign w:val="center"/>
          </w:tcPr>
          <w:p w14:paraId="5AB4DD2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a）若配备硬磁盘，应提供SAS3.0或SATA3.0及以上接口；b）若配备固态盘，应提供至少1种类型固态盘接口，如UFS、SATA、PCIe等</w:t>
            </w:r>
          </w:p>
        </w:tc>
        <w:tc>
          <w:tcPr>
            <w:tcW w:w="1326" w:type="dxa"/>
            <w:shd w:val="clear" w:color="auto" w:fill="FFFFFF"/>
            <w:vAlign w:val="center"/>
          </w:tcPr>
          <w:p w14:paraId="3FE4C4C1">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B03F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 w:type="dxa"/>
            <w:shd w:val="clear" w:color="auto" w:fill="FFFFFF"/>
            <w:vAlign w:val="center"/>
          </w:tcPr>
          <w:p w14:paraId="086944F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w:t>
            </w:r>
          </w:p>
        </w:tc>
        <w:tc>
          <w:tcPr>
            <w:tcW w:w="981" w:type="dxa"/>
            <w:shd w:val="clear" w:color="auto" w:fill="FFFFFF"/>
            <w:vAlign w:val="center"/>
          </w:tcPr>
          <w:p w14:paraId="2E9B1D5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761FB39">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4E61BC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★硬盘实配数量</w:t>
            </w:r>
          </w:p>
        </w:tc>
        <w:tc>
          <w:tcPr>
            <w:tcW w:w="3990" w:type="dxa"/>
            <w:shd w:val="clear" w:color="auto" w:fill="FFFFFF"/>
            <w:vAlign w:val="center"/>
          </w:tcPr>
          <w:p w14:paraId="0F61AE2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硬盘1：≥2块480G SATA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硬盘2：≥2块3.2T NVMe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硬盘3：≥6块8T 7.2K SATA；</w:t>
            </w:r>
          </w:p>
        </w:tc>
        <w:tc>
          <w:tcPr>
            <w:tcW w:w="1326" w:type="dxa"/>
            <w:shd w:val="clear" w:color="auto" w:fill="FFFFFF"/>
            <w:vAlign w:val="center"/>
          </w:tcPr>
          <w:p w14:paraId="5E72C3F0">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5677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594" w:type="dxa"/>
            <w:shd w:val="clear" w:color="auto" w:fill="FFFFFF"/>
            <w:vAlign w:val="center"/>
          </w:tcPr>
          <w:p w14:paraId="389E0A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17</w:t>
            </w:r>
          </w:p>
        </w:tc>
        <w:tc>
          <w:tcPr>
            <w:tcW w:w="981" w:type="dxa"/>
            <w:shd w:val="clear" w:color="auto" w:fill="FFFFFF"/>
            <w:vAlign w:val="center"/>
          </w:tcPr>
          <w:p w14:paraId="032039B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AEF4A70">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7B4E31C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★硬盘插槽数量及规格</w:t>
            </w:r>
          </w:p>
        </w:tc>
        <w:tc>
          <w:tcPr>
            <w:tcW w:w="3990" w:type="dxa"/>
            <w:shd w:val="clear" w:color="auto" w:fill="FFFFFF"/>
            <w:vAlign w:val="center"/>
          </w:tcPr>
          <w:p w14:paraId="4A93439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供应商应给出配置的硬盘尺寸，如2.5英寸、3.5英寸硬磁盘；b）机箱高度为88.9mm的服务器可支持的硬盘数量应≥8块，机箱高度为44.45mm的服务器可支持的硬盘数量应≥4块。c）存储型服务器可支持硬盘数量应≥24块</w:t>
            </w:r>
          </w:p>
        </w:tc>
        <w:tc>
          <w:tcPr>
            <w:tcW w:w="1326" w:type="dxa"/>
            <w:shd w:val="clear" w:color="auto" w:fill="FFFFFF"/>
            <w:vAlign w:val="center"/>
          </w:tcPr>
          <w:p w14:paraId="16EA48DD">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B882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080" w:hRule="atLeast"/>
        </w:trPr>
        <w:tc>
          <w:tcPr>
            <w:tcW w:w="594" w:type="dxa"/>
            <w:shd w:val="clear" w:color="auto" w:fill="FFFFFF"/>
            <w:vAlign w:val="center"/>
          </w:tcPr>
          <w:p w14:paraId="03AC048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18</w:t>
            </w:r>
          </w:p>
        </w:tc>
        <w:tc>
          <w:tcPr>
            <w:tcW w:w="981" w:type="dxa"/>
            <w:shd w:val="clear" w:color="auto" w:fill="FFFFFF"/>
            <w:vAlign w:val="center"/>
          </w:tcPr>
          <w:p w14:paraId="2D6A4FC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ECBDDF0">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5ADC273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硬盘其他参数要求</w:t>
            </w:r>
          </w:p>
        </w:tc>
        <w:tc>
          <w:tcPr>
            <w:tcW w:w="3990" w:type="dxa"/>
            <w:shd w:val="clear" w:color="auto" w:fill="FFFFFF"/>
            <w:vAlign w:val="center"/>
          </w:tcPr>
          <w:p w14:paraId="0654792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drawing>
                <wp:anchor distT="0" distB="0" distL="114300" distR="114300" simplePos="0" relativeHeight="251663360" behindDoc="0" locked="0" layoutInCell="1" allowOverlap="1">
                  <wp:simplePos x="0" y="0"/>
                  <wp:positionH relativeFrom="column">
                    <wp:posOffset>9525</wp:posOffset>
                  </wp:positionH>
                  <wp:positionV relativeFrom="paragraph">
                    <wp:posOffset>471170</wp:posOffset>
                  </wp:positionV>
                  <wp:extent cx="76200" cy="47625"/>
                  <wp:effectExtent l="0" t="0" r="0" b="0"/>
                  <wp:wrapNone/>
                  <wp:docPr id="5" name="图片 5"/>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5"/>
                          <a:stretch>
                            <a:fillRect/>
                          </a:stretch>
                        </pic:blipFill>
                        <pic:spPr>
                          <a:xfrm>
                            <a:off x="0" y="0"/>
                            <a:ext cx="76200" cy="47625"/>
                          </a:xfrm>
                          <a:prstGeom prst="rect">
                            <a:avLst/>
                          </a:prstGeom>
                          <a:noFill/>
                          <a:ln>
                            <a:noFill/>
                          </a:ln>
                        </pic:spPr>
                      </pic:pic>
                    </a:graphicData>
                  </a:graphic>
                </wp:anchor>
              </w:drawing>
            </w:r>
            <w:r>
              <w:rPr>
                <w:rFonts w:hint="eastAsia" w:asciiTheme="minorEastAsia" w:hAnsiTheme="minorEastAsia" w:eastAsiaTheme="minorEastAsia" w:cstheme="minorEastAsia"/>
                <w:kern w:val="0"/>
                <w:sz w:val="24"/>
              </w:rPr>
              <w:t>a）机械硬盘准备时间应≤30s；侧面固定螺丝孔数量可为4孔或6孔；工作状态环境温度应满足5℃55℃,其他参数应符合GB/T12628的相关规定；b）若服务器支持固态盘，固态盘符合SJ/T11654相关规定</w:t>
            </w:r>
          </w:p>
        </w:tc>
        <w:tc>
          <w:tcPr>
            <w:tcW w:w="1326" w:type="dxa"/>
            <w:shd w:val="clear" w:color="auto" w:fill="FFFFFF"/>
            <w:vAlign w:val="center"/>
          </w:tcPr>
          <w:p w14:paraId="46DB3D0C">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52FF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 w:type="dxa"/>
            <w:shd w:val="clear" w:color="auto" w:fill="FFFFFF"/>
            <w:vAlign w:val="center"/>
          </w:tcPr>
          <w:p w14:paraId="78E3170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19</w:t>
            </w:r>
          </w:p>
        </w:tc>
        <w:tc>
          <w:tcPr>
            <w:tcW w:w="981" w:type="dxa"/>
            <w:shd w:val="clear" w:color="auto" w:fill="FFFFFF"/>
            <w:vAlign w:val="center"/>
          </w:tcPr>
          <w:p w14:paraId="40706EE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shd w:val="clear" w:color="auto" w:fill="FFFFFF"/>
            <w:vAlign w:val="center"/>
          </w:tcPr>
          <w:p w14:paraId="142A6BA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RAID卡规格（若支持RAID卡）</w:t>
            </w:r>
          </w:p>
        </w:tc>
        <w:tc>
          <w:tcPr>
            <w:tcW w:w="1578" w:type="dxa"/>
            <w:shd w:val="clear" w:color="auto" w:fill="FFFFFF"/>
            <w:vAlign w:val="center"/>
          </w:tcPr>
          <w:p w14:paraId="6A873F4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RAID卡支持的SAS接口数</w:t>
            </w:r>
          </w:p>
        </w:tc>
        <w:tc>
          <w:tcPr>
            <w:tcW w:w="3990" w:type="dxa"/>
            <w:shd w:val="clear" w:color="auto" w:fill="FFFFFF"/>
            <w:vAlign w:val="center"/>
          </w:tcPr>
          <w:p w14:paraId="2DF197F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1326" w:type="dxa"/>
            <w:shd w:val="clear" w:color="auto" w:fill="FFFFFF"/>
            <w:vAlign w:val="center"/>
          </w:tcPr>
          <w:p w14:paraId="0B7DD9FC">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9921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594" w:type="dxa"/>
            <w:shd w:val="clear" w:color="auto" w:fill="FFFFFF"/>
            <w:vAlign w:val="center"/>
          </w:tcPr>
          <w:p w14:paraId="4E5A470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20</w:t>
            </w:r>
          </w:p>
        </w:tc>
        <w:tc>
          <w:tcPr>
            <w:tcW w:w="981" w:type="dxa"/>
            <w:shd w:val="clear" w:color="auto" w:fill="FFFFFF"/>
            <w:vAlign w:val="center"/>
          </w:tcPr>
          <w:p w14:paraId="31D6CCC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shd w:val="clear" w:color="auto" w:fill="FFFFFF"/>
            <w:vAlign w:val="center"/>
          </w:tcPr>
          <w:p w14:paraId="207A658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SAS直通卡规格（若支持SAS直通卡）</w:t>
            </w:r>
          </w:p>
        </w:tc>
        <w:tc>
          <w:tcPr>
            <w:tcW w:w="1578" w:type="dxa"/>
            <w:shd w:val="clear" w:color="auto" w:fill="FFFFFF"/>
            <w:vAlign w:val="center"/>
          </w:tcPr>
          <w:p w14:paraId="30213E2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SAS直通卡SAS接口数量</w:t>
            </w:r>
          </w:p>
        </w:tc>
        <w:tc>
          <w:tcPr>
            <w:tcW w:w="3990" w:type="dxa"/>
            <w:shd w:val="clear" w:color="auto" w:fill="FFFFFF"/>
            <w:vAlign w:val="center"/>
          </w:tcPr>
          <w:p w14:paraId="00AA963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≥0</w:t>
            </w:r>
          </w:p>
        </w:tc>
        <w:tc>
          <w:tcPr>
            <w:tcW w:w="1326" w:type="dxa"/>
            <w:shd w:val="clear" w:color="auto" w:fill="FFFFFF"/>
            <w:vAlign w:val="center"/>
          </w:tcPr>
          <w:p w14:paraId="76108EEE">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201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 w:type="dxa"/>
            <w:shd w:val="clear" w:color="auto" w:fill="FFFFFF"/>
            <w:vAlign w:val="center"/>
          </w:tcPr>
          <w:p w14:paraId="374DB51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21</w:t>
            </w:r>
          </w:p>
        </w:tc>
        <w:tc>
          <w:tcPr>
            <w:tcW w:w="981" w:type="dxa"/>
            <w:shd w:val="clear" w:color="auto" w:fill="FFFFFF"/>
            <w:vAlign w:val="center"/>
          </w:tcPr>
          <w:p w14:paraId="1C897B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shd w:val="clear" w:color="auto" w:fill="FFFFFF"/>
            <w:vAlign w:val="center"/>
          </w:tcPr>
          <w:p w14:paraId="474C484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HBA卡规格（若支HBA直通卡）</w:t>
            </w:r>
          </w:p>
        </w:tc>
        <w:tc>
          <w:tcPr>
            <w:tcW w:w="1578" w:type="dxa"/>
            <w:shd w:val="clear" w:color="auto" w:fill="FFFFFF"/>
            <w:vAlign w:val="center"/>
          </w:tcPr>
          <w:p w14:paraId="6BF8389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HBA卡端口数量</w:t>
            </w:r>
          </w:p>
        </w:tc>
        <w:tc>
          <w:tcPr>
            <w:tcW w:w="3990" w:type="dxa"/>
            <w:shd w:val="clear" w:color="auto" w:fill="FFFFFF"/>
            <w:vAlign w:val="center"/>
          </w:tcPr>
          <w:p w14:paraId="6C3D069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≥0</w:t>
            </w:r>
          </w:p>
        </w:tc>
        <w:tc>
          <w:tcPr>
            <w:tcW w:w="1326" w:type="dxa"/>
            <w:shd w:val="clear" w:color="auto" w:fill="FFFFFF"/>
            <w:vAlign w:val="center"/>
          </w:tcPr>
          <w:p w14:paraId="4CD2F122">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1305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7DE12BD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22</w:t>
            </w:r>
          </w:p>
        </w:tc>
        <w:tc>
          <w:tcPr>
            <w:tcW w:w="981" w:type="dxa"/>
            <w:shd w:val="clear" w:color="auto" w:fill="FFFFFF"/>
            <w:vAlign w:val="center"/>
          </w:tcPr>
          <w:p w14:paraId="4B0EF06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30D76F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网络规格</w:t>
            </w:r>
          </w:p>
        </w:tc>
        <w:tc>
          <w:tcPr>
            <w:tcW w:w="1578" w:type="dxa"/>
            <w:shd w:val="clear" w:color="auto" w:fill="FFFFFF"/>
            <w:vAlign w:val="center"/>
          </w:tcPr>
          <w:p w14:paraId="1467281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★网口速率和数量</w:t>
            </w:r>
          </w:p>
        </w:tc>
        <w:tc>
          <w:tcPr>
            <w:tcW w:w="3990" w:type="dxa"/>
            <w:shd w:val="clear" w:color="auto" w:fill="FFFFFF"/>
            <w:vAlign w:val="center"/>
          </w:tcPr>
          <w:p w14:paraId="2F9D51B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配置10GE光口≥4个（满配10GE多模光模块）</w:t>
            </w:r>
          </w:p>
          <w:p w14:paraId="4F9EFB4D">
            <w:pPr>
              <w:widowControl/>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配置1GE电口≥2个</w:t>
            </w:r>
          </w:p>
        </w:tc>
        <w:tc>
          <w:tcPr>
            <w:tcW w:w="1326" w:type="dxa"/>
            <w:shd w:val="clear" w:color="auto" w:fill="FFFFFF"/>
            <w:vAlign w:val="center"/>
          </w:tcPr>
          <w:p w14:paraId="7D50D65B">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BE0A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594" w:type="dxa"/>
            <w:shd w:val="clear" w:color="auto" w:fill="FFFFFF"/>
            <w:vAlign w:val="center"/>
          </w:tcPr>
          <w:p w14:paraId="073F35E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23</w:t>
            </w:r>
          </w:p>
        </w:tc>
        <w:tc>
          <w:tcPr>
            <w:tcW w:w="981" w:type="dxa"/>
            <w:shd w:val="clear" w:color="auto" w:fill="FFFFFF"/>
            <w:vAlign w:val="center"/>
          </w:tcPr>
          <w:p w14:paraId="7B84ADB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B25F4FE">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0EECC86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存储型服务器网口速率和数量</w:t>
            </w:r>
          </w:p>
        </w:tc>
        <w:tc>
          <w:tcPr>
            <w:tcW w:w="3990" w:type="dxa"/>
            <w:shd w:val="clear" w:color="auto" w:fill="FFFFFF"/>
            <w:vAlign w:val="center"/>
          </w:tcPr>
          <w:p w14:paraId="1C4B4E3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存储型服务器1GE 网口数量≥2 个，10GE 以上网口数量≥2个（不涉及）</w:t>
            </w:r>
          </w:p>
        </w:tc>
        <w:tc>
          <w:tcPr>
            <w:tcW w:w="1326" w:type="dxa"/>
            <w:shd w:val="clear" w:color="auto" w:fill="FFFFFF"/>
            <w:vAlign w:val="center"/>
          </w:tcPr>
          <w:p w14:paraId="6CD86B9D">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7E2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594" w:type="dxa"/>
            <w:shd w:val="clear" w:color="auto" w:fill="FFFFFF"/>
            <w:vAlign w:val="center"/>
          </w:tcPr>
          <w:p w14:paraId="51A03FA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24</w:t>
            </w:r>
          </w:p>
        </w:tc>
        <w:tc>
          <w:tcPr>
            <w:tcW w:w="981" w:type="dxa"/>
            <w:shd w:val="clear" w:color="auto" w:fill="FFFFFF"/>
            <w:vAlign w:val="center"/>
          </w:tcPr>
          <w:p w14:paraId="5138B38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1EE45A7">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149B0D9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独立网卡网口数量</w:t>
            </w:r>
          </w:p>
        </w:tc>
        <w:tc>
          <w:tcPr>
            <w:tcW w:w="3990" w:type="dxa"/>
            <w:shd w:val="clear" w:color="auto" w:fill="FFFFFF"/>
            <w:vAlign w:val="center"/>
          </w:tcPr>
          <w:p w14:paraId="4AF1BDC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配备10GE独立网卡，独立网卡网口数量≥2</w:t>
            </w:r>
          </w:p>
        </w:tc>
        <w:tc>
          <w:tcPr>
            <w:tcW w:w="1326" w:type="dxa"/>
            <w:shd w:val="clear" w:color="auto" w:fill="FFFFFF"/>
            <w:vAlign w:val="center"/>
          </w:tcPr>
          <w:p w14:paraId="23AC3088">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56E0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4148FA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25</w:t>
            </w:r>
          </w:p>
        </w:tc>
        <w:tc>
          <w:tcPr>
            <w:tcW w:w="981" w:type="dxa"/>
            <w:shd w:val="clear" w:color="auto" w:fill="FFFFFF"/>
            <w:vAlign w:val="center"/>
          </w:tcPr>
          <w:p w14:paraId="0D35AF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099C976">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4EDA958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独立网卡接口类型</w:t>
            </w:r>
          </w:p>
        </w:tc>
        <w:tc>
          <w:tcPr>
            <w:tcW w:w="3990" w:type="dxa"/>
            <w:shd w:val="clear" w:color="auto" w:fill="FFFFFF"/>
            <w:vAlign w:val="center"/>
          </w:tcPr>
          <w:p w14:paraId="1EC002B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支持RJ45/QSFP/SFP等</w:t>
            </w:r>
          </w:p>
        </w:tc>
        <w:tc>
          <w:tcPr>
            <w:tcW w:w="1326" w:type="dxa"/>
            <w:shd w:val="clear" w:color="auto" w:fill="FFFFFF"/>
            <w:vAlign w:val="center"/>
          </w:tcPr>
          <w:p w14:paraId="486B5AA8">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4A2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594" w:type="dxa"/>
            <w:shd w:val="clear" w:color="auto" w:fill="FFFFFF"/>
            <w:vAlign w:val="center"/>
          </w:tcPr>
          <w:p w14:paraId="09A70FE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26</w:t>
            </w:r>
          </w:p>
        </w:tc>
        <w:tc>
          <w:tcPr>
            <w:tcW w:w="981" w:type="dxa"/>
            <w:shd w:val="clear" w:color="auto" w:fill="FFFFFF"/>
            <w:vAlign w:val="center"/>
          </w:tcPr>
          <w:p w14:paraId="22D7FD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5D754C8D">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5EDE867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板载网卡接口类型</w:t>
            </w:r>
          </w:p>
        </w:tc>
        <w:tc>
          <w:tcPr>
            <w:tcW w:w="3990" w:type="dxa"/>
            <w:shd w:val="clear" w:color="auto" w:fill="FFFFFF"/>
            <w:vAlign w:val="center"/>
          </w:tcPr>
          <w:p w14:paraId="2092061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支持RJ45/QSFP/SFP等</w:t>
            </w:r>
          </w:p>
        </w:tc>
        <w:tc>
          <w:tcPr>
            <w:tcW w:w="1326" w:type="dxa"/>
            <w:shd w:val="clear" w:color="auto" w:fill="FFFFFF"/>
            <w:vAlign w:val="center"/>
          </w:tcPr>
          <w:p w14:paraId="410F7715">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C85D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1C3823A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27</w:t>
            </w:r>
          </w:p>
        </w:tc>
        <w:tc>
          <w:tcPr>
            <w:tcW w:w="981" w:type="dxa"/>
            <w:shd w:val="clear" w:color="auto" w:fill="FFFFFF"/>
            <w:vAlign w:val="center"/>
          </w:tcPr>
          <w:p w14:paraId="0EA99CF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309BA4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外部接口规格</w:t>
            </w:r>
          </w:p>
        </w:tc>
        <w:tc>
          <w:tcPr>
            <w:tcW w:w="1578" w:type="dxa"/>
            <w:shd w:val="clear" w:color="auto" w:fill="FFFFFF"/>
            <w:vAlign w:val="center"/>
          </w:tcPr>
          <w:p w14:paraId="6AF191E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★显示接口</w:t>
            </w:r>
          </w:p>
        </w:tc>
        <w:tc>
          <w:tcPr>
            <w:tcW w:w="3990" w:type="dxa"/>
            <w:shd w:val="clear" w:color="auto" w:fill="FFFFFF"/>
            <w:vAlign w:val="center"/>
          </w:tcPr>
          <w:p w14:paraId="2BD5B20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显示接口类型应≥1种，如：VGA、DP、HDMI等</w:t>
            </w:r>
          </w:p>
        </w:tc>
        <w:tc>
          <w:tcPr>
            <w:tcW w:w="1326" w:type="dxa"/>
            <w:shd w:val="clear" w:color="auto" w:fill="FFFFFF"/>
            <w:vAlign w:val="center"/>
          </w:tcPr>
          <w:p w14:paraId="02452270">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16A7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594" w:type="dxa"/>
            <w:shd w:val="clear" w:color="auto" w:fill="FFFFFF"/>
            <w:vAlign w:val="center"/>
          </w:tcPr>
          <w:p w14:paraId="7F2D22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28</w:t>
            </w:r>
          </w:p>
        </w:tc>
        <w:tc>
          <w:tcPr>
            <w:tcW w:w="981" w:type="dxa"/>
            <w:shd w:val="clear" w:color="auto" w:fill="FFFFFF"/>
            <w:vAlign w:val="center"/>
          </w:tcPr>
          <w:p w14:paraId="57C7FED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07CBE73">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30406E3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★USB接口</w:t>
            </w:r>
          </w:p>
        </w:tc>
        <w:tc>
          <w:tcPr>
            <w:tcW w:w="3990" w:type="dxa"/>
            <w:shd w:val="clear" w:color="auto" w:fill="FFFFFF"/>
            <w:vAlign w:val="center"/>
          </w:tcPr>
          <w:p w14:paraId="1EA86AD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配备USB接口，如USB2.0、USB3.0等</w:t>
            </w:r>
          </w:p>
        </w:tc>
        <w:tc>
          <w:tcPr>
            <w:tcW w:w="1326" w:type="dxa"/>
            <w:shd w:val="clear" w:color="auto" w:fill="FFFFFF"/>
            <w:vAlign w:val="center"/>
          </w:tcPr>
          <w:p w14:paraId="113551D8">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FB40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6965C18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29</w:t>
            </w:r>
          </w:p>
        </w:tc>
        <w:tc>
          <w:tcPr>
            <w:tcW w:w="981" w:type="dxa"/>
            <w:shd w:val="clear" w:color="auto" w:fill="FFFFFF"/>
            <w:vAlign w:val="center"/>
          </w:tcPr>
          <w:p w14:paraId="4F46173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EEF1784">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53F5DD1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特殊接口及孔位</w:t>
            </w:r>
          </w:p>
        </w:tc>
        <w:tc>
          <w:tcPr>
            <w:tcW w:w="3990" w:type="dxa"/>
            <w:shd w:val="clear" w:color="auto" w:fill="FFFFFF"/>
            <w:vAlign w:val="center"/>
          </w:tcPr>
          <w:p w14:paraId="13E4361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前面板预留1个专用USB母座接口孔位</w:t>
            </w:r>
          </w:p>
        </w:tc>
        <w:tc>
          <w:tcPr>
            <w:tcW w:w="1326" w:type="dxa"/>
            <w:shd w:val="clear" w:color="auto" w:fill="FFFFFF"/>
            <w:vAlign w:val="center"/>
          </w:tcPr>
          <w:p w14:paraId="01900C82">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14B6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594" w:type="dxa"/>
            <w:shd w:val="clear" w:color="auto" w:fill="FFFFFF"/>
            <w:vAlign w:val="center"/>
          </w:tcPr>
          <w:p w14:paraId="48D1F11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30</w:t>
            </w:r>
          </w:p>
        </w:tc>
        <w:tc>
          <w:tcPr>
            <w:tcW w:w="981" w:type="dxa"/>
            <w:shd w:val="clear" w:color="auto" w:fill="FFFFFF"/>
            <w:vAlign w:val="center"/>
          </w:tcPr>
          <w:p w14:paraId="067DDE13">
            <w:pPr>
              <w:widowControl/>
              <w:jc w:val="center"/>
              <w:rPr>
                <w:rFonts w:asciiTheme="minorEastAsia" w:hAnsiTheme="minorEastAsia" w:eastAsiaTheme="minorEastAsia" w:cstheme="minorEastAsia"/>
                <w:kern w:val="0"/>
                <w:sz w:val="24"/>
              </w:rPr>
            </w:pPr>
          </w:p>
        </w:tc>
        <w:tc>
          <w:tcPr>
            <w:tcW w:w="981" w:type="dxa"/>
            <w:vMerge w:val="continue"/>
            <w:shd w:val="clear" w:color="auto" w:fill="FFFFFF"/>
            <w:vAlign w:val="center"/>
          </w:tcPr>
          <w:p w14:paraId="7A4FECB4">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55698AA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其他接口</w:t>
            </w:r>
          </w:p>
        </w:tc>
        <w:tc>
          <w:tcPr>
            <w:tcW w:w="3990" w:type="dxa"/>
            <w:shd w:val="clear" w:color="auto" w:fill="FFFFFF"/>
            <w:vAlign w:val="center"/>
          </w:tcPr>
          <w:p w14:paraId="626B310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a）串口数量≥1个，并可实现GB/T6107或GB/T26803.2的相关功能；b）服务器主机前面板可根据用户实际使用需求预留1个专用USB母座接口孔位</w:t>
            </w:r>
          </w:p>
        </w:tc>
        <w:tc>
          <w:tcPr>
            <w:tcW w:w="1326" w:type="dxa"/>
            <w:shd w:val="clear" w:color="auto" w:fill="FFFFFF"/>
            <w:vAlign w:val="center"/>
          </w:tcPr>
          <w:p w14:paraId="5B86DD44">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456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3EA260F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31</w:t>
            </w:r>
          </w:p>
        </w:tc>
        <w:tc>
          <w:tcPr>
            <w:tcW w:w="981" w:type="dxa"/>
            <w:shd w:val="clear" w:color="auto" w:fill="FFFFFF"/>
            <w:vAlign w:val="center"/>
          </w:tcPr>
          <w:p w14:paraId="13B007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68EAD9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电源规格</w:t>
            </w:r>
          </w:p>
        </w:tc>
        <w:tc>
          <w:tcPr>
            <w:tcW w:w="1578" w:type="dxa"/>
            <w:shd w:val="clear" w:color="auto" w:fill="FFFFFF"/>
            <w:vAlign w:val="center"/>
          </w:tcPr>
          <w:p w14:paraId="305927F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电源冗余模式</w:t>
            </w:r>
          </w:p>
        </w:tc>
        <w:tc>
          <w:tcPr>
            <w:tcW w:w="3990" w:type="dxa"/>
            <w:shd w:val="clear" w:color="auto" w:fill="FFFFFF"/>
            <w:vAlign w:val="center"/>
          </w:tcPr>
          <w:p w14:paraId="47B8EAE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整机电源模块按1+1冗余或N+1冗余配置</w:t>
            </w:r>
          </w:p>
        </w:tc>
        <w:tc>
          <w:tcPr>
            <w:tcW w:w="1326" w:type="dxa"/>
            <w:shd w:val="clear" w:color="auto" w:fill="FFFFFF"/>
            <w:vAlign w:val="center"/>
          </w:tcPr>
          <w:p w14:paraId="6E91B57A">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7451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092D68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w:t>
            </w:r>
          </w:p>
        </w:tc>
        <w:tc>
          <w:tcPr>
            <w:tcW w:w="981" w:type="dxa"/>
            <w:shd w:val="clear" w:color="auto" w:fill="FFFFFF"/>
            <w:vAlign w:val="center"/>
          </w:tcPr>
          <w:p w14:paraId="5C3ECDE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6C379232">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065C29B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★电源模块数量</w:t>
            </w:r>
          </w:p>
        </w:tc>
        <w:tc>
          <w:tcPr>
            <w:tcW w:w="3990" w:type="dxa"/>
            <w:shd w:val="clear" w:color="auto" w:fill="FFFFFF"/>
            <w:vAlign w:val="center"/>
          </w:tcPr>
          <w:p w14:paraId="5B9BBDE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1326" w:type="dxa"/>
            <w:shd w:val="clear" w:color="auto" w:fill="FFFFFF"/>
            <w:vAlign w:val="center"/>
          </w:tcPr>
          <w:p w14:paraId="3AA9EF05">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224C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741A274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33</w:t>
            </w:r>
          </w:p>
        </w:tc>
        <w:tc>
          <w:tcPr>
            <w:tcW w:w="981" w:type="dxa"/>
            <w:shd w:val="clear" w:color="auto" w:fill="FFFFFF"/>
            <w:vAlign w:val="center"/>
          </w:tcPr>
          <w:p w14:paraId="69A89C3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5BD20D9B">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70EC9FA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★电源功率</w:t>
            </w:r>
          </w:p>
        </w:tc>
        <w:tc>
          <w:tcPr>
            <w:tcW w:w="3990" w:type="dxa"/>
            <w:shd w:val="clear" w:color="auto" w:fill="FFFFFF"/>
            <w:vAlign w:val="center"/>
          </w:tcPr>
          <w:p w14:paraId="2320D2E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电源模块功率应有一定冗余，满足处理器满载时的需求</w:t>
            </w:r>
          </w:p>
        </w:tc>
        <w:tc>
          <w:tcPr>
            <w:tcW w:w="1326" w:type="dxa"/>
            <w:shd w:val="clear" w:color="auto" w:fill="FFFFFF"/>
            <w:vAlign w:val="center"/>
          </w:tcPr>
          <w:p w14:paraId="463179E1">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53A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594" w:type="dxa"/>
            <w:shd w:val="clear" w:color="auto" w:fill="FFFFFF"/>
            <w:vAlign w:val="center"/>
          </w:tcPr>
          <w:p w14:paraId="32EEF4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34</w:t>
            </w:r>
          </w:p>
        </w:tc>
        <w:tc>
          <w:tcPr>
            <w:tcW w:w="981" w:type="dxa"/>
            <w:shd w:val="clear" w:color="auto" w:fill="FFFFFF"/>
            <w:vAlign w:val="center"/>
          </w:tcPr>
          <w:p w14:paraId="520C584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DCF5950">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7DD1468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电源指示灯</w:t>
            </w:r>
          </w:p>
        </w:tc>
        <w:tc>
          <w:tcPr>
            <w:tcW w:w="3990" w:type="dxa"/>
            <w:shd w:val="clear" w:color="auto" w:fill="FFFFFF"/>
            <w:vAlign w:val="center"/>
          </w:tcPr>
          <w:p w14:paraId="32717AC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配备电源指示灯，指示待机、工作异常等状态</w:t>
            </w:r>
          </w:p>
        </w:tc>
        <w:tc>
          <w:tcPr>
            <w:tcW w:w="1326" w:type="dxa"/>
            <w:shd w:val="clear" w:color="auto" w:fill="FFFFFF"/>
            <w:vAlign w:val="center"/>
          </w:tcPr>
          <w:p w14:paraId="15D01890">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06B7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0" w:hRule="atLeast"/>
        </w:trPr>
        <w:tc>
          <w:tcPr>
            <w:tcW w:w="594" w:type="dxa"/>
            <w:shd w:val="clear" w:color="auto" w:fill="FFFFFF"/>
            <w:vAlign w:val="center"/>
          </w:tcPr>
          <w:p w14:paraId="05946D3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35</w:t>
            </w:r>
          </w:p>
        </w:tc>
        <w:tc>
          <w:tcPr>
            <w:tcW w:w="981" w:type="dxa"/>
            <w:shd w:val="clear" w:color="auto" w:fill="FFFFFF"/>
            <w:vAlign w:val="center"/>
          </w:tcPr>
          <w:p w14:paraId="678B650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7B2506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整机规格</w:t>
            </w:r>
          </w:p>
        </w:tc>
        <w:tc>
          <w:tcPr>
            <w:tcW w:w="1578" w:type="dxa"/>
            <w:shd w:val="clear" w:color="auto" w:fill="FFFFFF"/>
            <w:vAlign w:val="center"/>
          </w:tcPr>
          <w:p w14:paraId="68B6CEB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★外观和结构</w:t>
            </w:r>
          </w:p>
        </w:tc>
        <w:tc>
          <w:tcPr>
            <w:tcW w:w="3990" w:type="dxa"/>
            <w:shd w:val="clear" w:color="auto" w:fill="FFFFFF"/>
            <w:vAlign w:val="center"/>
          </w:tcPr>
          <w:p w14:paraId="7D5A0BA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服务器的零部件应紧固无松动，可插拔部件应可靠连接，开关、按钮和其他控制部件应灵活可靠，布局应方便使用；b）产品表面不应有明显的凹痕、划伤、裂缝、变形和污染等。表面涂层均匀，不应起泡、龟裂、脱落和磨损，金属零部件无锈蚀及其它机械损伤；c）产品表面说明功能的文字、符号和标志应清晰、端正且牢固；d）应在服务器的显著位置提供运行状态的指示功能，并在技术文件或者技术白皮书中明确具体含义；e）机架、机箱的尺寸应符合通用机柜的安装要求，插入总线插座的电路板接口外形尺寸应符合有关总线标准的规定，将机箱固定在机柜上，机箱底面最大下垂变形不得干涉相邻机体；f）服务器尺寸具体要求在技术文件或者技术白皮书中明确</w:t>
            </w:r>
          </w:p>
        </w:tc>
        <w:tc>
          <w:tcPr>
            <w:tcW w:w="1326" w:type="dxa"/>
            <w:shd w:val="clear" w:color="auto" w:fill="FFFFFF"/>
            <w:vAlign w:val="center"/>
          </w:tcPr>
          <w:p w14:paraId="7AEAD000">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0200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 w:type="dxa"/>
            <w:shd w:val="clear" w:color="auto" w:fill="FFFFFF"/>
            <w:vAlign w:val="center"/>
          </w:tcPr>
          <w:p w14:paraId="66C380B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36</w:t>
            </w:r>
          </w:p>
        </w:tc>
        <w:tc>
          <w:tcPr>
            <w:tcW w:w="981" w:type="dxa"/>
            <w:shd w:val="clear" w:color="auto" w:fill="FFFFFF"/>
            <w:vAlign w:val="center"/>
          </w:tcPr>
          <w:p w14:paraId="6AF6ADC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19570C2">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3F43D3D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★尺寸（高×宽×深）</w:t>
            </w:r>
          </w:p>
        </w:tc>
        <w:tc>
          <w:tcPr>
            <w:tcW w:w="3990" w:type="dxa"/>
            <w:shd w:val="clear" w:color="auto" w:fill="FFFFFF"/>
            <w:vAlign w:val="center"/>
          </w:tcPr>
          <w:p w14:paraId="1724E02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供应商给出产品尺寸；设计应遵循标准化、系列化的要求；机箱的内部结构符合通用部件的安装需要</w:t>
            </w:r>
          </w:p>
        </w:tc>
        <w:tc>
          <w:tcPr>
            <w:tcW w:w="1326" w:type="dxa"/>
            <w:shd w:val="clear" w:color="auto" w:fill="FFFFFF"/>
            <w:vAlign w:val="center"/>
          </w:tcPr>
          <w:p w14:paraId="4565AC54">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0A51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594" w:type="dxa"/>
            <w:shd w:val="clear" w:color="auto" w:fill="FFFFFF"/>
            <w:vAlign w:val="center"/>
          </w:tcPr>
          <w:p w14:paraId="49BF25B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37</w:t>
            </w:r>
          </w:p>
        </w:tc>
        <w:tc>
          <w:tcPr>
            <w:tcW w:w="981" w:type="dxa"/>
            <w:shd w:val="clear" w:color="auto" w:fill="FFFFFF"/>
            <w:vAlign w:val="center"/>
          </w:tcPr>
          <w:p w14:paraId="28732DF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1F29EF7C">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0C933E4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服务器导轨</w:t>
            </w:r>
          </w:p>
        </w:tc>
        <w:tc>
          <w:tcPr>
            <w:tcW w:w="3990" w:type="dxa"/>
            <w:shd w:val="clear" w:color="auto" w:fill="FFFFFF"/>
            <w:vAlign w:val="center"/>
          </w:tcPr>
          <w:p w14:paraId="40326B1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供应商给出导轨尺寸、安装方式等信息</w:t>
            </w:r>
          </w:p>
        </w:tc>
        <w:tc>
          <w:tcPr>
            <w:tcW w:w="1326" w:type="dxa"/>
            <w:shd w:val="clear" w:color="auto" w:fill="FFFFFF"/>
            <w:vAlign w:val="center"/>
          </w:tcPr>
          <w:p w14:paraId="224CEB87">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C1A2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594" w:type="dxa"/>
            <w:shd w:val="clear" w:color="auto" w:fill="FFFFFF"/>
            <w:vAlign w:val="center"/>
          </w:tcPr>
          <w:p w14:paraId="496A7E5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38</w:t>
            </w:r>
          </w:p>
        </w:tc>
        <w:tc>
          <w:tcPr>
            <w:tcW w:w="981" w:type="dxa"/>
            <w:shd w:val="clear" w:color="auto" w:fill="FFFFFF"/>
            <w:vAlign w:val="center"/>
          </w:tcPr>
          <w:p w14:paraId="2846E47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A17BC83">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1F87E80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CPU个数与机柜高度单位（U）比</w:t>
            </w:r>
          </w:p>
        </w:tc>
        <w:tc>
          <w:tcPr>
            <w:tcW w:w="3990" w:type="dxa"/>
            <w:shd w:val="clear" w:color="auto" w:fill="FFFFFF"/>
            <w:vAlign w:val="center"/>
          </w:tcPr>
          <w:p w14:paraId="232F8A3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供应商给出CPU个数与机柜高度</w:t>
            </w:r>
          </w:p>
        </w:tc>
        <w:tc>
          <w:tcPr>
            <w:tcW w:w="1326" w:type="dxa"/>
            <w:shd w:val="clear" w:color="auto" w:fill="FFFFFF"/>
            <w:vAlign w:val="center"/>
          </w:tcPr>
          <w:p w14:paraId="4756FD74">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CA34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594" w:type="dxa"/>
            <w:shd w:val="clear" w:color="auto" w:fill="FFFFFF"/>
            <w:vAlign w:val="center"/>
          </w:tcPr>
          <w:p w14:paraId="3733933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39</w:t>
            </w:r>
          </w:p>
        </w:tc>
        <w:tc>
          <w:tcPr>
            <w:tcW w:w="981" w:type="dxa"/>
            <w:shd w:val="clear" w:color="auto" w:fill="FFFFFF"/>
            <w:vAlign w:val="center"/>
          </w:tcPr>
          <w:p w14:paraId="28A32A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535FF38B">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33B6F4E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★环境适应性</w:t>
            </w:r>
          </w:p>
        </w:tc>
        <w:tc>
          <w:tcPr>
            <w:tcW w:w="3990" w:type="dxa"/>
            <w:shd w:val="clear" w:color="auto" w:fill="FFFFFF"/>
            <w:vAlign w:val="center"/>
          </w:tcPr>
          <w:p w14:paraId="303474D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气候环境适应性应符合GB/T9813.3的有关规定，工作温度10~35℃,贮存运输温度-40～55℃;工作相对湿度35%～80%，贮存运输相对湿度20％～93%（40℃）;大气压86～106kPa</w:t>
            </w:r>
          </w:p>
        </w:tc>
        <w:tc>
          <w:tcPr>
            <w:tcW w:w="1326" w:type="dxa"/>
            <w:shd w:val="clear" w:color="auto" w:fill="FFFFFF"/>
            <w:vAlign w:val="center"/>
          </w:tcPr>
          <w:p w14:paraId="3C07EC23">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0C26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 w:type="dxa"/>
            <w:shd w:val="clear" w:color="auto" w:fill="FFFFFF"/>
            <w:vAlign w:val="center"/>
          </w:tcPr>
          <w:p w14:paraId="65EE44A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40</w:t>
            </w:r>
          </w:p>
        </w:tc>
        <w:tc>
          <w:tcPr>
            <w:tcW w:w="981" w:type="dxa"/>
            <w:shd w:val="clear" w:color="auto" w:fill="FFFFFF"/>
            <w:vAlign w:val="center"/>
          </w:tcPr>
          <w:p w14:paraId="6D8D987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B6B5D27">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33C072A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特殊机型环境适应性</w:t>
            </w:r>
          </w:p>
        </w:tc>
        <w:tc>
          <w:tcPr>
            <w:tcW w:w="3990" w:type="dxa"/>
            <w:shd w:val="clear" w:color="auto" w:fill="FFFFFF"/>
            <w:vAlign w:val="center"/>
          </w:tcPr>
          <w:p w14:paraId="4D1C760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边缘应用服务器，工作环境温度宜为0～45℃,短期工作可承受环境温度宜为-5～55℃,液冷服务器贮存运输温度宜为-30～55℃</w:t>
            </w:r>
          </w:p>
        </w:tc>
        <w:tc>
          <w:tcPr>
            <w:tcW w:w="1326" w:type="dxa"/>
            <w:shd w:val="clear" w:color="auto" w:fill="FFFFFF"/>
            <w:vAlign w:val="center"/>
          </w:tcPr>
          <w:p w14:paraId="0A4D3B08">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C024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002F92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41</w:t>
            </w:r>
          </w:p>
        </w:tc>
        <w:tc>
          <w:tcPr>
            <w:tcW w:w="981" w:type="dxa"/>
            <w:shd w:val="clear" w:color="auto" w:fill="FFFFFF"/>
            <w:vAlign w:val="center"/>
          </w:tcPr>
          <w:p w14:paraId="50A54C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5FEE48A6">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2ACDD9D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★机械环境适应性</w:t>
            </w:r>
          </w:p>
        </w:tc>
        <w:tc>
          <w:tcPr>
            <w:tcW w:w="3990" w:type="dxa"/>
            <w:shd w:val="clear" w:color="auto" w:fill="FFFFFF"/>
            <w:vAlign w:val="center"/>
          </w:tcPr>
          <w:p w14:paraId="4BBB2CB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机械环境适应性应符合GB/T9813.3的有关规定</w:t>
            </w:r>
          </w:p>
        </w:tc>
        <w:tc>
          <w:tcPr>
            <w:tcW w:w="1326" w:type="dxa"/>
            <w:shd w:val="clear" w:color="auto" w:fill="FFFFFF"/>
            <w:vAlign w:val="center"/>
          </w:tcPr>
          <w:p w14:paraId="7744C370">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A484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 w:type="dxa"/>
            <w:shd w:val="clear" w:color="auto" w:fill="FFFFFF"/>
            <w:vAlign w:val="center"/>
          </w:tcPr>
          <w:p w14:paraId="309F853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42</w:t>
            </w:r>
          </w:p>
        </w:tc>
        <w:tc>
          <w:tcPr>
            <w:tcW w:w="981" w:type="dxa"/>
            <w:shd w:val="clear" w:color="auto" w:fill="FFFFFF"/>
            <w:vAlign w:val="center"/>
          </w:tcPr>
          <w:p w14:paraId="15A446C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2EDC7322">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503C96D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★噪声</w:t>
            </w:r>
          </w:p>
        </w:tc>
        <w:tc>
          <w:tcPr>
            <w:tcW w:w="3990" w:type="dxa"/>
            <w:shd w:val="clear" w:color="auto" w:fill="FFFFFF"/>
            <w:vAlign w:val="center"/>
          </w:tcPr>
          <w:p w14:paraId="79E6982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符合GB/T9813.3的有关规定，在产品说明中给出具体测试值塔式服务器噪声在空闲状态下≤50dB</w:t>
            </w:r>
          </w:p>
        </w:tc>
        <w:tc>
          <w:tcPr>
            <w:tcW w:w="1326" w:type="dxa"/>
            <w:shd w:val="clear" w:color="auto" w:fill="FFFFFF"/>
            <w:vAlign w:val="center"/>
          </w:tcPr>
          <w:p w14:paraId="6775DA95">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EFA0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594" w:type="dxa"/>
            <w:shd w:val="clear" w:color="auto" w:fill="FFFFFF"/>
            <w:vAlign w:val="center"/>
          </w:tcPr>
          <w:p w14:paraId="51749A4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43</w:t>
            </w:r>
          </w:p>
        </w:tc>
        <w:tc>
          <w:tcPr>
            <w:tcW w:w="981" w:type="dxa"/>
            <w:shd w:val="clear" w:color="auto" w:fill="FFFFFF"/>
            <w:vAlign w:val="center"/>
          </w:tcPr>
          <w:p w14:paraId="024A906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75766E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AI计算单元规格</w:t>
            </w:r>
          </w:p>
        </w:tc>
        <w:tc>
          <w:tcPr>
            <w:tcW w:w="1578" w:type="dxa"/>
            <w:shd w:val="clear" w:color="auto" w:fill="FFFFFF"/>
            <w:vAlign w:val="center"/>
          </w:tcPr>
          <w:p w14:paraId="44B5E83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AI计算单元</w:t>
            </w:r>
          </w:p>
        </w:tc>
        <w:tc>
          <w:tcPr>
            <w:tcW w:w="3990" w:type="dxa"/>
            <w:shd w:val="clear" w:color="auto" w:fill="FFFFFF"/>
            <w:vAlign w:val="center"/>
          </w:tcPr>
          <w:p w14:paraId="7A43E34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配置1块，显存≥24G，单精度≥16.3 TFLOPS</w:t>
            </w:r>
          </w:p>
        </w:tc>
        <w:tc>
          <w:tcPr>
            <w:tcW w:w="1326" w:type="dxa"/>
            <w:shd w:val="clear" w:color="auto" w:fill="FFFFFF"/>
            <w:vAlign w:val="center"/>
          </w:tcPr>
          <w:p w14:paraId="59153763">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75CE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1BD58F4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44</w:t>
            </w:r>
          </w:p>
        </w:tc>
        <w:tc>
          <w:tcPr>
            <w:tcW w:w="981" w:type="dxa"/>
            <w:shd w:val="clear" w:color="auto" w:fill="FFFFFF"/>
            <w:vAlign w:val="center"/>
          </w:tcPr>
          <w:p w14:paraId="73CFEE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7CAF731">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2211337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一键式迁移</w:t>
            </w:r>
          </w:p>
        </w:tc>
        <w:tc>
          <w:tcPr>
            <w:tcW w:w="3990" w:type="dxa"/>
            <w:shd w:val="clear" w:color="auto" w:fill="FFFFFF"/>
            <w:vAlign w:val="center"/>
          </w:tcPr>
          <w:p w14:paraId="302FA8E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若服务器配备AI计算单元，提供训练脚本迁移工具</w:t>
            </w:r>
          </w:p>
        </w:tc>
        <w:tc>
          <w:tcPr>
            <w:tcW w:w="1326" w:type="dxa"/>
            <w:shd w:val="clear" w:color="auto" w:fill="FFFFFF"/>
            <w:vAlign w:val="center"/>
          </w:tcPr>
          <w:p w14:paraId="7A3480F1">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6D20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594" w:type="dxa"/>
            <w:shd w:val="clear" w:color="auto" w:fill="FFFFFF"/>
            <w:vAlign w:val="center"/>
          </w:tcPr>
          <w:p w14:paraId="060F4F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45</w:t>
            </w:r>
          </w:p>
        </w:tc>
        <w:tc>
          <w:tcPr>
            <w:tcW w:w="981" w:type="dxa"/>
            <w:shd w:val="clear" w:color="auto" w:fill="FFFFFF"/>
            <w:vAlign w:val="center"/>
          </w:tcPr>
          <w:p w14:paraId="04A04FD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3E7E107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机柜规格</w:t>
            </w:r>
          </w:p>
        </w:tc>
        <w:tc>
          <w:tcPr>
            <w:tcW w:w="1578" w:type="dxa"/>
            <w:shd w:val="clear" w:color="auto" w:fill="FFFFFF"/>
            <w:vAlign w:val="center"/>
          </w:tcPr>
          <w:p w14:paraId="24C738F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★机柜尺寸</w:t>
            </w:r>
          </w:p>
        </w:tc>
        <w:tc>
          <w:tcPr>
            <w:tcW w:w="3990" w:type="dxa"/>
            <w:shd w:val="clear" w:color="auto" w:fill="FFFFFF"/>
            <w:vAlign w:val="center"/>
          </w:tcPr>
          <w:p w14:paraId="3667C9D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供应商给出长度、高度和深度</w:t>
            </w:r>
          </w:p>
        </w:tc>
        <w:tc>
          <w:tcPr>
            <w:tcW w:w="1326" w:type="dxa"/>
            <w:shd w:val="clear" w:color="auto" w:fill="FFFFFF"/>
            <w:vAlign w:val="center"/>
          </w:tcPr>
          <w:p w14:paraId="52F246C6">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ACA5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594" w:type="dxa"/>
            <w:shd w:val="clear" w:color="auto" w:fill="FFFFFF"/>
            <w:vAlign w:val="center"/>
          </w:tcPr>
          <w:p w14:paraId="1DE43F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46</w:t>
            </w:r>
          </w:p>
        </w:tc>
        <w:tc>
          <w:tcPr>
            <w:tcW w:w="981" w:type="dxa"/>
            <w:shd w:val="clear" w:color="auto" w:fill="FFFFFF"/>
            <w:vAlign w:val="center"/>
          </w:tcPr>
          <w:p w14:paraId="5C563B9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23BB6BDC">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3FBBC72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机柜管理板</w:t>
            </w:r>
          </w:p>
        </w:tc>
        <w:tc>
          <w:tcPr>
            <w:tcW w:w="3990" w:type="dxa"/>
            <w:shd w:val="clear" w:color="auto" w:fill="FFFFFF"/>
            <w:vAlign w:val="center"/>
          </w:tcPr>
          <w:p w14:paraId="7614F26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配备机柜管理板</w:t>
            </w:r>
          </w:p>
        </w:tc>
        <w:tc>
          <w:tcPr>
            <w:tcW w:w="1326" w:type="dxa"/>
            <w:shd w:val="clear" w:color="auto" w:fill="FFFFFF"/>
            <w:vAlign w:val="center"/>
          </w:tcPr>
          <w:p w14:paraId="5B380E1E">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25FE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 w:type="dxa"/>
            <w:shd w:val="clear" w:color="auto" w:fill="FFFFFF"/>
            <w:vAlign w:val="center"/>
          </w:tcPr>
          <w:p w14:paraId="69B7B68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47</w:t>
            </w:r>
          </w:p>
        </w:tc>
        <w:tc>
          <w:tcPr>
            <w:tcW w:w="981" w:type="dxa"/>
            <w:shd w:val="clear" w:color="auto" w:fill="FFFFFF"/>
            <w:vAlign w:val="center"/>
          </w:tcPr>
          <w:p w14:paraId="531E286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EEDC021">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1D23C92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机柜电源规格</w:t>
            </w:r>
          </w:p>
        </w:tc>
        <w:tc>
          <w:tcPr>
            <w:tcW w:w="3990" w:type="dxa"/>
            <w:shd w:val="clear" w:color="auto" w:fill="FFFFFF"/>
            <w:vAlign w:val="center"/>
          </w:tcPr>
          <w:p w14:paraId="58F73DC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a）机柜电源支持集中供电，电源输入≥2路且支持自动切换；b）机柜电源模块支持N+1冗余配置，电源模块可独立更换</w:t>
            </w:r>
          </w:p>
        </w:tc>
        <w:tc>
          <w:tcPr>
            <w:tcW w:w="1326" w:type="dxa"/>
            <w:shd w:val="clear" w:color="auto" w:fill="FFFFFF"/>
            <w:vAlign w:val="center"/>
          </w:tcPr>
          <w:p w14:paraId="114983DE">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6C99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594" w:type="dxa"/>
            <w:shd w:val="clear" w:color="auto" w:fill="FFFFFF"/>
            <w:vAlign w:val="center"/>
          </w:tcPr>
          <w:p w14:paraId="05F03F6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48</w:t>
            </w:r>
          </w:p>
        </w:tc>
        <w:tc>
          <w:tcPr>
            <w:tcW w:w="981" w:type="dxa"/>
            <w:shd w:val="clear" w:color="auto" w:fill="FFFFFF"/>
            <w:vAlign w:val="center"/>
          </w:tcPr>
          <w:p w14:paraId="40E83F8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1A3A80A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主板功能</w:t>
            </w:r>
          </w:p>
        </w:tc>
        <w:tc>
          <w:tcPr>
            <w:tcW w:w="1578" w:type="dxa"/>
            <w:shd w:val="clear" w:color="auto" w:fill="FFFFFF"/>
            <w:vAlign w:val="center"/>
          </w:tcPr>
          <w:p w14:paraId="4DC6429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★主板外部接口种类</w:t>
            </w:r>
          </w:p>
        </w:tc>
        <w:tc>
          <w:tcPr>
            <w:tcW w:w="3990" w:type="dxa"/>
            <w:shd w:val="clear" w:color="auto" w:fill="FFFFFF"/>
            <w:vAlign w:val="center"/>
          </w:tcPr>
          <w:p w14:paraId="3D5C94C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支持USB、显示、管理等接口，如：VGA、DP、HDMI、USB3.0、PS/2接口、BMC管理端口</w:t>
            </w:r>
          </w:p>
        </w:tc>
        <w:tc>
          <w:tcPr>
            <w:tcW w:w="1326" w:type="dxa"/>
            <w:shd w:val="clear" w:color="auto" w:fill="FFFFFF"/>
            <w:vAlign w:val="center"/>
          </w:tcPr>
          <w:p w14:paraId="2AEDF6AA">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8084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7CBBACB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49</w:t>
            </w:r>
          </w:p>
        </w:tc>
        <w:tc>
          <w:tcPr>
            <w:tcW w:w="981" w:type="dxa"/>
            <w:shd w:val="clear" w:color="auto" w:fill="FFFFFF"/>
            <w:vAlign w:val="center"/>
          </w:tcPr>
          <w:p w14:paraId="356D7D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518B9E6A">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14E76CC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主板防烧板设计</w:t>
            </w:r>
          </w:p>
        </w:tc>
        <w:tc>
          <w:tcPr>
            <w:tcW w:w="3990" w:type="dxa"/>
            <w:shd w:val="clear" w:color="auto" w:fill="FFFFFF"/>
            <w:vAlign w:val="center"/>
          </w:tcPr>
          <w:p w14:paraId="4CED071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支持主板防烧板设计，保证电源故障后不扩散</w:t>
            </w:r>
          </w:p>
        </w:tc>
        <w:tc>
          <w:tcPr>
            <w:tcW w:w="1326" w:type="dxa"/>
            <w:shd w:val="clear" w:color="auto" w:fill="FFFFFF"/>
            <w:vAlign w:val="center"/>
          </w:tcPr>
          <w:p w14:paraId="53E710AF">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4488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594" w:type="dxa"/>
            <w:shd w:val="clear" w:color="auto" w:fill="FFFFFF"/>
            <w:vAlign w:val="center"/>
          </w:tcPr>
          <w:p w14:paraId="49C617C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50</w:t>
            </w:r>
          </w:p>
        </w:tc>
        <w:tc>
          <w:tcPr>
            <w:tcW w:w="981" w:type="dxa"/>
            <w:shd w:val="clear" w:color="auto" w:fill="FFFFFF"/>
            <w:vAlign w:val="center"/>
          </w:tcPr>
          <w:p w14:paraId="2825AB7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0F5B3311">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6567FB6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扩展功能</w:t>
            </w:r>
          </w:p>
        </w:tc>
        <w:tc>
          <w:tcPr>
            <w:tcW w:w="3990" w:type="dxa"/>
            <w:shd w:val="clear" w:color="auto" w:fill="FFFFFF"/>
            <w:vAlign w:val="center"/>
          </w:tcPr>
          <w:p w14:paraId="49E987A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实现至少一种扩展功能，如存储功能卡、显示功能卡、运算加速功能卡及网络功能卡等扩展功能</w:t>
            </w:r>
          </w:p>
        </w:tc>
        <w:tc>
          <w:tcPr>
            <w:tcW w:w="1326" w:type="dxa"/>
            <w:shd w:val="clear" w:color="auto" w:fill="FFFFFF"/>
            <w:vAlign w:val="center"/>
          </w:tcPr>
          <w:p w14:paraId="79FE0512">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352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0C0148E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51</w:t>
            </w:r>
          </w:p>
        </w:tc>
        <w:tc>
          <w:tcPr>
            <w:tcW w:w="981" w:type="dxa"/>
            <w:shd w:val="clear" w:color="auto" w:fill="FFFFFF"/>
            <w:vAlign w:val="center"/>
          </w:tcPr>
          <w:p w14:paraId="00A4C5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shd w:val="clear" w:color="auto" w:fill="FFFFFF"/>
            <w:vAlign w:val="center"/>
          </w:tcPr>
          <w:p w14:paraId="163997A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网络功能</w:t>
            </w:r>
          </w:p>
        </w:tc>
        <w:tc>
          <w:tcPr>
            <w:tcW w:w="1578" w:type="dxa"/>
            <w:shd w:val="clear" w:color="auto" w:fill="FFFFFF"/>
            <w:vAlign w:val="center"/>
          </w:tcPr>
          <w:p w14:paraId="24153A4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★网络功能</w:t>
            </w:r>
          </w:p>
        </w:tc>
        <w:tc>
          <w:tcPr>
            <w:tcW w:w="3990" w:type="dxa"/>
            <w:shd w:val="clear" w:color="auto" w:fill="FFFFFF"/>
            <w:vAlign w:val="center"/>
          </w:tcPr>
          <w:p w14:paraId="7C7D9F6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支持网络连接、网络访问、数据交换和网络管控功能</w:t>
            </w:r>
          </w:p>
        </w:tc>
        <w:tc>
          <w:tcPr>
            <w:tcW w:w="1326" w:type="dxa"/>
            <w:shd w:val="clear" w:color="auto" w:fill="FFFFFF"/>
            <w:vAlign w:val="center"/>
          </w:tcPr>
          <w:p w14:paraId="44372BA4">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A5AA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594" w:type="dxa"/>
            <w:shd w:val="clear" w:color="auto" w:fill="FFFFFF"/>
            <w:vAlign w:val="center"/>
          </w:tcPr>
          <w:p w14:paraId="4E70A0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52</w:t>
            </w:r>
          </w:p>
        </w:tc>
        <w:tc>
          <w:tcPr>
            <w:tcW w:w="981" w:type="dxa"/>
            <w:shd w:val="clear" w:color="auto" w:fill="FFFFFF"/>
            <w:vAlign w:val="center"/>
          </w:tcPr>
          <w:p w14:paraId="1E7CA8C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4A91036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CPU功能</w:t>
            </w:r>
          </w:p>
        </w:tc>
        <w:tc>
          <w:tcPr>
            <w:tcW w:w="1578" w:type="dxa"/>
            <w:shd w:val="clear" w:color="auto" w:fill="FFFFFF"/>
            <w:vAlign w:val="center"/>
          </w:tcPr>
          <w:p w14:paraId="0F45AC6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★计算处理</w:t>
            </w:r>
          </w:p>
        </w:tc>
        <w:tc>
          <w:tcPr>
            <w:tcW w:w="3990" w:type="dxa"/>
            <w:shd w:val="clear" w:color="auto" w:fill="FFFFFF"/>
            <w:vAlign w:val="center"/>
          </w:tcPr>
          <w:p w14:paraId="25D196E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支持通用计算及虚拟化功能。处理器需集成整型计算单元、浮点计算单元、内存控制器、I/O模块等，处理器与存储部件、网络部件、I/O部件等组成计算系统，提供数据处理、网络接入等计算相关功能</w:t>
            </w:r>
          </w:p>
        </w:tc>
        <w:tc>
          <w:tcPr>
            <w:tcW w:w="1326" w:type="dxa"/>
            <w:shd w:val="clear" w:color="auto" w:fill="FFFFFF"/>
            <w:vAlign w:val="center"/>
          </w:tcPr>
          <w:p w14:paraId="75FF7628">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5148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594" w:type="dxa"/>
            <w:shd w:val="clear" w:color="auto" w:fill="FFFFFF"/>
            <w:vAlign w:val="center"/>
          </w:tcPr>
          <w:p w14:paraId="298B0F9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53</w:t>
            </w:r>
          </w:p>
        </w:tc>
        <w:tc>
          <w:tcPr>
            <w:tcW w:w="981" w:type="dxa"/>
            <w:shd w:val="clear" w:color="auto" w:fill="FFFFFF"/>
            <w:vAlign w:val="center"/>
          </w:tcPr>
          <w:p w14:paraId="273CD52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5C256916">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2A3C611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★密码算法实现</w:t>
            </w:r>
          </w:p>
        </w:tc>
        <w:tc>
          <w:tcPr>
            <w:tcW w:w="3990" w:type="dxa"/>
            <w:shd w:val="clear" w:color="auto" w:fill="FFFFFF"/>
            <w:vAlign w:val="center"/>
          </w:tcPr>
          <w:p w14:paraId="24E8E53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CPU芯片应符合GM/T0008的相关规定，或芯片密码模块应符合GB/T37092或GM/T0028的相关规定</w:t>
            </w:r>
          </w:p>
        </w:tc>
        <w:tc>
          <w:tcPr>
            <w:tcW w:w="1326" w:type="dxa"/>
            <w:shd w:val="clear" w:color="auto" w:fill="FFFFFF"/>
            <w:vAlign w:val="center"/>
          </w:tcPr>
          <w:p w14:paraId="7C1813E1">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8C3D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594" w:type="dxa"/>
            <w:shd w:val="clear" w:color="auto" w:fill="FFFFFF"/>
            <w:vAlign w:val="center"/>
          </w:tcPr>
          <w:p w14:paraId="407EC1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54</w:t>
            </w:r>
          </w:p>
        </w:tc>
        <w:tc>
          <w:tcPr>
            <w:tcW w:w="981" w:type="dxa"/>
            <w:shd w:val="clear" w:color="auto" w:fill="FFFFFF"/>
            <w:vAlign w:val="center"/>
          </w:tcPr>
          <w:p w14:paraId="3C8600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5CF434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存储功能</w:t>
            </w:r>
          </w:p>
        </w:tc>
        <w:tc>
          <w:tcPr>
            <w:tcW w:w="1578" w:type="dxa"/>
            <w:shd w:val="clear" w:color="auto" w:fill="FFFFFF"/>
            <w:vAlign w:val="center"/>
          </w:tcPr>
          <w:p w14:paraId="42F1754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内存校验</w:t>
            </w:r>
          </w:p>
        </w:tc>
        <w:tc>
          <w:tcPr>
            <w:tcW w:w="3990" w:type="dxa"/>
            <w:shd w:val="clear" w:color="auto" w:fill="FFFFFF"/>
            <w:vAlign w:val="center"/>
          </w:tcPr>
          <w:p w14:paraId="5357B4D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支持内存校验或内存增强型纠错功能</w:t>
            </w:r>
          </w:p>
        </w:tc>
        <w:tc>
          <w:tcPr>
            <w:tcW w:w="1326" w:type="dxa"/>
            <w:shd w:val="clear" w:color="auto" w:fill="FFFFFF"/>
            <w:vAlign w:val="center"/>
          </w:tcPr>
          <w:p w14:paraId="5D05218B">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01C3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 w:type="dxa"/>
            <w:shd w:val="clear" w:color="auto" w:fill="FFFFFF"/>
            <w:vAlign w:val="center"/>
          </w:tcPr>
          <w:p w14:paraId="2A18F0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55</w:t>
            </w:r>
          </w:p>
        </w:tc>
        <w:tc>
          <w:tcPr>
            <w:tcW w:w="981" w:type="dxa"/>
            <w:shd w:val="clear" w:color="auto" w:fill="FFFFFF"/>
            <w:vAlign w:val="center"/>
          </w:tcPr>
          <w:p w14:paraId="392B148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1DF82EA4">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0A17FDC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SATASSDNAND健康状态上报</w:t>
            </w:r>
          </w:p>
        </w:tc>
        <w:tc>
          <w:tcPr>
            <w:tcW w:w="3990" w:type="dxa"/>
            <w:shd w:val="clear" w:color="auto" w:fill="FFFFFF"/>
            <w:vAlign w:val="center"/>
          </w:tcPr>
          <w:p w14:paraId="70811E2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支持关键外部存储器（硬磁盘、SSD等）的健康状态上报并进行故障诊断</w:t>
            </w:r>
          </w:p>
        </w:tc>
        <w:tc>
          <w:tcPr>
            <w:tcW w:w="1326" w:type="dxa"/>
            <w:shd w:val="clear" w:color="auto" w:fill="FFFFFF"/>
            <w:vAlign w:val="center"/>
          </w:tcPr>
          <w:p w14:paraId="34017F3F">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5AC6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 w:type="dxa"/>
            <w:shd w:val="clear" w:color="auto" w:fill="FFFFFF"/>
            <w:vAlign w:val="center"/>
          </w:tcPr>
          <w:p w14:paraId="16B0F5C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56</w:t>
            </w:r>
          </w:p>
        </w:tc>
        <w:tc>
          <w:tcPr>
            <w:tcW w:w="981" w:type="dxa"/>
            <w:shd w:val="clear" w:color="auto" w:fill="FFFFFF"/>
            <w:vAlign w:val="center"/>
          </w:tcPr>
          <w:p w14:paraId="7B1A8C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28348467">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3667585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SATASSD单die故障隔离</w:t>
            </w:r>
          </w:p>
        </w:tc>
        <w:tc>
          <w:tcPr>
            <w:tcW w:w="3990" w:type="dxa"/>
            <w:shd w:val="clear" w:color="auto" w:fill="FFFFFF"/>
            <w:vAlign w:val="center"/>
          </w:tcPr>
          <w:p w14:paraId="3F6C688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支持SSD关键外部存储器中单存储晶元故障隔离</w:t>
            </w:r>
          </w:p>
        </w:tc>
        <w:tc>
          <w:tcPr>
            <w:tcW w:w="1326" w:type="dxa"/>
            <w:shd w:val="clear" w:color="auto" w:fill="FFFFFF"/>
            <w:vAlign w:val="center"/>
          </w:tcPr>
          <w:p w14:paraId="066A6C10">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CA3B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 w:type="dxa"/>
            <w:shd w:val="clear" w:color="auto" w:fill="FFFFFF"/>
            <w:vAlign w:val="center"/>
          </w:tcPr>
          <w:p w14:paraId="509476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57</w:t>
            </w:r>
          </w:p>
        </w:tc>
        <w:tc>
          <w:tcPr>
            <w:tcW w:w="981" w:type="dxa"/>
            <w:shd w:val="clear" w:color="auto" w:fill="FFFFFF"/>
            <w:vAlign w:val="center"/>
          </w:tcPr>
          <w:p w14:paraId="1C0929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141D4BC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RAID卡功能</w:t>
            </w:r>
          </w:p>
        </w:tc>
        <w:tc>
          <w:tcPr>
            <w:tcW w:w="1578" w:type="dxa"/>
            <w:shd w:val="clear" w:color="auto" w:fill="FFFFFF"/>
            <w:vAlign w:val="center"/>
          </w:tcPr>
          <w:p w14:paraId="562FF12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RAID卡配置及RAID级别支持</w:t>
            </w:r>
          </w:p>
        </w:tc>
        <w:tc>
          <w:tcPr>
            <w:tcW w:w="3990" w:type="dxa"/>
            <w:shd w:val="clear" w:color="auto" w:fill="FFFFFF"/>
            <w:vAlign w:val="center"/>
          </w:tcPr>
          <w:p w14:paraId="22751DA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RAID模式支持RAID0/1/10/5；</w:t>
            </w:r>
          </w:p>
        </w:tc>
        <w:tc>
          <w:tcPr>
            <w:tcW w:w="1326" w:type="dxa"/>
            <w:shd w:val="clear" w:color="auto" w:fill="FFFFFF"/>
            <w:vAlign w:val="center"/>
          </w:tcPr>
          <w:p w14:paraId="0638634A">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EF22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5F3A6F3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58</w:t>
            </w:r>
          </w:p>
        </w:tc>
        <w:tc>
          <w:tcPr>
            <w:tcW w:w="981" w:type="dxa"/>
            <w:shd w:val="clear" w:color="auto" w:fill="FFFFFF"/>
            <w:vAlign w:val="center"/>
          </w:tcPr>
          <w:p w14:paraId="7FE5E8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2CF73385">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35C61DA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RAID卡BBU单元</w:t>
            </w:r>
          </w:p>
        </w:tc>
        <w:tc>
          <w:tcPr>
            <w:tcW w:w="3990" w:type="dxa"/>
            <w:shd w:val="clear" w:color="auto" w:fill="FFFFFF"/>
            <w:vAlign w:val="center"/>
          </w:tcPr>
          <w:p w14:paraId="1B5C051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RAID卡支持电池或电容备份单元</w:t>
            </w:r>
          </w:p>
        </w:tc>
        <w:tc>
          <w:tcPr>
            <w:tcW w:w="1326" w:type="dxa"/>
            <w:shd w:val="clear" w:color="auto" w:fill="FFFFFF"/>
            <w:vAlign w:val="center"/>
          </w:tcPr>
          <w:p w14:paraId="6D63661D">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2FBD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594" w:type="dxa"/>
            <w:shd w:val="clear" w:color="auto" w:fill="FFFFFF"/>
            <w:vAlign w:val="center"/>
          </w:tcPr>
          <w:p w14:paraId="29885D6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59</w:t>
            </w:r>
          </w:p>
        </w:tc>
        <w:tc>
          <w:tcPr>
            <w:tcW w:w="981" w:type="dxa"/>
            <w:shd w:val="clear" w:color="auto" w:fill="FFFFFF"/>
            <w:vAlign w:val="center"/>
          </w:tcPr>
          <w:p w14:paraId="20D570F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shd w:val="clear" w:color="auto" w:fill="FFFFFF"/>
            <w:vAlign w:val="center"/>
          </w:tcPr>
          <w:p w14:paraId="466472E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光驱功能</w:t>
            </w:r>
          </w:p>
        </w:tc>
        <w:tc>
          <w:tcPr>
            <w:tcW w:w="1578" w:type="dxa"/>
            <w:shd w:val="clear" w:color="auto" w:fill="FFFFFF"/>
            <w:vAlign w:val="center"/>
          </w:tcPr>
          <w:p w14:paraId="095B865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光驱类型（是否支持RW，以及光盘类型CD/DVD）</w:t>
            </w:r>
          </w:p>
        </w:tc>
        <w:tc>
          <w:tcPr>
            <w:tcW w:w="3990" w:type="dxa"/>
            <w:shd w:val="clear" w:color="auto" w:fill="FFFFFF"/>
            <w:vAlign w:val="center"/>
          </w:tcPr>
          <w:p w14:paraId="481C04E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若配备光驱，应提供光驱的安装形式（如内置、外置）、光驱读写类型（如只读、可刻录等）、光盘类型的兼容列表（如CD-ROM、CD-RW、DVD±RW等）</w:t>
            </w:r>
          </w:p>
        </w:tc>
        <w:tc>
          <w:tcPr>
            <w:tcW w:w="1326" w:type="dxa"/>
            <w:shd w:val="clear" w:color="auto" w:fill="FFFFFF"/>
            <w:vAlign w:val="center"/>
          </w:tcPr>
          <w:p w14:paraId="0EEB07F8">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9C06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4782D8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60</w:t>
            </w:r>
          </w:p>
        </w:tc>
        <w:tc>
          <w:tcPr>
            <w:tcW w:w="981" w:type="dxa"/>
            <w:shd w:val="clear" w:color="auto" w:fill="FFFFFF"/>
            <w:vAlign w:val="center"/>
          </w:tcPr>
          <w:p w14:paraId="60EE3E6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106997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电源功能</w:t>
            </w:r>
          </w:p>
        </w:tc>
        <w:tc>
          <w:tcPr>
            <w:tcW w:w="1578" w:type="dxa"/>
            <w:shd w:val="clear" w:color="auto" w:fill="FFFFFF"/>
            <w:vAlign w:val="center"/>
          </w:tcPr>
          <w:p w14:paraId="160E08B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★电源热插拔</w:t>
            </w:r>
          </w:p>
        </w:tc>
        <w:tc>
          <w:tcPr>
            <w:tcW w:w="3990" w:type="dxa"/>
            <w:shd w:val="clear" w:color="auto" w:fill="FFFFFF"/>
            <w:vAlign w:val="center"/>
          </w:tcPr>
          <w:p w14:paraId="32B8554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整机电源模块应具备热插拔功能</w:t>
            </w:r>
          </w:p>
        </w:tc>
        <w:tc>
          <w:tcPr>
            <w:tcW w:w="1326" w:type="dxa"/>
            <w:shd w:val="clear" w:color="auto" w:fill="FFFFFF"/>
            <w:vAlign w:val="center"/>
          </w:tcPr>
          <w:p w14:paraId="5BA153B2">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8B42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594" w:type="dxa"/>
            <w:shd w:val="clear" w:color="auto" w:fill="FFFFFF"/>
            <w:vAlign w:val="center"/>
          </w:tcPr>
          <w:p w14:paraId="062C63B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61</w:t>
            </w:r>
          </w:p>
        </w:tc>
        <w:tc>
          <w:tcPr>
            <w:tcW w:w="981" w:type="dxa"/>
            <w:shd w:val="clear" w:color="auto" w:fill="FFFFFF"/>
            <w:vAlign w:val="center"/>
          </w:tcPr>
          <w:p w14:paraId="467802B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61F59DD9">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11A90AF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★电源过流保护</w:t>
            </w:r>
          </w:p>
        </w:tc>
        <w:tc>
          <w:tcPr>
            <w:tcW w:w="3990" w:type="dxa"/>
            <w:shd w:val="clear" w:color="auto" w:fill="FFFFFF"/>
            <w:vAlign w:val="center"/>
          </w:tcPr>
          <w:p w14:paraId="75636DD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支持过流及短路保护的功能</w:t>
            </w:r>
          </w:p>
        </w:tc>
        <w:tc>
          <w:tcPr>
            <w:tcW w:w="1326" w:type="dxa"/>
            <w:shd w:val="clear" w:color="auto" w:fill="FFFFFF"/>
            <w:vAlign w:val="center"/>
          </w:tcPr>
          <w:p w14:paraId="739D7303">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B49F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594" w:type="dxa"/>
            <w:shd w:val="clear" w:color="auto" w:fill="FFFFFF"/>
            <w:vAlign w:val="center"/>
          </w:tcPr>
          <w:p w14:paraId="761765E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62</w:t>
            </w:r>
          </w:p>
        </w:tc>
        <w:tc>
          <w:tcPr>
            <w:tcW w:w="981" w:type="dxa"/>
            <w:shd w:val="clear" w:color="auto" w:fill="FFFFFF"/>
            <w:vAlign w:val="center"/>
          </w:tcPr>
          <w:p w14:paraId="28EBFC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36BDAB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整机功能</w:t>
            </w:r>
          </w:p>
        </w:tc>
        <w:tc>
          <w:tcPr>
            <w:tcW w:w="1578" w:type="dxa"/>
            <w:shd w:val="clear" w:color="auto" w:fill="FFFFFF"/>
            <w:vAlign w:val="center"/>
          </w:tcPr>
          <w:p w14:paraId="69FEB17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★散热方式</w:t>
            </w:r>
          </w:p>
        </w:tc>
        <w:tc>
          <w:tcPr>
            <w:tcW w:w="3990" w:type="dxa"/>
            <w:shd w:val="clear" w:color="auto" w:fill="FFFFFF"/>
            <w:vAlign w:val="center"/>
          </w:tcPr>
          <w:p w14:paraId="646CDA3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支持风冷或液冷等散热方式</w:t>
            </w:r>
          </w:p>
        </w:tc>
        <w:tc>
          <w:tcPr>
            <w:tcW w:w="1326" w:type="dxa"/>
            <w:shd w:val="clear" w:color="auto" w:fill="FFFFFF"/>
            <w:vAlign w:val="center"/>
          </w:tcPr>
          <w:p w14:paraId="67475FA4">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FC68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268F85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63</w:t>
            </w:r>
          </w:p>
        </w:tc>
        <w:tc>
          <w:tcPr>
            <w:tcW w:w="981" w:type="dxa"/>
            <w:shd w:val="clear" w:color="auto" w:fill="FFFFFF"/>
            <w:vAlign w:val="center"/>
          </w:tcPr>
          <w:p w14:paraId="7FF1E3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76806B63">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1106BE7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其他功能</w:t>
            </w:r>
          </w:p>
        </w:tc>
        <w:tc>
          <w:tcPr>
            <w:tcW w:w="3990" w:type="dxa"/>
            <w:shd w:val="clear" w:color="auto" w:fill="FFFFFF"/>
            <w:vAlign w:val="center"/>
          </w:tcPr>
          <w:p w14:paraId="5DC0FB2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a）支持关键部件冗余（包括电源、风扇等）；b）支持熔断保护与恢复功能</w:t>
            </w:r>
          </w:p>
        </w:tc>
        <w:tc>
          <w:tcPr>
            <w:tcW w:w="1326" w:type="dxa"/>
            <w:shd w:val="clear" w:color="auto" w:fill="FFFFFF"/>
            <w:vAlign w:val="center"/>
          </w:tcPr>
          <w:p w14:paraId="04EE79F1">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759F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32" w:hRule="atLeast"/>
        </w:trPr>
        <w:tc>
          <w:tcPr>
            <w:tcW w:w="594" w:type="dxa"/>
            <w:shd w:val="clear" w:color="auto" w:fill="FFFFFF"/>
            <w:vAlign w:val="center"/>
          </w:tcPr>
          <w:p w14:paraId="1AEFA2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64</w:t>
            </w:r>
          </w:p>
        </w:tc>
        <w:tc>
          <w:tcPr>
            <w:tcW w:w="981" w:type="dxa"/>
            <w:shd w:val="clear" w:color="auto" w:fill="FFFFFF"/>
            <w:vAlign w:val="center"/>
          </w:tcPr>
          <w:p w14:paraId="214CA7F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shd w:val="clear" w:color="auto" w:fill="FFFFFF"/>
            <w:vAlign w:val="center"/>
          </w:tcPr>
          <w:p w14:paraId="438BAFC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管理系统功能</w:t>
            </w:r>
          </w:p>
        </w:tc>
        <w:tc>
          <w:tcPr>
            <w:tcW w:w="1578" w:type="dxa"/>
            <w:shd w:val="clear" w:color="auto" w:fill="FFFFFF"/>
            <w:vAlign w:val="center"/>
          </w:tcPr>
          <w:p w14:paraId="4220D50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★BMC固件基础功能</w:t>
            </w:r>
          </w:p>
        </w:tc>
        <w:tc>
          <w:tcPr>
            <w:tcW w:w="3990" w:type="dxa"/>
            <w:shd w:val="clear" w:color="auto" w:fill="FFFFFF"/>
            <w:vAlign w:val="center"/>
          </w:tcPr>
          <w:p w14:paraId="5E79785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支持DHCP设置网络功能；2）支持静态IP设置网络功能；3）支持设备日志记录，包括但不限于登录日志、操作日志和报警日志等功能；4）支持日志信息导出和记录删除功能；5）支持通过管理接口向外输出准确的报警信息功能；6）设备的BMC管理软件应能够按报警的严重程度进行区分；7）支持IPMI2.0、SNMP或Redfish等接口功能；8）支持键盘、鼠标和视频的重定向、文本控制台的重定向、远程虚拟媒体、高可靠的硬件监控和管理功能；9）支持基于网络开启、关闭和重启设备的功能，并查询当前设备开机运行状态；10）支持故障提示功能，并可通过接口读取服务器故障信息；11）支持基于网络的固件更新功能，包括BMC和BIOS等；12）支持基于网络安装操作系统的功能，并可通过网络控制台访问设备；13）支持通过本地的硬盘或光驱等存储设备，基于网络完成设备的操作系统安装功能；14）支持通过浏览器打开管理界面并登录功能；15）支持设置口令策略功能；16）支持访问权限设置功能，并通过日志记录访问事件；17）支持对出厂默认的用户名及口令进行安全保护功能，并提供默认口令修改提示；18）支持读取设备主板的工作环境温度功能；19）支持读取服务器CPU等核心器件的温度功能；20）支持通过外部管理工具进行BMC参数设置的功能，并可基于网络通过外部管理工具对BMC进行管理；21）应支持固件版本查询、固件升级22）支持基于网络实现开关机和复位控制的功能；23)BMC启动时间应不超过180s，实现功能包括网络、IPMI、散热、传感器服务可用；24）支持BMC固件设置的恢复出厂功能</w:t>
            </w:r>
          </w:p>
        </w:tc>
        <w:tc>
          <w:tcPr>
            <w:tcW w:w="1326" w:type="dxa"/>
            <w:shd w:val="clear" w:color="auto" w:fill="FFFFFF"/>
            <w:vAlign w:val="center"/>
          </w:tcPr>
          <w:p w14:paraId="64F1BB44">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7677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594" w:type="dxa"/>
            <w:shd w:val="clear" w:color="auto" w:fill="FFFFFF"/>
            <w:vAlign w:val="center"/>
          </w:tcPr>
          <w:p w14:paraId="5028F83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65</w:t>
            </w:r>
          </w:p>
        </w:tc>
        <w:tc>
          <w:tcPr>
            <w:tcW w:w="981" w:type="dxa"/>
            <w:shd w:val="clear" w:color="auto" w:fill="FFFFFF"/>
            <w:vAlign w:val="center"/>
          </w:tcPr>
          <w:p w14:paraId="44D1AA3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1E5907EC">
            <w:pPr>
              <w:widowControl/>
              <w:jc w:val="center"/>
              <w:rPr>
                <w:rFonts w:asciiTheme="minorEastAsia" w:hAnsiTheme="minorEastAsia" w:eastAsiaTheme="minorEastAsia" w:cstheme="minorEastAsia"/>
                <w:kern w:val="0"/>
                <w:sz w:val="24"/>
              </w:rPr>
            </w:pPr>
          </w:p>
        </w:tc>
        <w:tc>
          <w:tcPr>
            <w:tcW w:w="1578" w:type="dxa"/>
            <w:shd w:val="clear" w:color="auto" w:fill="FFFFFF"/>
            <w:vAlign w:val="center"/>
          </w:tcPr>
          <w:p w14:paraId="4512F4C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BMC固件增强功能</w:t>
            </w:r>
          </w:p>
        </w:tc>
        <w:tc>
          <w:tcPr>
            <w:tcW w:w="3990" w:type="dxa"/>
            <w:shd w:val="clear" w:color="auto" w:fill="FFFFFF"/>
            <w:vAlign w:val="center"/>
          </w:tcPr>
          <w:p w14:paraId="1A42CDD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a）网络控制、安装提供图形访问界面网络；b）设备的BMC管理软件界面显示报警信息，且能够按报警的严重程度进行区分；c）WebGUI采用BMC端口直连，平均响应时间为≤1s</w:t>
            </w:r>
          </w:p>
        </w:tc>
        <w:tc>
          <w:tcPr>
            <w:tcW w:w="1326" w:type="dxa"/>
            <w:shd w:val="clear" w:color="auto" w:fill="FFFFFF"/>
            <w:vAlign w:val="center"/>
          </w:tcPr>
          <w:p w14:paraId="3A328A37">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E35E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trPr>
        <w:tc>
          <w:tcPr>
            <w:tcW w:w="594" w:type="dxa"/>
            <w:shd w:val="clear" w:color="auto" w:fill="FFFFFF"/>
            <w:vAlign w:val="center"/>
          </w:tcPr>
          <w:p w14:paraId="458A320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66</w:t>
            </w:r>
          </w:p>
        </w:tc>
        <w:tc>
          <w:tcPr>
            <w:tcW w:w="981" w:type="dxa"/>
            <w:shd w:val="clear" w:color="auto" w:fill="FFFFFF"/>
            <w:vAlign w:val="center"/>
          </w:tcPr>
          <w:p w14:paraId="5D796F4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0EE42688">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098548E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★BIOS固件基础功能</w:t>
            </w:r>
          </w:p>
        </w:tc>
        <w:tc>
          <w:tcPr>
            <w:tcW w:w="3990" w:type="dxa"/>
            <w:shd w:val="clear" w:color="auto" w:fill="FFFFFF"/>
            <w:vAlign w:val="center"/>
          </w:tcPr>
          <w:p w14:paraId="3886DE2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查看固件版本、内存信息、主板信息、处理器信息和系统时间信息功能；b）支持上电初始化界面显示CPU信息、内存信息、固件版本和部分快捷键信息功能；c）支持设置界面中英文显示切换功能；d）支持查看PCIe设备信息，SATA设备信息功能；e）支持操作系统安装和引导功能，应并向操作系统提供计算机主板信息和服务接口；f）支持设置启动顺序，并按照设置的启动顺序启动功能；g）支持安全启动功能；h）支持设置口令、修改口令、验证口令功能；i）支持板载显示控制或独立显卡的显示控制功能；j）支持RAID识别和启动功能；k）支持串口重定向功能；l）支持固件更新功能；m）支持BIOS固件设置的恢复出厂功能；n）支持网络引导启用和关闭功能</w:t>
            </w:r>
          </w:p>
        </w:tc>
        <w:tc>
          <w:tcPr>
            <w:tcW w:w="1326" w:type="dxa"/>
            <w:shd w:val="clear" w:color="auto" w:fill="FFFFFF"/>
            <w:vAlign w:val="center"/>
          </w:tcPr>
          <w:p w14:paraId="351E7F41">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3086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594" w:type="dxa"/>
            <w:shd w:val="clear" w:color="auto" w:fill="FFFFFF"/>
            <w:vAlign w:val="center"/>
          </w:tcPr>
          <w:p w14:paraId="79143E2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67</w:t>
            </w:r>
          </w:p>
        </w:tc>
        <w:tc>
          <w:tcPr>
            <w:tcW w:w="981" w:type="dxa"/>
            <w:shd w:val="clear" w:color="auto" w:fill="FFFFFF"/>
            <w:vAlign w:val="center"/>
          </w:tcPr>
          <w:p w14:paraId="54636D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234B7242">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0286C7E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★远程控制</w:t>
            </w:r>
          </w:p>
        </w:tc>
        <w:tc>
          <w:tcPr>
            <w:tcW w:w="3990" w:type="dxa"/>
            <w:shd w:val="clear" w:color="auto" w:fill="FFFFFF"/>
            <w:vAlign w:val="center"/>
          </w:tcPr>
          <w:p w14:paraId="4EAE2BA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支持远程关机和重新启动功能</w:t>
            </w:r>
          </w:p>
        </w:tc>
        <w:tc>
          <w:tcPr>
            <w:tcW w:w="1326" w:type="dxa"/>
            <w:shd w:val="clear" w:color="auto" w:fill="FFFFFF"/>
            <w:vAlign w:val="center"/>
          </w:tcPr>
          <w:p w14:paraId="44628772">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4A1C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 w:type="dxa"/>
            <w:shd w:val="clear" w:color="auto" w:fill="FFFFFF"/>
            <w:vAlign w:val="center"/>
          </w:tcPr>
          <w:p w14:paraId="4A5F02D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68</w:t>
            </w:r>
          </w:p>
        </w:tc>
        <w:tc>
          <w:tcPr>
            <w:tcW w:w="981" w:type="dxa"/>
            <w:shd w:val="clear" w:color="auto" w:fill="FFFFFF"/>
            <w:vAlign w:val="center"/>
          </w:tcPr>
          <w:p w14:paraId="7BDCF87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69A037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操作系统及驱动功能</w:t>
            </w:r>
          </w:p>
        </w:tc>
        <w:tc>
          <w:tcPr>
            <w:tcW w:w="1578" w:type="dxa"/>
            <w:shd w:val="clear" w:color="auto" w:fill="FFFFFF"/>
            <w:vAlign w:val="center"/>
          </w:tcPr>
          <w:p w14:paraId="15D892B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★操作系统及驱动的升级</w:t>
            </w:r>
          </w:p>
        </w:tc>
        <w:tc>
          <w:tcPr>
            <w:tcW w:w="3990" w:type="dxa"/>
            <w:shd w:val="clear" w:color="auto" w:fill="FFFFFF"/>
            <w:vAlign w:val="center"/>
          </w:tcPr>
          <w:p w14:paraId="0BA6429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支持通过网络、闪存盘对操作系统、驱动进行升级</w:t>
            </w:r>
          </w:p>
        </w:tc>
        <w:tc>
          <w:tcPr>
            <w:tcW w:w="1326" w:type="dxa"/>
            <w:shd w:val="clear" w:color="auto" w:fill="FFFFFF"/>
            <w:vAlign w:val="center"/>
          </w:tcPr>
          <w:p w14:paraId="79C16611">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4744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 w:type="dxa"/>
            <w:shd w:val="clear" w:color="auto" w:fill="FFFFFF"/>
            <w:vAlign w:val="center"/>
          </w:tcPr>
          <w:p w14:paraId="73D7264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69</w:t>
            </w:r>
          </w:p>
        </w:tc>
        <w:tc>
          <w:tcPr>
            <w:tcW w:w="981" w:type="dxa"/>
            <w:shd w:val="clear" w:color="auto" w:fill="FFFFFF"/>
            <w:vAlign w:val="center"/>
          </w:tcPr>
          <w:p w14:paraId="5948D6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62269BB8">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3AD1D97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操作系统及驱动的备份还原</w:t>
            </w:r>
          </w:p>
        </w:tc>
        <w:tc>
          <w:tcPr>
            <w:tcW w:w="3990" w:type="dxa"/>
            <w:shd w:val="clear" w:color="auto" w:fill="FFFFFF"/>
            <w:vAlign w:val="center"/>
          </w:tcPr>
          <w:p w14:paraId="6328319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支持操作系统备份及还原功能</w:t>
            </w:r>
          </w:p>
        </w:tc>
        <w:tc>
          <w:tcPr>
            <w:tcW w:w="1326" w:type="dxa"/>
            <w:shd w:val="clear" w:color="auto" w:fill="FFFFFF"/>
            <w:vAlign w:val="center"/>
          </w:tcPr>
          <w:p w14:paraId="77E812DE">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FBB2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594" w:type="dxa"/>
            <w:shd w:val="clear" w:color="auto" w:fill="FFFFFF"/>
            <w:vAlign w:val="center"/>
          </w:tcPr>
          <w:p w14:paraId="4ACC7C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70</w:t>
            </w:r>
          </w:p>
        </w:tc>
        <w:tc>
          <w:tcPr>
            <w:tcW w:w="981" w:type="dxa"/>
            <w:shd w:val="clear" w:color="auto" w:fill="FFFFFF"/>
            <w:vAlign w:val="center"/>
          </w:tcPr>
          <w:p w14:paraId="00875EA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386387DA">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6700D03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★操作系统功能</w:t>
            </w:r>
          </w:p>
        </w:tc>
        <w:tc>
          <w:tcPr>
            <w:tcW w:w="3990" w:type="dxa"/>
            <w:shd w:val="clear" w:color="auto" w:fill="FFFFFF"/>
            <w:vAlign w:val="center"/>
          </w:tcPr>
          <w:p w14:paraId="173B838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a）支持访问控制、安全审计、网络接入鉴别等功能；b）操作系统其他功能应满足操作系统政府采购需求标准中加*的指标要求</w:t>
            </w:r>
          </w:p>
        </w:tc>
        <w:tc>
          <w:tcPr>
            <w:tcW w:w="1326" w:type="dxa"/>
            <w:shd w:val="clear" w:color="auto" w:fill="FFFFFF"/>
            <w:vAlign w:val="center"/>
          </w:tcPr>
          <w:p w14:paraId="071F1C68">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D283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594" w:type="dxa"/>
            <w:shd w:val="clear" w:color="auto" w:fill="FFFFFF"/>
            <w:vAlign w:val="center"/>
          </w:tcPr>
          <w:p w14:paraId="3357F04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71</w:t>
            </w:r>
          </w:p>
        </w:tc>
        <w:tc>
          <w:tcPr>
            <w:tcW w:w="981" w:type="dxa"/>
            <w:shd w:val="clear" w:color="auto" w:fill="FFFFFF"/>
            <w:vAlign w:val="center"/>
          </w:tcPr>
          <w:p w14:paraId="283B4FF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shd w:val="clear" w:color="auto" w:fill="FFFFFF"/>
            <w:vAlign w:val="center"/>
          </w:tcPr>
          <w:p w14:paraId="544AC24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中文信息处理功能</w:t>
            </w:r>
          </w:p>
        </w:tc>
        <w:tc>
          <w:tcPr>
            <w:tcW w:w="1578" w:type="dxa"/>
            <w:shd w:val="clear" w:color="auto" w:fill="FFFFFF"/>
            <w:vAlign w:val="center"/>
          </w:tcPr>
          <w:p w14:paraId="08F1084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★中文信息处理</w:t>
            </w:r>
          </w:p>
        </w:tc>
        <w:tc>
          <w:tcPr>
            <w:tcW w:w="3990" w:type="dxa"/>
            <w:shd w:val="clear" w:color="auto" w:fill="FFFFFF"/>
            <w:vAlign w:val="center"/>
          </w:tcPr>
          <w:p w14:paraId="249210F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符合GB18030的有关规定</w:t>
            </w:r>
          </w:p>
        </w:tc>
        <w:tc>
          <w:tcPr>
            <w:tcW w:w="1326" w:type="dxa"/>
            <w:shd w:val="clear" w:color="auto" w:fill="FFFFFF"/>
            <w:vAlign w:val="center"/>
          </w:tcPr>
          <w:p w14:paraId="5EB69488">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2B84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61AF7F2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72</w:t>
            </w:r>
          </w:p>
        </w:tc>
        <w:tc>
          <w:tcPr>
            <w:tcW w:w="981" w:type="dxa"/>
            <w:shd w:val="clear" w:color="auto" w:fill="FFFFFF"/>
            <w:vAlign w:val="center"/>
          </w:tcPr>
          <w:p w14:paraId="72194B6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0CF9042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机柜功能</w:t>
            </w:r>
          </w:p>
        </w:tc>
        <w:tc>
          <w:tcPr>
            <w:tcW w:w="1578" w:type="dxa"/>
            <w:shd w:val="clear" w:color="auto" w:fill="FFFFFF"/>
            <w:vAlign w:val="center"/>
          </w:tcPr>
          <w:p w14:paraId="030D9EE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机柜管理功能</w:t>
            </w:r>
          </w:p>
        </w:tc>
        <w:tc>
          <w:tcPr>
            <w:tcW w:w="3990" w:type="dxa"/>
            <w:shd w:val="clear" w:color="auto" w:fill="FFFFFF"/>
            <w:vAlign w:val="center"/>
          </w:tcPr>
          <w:p w14:paraId="37C68B2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机柜管理系统包括服务器节点BMC管理系统、机柜管理系统或交换节点管理系统</w:t>
            </w:r>
          </w:p>
        </w:tc>
        <w:tc>
          <w:tcPr>
            <w:tcW w:w="1326" w:type="dxa"/>
            <w:shd w:val="clear" w:color="auto" w:fill="FFFFFF"/>
            <w:vAlign w:val="center"/>
          </w:tcPr>
          <w:p w14:paraId="5C4B7827">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34DE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594" w:type="dxa"/>
            <w:shd w:val="clear" w:color="auto" w:fill="FFFFFF"/>
            <w:vAlign w:val="center"/>
          </w:tcPr>
          <w:p w14:paraId="41B3A0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73</w:t>
            </w:r>
          </w:p>
        </w:tc>
        <w:tc>
          <w:tcPr>
            <w:tcW w:w="981" w:type="dxa"/>
            <w:shd w:val="clear" w:color="auto" w:fill="FFFFFF"/>
            <w:vAlign w:val="center"/>
          </w:tcPr>
          <w:p w14:paraId="3FBC232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118180AB">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0F15487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机柜通信方式</w:t>
            </w:r>
          </w:p>
        </w:tc>
        <w:tc>
          <w:tcPr>
            <w:tcW w:w="3990" w:type="dxa"/>
            <w:shd w:val="clear" w:color="auto" w:fill="FFFFFF"/>
            <w:vAlign w:val="center"/>
          </w:tcPr>
          <w:p w14:paraId="087BC26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若配备机柜管理板可实现包括：资产管理、电源模块、功耗管理和液冷漏液检测等功能</w:t>
            </w:r>
          </w:p>
        </w:tc>
        <w:tc>
          <w:tcPr>
            <w:tcW w:w="1326" w:type="dxa"/>
            <w:shd w:val="clear" w:color="auto" w:fill="FFFFFF"/>
            <w:vAlign w:val="center"/>
          </w:tcPr>
          <w:p w14:paraId="0D408F49">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B667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594" w:type="dxa"/>
            <w:shd w:val="clear" w:color="auto" w:fill="FFFFFF"/>
            <w:vAlign w:val="center"/>
          </w:tcPr>
          <w:p w14:paraId="6A923CA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74</w:t>
            </w:r>
          </w:p>
        </w:tc>
        <w:tc>
          <w:tcPr>
            <w:tcW w:w="981" w:type="dxa"/>
            <w:shd w:val="clear" w:color="auto" w:fill="FFFFFF"/>
            <w:vAlign w:val="center"/>
          </w:tcPr>
          <w:p w14:paraId="42BB154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12094205">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5755974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多集群作业管理</w:t>
            </w:r>
          </w:p>
        </w:tc>
        <w:tc>
          <w:tcPr>
            <w:tcW w:w="3990" w:type="dxa"/>
            <w:shd w:val="clear" w:color="auto" w:fill="FFFFFF"/>
            <w:vAlign w:val="center"/>
          </w:tcPr>
          <w:p w14:paraId="54B75EC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支持多集群作业管理功能</w:t>
            </w:r>
          </w:p>
        </w:tc>
        <w:tc>
          <w:tcPr>
            <w:tcW w:w="1326" w:type="dxa"/>
            <w:shd w:val="clear" w:color="auto" w:fill="FFFFFF"/>
            <w:vAlign w:val="center"/>
          </w:tcPr>
          <w:p w14:paraId="643C1D9C">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BFD9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594" w:type="dxa"/>
            <w:shd w:val="clear" w:color="auto" w:fill="FFFFFF"/>
            <w:vAlign w:val="center"/>
          </w:tcPr>
          <w:p w14:paraId="65301B0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75</w:t>
            </w:r>
          </w:p>
        </w:tc>
        <w:tc>
          <w:tcPr>
            <w:tcW w:w="981" w:type="dxa"/>
            <w:shd w:val="clear" w:color="auto" w:fill="FFFFFF"/>
            <w:vAlign w:val="center"/>
          </w:tcPr>
          <w:p w14:paraId="7B31477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shd w:val="clear" w:color="auto" w:fill="FFFFFF"/>
            <w:vAlign w:val="center"/>
          </w:tcPr>
          <w:p w14:paraId="298E0A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关键部件安全要求</w:t>
            </w:r>
          </w:p>
        </w:tc>
        <w:tc>
          <w:tcPr>
            <w:tcW w:w="1578" w:type="dxa"/>
            <w:shd w:val="clear" w:color="auto" w:fill="FFFFFF"/>
            <w:vAlign w:val="center"/>
          </w:tcPr>
          <w:p w14:paraId="1EF963D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★关键部件安全要求</w:t>
            </w:r>
          </w:p>
        </w:tc>
        <w:tc>
          <w:tcPr>
            <w:tcW w:w="3990" w:type="dxa"/>
            <w:shd w:val="clear" w:color="auto" w:fill="FFFFFF"/>
            <w:vAlign w:val="center"/>
          </w:tcPr>
          <w:p w14:paraId="284DF77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CPU和操作系统等关键部件应当符合安全可靠测评要求</w:t>
            </w:r>
          </w:p>
        </w:tc>
        <w:tc>
          <w:tcPr>
            <w:tcW w:w="1326" w:type="dxa"/>
            <w:shd w:val="clear" w:color="auto" w:fill="FFFFFF"/>
            <w:vAlign w:val="center"/>
          </w:tcPr>
          <w:p w14:paraId="3AC0BE2F">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B6A0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181F33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76</w:t>
            </w:r>
          </w:p>
        </w:tc>
        <w:tc>
          <w:tcPr>
            <w:tcW w:w="981" w:type="dxa"/>
            <w:shd w:val="clear" w:color="auto" w:fill="FFFFFF"/>
            <w:vAlign w:val="center"/>
          </w:tcPr>
          <w:p w14:paraId="78BF22C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restart"/>
            <w:shd w:val="clear" w:color="auto" w:fill="FFFFFF"/>
            <w:vAlign w:val="center"/>
          </w:tcPr>
          <w:p w14:paraId="42BEEC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固件安全要求</w:t>
            </w:r>
          </w:p>
        </w:tc>
        <w:tc>
          <w:tcPr>
            <w:tcW w:w="1578" w:type="dxa"/>
            <w:shd w:val="clear" w:color="auto" w:fill="FFFFFF"/>
            <w:vAlign w:val="center"/>
          </w:tcPr>
          <w:p w14:paraId="3F36DAD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★故障检测</w:t>
            </w:r>
          </w:p>
        </w:tc>
        <w:tc>
          <w:tcPr>
            <w:tcW w:w="3990" w:type="dxa"/>
            <w:shd w:val="clear" w:color="auto" w:fill="FFFFFF"/>
            <w:vAlign w:val="center"/>
          </w:tcPr>
          <w:p w14:paraId="272F61F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支持故障检测功能，可以检测到具体的FRU（内存、硬盘等）的故障并发出告警</w:t>
            </w:r>
          </w:p>
        </w:tc>
        <w:tc>
          <w:tcPr>
            <w:tcW w:w="1326" w:type="dxa"/>
            <w:shd w:val="clear" w:color="auto" w:fill="FFFFFF"/>
            <w:vAlign w:val="center"/>
          </w:tcPr>
          <w:p w14:paraId="22AD3F44">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FF48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 w:type="dxa"/>
            <w:shd w:val="clear" w:color="auto" w:fill="FFFFFF"/>
            <w:vAlign w:val="center"/>
          </w:tcPr>
          <w:p w14:paraId="2EB2D93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77</w:t>
            </w:r>
          </w:p>
        </w:tc>
        <w:tc>
          <w:tcPr>
            <w:tcW w:w="981" w:type="dxa"/>
            <w:shd w:val="clear" w:color="auto" w:fill="FFFFFF"/>
            <w:vAlign w:val="center"/>
          </w:tcPr>
          <w:p w14:paraId="15A5DF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1C93902A">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40A64E9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内存故障智能预测和自愈修复</w:t>
            </w:r>
          </w:p>
        </w:tc>
        <w:tc>
          <w:tcPr>
            <w:tcW w:w="3990" w:type="dxa"/>
            <w:shd w:val="clear" w:color="auto" w:fill="FFFFFF"/>
            <w:vAlign w:val="center"/>
          </w:tcPr>
          <w:p w14:paraId="2998113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支持内存故障智能预测和自愈修复，提前自动硬隔离，避免内存故障引起的非预期宕机以及内存寿命的降低</w:t>
            </w:r>
          </w:p>
        </w:tc>
        <w:tc>
          <w:tcPr>
            <w:tcW w:w="1326" w:type="dxa"/>
            <w:shd w:val="clear" w:color="auto" w:fill="FFFFFF"/>
            <w:vAlign w:val="center"/>
          </w:tcPr>
          <w:p w14:paraId="4CE7829B">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18D9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7A489A4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78</w:t>
            </w:r>
          </w:p>
        </w:tc>
        <w:tc>
          <w:tcPr>
            <w:tcW w:w="981" w:type="dxa"/>
            <w:shd w:val="clear" w:color="auto" w:fill="FFFFFF"/>
            <w:vAlign w:val="center"/>
          </w:tcPr>
          <w:p w14:paraId="406C659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7B3F45E9">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646275D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硬盘故障智能预测</w:t>
            </w:r>
          </w:p>
        </w:tc>
        <w:tc>
          <w:tcPr>
            <w:tcW w:w="3990" w:type="dxa"/>
            <w:shd w:val="clear" w:color="auto" w:fill="FFFFFF"/>
            <w:vAlign w:val="center"/>
          </w:tcPr>
          <w:p w14:paraId="4026882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支持硬盘故障智能预测，基于故障模型预测出硬盘的故障</w:t>
            </w:r>
          </w:p>
        </w:tc>
        <w:tc>
          <w:tcPr>
            <w:tcW w:w="1326" w:type="dxa"/>
            <w:shd w:val="clear" w:color="auto" w:fill="FFFFFF"/>
            <w:vAlign w:val="center"/>
          </w:tcPr>
          <w:p w14:paraId="7AB5FDBB">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6FE4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594" w:type="dxa"/>
            <w:shd w:val="clear" w:color="auto" w:fill="FFFFFF"/>
            <w:vAlign w:val="center"/>
          </w:tcPr>
          <w:p w14:paraId="4515932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79</w:t>
            </w:r>
          </w:p>
        </w:tc>
        <w:tc>
          <w:tcPr>
            <w:tcW w:w="981" w:type="dxa"/>
            <w:shd w:val="clear" w:color="auto" w:fill="FFFFFF"/>
            <w:vAlign w:val="center"/>
          </w:tcPr>
          <w:p w14:paraId="58A1B28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480A2084">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3E7E1B4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PCIe链路故障智能诊断</w:t>
            </w:r>
          </w:p>
        </w:tc>
        <w:tc>
          <w:tcPr>
            <w:tcW w:w="3990" w:type="dxa"/>
            <w:shd w:val="clear" w:color="auto" w:fill="FFFFFF"/>
            <w:vAlign w:val="center"/>
          </w:tcPr>
          <w:p w14:paraId="4377C41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支持PCIe链路故障智能诊断，判断出现故障的PCIe链路</w:t>
            </w:r>
          </w:p>
        </w:tc>
        <w:tc>
          <w:tcPr>
            <w:tcW w:w="1326" w:type="dxa"/>
            <w:shd w:val="clear" w:color="auto" w:fill="FFFFFF"/>
            <w:vAlign w:val="center"/>
          </w:tcPr>
          <w:p w14:paraId="46F5C01A">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2D3B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 w:type="dxa"/>
            <w:shd w:val="clear" w:color="auto" w:fill="FFFFFF"/>
            <w:vAlign w:val="center"/>
          </w:tcPr>
          <w:p w14:paraId="1228499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80</w:t>
            </w:r>
          </w:p>
        </w:tc>
        <w:tc>
          <w:tcPr>
            <w:tcW w:w="981" w:type="dxa"/>
            <w:shd w:val="clear" w:color="auto" w:fill="FFFFFF"/>
            <w:vAlign w:val="center"/>
          </w:tcPr>
          <w:p w14:paraId="5F8098E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3904D8AB">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208A5DE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内存故障隔离</w:t>
            </w:r>
          </w:p>
        </w:tc>
        <w:tc>
          <w:tcPr>
            <w:tcW w:w="3990" w:type="dxa"/>
            <w:shd w:val="clear" w:color="auto" w:fill="FFFFFF"/>
            <w:vAlign w:val="center"/>
          </w:tcPr>
          <w:p w14:paraId="2BC06E5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支持内存故障隔离，在内存产生CE故障时，内存地址被隔离成功，服务器正常运行，业务系统不中断</w:t>
            </w:r>
          </w:p>
        </w:tc>
        <w:tc>
          <w:tcPr>
            <w:tcW w:w="1326" w:type="dxa"/>
            <w:shd w:val="clear" w:color="auto" w:fill="FFFFFF"/>
            <w:vAlign w:val="center"/>
          </w:tcPr>
          <w:p w14:paraId="71B68A06">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EF6F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594" w:type="dxa"/>
            <w:shd w:val="clear" w:color="auto" w:fill="FFFFFF"/>
            <w:vAlign w:val="center"/>
          </w:tcPr>
          <w:p w14:paraId="17F6CF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81</w:t>
            </w:r>
          </w:p>
        </w:tc>
        <w:tc>
          <w:tcPr>
            <w:tcW w:w="981" w:type="dxa"/>
            <w:shd w:val="clear" w:color="auto" w:fill="FFFFFF"/>
            <w:vAlign w:val="center"/>
          </w:tcPr>
          <w:p w14:paraId="5D069FA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6593D9E0">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3EA26D4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内存、PCIe卡的故障精准告警功能</w:t>
            </w:r>
          </w:p>
        </w:tc>
        <w:tc>
          <w:tcPr>
            <w:tcW w:w="3990" w:type="dxa"/>
            <w:shd w:val="clear" w:color="auto" w:fill="FFFFFF"/>
            <w:vAlign w:val="center"/>
          </w:tcPr>
          <w:p w14:paraId="2C5C994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支持内存、PCIe卡的故障精准告警功能，触发告警并明确指示具体的故障位置</w:t>
            </w:r>
          </w:p>
        </w:tc>
        <w:tc>
          <w:tcPr>
            <w:tcW w:w="1326" w:type="dxa"/>
            <w:shd w:val="clear" w:color="auto" w:fill="FFFFFF"/>
            <w:vAlign w:val="center"/>
          </w:tcPr>
          <w:p w14:paraId="39A3C029">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5CCC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594" w:type="dxa"/>
            <w:shd w:val="clear" w:color="auto" w:fill="FFFFFF"/>
            <w:vAlign w:val="center"/>
          </w:tcPr>
          <w:p w14:paraId="1EABEFF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82</w:t>
            </w:r>
          </w:p>
        </w:tc>
        <w:tc>
          <w:tcPr>
            <w:tcW w:w="981" w:type="dxa"/>
            <w:shd w:val="clear" w:color="auto" w:fill="FFFFFF"/>
            <w:vAlign w:val="center"/>
          </w:tcPr>
          <w:p w14:paraId="06243A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0AB92AF0">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62C004C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异常下电关键数据保护</w:t>
            </w:r>
          </w:p>
        </w:tc>
        <w:tc>
          <w:tcPr>
            <w:tcW w:w="3990" w:type="dxa"/>
            <w:shd w:val="clear" w:color="auto" w:fill="FFFFFF"/>
            <w:vAlign w:val="center"/>
          </w:tcPr>
          <w:p w14:paraId="6F6FB16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支持异常掉电关键数据保护，支持数据备份恢复机制，防止系统异常掉电导致的数据文件丢失</w:t>
            </w:r>
          </w:p>
        </w:tc>
        <w:tc>
          <w:tcPr>
            <w:tcW w:w="1326" w:type="dxa"/>
            <w:shd w:val="clear" w:color="auto" w:fill="FFFFFF"/>
            <w:vAlign w:val="center"/>
          </w:tcPr>
          <w:p w14:paraId="0C379EE4">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DC80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 w:type="dxa"/>
            <w:shd w:val="clear" w:color="auto" w:fill="FFFFFF"/>
            <w:vAlign w:val="center"/>
          </w:tcPr>
          <w:p w14:paraId="44E1330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83</w:t>
            </w:r>
          </w:p>
        </w:tc>
        <w:tc>
          <w:tcPr>
            <w:tcW w:w="981" w:type="dxa"/>
            <w:shd w:val="clear" w:color="auto" w:fill="FFFFFF"/>
            <w:vAlign w:val="center"/>
          </w:tcPr>
          <w:p w14:paraId="18753F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7BADB860">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766ADAF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BMC/BIOS固件双镜像保护</w:t>
            </w:r>
          </w:p>
        </w:tc>
        <w:tc>
          <w:tcPr>
            <w:tcW w:w="3990" w:type="dxa"/>
            <w:shd w:val="clear" w:color="auto" w:fill="FFFFFF"/>
            <w:vAlign w:val="center"/>
          </w:tcPr>
          <w:p w14:paraId="389AF41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支持BMC/BIOS固件双镜像保护，运行异常时自动切换到备份镜像运行，提升系统稳定性</w:t>
            </w:r>
          </w:p>
        </w:tc>
        <w:tc>
          <w:tcPr>
            <w:tcW w:w="1326" w:type="dxa"/>
            <w:shd w:val="clear" w:color="auto" w:fill="FFFFFF"/>
            <w:vAlign w:val="center"/>
          </w:tcPr>
          <w:p w14:paraId="758083D4">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81F8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 w:type="dxa"/>
            <w:shd w:val="clear" w:color="auto" w:fill="FFFFFF"/>
            <w:vAlign w:val="center"/>
          </w:tcPr>
          <w:p w14:paraId="223AAF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84</w:t>
            </w:r>
          </w:p>
        </w:tc>
        <w:tc>
          <w:tcPr>
            <w:tcW w:w="981" w:type="dxa"/>
            <w:shd w:val="clear" w:color="auto" w:fill="FFFFFF"/>
            <w:vAlign w:val="center"/>
          </w:tcPr>
          <w:p w14:paraId="6F3EB44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73A2BF01">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07C67EF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CPU核重启隔离</w:t>
            </w:r>
          </w:p>
        </w:tc>
        <w:tc>
          <w:tcPr>
            <w:tcW w:w="3990" w:type="dxa"/>
            <w:shd w:val="clear" w:color="auto" w:fill="FFFFFF"/>
            <w:vAlign w:val="center"/>
          </w:tcPr>
          <w:p w14:paraId="3FCC6E6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支持CPU核发生不可纠正故障后，重启后由BIOS隔离该故障核，OS不可见，防止OS再次使用导致系统异常，核0除外</w:t>
            </w:r>
          </w:p>
        </w:tc>
        <w:tc>
          <w:tcPr>
            <w:tcW w:w="1326" w:type="dxa"/>
            <w:shd w:val="clear" w:color="auto" w:fill="FFFFFF"/>
            <w:vAlign w:val="center"/>
          </w:tcPr>
          <w:p w14:paraId="70A63262">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3D42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594" w:type="dxa"/>
            <w:shd w:val="clear" w:color="auto" w:fill="FFFFFF"/>
            <w:vAlign w:val="center"/>
          </w:tcPr>
          <w:p w14:paraId="4BF14F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85</w:t>
            </w:r>
          </w:p>
        </w:tc>
        <w:tc>
          <w:tcPr>
            <w:tcW w:w="981" w:type="dxa"/>
            <w:shd w:val="clear" w:color="auto" w:fill="FFFFFF"/>
            <w:vAlign w:val="center"/>
          </w:tcPr>
          <w:p w14:paraId="58C125A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48ED6814">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67C2A65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内存地址隔离</w:t>
            </w:r>
          </w:p>
        </w:tc>
        <w:tc>
          <w:tcPr>
            <w:tcW w:w="3990" w:type="dxa"/>
            <w:shd w:val="clear" w:color="auto" w:fill="FFFFFF"/>
            <w:vAlign w:val="center"/>
          </w:tcPr>
          <w:p w14:paraId="45DCB1F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在硬件支持的情况下，支持故障内存地址重启后隔离</w:t>
            </w:r>
          </w:p>
        </w:tc>
        <w:tc>
          <w:tcPr>
            <w:tcW w:w="1326" w:type="dxa"/>
            <w:shd w:val="clear" w:color="auto" w:fill="FFFFFF"/>
            <w:vAlign w:val="center"/>
          </w:tcPr>
          <w:p w14:paraId="7BB4072D">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FF3C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594" w:type="dxa"/>
            <w:shd w:val="clear" w:color="auto" w:fill="FFFFFF"/>
            <w:vAlign w:val="center"/>
          </w:tcPr>
          <w:p w14:paraId="12DC2AB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86</w:t>
            </w:r>
          </w:p>
        </w:tc>
        <w:tc>
          <w:tcPr>
            <w:tcW w:w="981" w:type="dxa"/>
            <w:shd w:val="clear" w:color="auto" w:fill="FFFFFF"/>
            <w:vAlign w:val="center"/>
          </w:tcPr>
          <w:p w14:paraId="1162D3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7C7F7C0B">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4543D02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内存存储阵列替换</w:t>
            </w:r>
          </w:p>
        </w:tc>
        <w:tc>
          <w:tcPr>
            <w:tcW w:w="3990" w:type="dxa"/>
            <w:shd w:val="clear" w:color="auto" w:fill="FFFFFF"/>
            <w:vAlign w:val="center"/>
          </w:tcPr>
          <w:p w14:paraId="1416E13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在硬件支持的情况下，支持故障内存存储阵列替换</w:t>
            </w:r>
          </w:p>
        </w:tc>
        <w:tc>
          <w:tcPr>
            <w:tcW w:w="1326" w:type="dxa"/>
            <w:shd w:val="clear" w:color="auto" w:fill="FFFFFF"/>
            <w:vAlign w:val="center"/>
          </w:tcPr>
          <w:p w14:paraId="1998C66C">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C222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116FB9C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87</w:t>
            </w:r>
          </w:p>
        </w:tc>
        <w:tc>
          <w:tcPr>
            <w:tcW w:w="981" w:type="dxa"/>
            <w:shd w:val="clear" w:color="auto" w:fill="FFFFFF"/>
            <w:vAlign w:val="center"/>
          </w:tcPr>
          <w:p w14:paraId="31B2082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06724449">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38160EF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安全启动</w:t>
            </w:r>
          </w:p>
        </w:tc>
        <w:tc>
          <w:tcPr>
            <w:tcW w:w="3990" w:type="dxa"/>
            <w:shd w:val="clear" w:color="auto" w:fill="FFFFFF"/>
            <w:vAlign w:val="center"/>
          </w:tcPr>
          <w:p w14:paraId="41E871A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支持执行环境要求在整个系统启动的过程中，系统应提供一个机制来保护平台的完整性</w:t>
            </w:r>
          </w:p>
        </w:tc>
        <w:tc>
          <w:tcPr>
            <w:tcW w:w="1326" w:type="dxa"/>
            <w:shd w:val="clear" w:color="auto" w:fill="FFFFFF"/>
            <w:vAlign w:val="center"/>
          </w:tcPr>
          <w:p w14:paraId="700F2C6F">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9158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019BF4F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88</w:t>
            </w:r>
          </w:p>
        </w:tc>
        <w:tc>
          <w:tcPr>
            <w:tcW w:w="981" w:type="dxa"/>
            <w:shd w:val="clear" w:color="auto" w:fill="FFFFFF"/>
            <w:vAlign w:val="center"/>
          </w:tcPr>
          <w:p w14:paraId="78C61B6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restart"/>
            <w:shd w:val="clear" w:color="auto" w:fill="FFFFFF"/>
            <w:vAlign w:val="center"/>
          </w:tcPr>
          <w:p w14:paraId="4465508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系统安全要求</w:t>
            </w:r>
          </w:p>
        </w:tc>
        <w:tc>
          <w:tcPr>
            <w:tcW w:w="1578" w:type="dxa"/>
            <w:shd w:val="clear" w:color="auto" w:fill="FFFFFF"/>
            <w:vAlign w:val="center"/>
          </w:tcPr>
          <w:p w14:paraId="2ECD434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syslog双向鉴别</w:t>
            </w:r>
          </w:p>
        </w:tc>
        <w:tc>
          <w:tcPr>
            <w:tcW w:w="3990" w:type="dxa"/>
            <w:shd w:val="clear" w:color="auto" w:fill="FFFFFF"/>
            <w:vAlign w:val="center"/>
          </w:tcPr>
          <w:p w14:paraId="59B5CF7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支持系统日志双向鉴别，对服务器根证书和客户端根证书进行鉴别</w:t>
            </w:r>
          </w:p>
        </w:tc>
        <w:tc>
          <w:tcPr>
            <w:tcW w:w="1326" w:type="dxa"/>
            <w:shd w:val="clear" w:color="auto" w:fill="FFFFFF"/>
            <w:vAlign w:val="center"/>
          </w:tcPr>
          <w:p w14:paraId="3A1A0984">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821C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5D44EB1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89</w:t>
            </w:r>
          </w:p>
        </w:tc>
        <w:tc>
          <w:tcPr>
            <w:tcW w:w="981" w:type="dxa"/>
            <w:shd w:val="clear" w:color="auto" w:fill="FFFFFF"/>
            <w:vAlign w:val="center"/>
          </w:tcPr>
          <w:p w14:paraId="36358AB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6E5CD304">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3311D66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★弱口令字典检查</w:t>
            </w:r>
          </w:p>
        </w:tc>
        <w:tc>
          <w:tcPr>
            <w:tcW w:w="3990" w:type="dxa"/>
            <w:shd w:val="clear" w:color="auto" w:fill="FFFFFF"/>
            <w:vAlign w:val="center"/>
          </w:tcPr>
          <w:p w14:paraId="1EE1069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支持弱口令字典检查功能，出现在弱口令字典中的字符串不能被设置为用户口令</w:t>
            </w:r>
          </w:p>
        </w:tc>
        <w:tc>
          <w:tcPr>
            <w:tcW w:w="1326" w:type="dxa"/>
            <w:shd w:val="clear" w:color="auto" w:fill="FFFFFF"/>
            <w:vAlign w:val="center"/>
          </w:tcPr>
          <w:p w14:paraId="63CC0F15">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BAB3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2A8A42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90</w:t>
            </w:r>
          </w:p>
        </w:tc>
        <w:tc>
          <w:tcPr>
            <w:tcW w:w="981" w:type="dxa"/>
            <w:shd w:val="clear" w:color="auto" w:fill="FFFFFF"/>
            <w:vAlign w:val="center"/>
          </w:tcPr>
          <w:p w14:paraId="0472CB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5A50BD30">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1CF642F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★白名单访问控制</w:t>
            </w:r>
          </w:p>
        </w:tc>
        <w:tc>
          <w:tcPr>
            <w:tcW w:w="3990" w:type="dxa"/>
            <w:shd w:val="clear" w:color="auto" w:fill="FFFFFF"/>
            <w:vAlign w:val="center"/>
          </w:tcPr>
          <w:p w14:paraId="5618452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支持基于时间、IP或MAC白名单访问控制</w:t>
            </w:r>
          </w:p>
        </w:tc>
        <w:tc>
          <w:tcPr>
            <w:tcW w:w="1326" w:type="dxa"/>
            <w:shd w:val="clear" w:color="auto" w:fill="FFFFFF"/>
            <w:vAlign w:val="center"/>
          </w:tcPr>
          <w:p w14:paraId="4236ED9D">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4925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2366097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91</w:t>
            </w:r>
          </w:p>
        </w:tc>
        <w:tc>
          <w:tcPr>
            <w:tcW w:w="981" w:type="dxa"/>
            <w:shd w:val="clear" w:color="auto" w:fill="FFFFFF"/>
            <w:vAlign w:val="center"/>
          </w:tcPr>
          <w:p w14:paraId="647C82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7DE1E0F2">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426C880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双因素鉴别</w:t>
            </w:r>
          </w:p>
        </w:tc>
        <w:tc>
          <w:tcPr>
            <w:tcW w:w="3990" w:type="dxa"/>
            <w:shd w:val="clear" w:color="auto" w:fill="FFFFFF"/>
            <w:vAlign w:val="center"/>
          </w:tcPr>
          <w:p w14:paraId="7251515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支持使用客户端证书和证书密码的双因素鉴别方式登录管理系统</w:t>
            </w:r>
          </w:p>
        </w:tc>
        <w:tc>
          <w:tcPr>
            <w:tcW w:w="1326" w:type="dxa"/>
            <w:shd w:val="clear" w:color="auto" w:fill="FFFFFF"/>
            <w:vAlign w:val="center"/>
          </w:tcPr>
          <w:p w14:paraId="3E62ECA0">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A7A6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 w:type="dxa"/>
            <w:shd w:val="clear" w:color="auto" w:fill="FFFFFF"/>
            <w:vAlign w:val="center"/>
          </w:tcPr>
          <w:p w14:paraId="4B58919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92</w:t>
            </w:r>
          </w:p>
        </w:tc>
        <w:tc>
          <w:tcPr>
            <w:tcW w:w="981" w:type="dxa"/>
            <w:shd w:val="clear" w:color="auto" w:fill="FFFFFF"/>
            <w:vAlign w:val="center"/>
          </w:tcPr>
          <w:p w14:paraId="2EDE69A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544452BB">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096C120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★二次鉴别</w:t>
            </w:r>
          </w:p>
        </w:tc>
        <w:tc>
          <w:tcPr>
            <w:tcW w:w="3990" w:type="dxa"/>
            <w:shd w:val="clear" w:color="auto" w:fill="FFFFFF"/>
            <w:vAlign w:val="center"/>
          </w:tcPr>
          <w:p w14:paraId="04A0385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支持二次鉴别功能。对于用户配置、权限配置、公钥导入等重要的管理操作，已登录用户应通过二次鉴别后，才能执行操作</w:t>
            </w:r>
          </w:p>
        </w:tc>
        <w:tc>
          <w:tcPr>
            <w:tcW w:w="1326" w:type="dxa"/>
            <w:shd w:val="clear" w:color="auto" w:fill="FFFFFF"/>
            <w:vAlign w:val="center"/>
          </w:tcPr>
          <w:p w14:paraId="04D36B0A">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2A2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 w:type="dxa"/>
            <w:shd w:val="clear" w:color="auto" w:fill="FFFFFF"/>
            <w:vAlign w:val="center"/>
          </w:tcPr>
          <w:p w14:paraId="76A361A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93</w:t>
            </w:r>
          </w:p>
        </w:tc>
        <w:tc>
          <w:tcPr>
            <w:tcW w:w="981" w:type="dxa"/>
            <w:shd w:val="clear" w:color="auto" w:fill="FFFFFF"/>
            <w:vAlign w:val="center"/>
          </w:tcPr>
          <w:p w14:paraId="23D15E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0A0EFE2B">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1C159A8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匿名化用户告警接收邮箱</w:t>
            </w:r>
          </w:p>
        </w:tc>
        <w:tc>
          <w:tcPr>
            <w:tcW w:w="3990" w:type="dxa"/>
            <w:shd w:val="clear" w:color="auto" w:fill="FFFFFF"/>
            <w:vAlign w:val="center"/>
          </w:tcPr>
          <w:p w14:paraId="1D498E0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支持带外管理系统中的用户告警接收邮箱进行匿名化处理</w:t>
            </w:r>
          </w:p>
        </w:tc>
        <w:tc>
          <w:tcPr>
            <w:tcW w:w="1326" w:type="dxa"/>
            <w:shd w:val="clear" w:color="auto" w:fill="FFFFFF"/>
            <w:vAlign w:val="center"/>
          </w:tcPr>
          <w:p w14:paraId="2922365A">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4AB1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 w:type="dxa"/>
            <w:shd w:val="clear" w:color="auto" w:fill="FFFFFF"/>
            <w:vAlign w:val="center"/>
          </w:tcPr>
          <w:p w14:paraId="1D5396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94</w:t>
            </w:r>
          </w:p>
        </w:tc>
        <w:tc>
          <w:tcPr>
            <w:tcW w:w="981" w:type="dxa"/>
            <w:shd w:val="clear" w:color="auto" w:fill="FFFFFF"/>
            <w:vAlign w:val="center"/>
          </w:tcPr>
          <w:p w14:paraId="7AA6F68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522A0B32">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0093CD7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★密码证书安全加密存储</w:t>
            </w:r>
          </w:p>
        </w:tc>
        <w:tc>
          <w:tcPr>
            <w:tcW w:w="3990" w:type="dxa"/>
            <w:shd w:val="clear" w:color="auto" w:fill="FFFFFF"/>
            <w:vAlign w:val="center"/>
          </w:tcPr>
          <w:p w14:paraId="77E75E7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支持对带外管理系统中的用户口令和证书等敏感信息进行加密存储，禁止使用私有的和业界已知不安全的密码算法</w:t>
            </w:r>
          </w:p>
        </w:tc>
        <w:tc>
          <w:tcPr>
            <w:tcW w:w="1326" w:type="dxa"/>
            <w:shd w:val="clear" w:color="auto" w:fill="FFFFFF"/>
            <w:vAlign w:val="center"/>
          </w:tcPr>
          <w:p w14:paraId="5FAEED5B">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F00D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594" w:type="dxa"/>
            <w:shd w:val="clear" w:color="auto" w:fill="FFFFFF"/>
            <w:vAlign w:val="center"/>
          </w:tcPr>
          <w:p w14:paraId="40C5D42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95</w:t>
            </w:r>
          </w:p>
        </w:tc>
        <w:tc>
          <w:tcPr>
            <w:tcW w:w="981" w:type="dxa"/>
            <w:shd w:val="clear" w:color="auto" w:fill="FFFFFF"/>
            <w:vAlign w:val="center"/>
          </w:tcPr>
          <w:p w14:paraId="14FDA70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11ED3656">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03A0379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★敏感信息安全加密传输</w:t>
            </w:r>
          </w:p>
        </w:tc>
        <w:tc>
          <w:tcPr>
            <w:tcW w:w="3990" w:type="dxa"/>
            <w:shd w:val="clear" w:color="auto" w:fill="FFFFFF"/>
            <w:vAlign w:val="center"/>
          </w:tcPr>
          <w:p w14:paraId="45DCA4F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支持使用安全的传输加密协议（如SSH或HTTPS等）传输用户的敏感信息</w:t>
            </w:r>
          </w:p>
        </w:tc>
        <w:tc>
          <w:tcPr>
            <w:tcW w:w="1326" w:type="dxa"/>
            <w:shd w:val="clear" w:color="auto" w:fill="FFFFFF"/>
            <w:vAlign w:val="center"/>
          </w:tcPr>
          <w:p w14:paraId="28D664D2">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4320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080" w:hRule="atLeast"/>
        </w:trPr>
        <w:tc>
          <w:tcPr>
            <w:tcW w:w="594" w:type="dxa"/>
            <w:shd w:val="clear" w:color="auto" w:fill="FFFFFF"/>
            <w:vAlign w:val="center"/>
          </w:tcPr>
          <w:p w14:paraId="0B51340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96</w:t>
            </w:r>
          </w:p>
        </w:tc>
        <w:tc>
          <w:tcPr>
            <w:tcW w:w="981" w:type="dxa"/>
            <w:shd w:val="clear" w:color="auto" w:fill="FFFFFF"/>
            <w:vAlign w:val="center"/>
          </w:tcPr>
          <w:p w14:paraId="06603DC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restart"/>
            <w:shd w:val="clear" w:color="auto" w:fill="FFFFFF"/>
            <w:vAlign w:val="center"/>
          </w:tcPr>
          <w:p w14:paraId="1A411C5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信息安全要求</w:t>
            </w:r>
          </w:p>
        </w:tc>
        <w:tc>
          <w:tcPr>
            <w:tcW w:w="1578" w:type="dxa"/>
            <w:shd w:val="clear" w:color="auto" w:fill="FFFFFF"/>
            <w:vAlign w:val="center"/>
          </w:tcPr>
          <w:p w14:paraId="4757345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★研发过程安全</w:t>
            </w:r>
          </w:p>
        </w:tc>
        <w:tc>
          <w:tcPr>
            <w:tcW w:w="3990" w:type="dxa"/>
            <w:shd w:val="clear" w:color="auto" w:fill="FFFFFF"/>
            <w:vAlign w:val="center"/>
          </w:tcPr>
          <w:p w14:paraId="3098203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供应商承诺，生产商已建立从需求、设计、开发、测试、维护端到端的开发流程管理机制，输出和保存开发流程中每个阶段的产品需求清单、设计文档、开发文档、测试记录等材料，保证各个流程可追溯</w:t>
            </w:r>
            <w:r>
              <w:rPr>
                <w:rFonts w:hint="eastAsia"/>
                <w:b/>
                <w:bCs/>
              </w:rPr>
              <w:t>（需提供加盖投标人公章的承诺书</w:t>
            </w:r>
            <w:r>
              <w:rPr>
                <w:rFonts w:hint="eastAsia"/>
                <w:b/>
                <w:bCs/>
                <w:lang w:eastAsia="zh-CN"/>
              </w:rPr>
              <w:t>）</w:t>
            </w:r>
          </w:p>
        </w:tc>
        <w:tc>
          <w:tcPr>
            <w:tcW w:w="1326" w:type="dxa"/>
            <w:shd w:val="clear" w:color="auto" w:fill="FFFFFF"/>
            <w:vAlign w:val="center"/>
          </w:tcPr>
          <w:p w14:paraId="2BC13EEC">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6F757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 w:type="dxa"/>
            <w:shd w:val="clear" w:color="auto" w:fill="FFFFFF"/>
            <w:vAlign w:val="center"/>
          </w:tcPr>
          <w:p w14:paraId="7895550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97</w:t>
            </w:r>
          </w:p>
        </w:tc>
        <w:tc>
          <w:tcPr>
            <w:tcW w:w="981" w:type="dxa"/>
            <w:shd w:val="clear" w:color="auto" w:fill="FFFFFF"/>
            <w:vAlign w:val="center"/>
          </w:tcPr>
          <w:p w14:paraId="008CD97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755C87CD">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50C3776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漏洞管理</w:t>
            </w:r>
          </w:p>
        </w:tc>
        <w:tc>
          <w:tcPr>
            <w:tcW w:w="3990" w:type="dxa"/>
            <w:shd w:val="clear" w:color="auto" w:fill="FFFFFF"/>
            <w:vAlign w:val="center"/>
          </w:tcPr>
          <w:p w14:paraId="61CE6B3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供应商承诺，生产商已建立漏洞全量视图，保证产品版本涉及到的所有漏洞（如驱动程序、BMC软件等）都可以查看</w:t>
            </w:r>
            <w:r>
              <w:rPr>
                <w:rFonts w:hint="eastAsia"/>
                <w:b/>
                <w:bCs/>
              </w:rPr>
              <w:t>（需提供加盖投标人公章的承诺书</w:t>
            </w:r>
            <w:r>
              <w:rPr>
                <w:rFonts w:hint="eastAsia"/>
                <w:b/>
                <w:bCs/>
                <w:lang w:eastAsia="zh-CN"/>
              </w:rPr>
              <w:t>）</w:t>
            </w:r>
          </w:p>
        </w:tc>
        <w:tc>
          <w:tcPr>
            <w:tcW w:w="1326" w:type="dxa"/>
            <w:shd w:val="clear" w:color="auto" w:fill="FFFFFF"/>
            <w:vAlign w:val="center"/>
          </w:tcPr>
          <w:p w14:paraId="73A4FE2F">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5D82D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 w:type="dxa"/>
            <w:shd w:val="clear" w:color="auto" w:fill="FFFFFF"/>
            <w:vAlign w:val="center"/>
          </w:tcPr>
          <w:p w14:paraId="137304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98</w:t>
            </w:r>
          </w:p>
        </w:tc>
        <w:tc>
          <w:tcPr>
            <w:tcW w:w="981" w:type="dxa"/>
            <w:shd w:val="clear" w:color="auto" w:fill="FFFFFF"/>
            <w:vAlign w:val="center"/>
          </w:tcPr>
          <w:p w14:paraId="5AAB68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70630DCF">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00A1A67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网络关键设备服务器要求</w:t>
            </w:r>
          </w:p>
        </w:tc>
        <w:tc>
          <w:tcPr>
            <w:tcW w:w="3990" w:type="dxa"/>
            <w:shd w:val="clear" w:color="auto" w:fill="FFFFFF"/>
            <w:vAlign w:val="center"/>
          </w:tcPr>
          <w:p w14:paraId="2F7161F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作为网络关键设备的服务器应符合GB40050的相关规定</w:t>
            </w:r>
          </w:p>
        </w:tc>
        <w:tc>
          <w:tcPr>
            <w:tcW w:w="1326" w:type="dxa"/>
            <w:shd w:val="clear" w:color="auto" w:fill="FFFFFF"/>
            <w:vAlign w:val="center"/>
          </w:tcPr>
          <w:p w14:paraId="3B94B57B">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533B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76" w:hRule="atLeast"/>
        </w:trPr>
        <w:tc>
          <w:tcPr>
            <w:tcW w:w="594" w:type="dxa"/>
            <w:shd w:val="clear" w:color="auto" w:fill="FFFFFF"/>
            <w:vAlign w:val="center"/>
          </w:tcPr>
          <w:p w14:paraId="33108B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99</w:t>
            </w:r>
          </w:p>
        </w:tc>
        <w:tc>
          <w:tcPr>
            <w:tcW w:w="981" w:type="dxa"/>
            <w:shd w:val="clear" w:color="auto" w:fill="FFFFFF"/>
            <w:vAlign w:val="center"/>
          </w:tcPr>
          <w:p w14:paraId="2019E85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1EAB5103">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10EB961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增强要求</w:t>
            </w:r>
          </w:p>
        </w:tc>
        <w:tc>
          <w:tcPr>
            <w:tcW w:w="3990" w:type="dxa"/>
            <w:shd w:val="clear" w:color="auto" w:fill="FFFFFF"/>
            <w:vAlign w:val="center"/>
          </w:tcPr>
          <w:p w14:paraId="29B46E6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嵌入物理可信根，实现设备的信任链构建；b）支持可信平台控制模块（TPCM）；c）支持在固件系统（BMC、BIOS）启动前实现对固件度量的功能，支持物理可信根对BMC固件或BIOS固件进行完整性检测、更新和恢复；d）支持对CPU、网络控制器等关键处理器进行身份识别与度量的功能；e）支持基于处理器或可信计算模块度量的功能；f）所采用的可信密码模块接口应符合GM/T0012的相关规定；g）可信安全管理模块、处理器等硬件载体应通过国家相关部门的认证和许可</w:t>
            </w:r>
          </w:p>
        </w:tc>
        <w:tc>
          <w:tcPr>
            <w:tcW w:w="1326" w:type="dxa"/>
            <w:shd w:val="clear" w:color="auto" w:fill="FFFFFF"/>
            <w:vAlign w:val="center"/>
          </w:tcPr>
          <w:p w14:paraId="531F9EDF">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3401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594" w:type="dxa"/>
            <w:shd w:val="clear" w:color="auto" w:fill="FFFFFF"/>
            <w:vAlign w:val="center"/>
          </w:tcPr>
          <w:p w14:paraId="17EBF3D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100</w:t>
            </w:r>
          </w:p>
        </w:tc>
        <w:tc>
          <w:tcPr>
            <w:tcW w:w="981" w:type="dxa"/>
            <w:shd w:val="clear" w:color="auto" w:fill="FFFFFF"/>
            <w:vAlign w:val="center"/>
          </w:tcPr>
          <w:p w14:paraId="085169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shd w:val="clear" w:color="auto" w:fill="FFFFFF"/>
            <w:vAlign w:val="center"/>
          </w:tcPr>
          <w:p w14:paraId="5B27E5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物理安全</w:t>
            </w:r>
          </w:p>
        </w:tc>
        <w:tc>
          <w:tcPr>
            <w:tcW w:w="1578" w:type="dxa"/>
            <w:shd w:val="clear" w:color="auto" w:fill="FFFFFF"/>
            <w:vAlign w:val="center"/>
          </w:tcPr>
          <w:p w14:paraId="7078DFA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★物理安全</w:t>
            </w:r>
          </w:p>
        </w:tc>
        <w:tc>
          <w:tcPr>
            <w:tcW w:w="3990" w:type="dxa"/>
            <w:shd w:val="clear" w:color="auto" w:fill="FFFFFF"/>
            <w:vAlign w:val="center"/>
          </w:tcPr>
          <w:p w14:paraId="4F81C9C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安全要求应符合GB4943.1的规定</w:t>
            </w:r>
          </w:p>
        </w:tc>
        <w:tc>
          <w:tcPr>
            <w:tcW w:w="1326" w:type="dxa"/>
            <w:shd w:val="clear" w:color="auto" w:fill="FFFFFF"/>
            <w:vAlign w:val="center"/>
          </w:tcPr>
          <w:p w14:paraId="43C757A7">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672C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594" w:type="dxa"/>
            <w:shd w:val="clear" w:color="auto" w:fill="FFFFFF"/>
            <w:vAlign w:val="center"/>
          </w:tcPr>
          <w:p w14:paraId="542763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101</w:t>
            </w:r>
          </w:p>
        </w:tc>
        <w:tc>
          <w:tcPr>
            <w:tcW w:w="981" w:type="dxa"/>
            <w:shd w:val="clear" w:color="auto" w:fill="FFFFFF"/>
            <w:vAlign w:val="center"/>
          </w:tcPr>
          <w:p w14:paraId="28424C8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shd w:val="clear" w:color="auto" w:fill="FFFFFF"/>
            <w:vAlign w:val="center"/>
          </w:tcPr>
          <w:p w14:paraId="6F5350F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限用物质的限量要求</w:t>
            </w:r>
          </w:p>
        </w:tc>
        <w:tc>
          <w:tcPr>
            <w:tcW w:w="1578" w:type="dxa"/>
            <w:shd w:val="clear" w:color="auto" w:fill="FFFFFF"/>
            <w:vAlign w:val="center"/>
          </w:tcPr>
          <w:p w14:paraId="5A8CD2F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★限用物质的限量要求</w:t>
            </w:r>
          </w:p>
        </w:tc>
        <w:tc>
          <w:tcPr>
            <w:tcW w:w="3990" w:type="dxa"/>
            <w:shd w:val="clear" w:color="auto" w:fill="FFFFFF"/>
            <w:vAlign w:val="center"/>
          </w:tcPr>
          <w:p w14:paraId="228ECB0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限用物质的限量应符合GB/T26572的要求</w:t>
            </w:r>
          </w:p>
        </w:tc>
        <w:tc>
          <w:tcPr>
            <w:tcW w:w="1326" w:type="dxa"/>
            <w:shd w:val="clear" w:color="auto" w:fill="FFFFFF"/>
            <w:vAlign w:val="center"/>
          </w:tcPr>
          <w:p w14:paraId="7985EE73">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E9DD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594" w:type="dxa"/>
            <w:shd w:val="clear" w:color="auto" w:fill="FFFFFF"/>
            <w:vAlign w:val="center"/>
          </w:tcPr>
          <w:p w14:paraId="293A89C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102</w:t>
            </w:r>
          </w:p>
        </w:tc>
        <w:tc>
          <w:tcPr>
            <w:tcW w:w="981" w:type="dxa"/>
            <w:shd w:val="clear" w:color="auto" w:fill="FFFFFF"/>
            <w:vAlign w:val="center"/>
          </w:tcPr>
          <w:p w14:paraId="4C3631F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restart"/>
            <w:shd w:val="clear" w:color="auto" w:fill="FFFFFF"/>
            <w:vAlign w:val="center"/>
          </w:tcPr>
          <w:p w14:paraId="064CD35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CPU性能</w:t>
            </w:r>
          </w:p>
        </w:tc>
        <w:tc>
          <w:tcPr>
            <w:tcW w:w="1578" w:type="dxa"/>
            <w:shd w:val="clear" w:color="auto" w:fill="FFFFFF"/>
            <w:vAlign w:val="center"/>
          </w:tcPr>
          <w:p w14:paraId="71A3894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★CPU主频</w:t>
            </w:r>
          </w:p>
        </w:tc>
        <w:tc>
          <w:tcPr>
            <w:tcW w:w="3990" w:type="dxa"/>
            <w:shd w:val="clear" w:color="auto" w:fill="FFFFFF"/>
            <w:vAlign w:val="center"/>
          </w:tcPr>
          <w:p w14:paraId="44A24BD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≥2.7GHz</w:t>
            </w:r>
          </w:p>
        </w:tc>
        <w:tc>
          <w:tcPr>
            <w:tcW w:w="1326" w:type="dxa"/>
            <w:shd w:val="clear" w:color="auto" w:fill="FFFFFF"/>
            <w:vAlign w:val="center"/>
          </w:tcPr>
          <w:p w14:paraId="76DCE78B">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8830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1CEC70F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103</w:t>
            </w:r>
          </w:p>
        </w:tc>
        <w:tc>
          <w:tcPr>
            <w:tcW w:w="981" w:type="dxa"/>
            <w:shd w:val="clear" w:color="auto" w:fill="FFFFFF"/>
            <w:vAlign w:val="center"/>
          </w:tcPr>
          <w:p w14:paraId="3A790A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continue"/>
            <w:shd w:val="clear" w:color="auto" w:fill="FFFFFF"/>
            <w:vAlign w:val="center"/>
          </w:tcPr>
          <w:p w14:paraId="0BDA561E">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4FA7D11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★单CPU核数</w:t>
            </w:r>
          </w:p>
        </w:tc>
        <w:tc>
          <w:tcPr>
            <w:tcW w:w="3990" w:type="dxa"/>
            <w:shd w:val="clear" w:color="auto" w:fill="FFFFFF"/>
            <w:vAlign w:val="center"/>
          </w:tcPr>
          <w:p w14:paraId="51FAB3A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≥32核；</w:t>
            </w:r>
            <w:r>
              <w:rPr>
                <w:rFonts w:hint="eastAsia" w:asciiTheme="minorEastAsia" w:hAnsiTheme="minorEastAsia" w:eastAsiaTheme="minorEastAsia" w:cstheme="minorEastAsia"/>
                <w:sz w:val="24"/>
              </w:rPr>
              <w:t>≥2颗</w:t>
            </w:r>
          </w:p>
        </w:tc>
        <w:tc>
          <w:tcPr>
            <w:tcW w:w="1326" w:type="dxa"/>
            <w:shd w:val="clear" w:color="auto" w:fill="FFFFFF"/>
            <w:vAlign w:val="center"/>
          </w:tcPr>
          <w:p w14:paraId="26C86D32">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268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594" w:type="dxa"/>
            <w:shd w:val="clear" w:color="auto" w:fill="FFFFFF"/>
            <w:vAlign w:val="center"/>
          </w:tcPr>
          <w:p w14:paraId="18FDD3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104</w:t>
            </w:r>
          </w:p>
        </w:tc>
        <w:tc>
          <w:tcPr>
            <w:tcW w:w="981" w:type="dxa"/>
            <w:shd w:val="clear" w:color="auto" w:fill="FFFFFF"/>
            <w:vAlign w:val="center"/>
          </w:tcPr>
          <w:p w14:paraId="055FA33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continue"/>
            <w:shd w:val="clear" w:color="auto" w:fill="FFFFFF"/>
            <w:vAlign w:val="center"/>
          </w:tcPr>
          <w:p w14:paraId="05A3C262">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3CE7920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★单CPU末级缓存容量</w:t>
            </w:r>
          </w:p>
        </w:tc>
        <w:tc>
          <w:tcPr>
            <w:tcW w:w="3990" w:type="dxa"/>
            <w:shd w:val="clear" w:color="auto" w:fill="FFFFFF"/>
            <w:vAlign w:val="center"/>
          </w:tcPr>
          <w:p w14:paraId="61D25D5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≥8MB</w:t>
            </w:r>
          </w:p>
        </w:tc>
        <w:tc>
          <w:tcPr>
            <w:tcW w:w="1326" w:type="dxa"/>
            <w:shd w:val="clear" w:color="auto" w:fill="FFFFFF"/>
            <w:vAlign w:val="center"/>
          </w:tcPr>
          <w:p w14:paraId="6F1DF51E">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334D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594" w:type="dxa"/>
            <w:shd w:val="clear" w:color="auto" w:fill="FFFFFF"/>
            <w:vAlign w:val="center"/>
          </w:tcPr>
          <w:p w14:paraId="2043808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105</w:t>
            </w:r>
          </w:p>
        </w:tc>
        <w:tc>
          <w:tcPr>
            <w:tcW w:w="981" w:type="dxa"/>
            <w:shd w:val="clear" w:color="auto" w:fill="FFFFFF"/>
            <w:vAlign w:val="center"/>
          </w:tcPr>
          <w:p w14:paraId="41CF1C3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restart"/>
            <w:shd w:val="clear" w:color="auto" w:fill="FFFFFF"/>
            <w:vAlign w:val="center"/>
          </w:tcPr>
          <w:p w14:paraId="390C5D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内存性能</w:t>
            </w:r>
          </w:p>
        </w:tc>
        <w:tc>
          <w:tcPr>
            <w:tcW w:w="1578" w:type="dxa"/>
            <w:shd w:val="clear" w:color="auto" w:fill="FFFFFF"/>
            <w:vAlign w:val="center"/>
          </w:tcPr>
          <w:p w14:paraId="19304DD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★单内存模块容量</w:t>
            </w:r>
          </w:p>
        </w:tc>
        <w:tc>
          <w:tcPr>
            <w:tcW w:w="3990" w:type="dxa"/>
            <w:shd w:val="clear" w:color="auto" w:fill="FFFFFF"/>
            <w:vAlign w:val="center"/>
          </w:tcPr>
          <w:p w14:paraId="4755DD8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≥32GB；</w:t>
            </w:r>
          </w:p>
        </w:tc>
        <w:tc>
          <w:tcPr>
            <w:tcW w:w="1326" w:type="dxa"/>
            <w:shd w:val="clear" w:color="auto" w:fill="FFFFFF"/>
            <w:vAlign w:val="center"/>
          </w:tcPr>
          <w:p w14:paraId="2B369E01">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D7C2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594" w:type="dxa"/>
            <w:shd w:val="clear" w:color="auto" w:fill="FFFFFF"/>
            <w:vAlign w:val="center"/>
          </w:tcPr>
          <w:p w14:paraId="0ACDB0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106</w:t>
            </w:r>
          </w:p>
        </w:tc>
        <w:tc>
          <w:tcPr>
            <w:tcW w:w="981" w:type="dxa"/>
            <w:shd w:val="clear" w:color="auto" w:fill="FFFFFF"/>
            <w:vAlign w:val="center"/>
          </w:tcPr>
          <w:p w14:paraId="6CE7545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continue"/>
            <w:shd w:val="clear" w:color="auto" w:fill="FFFFFF"/>
            <w:vAlign w:val="center"/>
          </w:tcPr>
          <w:p w14:paraId="30D101F7">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2154F8B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★内存速率</w:t>
            </w:r>
          </w:p>
        </w:tc>
        <w:tc>
          <w:tcPr>
            <w:tcW w:w="3990" w:type="dxa"/>
            <w:shd w:val="clear" w:color="auto" w:fill="FFFFFF"/>
            <w:vAlign w:val="center"/>
          </w:tcPr>
          <w:p w14:paraId="3AE5F62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≥3200MT/s</w:t>
            </w:r>
          </w:p>
        </w:tc>
        <w:tc>
          <w:tcPr>
            <w:tcW w:w="1326" w:type="dxa"/>
            <w:shd w:val="clear" w:color="auto" w:fill="FFFFFF"/>
            <w:vAlign w:val="center"/>
          </w:tcPr>
          <w:p w14:paraId="61C327D1">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6F8C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594" w:type="dxa"/>
            <w:shd w:val="clear" w:color="auto" w:fill="FFFFFF"/>
            <w:vAlign w:val="center"/>
          </w:tcPr>
          <w:p w14:paraId="7335FF7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107</w:t>
            </w:r>
          </w:p>
        </w:tc>
        <w:tc>
          <w:tcPr>
            <w:tcW w:w="981" w:type="dxa"/>
            <w:shd w:val="clear" w:color="auto" w:fill="FFFFFF"/>
            <w:vAlign w:val="center"/>
          </w:tcPr>
          <w:p w14:paraId="7976FE6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shd w:val="clear" w:color="auto" w:fill="FFFFFF"/>
            <w:vAlign w:val="center"/>
          </w:tcPr>
          <w:p w14:paraId="1F2D484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存储性能</w:t>
            </w:r>
          </w:p>
        </w:tc>
        <w:tc>
          <w:tcPr>
            <w:tcW w:w="1578" w:type="dxa"/>
            <w:shd w:val="clear" w:color="auto" w:fill="FFFFFF"/>
            <w:vAlign w:val="center"/>
          </w:tcPr>
          <w:p w14:paraId="73E7983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硬盘转速</w:t>
            </w:r>
          </w:p>
        </w:tc>
        <w:tc>
          <w:tcPr>
            <w:tcW w:w="3990" w:type="dxa"/>
            <w:shd w:val="clear" w:color="auto" w:fill="FFFFFF"/>
            <w:vAlign w:val="center"/>
          </w:tcPr>
          <w:p w14:paraId="09D6450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安装的硬磁盘转速不小于7200rpm</w:t>
            </w:r>
          </w:p>
        </w:tc>
        <w:tc>
          <w:tcPr>
            <w:tcW w:w="1326" w:type="dxa"/>
            <w:shd w:val="clear" w:color="auto" w:fill="FFFFFF"/>
            <w:vAlign w:val="center"/>
          </w:tcPr>
          <w:p w14:paraId="10E00941">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0C25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594" w:type="dxa"/>
            <w:shd w:val="clear" w:color="auto" w:fill="FFFFFF"/>
            <w:vAlign w:val="center"/>
          </w:tcPr>
          <w:p w14:paraId="1961B9A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108</w:t>
            </w:r>
          </w:p>
        </w:tc>
        <w:tc>
          <w:tcPr>
            <w:tcW w:w="981" w:type="dxa"/>
            <w:shd w:val="clear" w:color="auto" w:fill="FFFFFF"/>
            <w:vAlign w:val="center"/>
          </w:tcPr>
          <w:p w14:paraId="6406E1C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shd w:val="clear" w:color="auto" w:fill="FFFFFF"/>
            <w:vAlign w:val="center"/>
          </w:tcPr>
          <w:p w14:paraId="2F5F7A4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RAID卡性能</w:t>
            </w:r>
          </w:p>
        </w:tc>
        <w:tc>
          <w:tcPr>
            <w:tcW w:w="1578" w:type="dxa"/>
            <w:shd w:val="clear" w:color="auto" w:fill="FFFFFF"/>
            <w:vAlign w:val="center"/>
          </w:tcPr>
          <w:p w14:paraId="334CA51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RAID卡缓存容量大小</w:t>
            </w:r>
          </w:p>
        </w:tc>
        <w:tc>
          <w:tcPr>
            <w:tcW w:w="3990" w:type="dxa"/>
            <w:shd w:val="clear" w:color="auto" w:fill="FFFFFF"/>
            <w:vAlign w:val="center"/>
          </w:tcPr>
          <w:p w14:paraId="3D89A0E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≥2GB</w:t>
            </w:r>
          </w:p>
        </w:tc>
        <w:tc>
          <w:tcPr>
            <w:tcW w:w="1326" w:type="dxa"/>
            <w:shd w:val="clear" w:color="auto" w:fill="FFFFFF"/>
            <w:vAlign w:val="center"/>
          </w:tcPr>
          <w:p w14:paraId="4417110D">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55C2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18B3F03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109</w:t>
            </w:r>
          </w:p>
        </w:tc>
        <w:tc>
          <w:tcPr>
            <w:tcW w:w="981" w:type="dxa"/>
            <w:shd w:val="clear" w:color="auto" w:fill="FFFFFF"/>
            <w:vAlign w:val="center"/>
          </w:tcPr>
          <w:p w14:paraId="1FCB6C2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shd w:val="clear" w:color="auto" w:fill="FFFFFF"/>
            <w:vAlign w:val="center"/>
          </w:tcPr>
          <w:p w14:paraId="783BDF7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FCHBA卡性能</w:t>
            </w:r>
          </w:p>
        </w:tc>
        <w:tc>
          <w:tcPr>
            <w:tcW w:w="1578" w:type="dxa"/>
            <w:shd w:val="clear" w:color="auto" w:fill="FFFFFF"/>
            <w:vAlign w:val="center"/>
          </w:tcPr>
          <w:p w14:paraId="47A4481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FCHBA卡速率</w:t>
            </w:r>
          </w:p>
        </w:tc>
        <w:tc>
          <w:tcPr>
            <w:tcW w:w="3990" w:type="dxa"/>
            <w:shd w:val="clear" w:color="auto" w:fill="FFFFFF"/>
            <w:vAlign w:val="center"/>
          </w:tcPr>
          <w:p w14:paraId="1BB963F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若配备FCHBA卡，单端口最大的连接速率≥8Gb/s（不涉及）</w:t>
            </w:r>
          </w:p>
        </w:tc>
        <w:tc>
          <w:tcPr>
            <w:tcW w:w="1326" w:type="dxa"/>
            <w:shd w:val="clear" w:color="auto" w:fill="FFFFFF"/>
            <w:vAlign w:val="center"/>
          </w:tcPr>
          <w:p w14:paraId="2D4B7294">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10C3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233D10F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110</w:t>
            </w:r>
          </w:p>
        </w:tc>
        <w:tc>
          <w:tcPr>
            <w:tcW w:w="981" w:type="dxa"/>
            <w:shd w:val="clear" w:color="auto" w:fill="FFFFFF"/>
            <w:vAlign w:val="center"/>
          </w:tcPr>
          <w:p w14:paraId="1CFC8DE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restart"/>
            <w:shd w:val="clear" w:color="auto" w:fill="FFFFFF"/>
            <w:vAlign w:val="center"/>
          </w:tcPr>
          <w:p w14:paraId="4A0E2EE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网络性能</w:t>
            </w:r>
          </w:p>
        </w:tc>
        <w:tc>
          <w:tcPr>
            <w:tcW w:w="1578" w:type="dxa"/>
            <w:shd w:val="clear" w:color="auto" w:fill="FFFFFF"/>
            <w:vAlign w:val="center"/>
          </w:tcPr>
          <w:p w14:paraId="0E09805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独立网卡速率</w:t>
            </w:r>
          </w:p>
        </w:tc>
        <w:tc>
          <w:tcPr>
            <w:tcW w:w="3990" w:type="dxa"/>
            <w:shd w:val="clear" w:color="auto" w:fill="FFFFFF"/>
            <w:vAlign w:val="center"/>
          </w:tcPr>
          <w:p w14:paraId="0416A82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端口速率≥10GE</w:t>
            </w:r>
          </w:p>
        </w:tc>
        <w:tc>
          <w:tcPr>
            <w:tcW w:w="1326" w:type="dxa"/>
            <w:shd w:val="clear" w:color="auto" w:fill="FFFFFF"/>
            <w:vAlign w:val="center"/>
          </w:tcPr>
          <w:p w14:paraId="6D6C1C5F">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363D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1A92D0A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111</w:t>
            </w:r>
          </w:p>
        </w:tc>
        <w:tc>
          <w:tcPr>
            <w:tcW w:w="981" w:type="dxa"/>
            <w:shd w:val="clear" w:color="auto" w:fill="FFFFFF"/>
            <w:vAlign w:val="center"/>
          </w:tcPr>
          <w:p w14:paraId="51D41B7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continue"/>
            <w:shd w:val="clear" w:color="auto" w:fill="FFFFFF"/>
            <w:vAlign w:val="center"/>
          </w:tcPr>
          <w:p w14:paraId="1068B526">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47EE305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板载网卡速率</w:t>
            </w:r>
          </w:p>
        </w:tc>
        <w:tc>
          <w:tcPr>
            <w:tcW w:w="3990" w:type="dxa"/>
            <w:shd w:val="clear" w:color="auto" w:fill="FFFFFF"/>
            <w:vAlign w:val="center"/>
          </w:tcPr>
          <w:p w14:paraId="5D46CF5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端口速率≥1GE</w:t>
            </w:r>
          </w:p>
        </w:tc>
        <w:tc>
          <w:tcPr>
            <w:tcW w:w="1326" w:type="dxa"/>
            <w:shd w:val="clear" w:color="auto" w:fill="FFFFFF"/>
            <w:vAlign w:val="center"/>
          </w:tcPr>
          <w:p w14:paraId="540A8C43">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72B2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594" w:type="dxa"/>
            <w:shd w:val="clear" w:color="auto" w:fill="FFFFFF"/>
            <w:vAlign w:val="center"/>
          </w:tcPr>
          <w:p w14:paraId="48593E5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112</w:t>
            </w:r>
          </w:p>
        </w:tc>
        <w:tc>
          <w:tcPr>
            <w:tcW w:w="981" w:type="dxa"/>
            <w:shd w:val="clear" w:color="auto" w:fill="FFFFFF"/>
            <w:vAlign w:val="center"/>
          </w:tcPr>
          <w:p w14:paraId="6590F79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shd w:val="clear" w:color="auto" w:fill="FFFFFF"/>
            <w:vAlign w:val="center"/>
          </w:tcPr>
          <w:p w14:paraId="4D16269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电源能耗</w:t>
            </w:r>
          </w:p>
        </w:tc>
        <w:tc>
          <w:tcPr>
            <w:tcW w:w="1578" w:type="dxa"/>
            <w:shd w:val="clear" w:color="auto" w:fill="FFFFFF"/>
            <w:vAlign w:val="center"/>
          </w:tcPr>
          <w:p w14:paraId="318552F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★电源能耗</w:t>
            </w:r>
          </w:p>
        </w:tc>
        <w:tc>
          <w:tcPr>
            <w:tcW w:w="3990" w:type="dxa"/>
            <w:shd w:val="clear" w:color="auto" w:fill="FFFFFF"/>
            <w:vAlign w:val="center"/>
          </w:tcPr>
          <w:p w14:paraId="1B8D4C7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符合GB/T9813.3的有关规定</w:t>
            </w:r>
          </w:p>
        </w:tc>
        <w:tc>
          <w:tcPr>
            <w:tcW w:w="1326" w:type="dxa"/>
            <w:shd w:val="clear" w:color="auto" w:fill="FFFFFF"/>
            <w:vAlign w:val="center"/>
          </w:tcPr>
          <w:p w14:paraId="109EA81B">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A8B1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576365E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113</w:t>
            </w:r>
          </w:p>
        </w:tc>
        <w:tc>
          <w:tcPr>
            <w:tcW w:w="981" w:type="dxa"/>
            <w:shd w:val="clear" w:color="auto" w:fill="FFFFFF"/>
            <w:vAlign w:val="center"/>
          </w:tcPr>
          <w:p w14:paraId="70EE42A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restart"/>
            <w:shd w:val="clear" w:color="auto" w:fill="FFFFFF"/>
            <w:vAlign w:val="center"/>
          </w:tcPr>
          <w:p w14:paraId="1721D62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部件兼容性要求</w:t>
            </w:r>
          </w:p>
        </w:tc>
        <w:tc>
          <w:tcPr>
            <w:tcW w:w="1578" w:type="dxa"/>
            <w:shd w:val="clear" w:color="auto" w:fill="FFFFFF"/>
            <w:noWrap/>
            <w:vAlign w:val="center"/>
          </w:tcPr>
          <w:p w14:paraId="6529B19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内存兼容性</w:t>
            </w:r>
          </w:p>
        </w:tc>
        <w:tc>
          <w:tcPr>
            <w:tcW w:w="3990" w:type="dxa"/>
            <w:shd w:val="clear" w:color="auto" w:fill="FFFFFF"/>
            <w:vAlign w:val="center"/>
          </w:tcPr>
          <w:p w14:paraId="4D4CF39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适配3种及以上厂商的内存产品，且均不低于产品支持的内存规格</w:t>
            </w:r>
          </w:p>
        </w:tc>
        <w:tc>
          <w:tcPr>
            <w:tcW w:w="1326" w:type="dxa"/>
            <w:shd w:val="clear" w:color="auto" w:fill="FFFFFF"/>
            <w:vAlign w:val="center"/>
          </w:tcPr>
          <w:p w14:paraId="66D8C835">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4D5B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594" w:type="dxa"/>
            <w:shd w:val="clear" w:color="auto" w:fill="FFFFFF"/>
            <w:vAlign w:val="center"/>
          </w:tcPr>
          <w:p w14:paraId="1596467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114</w:t>
            </w:r>
          </w:p>
        </w:tc>
        <w:tc>
          <w:tcPr>
            <w:tcW w:w="981" w:type="dxa"/>
            <w:shd w:val="clear" w:color="auto" w:fill="FFFFFF"/>
            <w:vAlign w:val="center"/>
          </w:tcPr>
          <w:p w14:paraId="5C91AB4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3768C324">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6A0442F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★固态存储兼容性</w:t>
            </w:r>
          </w:p>
        </w:tc>
        <w:tc>
          <w:tcPr>
            <w:tcW w:w="3990" w:type="dxa"/>
            <w:shd w:val="clear" w:color="auto" w:fill="FFFFFF"/>
            <w:vAlign w:val="center"/>
          </w:tcPr>
          <w:p w14:paraId="5A3CD88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适配3种或以上厂商的固态存储产品，且均不低于产品支持的固态存储设备规格</w:t>
            </w:r>
          </w:p>
        </w:tc>
        <w:tc>
          <w:tcPr>
            <w:tcW w:w="1326" w:type="dxa"/>
            <w:shd w:val="clear" w:color="auto" w:fill="FFFFFF"/>
            <w:vAlign w:val="center"/>
          </w:tcPr>
          <w:p w14:paraId="03CA52A5">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0E5D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4A6EBE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115</w:t>
            </w:r>
          </w:p>
        </w:tc>
        <w:tc>
          <w:tcPr>
            <w:tcW w:w="981" w:type="dxa"/>
            <w:shd w:val="clear" w:color="auto" w:fill="FFFFFF"/>
            <w:vAlign w:val="center"/>
          </w:tcPr>
          <w:p w14:paraId="6C05FAA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675CC2B0">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314A3D3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FCHBA卡兼容性</w:t>
            </w:r>
          </w:p>
        </w:tc>
        <w:tc>
          <w:tcPr>
            <w:tcW w:w="3990" w:type="dxa"/>
            <w:shd w:val="clear" w:color="auto" w:fill="FFFFFF"/>
            <w:vAlign w:val="center"/>
          </w:tcPr>
          <w:p w14:paraId="19063BE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FCHBA应适配两种或以上厂商产品</w:t>
            </w:r>
          </w:p>
        </w:tc>
        <w:tc>
          <w:tcPr>
            <w:tcW w:w="1326" w:type="dxa"/>
            <w:shd w:val="clear" w:color="auto" w:fill="FFFFFF"/>
            <w:vAlign w:val="center"/>
          </w:tcPr>
          <w:p w14:paraId="311D7BED">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A37A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594" w:type="dxa"/>
            <w:shd w:val="clear" w:color="auto" w:fill="FFFFFF"/>
            <w:vAlign w:val="center"/>
          </w:tcPr>
          <w:p w14:paraId="5DC9AD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116</w:t>
            </w:r>
          </w:p>
        </w:tc>
        <w:tc>
          <w:tcPr>
            <w:tcW w:w="981" w:type="dxa"/>
            <w:shd w:val="clear" w:color="auto" w:fill="FFFFFF"/>
            <w:vAlign w:val="center"/>
          </w:tcPr>
          <w:p w14:paraId="0C925D4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6D86BE9E">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0AFF8FE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RAID卡兼容性</w:t>
            </w:r>
          </w:p>
        </w:tc>
        <w:tc>
          <w:tcPr>
            <w:tcW w:w="3990" w:type="dxa"/>
            <w:shd w:val="clear" w:color="auto" w:fill="FFFFFF"/>
            <w:vAlign w:val="center"/>
          </w:tcPr>
          <w:p w14:paraId="4F0566A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RAID卡应适配两种或以上厂商产品</w:t>
            </w:r>
          </w:p>
        </w:tc>
        <w:tc>
          <w:tcPr>
            <w:tcW w:w="1326" w:type="dxa"/>
            <w:shd w:val="clear" w:color="auto" w:fill="FFFFFF"/>
            <w:vAlign w:val="center"/>
          </w:tcPr>
          <w:p w14:paraId="4C6CC9B5">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E68E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594" w:type="dxa"/>
            <w:shd w:val="clear" w:color="auto" w:fill="FFFFFF"/>
            <w:vAlign w:val="center"/>
          </w:tcPr>
          <w:p w14:paraId="56DAEE7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117</w:t>
            </w:r>
          </w:p>
        </w:tc>
        <w:tc>
          <w:tcPr>
            <w:tcW w:w="981" w:type="dxa"/>
            <w:shd w:val="clear" w:color="auto" w:fill="FFFFFF"/>
            <w:vAlign w:val="center"/>
          </w:tcPr>
          <w:p w14:paraId="7AFE4C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restart"/>
            <w:shd w:val="clear" w:color="auto" w:fill="FFFFFF"/>
            <w:vAlign w:val="center"/>
          </w:tcPr>
          <w:p w14:paraId="217DDD82">
            <w:pPr>
              <w:widowControl/>
              <w:jc w:val="center"/>
              <w:rPr>
                <w:rFonts w:asciiTheme="minorEastAsia" w:hAnsiTheme="minorEastAsia" w:eastAsiaTheme="minorEastAsia" w:cstheme="minorEastAsia"/>
                <w:kern w:val="0"/>
                <w:sz w:val="24"/>
              </w:rPr>
            </w:pPr>
          </w:p>
        </w:tc>
        <w:tc>
          <w:tcPr>
            <w:tcW w:w="1578" w:type="dxa"/>
            <w:shd w:val="clear" w:color="auto" w:fill="FFFFFF"/>
            <w:vAlign w:val="center"/>
          </w:tcPr>
          <w:p w14:paraId="5D9CAAA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★网卡兼容性</w:t>
            </w:r>
          </w:p>
        </w:tc>
        <w:tc>
          <w:tcPr>
            <w:tcW w:w="3990" w:type="dxa"/>
            <w:shd w:val="clear" w:color="auto" w:fill="FFFFFF"/>
            <w:vAlign w:val="center"/>
          </w:tcPr>
          <w:p w14:paraId="62C1280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网卡应适配两种或以上厂商产品</w:t>
            </w:r>
          </w:p>
        </w:tc>
        <w:tc>
          <w:tcPr>
            <w:tcW w:w="1326" w:type="dxa"/>
            <w:shd w:val="clear" w:color="auto" w:fill="FFFFFF"/>
            <w:vAlign w:val="center"/>
          </w:tcPr>
          <w:p w14:paraId="4393D7EE">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4AC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660599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118</w:t>
            </w:r>
          </w:p>
        </w:tc>
        <w:tc>
          <w:tcPr>
            <w:tcW w:w="981" w:type="dxa"/>
            <w:shd w:val="clear" w:color="auto" w:fill="FFFFFF"/>
            <w:vAlign w:val="center"/>
          </w:tcPr>
          <w:p w14:paraId="487C6B6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61A0B954">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64A2BC2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★功能卡兼容性</w:t>
            </w:r>
          </w:p>
        </w:tc>
        <w:tc>
          <w:tcPr>
            <w:tcW w:w="3990" w:type="dxa"/>
            <w:shd w:val="clear" w:color="auto" w:fill="FFFFFF"/>
            <w:vAlign w:val="center"/>
          </w:tcPr>
          <w:p w14:paraId="0CF2812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内置或适配符合PCIe的功能卡，如：网络功能卡、存储功能卡及图形显示功能卡</w:t>
            </w:r>
          </w:p>
        </w:tc>
        <w:tc>
          <w:tcPr>
            <w:tcW w:w="1326" w:type="dxa"/>
            <w:shd w:val="clear" w:color="auto" w:fill="FFFFFF"/>
            <w:vAlign w:val="center"/>
          </w:tcPr>
          <w:p w14:paraId="03FD11EF">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833A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594" w:type="dxa"/>
            <w:shd w:val="clear" w:color="auto" w:fill="FFFFFF"/>
            <w:vAlign w:val="center"/>
          </w:tcPr>
          <w:p w14:paraId="3383C5E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119</w:t>
            </w:r>
          </w:p>
        </w:tc>
        <w:tc>
          <w:tcPr>
            <w:tcW w:w="981" w:type="dxa"/>
            <w:shd w:val="clear" w:color="auto" w:fill="FFFFFF"/>
            <w:vAlign w:val="center"/>
          </w:tcPr>
          <w:p w14:paraId="7F17F6D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shd w:val="clear" w:color="auto" w:fill="FFFFFF"/>
            <w:vAlign w:val="center"/>
          </w:tcPr>
          <w:p w14:paraId="1133EF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外设兼容性</w:t>
            </w:r>
          </w:p>
        </w:tc>
        <w:tc>
          <w:tcPr>
            <w:tcW w:w="1578" w:type="dxa"/>
            <w:shd w:val="clear" w:color="auto" w:fill="FFFFFF"/>
            <w:vAlign w:val="center"/>
          </w:tcPr>
          <w:p w14:paraId="6443981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★外设兼容性</w:t>
            </w:r>
          </w:p>
        </w:tc>
        <w:tc>
          <w:tcPr>
            <w:tcW w:w="3990" w:type="dxa"/>
            <w:shd w:val="clear" w:color="auto" w:fill="FFFFFF"/>
            <w:vAlign w:val="center"/>
          </w:tcPr>
          <w:p w14:paraId="299BD83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兼容多种主流生产商的外部设备，包括显示器、键盘、鼠标、闪存盘、移动硬盘、USB光驱及KVM等，要求使用不同厂商的外部设备时，系统均能正常识别和安装驱动</w:t>
            </w:r>
          </w:p>
        </w:tc>
        <w:tc>
          <w:tcPr>
            <w:tcW w:w="1326" w:type="dxa"/>
            <w:shd w:val="clear" w:color="auto" w:fill="FFFFFF"/>
            <w:vAlign w:val="center"/>
          </w:tcPr>
          <w:p w14:paraId="6FF36C74">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BFA0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594" w:type="dxa"/>
            <w:shd w:val="clear" w:color="auto" w:fill="FFFFFF"/>
            <w:vAlign w:val="center"/>
          </w:tcPr>
          <w:p w14:paraId="7B4F2E0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120</w:t>
            </w:r>
          </w:p>
        </w:tc>
        <w:tc>
          <w:tcPr>
            <w:tcW w:w="981" w:type="dxa"/>
            <w:shd w:val="clear" w:color="auto" w:fill="FFFFFF"/>
            <w:vAlign w:val="center"/>
          </w:tcPr>
          <w:p w14:paraId="6BFC89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restart"/>
            <w:shd w:val="clear" w:color="auto" w:fill="FFFFFF"/>
            <w:vAlign w:val="center"/>
          </w:tcPr>
          <w:p w14:paraId="74DE4D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软件兼容性</w:t>
            </w:r>
          </w:p>
        </w:tc>
        <w:tc>
          <w:tcPr>
            <w:tcW w:w="1578" w:type="dxa"/>
            <w:shd w:val="clear" w:color="auto" w:fill="FFFFFF"/>
            <w:vAlign w:val="center"/>
          </w:tcPr>
          <w:p w14:paraId="1A2C0EF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★数据库兼容</w:t>
            </w:r>
          </w:p>
        </w:tc>
        <w:tc>
          <w:tcPr>
            <w:tcW w:w="3990" w:type="dxa"/>
            <w:shd w:val="clear" w:color="auto" w:fill="FFFFFF"/>
            <w:vAlign w:val="center"/>
          </w:tcPr>
          <w:p w14:paraId="5358817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兼容3个及以上厂商的数据库产品</w:t>
            </w:r>
          </w:p>
        </w:tc>
        <w:tc>
          <w:tcPr>
            <w:tcW w:w="1326" w:type="dxa"/>
            <w:shd w:val="clear" w:color="auto" w:fill="FFFFFF"/>
            <w:vAlign w:val="center"/>
          </w:tcPr>
          <w:p w14:paraId="04CDD85C">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0EDB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1F25D9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121</w:t>
            </w:r>
          </w:p>
        </w:tc>
        <w:tc>
          <w:tcPr>
            <w:tcW w:w="981" w:type="dxa"/>
            <w:shd w:val="clear" w:color="auto" w:fill="FFFFFF"/>
            <w:vAlign w:val="center"/>
          </w:tcPr>
          <w:p w14:paraId="1446FC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0E006EE5">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0E48AA7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★中间件兼容</w:t>
            </w:r>
          </w:p>
        </w:tc>
        <w:tc>
          <w:tcPr>
            <w:tcW w:w="3990" w:type="dxa"/>
            <w:shd w:val="clear" w:color="auto" w:fill="FFFFFF"/>
            <w:vAlign w:val="center"/>
          </w:tcPr>
          <w:p w14:paraId="44335F2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兼容3个及以上厂商的中间件产品</w:t>
            </w:r>
          </w:p>
        </w:tc>
        <w:tc>
          <w:tcPr>
            <w:tcW w:w="1326" w:type="dxa"/>
            <w:shd w:val="clear" w:color="auto" w:fill="FFFFFF"/>
            <w:vAlign w:val="center"/>
          </w:tcPr>
          <w:p w14:paraId="60C8043E">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B2E4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594" w:type="dxa"/>
            <w:shd w:val="clear" w:color="auto" w:fill="FFFFFF"/>
            <w:vAlign w:val="center"/>
          </w:tcPr>
          <w:p w14:paraId="50E1B5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122</w:t>
            </w:r>
          </w:p>
        </w:tc>
        <w:tc>
          <w:tcPr>
            <w:tcW w:w="981" w:type="dxa"/>
            <w:shd w:val="clear" w:color="auto" w:fill="FFFFFF"/>
            <w:vAlign w:val="center"/>
          </w:tcPr>
          <w:p w14:paraId="181E29B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5DF09000">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7C3A229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★平台软件兼容</w:t>
            </w:r>
          </w:p>
        </w:tc>
        <w:tc>
          <w:tcPr>
            <w:tcW w:w="3990" w:type="dxa"/>
            <w:shd w:val="clear" w:color="auto" w:fill="FFFFFF"/>
            <w:vAlign w:val="center"/>
          </w:tcPr>
          <w:p w14:paraId="36A5173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兼容3个及以上厂商的大数据平台</w:t>
            </w:r>
          </w:p>
        </w:tc>
        <w:tc>
          <w:tcPr>
            <w:tcW w:w="1326" w:type="dxa"/>
            <w:shd w:val="clear" w:color="auto" w:fill="FFFFFF"/>
            <w:vAlign w:val="center"/>
          </w:tcPr>
          <w:p w14:paraId="1179411E">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4BE3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601831E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123</w:t>
            </w:r>
          </w:p>
        </w:tc>
        <w:tc>
          <w:tcPr>
            <w:tcW w:w="981" w:type="dxa"/>
            <w:shd w:val="clear" w:color="auto" w:fill="FFFFFF"/>
            <w:vAlign w:val="center"/>
          </w:tcPr>
          <w:p w14:paraId="29F8EB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56508027">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7CA54CC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虚拟化软件兼容</w:t>
            </w:r>
          </w:p>
        </w:tc>
        <w:tc>
          <w:tcPr>
            <w:tcW w:w="3990" w:type="dxa"/>
            <w:shd w:val="clear" w:color="auto" w:fill="FFFFFF"/>
            <w:vAlign w:val="center"/>
          </w:tcPr>
          <w:p w14:paraId="50D1FD3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兼容2款及以上虚拟化软件</w:t>
            </w:r>
          </w:p>
        </w:tc>
        <w:tc>
          <w:tcPr>
            <w:tcW w:w="1326" w:type="dxa"/>
            <w:shd w:val="clear" w:color="auto" w:fill="FFFFFF"/>
            <w:vAlign w:val="center"/>
          </w:tcPr>
          <w:p w14:paraId="2A31C7E4">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F757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351BA36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124</w:t>
            </w:r>
          </w:p>
        </w:tc>
        <w:tc>
          <w:tcPr>
            <w:tcW w:w="981" w:type="dxa"/>
            <w:shd w:val="clear" w:color="auto" w:fill="FFFFFF"/>
            <w:vAlign w:val="center"/>
          </w:tcPr>
          <w:p w14:paraId="607A92D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81" w:type="dxa"/>
            <w:shd w:val="clear" w:color="auto" w:fill="FFFFFF"/>
            <w:vAlign w:val="center"/>
          </w:tcPr>
          <w:p w14:paraId="503399D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存储可靠性要求</w:t>
            </w:r>
          </w:p>
        </w:tc>
        <w:tc>
          <w:tcPr>
            <w:tcW w:w="1578" w:type="dxa"/>
            <w:shd w:val="clear" w:color="auto" w:fill="FFFFFF"/>
            <w:vAlign w:val="center"/>
          </w:tcPr>
          <w:p w14:paraId="25CB94D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SATASSD可靠性</w:t>
            </w:r>
          </w:p>
        </w:tc>
        <w:tc>
          <w:tcPr>
            <w:tcW w:w="3990" w:type="dxa"/>
            <w:shd w:val="clear" w:color="auto" w:fill="FFFFFF"/>
            <w:vAlign w:val="center"/>
          </w:tcPr>
          <w:p w14:paraId="3A30550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SSD的m1值（MTBF的不可接受值）不低于200000h</w:t>
            </w:r>
          </w:p>
        </w:tc>
        <w:tc>
          <w:tcPr>
            <w:tcW w:w="1326" w:type="dxa"/>
            <w:shd w:val="clear" w:color="auto" w:fill="FFFFFF"/>
            <w:vAlign w:val="center"/>
          </w:tcPr>
          <w:p w14:paraId="3C04E69D">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BA61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594" w:type="dxa"/>
            <w:shd w:val="clear" w:color="auto" w:fill="FFFFFF"/>
            <w:vAlign w:val="center"/>
          </w:tcPr>
          <w:p w14:paraId="411E2E1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125</w:t>
            </w:r>
          </w:p>
        </w:tc>
        <w:tc>
          <w:tcPr>
            <w:tcW w:w="981" w:type="dxa"/>
            <w:shd w:val="clear" w:color="auto" w:fill="FFFFFF"/>
            <w:vAlign w:val="center"/>
          </w:tcPr>
          <w:p w14:paraId="4F9FA9C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81" w:type="dxa"/>
            <w:vMerge w:val="restart"/>
            <w:shd w:val="clear" w:color="auto" w:fill="FFFFFF"/>
            <w:vAlign w:val="center"/>
          </w:tcPr>
          <w:p w14:paraId="07E71E8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整机可靠性要求</w:t>
            </w:r>
          </w:p>
        </w:tc>
        <w:tc>
          <w:tcPr>
            <w:tcW w:w="1578" w:type="dxa"/>
            <w:shd w:val="clear" w:color="auto" w:fill="FFFFFF"/>
            <w:vAlign w:val="center"/>
          </w:tcPr>
          <w:p w14:paraId="1F305DD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★整机可靠性</w:t>
            </w:r>
          </w:p>
        </w:tc>
        <w:tc>
          <w:tcPr>
            <w:tcW w:w="3990" w:type="dxa"/>
            <w:shd w:val="clear" w:color="auto" w:fill="FFFFFF"/>
            <w:vAlign w:val="center"/>
          </w:tcPr>
          <w:p w14:paraId="58DDC0D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m1值（MTBF的不可接受值）不得低于30000h</w:t>
            </w:r>
          </w:p>
        </w:tc>
        <w:tc>
          <w:tcPr>
            <w:tcW w:w="1326" w:type="dxa"/>
            <w:shd w:val="clear" w:color="auto" w:fill="FFFFFF"/>
            <w:vAlign w:val="center"/>
          </w:tcPr>
          <w:p w14:paraId="20F796CE">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265A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554802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126</w:t>
            </w:r>
          </w:p>
        </w:tc>
        <w:tc>
          <w:tcPr>
            <w:tcW w:w="981" w:type="dxa"/>
            <w:shd w:val="clear" w:color="auto" w:fill="FFFFFF"/>
            <w:vAlign w:val="center"/>
          </w:tcPr>
          <w:p w14:paraId="7510047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81" w:type="dxa"/>
            <w:vMerge w:val="continue"/>
            <w:shd w:val="clear" w:color="auto" w:fill="FFFFFF"/>
            <w:vAlign w:val="center"/>
          </w:tcPr>
          <w:p w14:paraId="4C775679">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22BE9F6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★风扇可靠性</w:t>
            </w:r>
          </w:p>
        </w:tc>
        <w:tc>
          <w:tcPr>
            <w:tcW w:w="3990" w:type="dxa"/>
            <w:shd w:val="clear" w:color="auto" w:fill="FFFFFF"/>
            <w:vAlign w:val="center"/>
          </w:tcPr>
          <w:p w14:paraId="706E622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风扇寿命应不低于40000h</w:t>
            </w:r>
          </w:p>
        </w:tc>
        <w:tc>
          <w:tcPr>
            <w:tcW w:w="1326" w:type="dxa"/>
            <w:shd w:val="clear" w:color="auto" w:fill="FFFFFF"/>
            <w:vAlign w:val="center"/>
          </w:tcPr>
          <w:p w14:paraId="2F5C287E">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1349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0A6A4F8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127</w:t>
            </w:r>
          </w:p>
        </w:tc>
        <w:tc>
          <w:tcPr>
            <w:tcW w:w="981" w:type="dxa"/>
            <w:shd w:val="clear" w:color="auto" w:fill="FFFFFF"/>
            <w:vAlign w:val="center"/>
          </w:tcPr>
          <w:p w14:paraId="22963DC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81" w:type="dxa"/>
            <w:vMerge w:val="continue"/>
            <w:shd w:val="clear" w:color="auto" w:fill="FFFFFF"/>
            <w:vAlign w:val="center"/>
          </w:tcPr>
          <w:p w14:paraId="0706C4E7">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47F2E82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★部件可靠性</w:t>
            </w:r>
          </w:p>
        </w:tc>
        <w:tc>
          <w:tcPr>
            <w:tcW w:w="3990" w:type="dxa"/>
            <w:shd w:val="clear" w:color="auto" w:fill="FFFFFF"/>
            <w:vAlign w:val="center"/>
          </w:tcPr>
          <w:p w14:paraId="33F2F9B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支持硬盘、电源、风扇热插拔（内置风扇除外）</w:t>
            </w:r>
          </w:p>
        </w:tc>
        <w:tc>
          <w:tcPr>
            <w:tcW w:w="1326" w:type="dxa"/>
            <w:shd w:val="clear" w:color="auto" w:fill="FFFFFF"/>
            <w:vAlign w:val="center"/>
          </w:tcPr>
          <w:p w14:paraId="276C5BE4">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0321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 w:type="dxa"/>
            <w:shd w:val="clear" w:color="auto" w:fill="FFFFFF"/>
            <w:vAlign w:val="center"/>
          </w:tcPr>
          <w:p w14:paraId="189CB07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128</w:t>
            </w:r>
          </w:p>
        </w:tc>
        <w:tc>
          <w:tcPr>
            <w:tcW w:w="981" w:type="dxa"/>
            <w:shd w:val="clear" w:color="auto" w:fill="FFFFFF"/>
            <w:vAlign w:val="center"/>
          </w:tcPr>
          <w:p w14:paraId="327163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包装及运输要求</w:t>
            </w:r>
          </w:p>
        </w:tc>
        <w:tc>
          <w:tcPr>
            <w:tcW w:w="981" w:type="dxa"/>
            <w:shd w:val="clear" w:color="auto" w:fill="FFFFFF"/>
            <w:vAlign w:val="center"/>
          </w:tcPr>
          <w:p w14:paraId="51D64D9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包装及运输要求</w:t>
            </w:r>
          </w:p>
        </w:tc>
        <w:tc>
          <w:tcPr>
            <w:tcW w:w="1578" w:type="dxa"/>
            <w:shd w:val="clear" w:color="auto" w:fill="FFFFFF"/>
            <w:vAlign w:val="center"/>
          </w:tcPr>
          <w:p w14:paraId="6563CBE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★标志、包装、运输和贮存</w:t>
            </w:r>
          </w:p>
        </w:tc>
        <w:tc>
          <w:tcPr>
            <w:tcW w:w="3990" w:type="dxa"/>
            <w:shd w:val="clear" w:color="auto" w:fill="FFFFFF"/>
            <w:vAlign w:val="center"/>
          </w:tcPr>
          <w:p w14:paraId="67D5EDA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符合GB/T9813.3和商品包装政府采购需求标准的相关规定</w:t>
            </w:r>
          </w:p>
        </w:tc>
        <w:tc>
          <w:tcPr>
            <w:tcW w:w="1326" w:type="dxa"/>
            <w:shd w:val="clear" w:color="auto" w:fill="FFFFFF"/>
            <w:vAlign w:val="center"/>
          </w:tcPr>
          <w:p w14:paraId="78AE88B0">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F42C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594" w:type="dxa"/>
            <w:shd w:val="clear" w:color="auto" w:fill="FFFFFF"/>
            <w:vAlign w:val="center"/>
          </w:tcPr>
          <w:p w14:paraId="19C946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129</w:t>
            </w:r>
          </w:p>
        </w:tc>
        <w:tc>
          <w:tcPr>
            <w:tcW w:w="981" w:type="dxa"/>
            <w:shd w:val="clear" w:color="auto" w:fill="FFFFFF"/>
            <w:vAlign w:val="center"/>
          </w:tcPr>
          <w:p w14:paraId="0C21DE5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restart"/>
            <w:shd w:val="clear" w:color="auto" w:fill="FFFFFF"/>
            <w:vAlign w:val="center"/>
          </w:tcPr>
          <w:p w14:paraId="4C5A130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服务响应</w:t>
            </w:r>
          </w:p>
        </w:tc>
        <w:tc>
          <w:tcPr>
            <w:tcW w:w="1578" w:type="dxa"/>
            <w:shd w:val="clear" w:color="auto" w:fill="FFFFFF"/>
            <w:vAlign w:val="center"/>
          </w:tcPr>
          <w:p w14:paraId="08400AE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★服务响应</w:t>
            </w:r>
          </w:p>
        </w:tc>
        <w:tc>
          <w:tcPr>
            <w:tcW w:w="3990" w:type="dxa"/>
            <w:shd w:val="clear" w:color="auto" w:fill="FFFFFF"/>
            <w:vAlign w:val="center"/>
          </w:tcPr>
          <w:p w14:paraId="64E184C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提供电话、电子邮件、远程连接等多种形式服务；b）提供同城4h、异地12h技术响应服务，2个工作日解决问题，对于未能解决的问题和故障应提供可行的升级方案，并提供周转设备；c）建立全国技术服务体系和服务团体，符合专业服务体系标准要求，提供原厂中文服务；d）服务周期内提供产品的维修、换件和升级服务</w:t>
            </w:r>
          </w:p>
        </w:tc>
        <w:tc>
          <w:tcPr>
            <w:tcW w:w="1326" w:type="dxa"/>
            <w:shd w:val="clear" w:color="auto" w:fill="FFFFFF"/>
            <w:vAlign w:val="center"/>
          </w:tcPr>
          <w:p w14:paraId="670347C6">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C5D2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1F0CBE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130</w:t>
            </w:r>
          </w:p>
        </w:tc>
        <w:tc>
          <w:tcPr>
            <w:tcW w:w="981" w:type="dxa"/>
            <w:shd w:val="clear" w:color="auto" w:fill="FFFFFF"/>
            <w:vAlign w:val="center"/>
          </w:tcPr>
          <w:p w14:paraId="6495544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297141E4">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36483B1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★培训服务</w:t>
            </w:r>
          </w:p>
        </w:tc>
        <w:tc>
          <w:tcPr>
            <w:tcW w:w="3990" w:type="dxa"/>
            <w:shd w:val="clear" w:color="auto" w:fill="FFFFFF"/>
            <w:vAlign w:val="center"/>
          </w:tcPr>
          <w:p w14:paraId="49C2400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供应商提供培训材料、产品手册、培训视频等培训相关内容</w:t>
            </w:r>
          </w:p>
        </w:tc>
        <w:tc>
          <w:tcPr>
            <w:tcW w:w="1326" w:type="dxa"/>
            <w:shd w:val="clear" w:color="auto" w:fill="FFFFFF"/>
            <w:vAlign w:val="center"/>
          </w:tcPr>
          <w:p w14:paraId="56E855C9">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C89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594" w:type="dxa"/>
            <w:shd w:val="clear" w:color="auto" w:fill="FFFFFF"/>
            <w:vAlign w:val="center"/>
          </w:tcPr>
          <w:p w14:paraId="06A2311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131</w:t>
            </w:r>
          </w:p>
        </w:tc>
        <w:tc>
          <w:tcPr>
            <w:tcW w:w="981" w:type="dxa"/>
            <w:shd w:val="clear" w:color="auto" w:fill="FFFFFF"/>
            <w:vAlign w:val="center"/>
          </w:tcPr>
          <w:p w14:paraId="5B6E95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shd w:val="clear" w:color="auto" w:fill="FFFFFF"/>
            <w:vAlign w:val="center"/>
          </w:tcPr>
          <w:p w14:paraId="77DFE77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服务周期</w:t>
            </w:r>
          </w:p>
        </w:tc>
        <w:tc>
          <w:tcPr>
            <w:tcW w:w="1578" w:type="dxa"/>
            <w:shd w:val="clear" w:color="auto" w:fill="FFFFFF"/>
            <w:vAlign w:val="center"/>
          </w:tcPr>
          <w:p w14:paraId="17D2A61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★服务周期</w:t>
            </w:r>
          </w:p>
        </w:tc>
        <w:tc>
          <w:tcPr>
            <w:tcW w:w="3990" w:type="dxa"/>
            <w:shd w:val="clear" w:color="auto" w:fill="FFFFFF"/>
            <w:vAlign w:val="center"/>
          </w:tcPr>
          <w:p w14:paraId="2D5F4FF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产品免费服务周期（含换件和维修）应不小于6年；b）设备停产后继续提供质量保障服务（含备品备件），服务终止时间与最后一批设备交付时间间隔不低于6年；c）产品停止服务时间应提前1年告知客户；d）产品发布日期需在技术文件或者技术白皮书中明确</w:t>
            </w:r>
          </w:p>
        </w:tc>
        <w:tc>
          <w:tcPr>
            <w:tcW w:w="1326" w:type="dxa"/>
            <w:shd w:val="clear" w:color="auto" w:fill="FFFFFF"/>
            <w:vAlign w:val="center"/>
          </w:tcPr>
          <w:p w14:paraId="5800385B">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1D34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 w:type="dxa"/>
            <w:shd w:val="clear" w:color="auto" w:fill="FFFFFF"/>
            <w:vAlign w:val="center"/>
          </w:tcPr>
          <w:p w14:paraId="65E7D7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132</w:t>
            </w:r>
          </w:p>
        </w:tc>
        <w:tc>
          <w:tcPr>
            <w:tcW w:w="981" w:type="dxa"/>
            <w:shd w:val="clear" w:color="auto" w:fill="FFFFFF"/>
            <w:vAlign w:val="center"/>
          </w:tcPr>
          <w:p w14:paraId="32EC34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restart"/>
            <w:shd w:val="clear" w:color="auto" w:fill="FFFFFF"/>
            <w:vAlign w:val="center"/>
          </w:tcPr>
          <w:p w14:paraId="3D01FC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服务工具要求</w:t>
            </w:r>
          </w:p>
        </w:tc>
        <w:tc>
          <w:tcPr>
            <w:tcW w:w="1578" w:type="dxa"/>
            <w:shd w:val="clear" w:color="auto" w:fill="FFFFFF"/>
            <w:vAlign w:val="center"/>
          </w:tcPr>
          <w:p w14:paraId="06FEECB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★工具要求</w:t>
            </w:r>
          </w:p>
        </w:tc>
        <w:tc>
          <w:tcPr>
            <w:tcW w:w="3990" w:type="dxa"/>
            <w:shd w:val="clear" w:color="auto" w:fill="FFFFFF"/>
            <w:vAlign w:val="center"/>
          </w:tcPr>
          <w:p w14:paraId="059BA93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供应商提供设置服务器硬件、辅助操作系统安装等功能的辅助工具和管理软件。且随附软件应具有合法授权或版权</w:t>
            </w:r>
          </w:p>
        </w:tc>
        <w:tc>
          <w:tcPr>
            <w:tcW w:w="1326" w:type="dxa"/>
            <w:shd w:val="clear" w:color="auto" w:fill="FFFFFF"/>
            <w:vAlign w:val="center"/>
          </w:tcPr>
          <w:p w14:paraId="22738B8B">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ABC8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594" w:type="dxa"/>
            <w:shd w:val="clear" w:color="auto" w:fill="FFFFFF"/>
            <w:vAlign w:val="center"/>
          </w:tcPr>
          <w:p w14:paraId="040AF1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133</w:t>
            </w:r>
          </w:p>
        </w:tc>
        <w:tc>
          <w:tcPr>
            <w:tcW w:w="981" w:type="dxa"/>
            <w:shd w:val="clear" w:color="auto" w:fill="FFFFFF"/>
            <w:vAlign w:val="center"/>
          </w:tcPr>
          <w:p w14:paraId="6868578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6CF53008">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23063C4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辅助工具</w:t>
            </w:r>
          </w:p>
        </w:tc>
        <w:tc>
          <w:tcPr>
            <w:tcW w:w="3990" w:type="dxa"/>
            <w:shd w:val="clear" w:color="auto" w:fill="FFFFFF"/>
            <w:vAlign w:val="center"/>
          </w:tcPr>
          <w:p w14:paraId="6DAD720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支持如下功能a）本地的数据备份和还原功能；b）网络的数据备份和还原功能；c）通用服务器操作系统的自动安装功能；d）服务器所配硬件需要的驱动程序和系统补丁</w:t>
            </w:r>
          </w:p>
        </w:tc>
        <w:tc>
          <w:tcPr>
            <w:tcW w:w="1326" w:type="dxa"/>
            <w:shd w:val="clear" w:color="auto" w:fill="FFFFFF"/>
            <w:vAlign w:val="center"/>
          </w:tcPr>
          <w:p w14:paraId="42D880BE">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4C3C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 w:type="dxa"/>
            <w:shd w:val="clear" w:color="auto" w:fill="FFFFFF"/>
            <w:vAlign w:val="center"/>
          </w:tcPr>
          <w:p w14:paraId="4427FC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134</w:t>
            </w:r>
          </w:p>
        </w:tc>
        <w:tc>
          <w:tcPr>
            <w:tcW w:w="981" w:type="dxa"/>
            <w:shd w:val="clear" w:color="auto" w:fill="FFFFFF"/>
            <w:vAlign w:val="center"/>
          </w:tcPr>
          <w:p w14:paraId="2EF8B44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1F62FAF6">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41C33B9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★驱动安装升级指引</w:t>
            </w:r>
          </w:p>
        </w:tc>
        <w:tc>
          <w:tcPr>
            <w:tcW w:w="3990" w:type="dxa"/>
            <w:shd w:val="clear" w:color="auto" w:fill="FFFFFF"/>
            <w:vAlign w:val="center"/>
          </w:tcPr>
          <w:p w14:paraId="42BEC68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供应商提供出厂安装的配件所需的驱动程序，形式包括但不限于驱动光盘、驱动下载链接等。其他配件应提供指引</w:t>
            </w:r>
          </w:p>
        </w:tc>
        <w:tc>
          <w:tcPr>
            <w:tcW w:w="1326" w:type="dxa"/>
            <w:shd w:val="clear" w:color="auto" w:fill="FFFFFF"/>
            <w:vAlign w:val="center"/>
          </w:tcPr>
          <w:p w14:paraId="7F1DE298">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6683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400B749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135</w:t>
            </w:r>
          </w:p>
        </w:tc>
        <w:tc>
          <w:tcPr>
            <w:tcW w:w="981" w:type="dxa"/>
            <w:shd w:val="clear" w:color="auto" w:fill="FFFFFF"/>
            <w:vAlign w:val="center"/>
          </w:tcPr>
          <w:p w14:paraId="5CF692C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275CEFD9">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0D1E870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随机附开盖工具</w:t>
            </w:r>
          </w:p>
        </w:tc>
        <w:tc>
          <w:tcPr>
            <w:tcW w:w="3990" w:type="dxa"/>
            <w:shd w:val="clear" w:color="auto" w:fill="FFFFFF"/>
            <w:vAlign w:val="center"/>
          </w:tcPr>
          <w:p w14:paraId="1F81CD7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随服务器打包提供开机箱工具</w:t>
            </w:r>
          </w:p>
        </w:tc>
        <w:tc>
          <w:tcPr>
            <w:tcW w:w="1326" w:type="dxa"/>
            <w:shd w:val="clear" w:color="auto" w:fill="FFFFFF"/>
            <w:vAlign w:val="center"/>
          </w:tcPr>
          <w:p w14:paraId="0530509D">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CD11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594" w:type="dxa"/>
            <w:shd w:val="clear" w:color="auto" w:fill="FFFFFF"/>
            <w:vAlign w:val="center"/>
          </w:tcPr>
          <w:p w14:paraId="40BBE82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136</w:t>
            </w:r>
          </w:p>
        </w:tc>
        <w:tc>
          <w:tcPr>
            <w:tcW w:w="981" w:type="dxa"/>
            <w:shd w:val="clear" w:color="auto" w:fill="FFFFFF"/>
            <w:vAlign w:val="center"/>
          </w:tcPr>
          <w:p w14:paraId="2FC9CDC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5022C028">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4ECA9E6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代码迁移工具</w:t>
            </w:r>
          </w:p>
        </w:tc>
        <w:tc>
          <w:tcPr>
            <w:tcW w:w="3990" w:type="dxa"/>
            <w:shd w:val="clear" w:color="auto" w:fill="FFFFFF"/>
            <w:vAlign w:val="center"/>
          </w:tcPr>
          <w:p w14:paraId="56FEECF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从其他CPU架构到当前服务器CPU架构的软件迁移工具产品，支持软件包迁移评估，对满足产品重构要求的软件包，能重构为当前服务器CPU架构的软件包。提供源码迁移功能，检查分析C/C++/Fortran/Go/解释型语言/汇编等源码文件，基于产品功能给出迁移指导</w:t>
            </w:r>
          </w:p>
        </w:tc>
        <w:tc>
          <w:tcPr>
            <w:tcW w:w="1326" w:type="dxa"/>
            <w:shd w:val="clear" w:color="auto" w:fill="FFFFFF"/>
            <w:vAlign w:val="center"/>
          </w:tcPr>
          <w:p w14:paraId="11DC6C68">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7B79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594" w:type="dxa"/>
            <w:shd w:val="clear" w:color="auto" w:fill="FFFFFF"/>
            <w:vAlign w:val="center"/>
          </w:tcPr>
          <w:p w14:paraId="7FB839E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137</w:t>
            </w:r>
          </w:p>
        </w:tc>
        <w:tc>
          <w:tcPr>
            <w:tcW w:w="981" w:type="dxa"/>
            <w:shd w:val="clear" w:color="auto" w:fill="FFFFFF"/>
            <w:vAlign w:val="center"/>
          </w:tcPr>
          <w:p w14:paraId="347D1A6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7035F188">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57C74F2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性能分析工具</w:t>
            </w:r>
          </w:p>
        </w:tc>
        <w:tc>
          <w:tcPr>
            <w:tcW w:w="3990" w:type="dxa"/>
            <w:shd w:val="clear" w:color="auto" w:fill="FFFFFF"/>
            <w:vAlign w:val="center"/>
          </w:tcPr>
          <w:p w14:paraId="151C838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供应商提供支持当前服务器CPU架构的性能分析工具产品，支持系统性能分析、Java性能分析和系统诊断，可分析系统或应用在CPU、内存、IO、网络等方面的性能，并给出优化建议</w:t>
            </w:r>
          </w:p>
        </w:tc>
        <w:tc>
          <w:tcPr>
            <w:tcW w:w="1326" w:type="dxa"/>
            <w:shd w:val="clear" w:color="auto" w:fill="FFFFFF"/>
            <w:vAlign w:val="center"/>
          </w:tcPr>
          <w:p w14:paraId="167E1609">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1FDB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4D0757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138</w:t>
            </w:r>
          </w:p>
        </w:tc>
        <w:tc>
          <w:tcPr>
            <w:tcW w:w="981" w:type="dxa"/>
            <w:shd w:val="clear" w:color="auto" w:fill="FFFFFF"/>
            <w:vAlign w:val="center"/>
          </w:tcPr>
          <w:p w14:paraId="25095FA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6A5C4A2E">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61CB084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跨架构平台应用兼容</w:t>
            </w:r>
          </w:p>
        </w:tc>
        <w:tc>
          <w:tcPr>
            <w:tcW w:w="3990" w:type="dxa"/>
            <w:shd w:val="clear" w:color="auto" w:fill="FFFFFF"/>
            <w:vAlign w:val="center"/>
          </w:tcPr>
          <w:p w14:paraId="11D1EAB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跨CPU架构平台应用兼容工具，可兼容一种或者一种以上不同架构平台的应用</w:t>
            </w:r>
          </w:p>
        </w:tc>
        <w:tc>
          <w:tcPr>
            <w:tcW w:w="1326" w:type="dxa"/>
            <w:shd w:val="clear" w:color="auto" w:fill="FFFFFF"/>
            <w:vAlign w:val="center"/>
          </w:tcPr>
          <w:p w14:paraId="4589DDD1">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795C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66930F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139</w:t>
            </w:r>
          </w:p>
        </w:tc>
        <w:tc>
          <w:tcPr>
            <w:tcW w:w="981" w:type="dxa"/>
            <w:shd w:val="clear" w:color="auto" w:fill="FFFFFF"/>
            <w:vAlign w:val="center"/>
          </w:tcPr>
          <w:p w14:paraId="3E30067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2DA43CA4">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45934C3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★管理软件</w:t>
            </w:r>
          </w:p>
        </w:tc>
        <w:tc>
          <w:tcPr>
            <w:tcW w:w="3990" w:type="dxa"/>
            <w:shd w:val="clear" w:color="auto" w:fill="FFFFFF"/>
            <w:vAlign w:val="center"/>
          </w:tcPr>
          <w:p w14:paraId="39F65E6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具备资源管理、系统管理、性能监控、健康监控、基于网络控制、报警设置功能</w:t>
            </w:r>
          </w:p>
        </w:tc>
        <w:tc>
          <w:tcPr>
            <w:tcW w:w="1326" w:type="dxa"/>
            <w:shd w:val="clear" w:color="auto" w:fill="FFFFFF"/>
            <w:vAlign w:val="center"/>
          </w:tcPr>
          <w:p w14:paraId="5F2188A8">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23F0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594" w:type="dxa"/>
            <w:shd w:val="clear" w:color="auto" w:fill="FFFFFF"/>
            <w:vAlign w:val="center"/>
          </w:tcPr>
          <w:p w14:paraId="351F38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140</w:t>
            </w:r>
          </w:p>
        </w:tc>
        <w:tc>
          <w:tcPr>
            <w:tcW w:w="981" w:type="dxa"/>
            <w:shd w:val="clear" w:color="auto" w:fill="FFFFFF"/>
            <w:vAlign w:val="center"/>
          </w:tcPr>
          <w:p w14:paraId="097F12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restart"/>
            <w:shd w:val="clear" w:color="auto" w:fill="FFFFFF"/>
            <w:vAlign w:val="center"/>
          </w:tcPr>
          <w:p w14:paraId="1CC1814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增值服务</w:t>
            </w:r>
          </w:p>
        </w:tc>
        <w:tc>
          <w:tcPr>
            <w:tcW w:w="1578" w:type="dxa"/>
            <w:shd w:val="clear" w:color="auto" w:fill="FFFFFF"/>
            <w:vAlign w:val="center"/>
          </w:tcPr>
          <w:p w14:paraId="6641552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★厂家升级产品软件与扩容服务</w:t>
            </w:r>
          </w:p>
        </w:tc>
        <w:tc>
          <w:tcPr>
            <w:tcW w:w="3990" w:type="dxa"/>
            <w:shd w:val="clear" w:color="auto" w:fill="FFFFFF"/>
            <w:vAlign w:val="center"/>
          </w:tcPr>
          <w:p w14:paraId="15D7CEF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供应商提供原厂级的部件/软件产品升级和扩容能力</w:t>
            </w:r>
          </w:p>
        </w:tc>
        <w:tc>
          <w:tcPr>
            <w:tcW w:w="1326" w:type="dxa"/>
            <w:shd w:val="clear" w:color="auto" w:fill="FFFFFF"/>
            <w:vAlign w:val="center"/>
          </w:tcPr>
          <w:p w14:paraId="634E3CCA">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8809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vAlign w:val="center"/>
          </w:tcPr>
          <w:p w14:paraId="0600E1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141</w:t>
            </w:r>
          </w:p>
        </w:tc>
        <w:tc>
          <w:tcPr>
            <w:tcW w:w="981" w:type="dxa"/>
            <w:shd w:val="clear" w:color="auto" w:fill="FFFFFF"/>
            <w:vAlign w:val="center"/>
          </w:tcPr>
          <w:p w14:paraId="7F80C30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612F4A08">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60271AE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服务保障升级</w:t>
            </w:r>
          </w:p>
        </w:tc>
        <w:tc>
          <w:tcPr>
            <w:tcW w:w="3990" w:type="dxa"/>
            <w:shd w:val="clear" w:color="auto" w:fill="FFFFFF"/>
            <w:vAlign w:val="center"/>
          </w:tcPr>
          <w:p w14:paraId="3D64430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供应商有偿提供远程技术支持、软件授权服务、备件更换服务、现场支撑服务</w:t>
            </w:r>
          </w:p>
        </w:tc>
        <w:tc>
          <w:tcPr>
            <w:tcW w:w="1326" w:type="dxa"/>
            <w:shd w:val="clear" w:color="auto" w:fill="FFFFFF"/>
            <w:vAlign w:val="center"/>
          </w:tcPr>
          <w:p w14:paraId="360DD918">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E4C2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594" w:type="dxa"/>
            <w:shd w:val="clear" w:color="auto" w:fill="FFFFFF"/>
            <w:vAlign w:val="center"/>
          </w:tcPr>
          <w:p w14:paraId="42B8652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142</w:t>
            </w:r>
          </w:p>
        </w:tc>
        <w:tc>
          <w:tcPr>
            <w:tcW w:w="981" w:type="dxa"/>
            <w:shd w:val="clear" w:color="auto" w:fill="FFFFFF"/>
            <w:vAlign w:val="center"/>
          </w:tcPr>
          <w:p w14:paraId="4E5978C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72DA2EF2">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36ADAF3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★提供上门服务</w:t>
            </w:r>
          </w:p>
        </w:tc>
        <w:tc>
          <w:tcPr>
            <w:tcW w:w="3990" w:type="dxa"/>
            <w:shd w:val="clear" w:color="auto" w:fill="FFFFFF"/>
            <w:vAlign w:val="center"/>
          </w:tcPr>
          <w:p w14:paraId="08F7420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供应商具备提供上门服务的能力</w:t>
            </w:r>
          </w:p>
        </w:tc>
        <w:tc>
          <w:tcPr>
            <w:tcW w:w="1326" w:type="dxa"/>
            <w:shd w:val="clear" w:color="auto" w:fill="FFFFFF"/>
            <w:vAlign w:val="center"/>
          </w:tcPr>
          <w:p w14:paraId="16B89CE7">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6E02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594" w:type="dxa"/>
            <w:shd w:val="clear" w:color="auto" w:fill="FFFFFF"/>
            <w:vAlign w:val="center"/>
          </w:tcPr>
          <w:p w14:paraId="2C8CCE9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143</w:t>
            </w:r>
          </w:p>
        </w:tc>
        <w:tc>
          <w:tcPr>
            <w:tcW w:w="981" w:type="dxa"/>
            <w:shd w:val="clear" w:color="auto" w:fill="FFFFFF"/>
            <w:vAlign w:val="center"/>
          </w:tcPr>
          <w:p w14:paraId="49B63C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49D33393">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509446C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业务场景性能优化服务及整体架构升级服务</w:t>
            </w:r>
          </w:p>
        </w:tc>
        <w:tc>
          <w:tcPr>
            <w:tcW w:w="3990" w:type="dxa"/>
            <w:shd w:val="clear" w:color="auto" w:fill="FFFFFF"/>
            <w:vAlign w:val="center"/>
          </w:tcPr>
          <w:p w14:paraId="3212D05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供应商提供针对特定业务场景性能优化服务及整体架构升级服务</w:t>
            </w:r>
          </w:p>
        </w:tc>
        <w:tc>
          <w:tcPr>
            <w:tcW w:w="1326" w:type="dxa"/>
            <w:shd w:val="clear" w:color="auto" w:fill="FFFFFF"/>
            <w:vAlign w:val="center"/>
          </w:tcPr>
          <w:p w14:paraId="6BF39345">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C3B1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594" w:type="dxa"/>
            <w:shd w:val="clear" w:color="auto" w:fill="FFFFFF"/>
            <w:vAlign w:val="center"/>
          </w:tcPr>
          <w:p w14:paraId="76FF8DA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144</w:t>
            </w:r>
          </w:p>
        </w:tc>
        <w:tc>
          <w:tcPr>
            <w:tcW w:w="981" w:type="dxa"/>
            <w:shd w:val="clear" w:color="auto" w:fill="FFFFFF"/>
            <w:vAlign w:val="center"/>
          </w:tcPr>
          <w:p w14:paraId="2A86AA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供保要求</w:t>
            </w:r>
          </w:p>
        </w:tc>
        <w:tc>
          <w:tcPr>
            <w:tcW w:w="981" w:type="dxa"/>
            <w:vMerge w:val="restart"/>
            <w:shd w:val="clear" w:color="auto" w:fill="FFFFFF"/>
            <w:vAlign w:val="center"/>
          </w:tcPr>
          <w:p w14:paraId="0790AF7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供应链质量</w:t>
            </w:r>
          </w:p>
        </w:tc>
        <w:tc>
          <w:tcPr>
            <w:tcW w:w="1578" w:type="dxa"/>
            <w:shd w:val="clear" w:color="auto" w:fill="FFFFFF"/>
            <w:vAlign w:val="center"/>
          </w:tcPr>
          <w:p w14:paraId="3490134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★抗干扰性</w:t>
            </w:r>
          </w:p>
        </w:tc>
        <w:tc>
          <w:tcPr>
            <w:tcW w:w="3990" w:type="dxa"/>
            <w:shd w:val="clear" w:color="auto" w:fill="FFFFFF"/>
            <w:vAlign w:val="center"/>
          </w:tcPr>
          <w:p w14:paraId="508F3D2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当产品部件出现供应风险时，应通知客户并提供风险应对方案确保产品的服务保障，必要时应停止相关受影响产品的销售</w:t>
            </w:r>
          </w:p>
        </w:tc>
        <w:tc>
          <w:tcPr>
            <w:tcW w:w="1326" w:type="dxa"/>
            <w:shd w:val="clear" w:color="auto" w:fill="FFFFFF"/>
            <w:vAlign w:val="center"/>
          </w:tcPr>
          <w:p w14:paraId="0009815D">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1624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594" w:type="dxa"/>
            <w:shd w:val="clear" w:color="auto" w:fill="FFFFFF"/>
            <w:vAlign w:val="center"/>
          </w:tcPr>
          <w:p w14:paraId="215957F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145</w:t>
            </w:r>
          </w:p>
        </w:tc>
        <w:tc>
          <w:tcPr>
            <w:tcW w:w="981" w:type="dxa"/>
            <w:shd w:val="clear" w:color="auto" w:fill="FFFFFF"/>
            <w:vAlign w:val="center"/>
          </w:tcPr>
          <w:p w14:paraId="5BA073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供保要求</w:t>
            </w:r>
          </w:p>
        </w:tc>
        <w:tc>
          <w:tcPr>
            <w:tcW w:w="981" w:type="dxa"/>
            <w:vMerge w:val="continue"/>
            <w:shd w:val="clear" w:color="auto" w:fill="FFFFFF"/>
            <w:vAlign w:val="center"/>
          </w:tcPr>
          <w:p w14:paraId="0DE29C00">
            <w:pPr>
              <w:widowControl/>
              <w:jc w:val="left"/>
              <w:rPr>
                <w:rFonts w:asciiTheme="minorEastAsia" w:hAnsiTheme="minorEastAsia" w:eastAsiaTheme="minorEastAsia" w:cstheme="minorEastAsia"/>
                <w:kern w:val="0"/>
                <w:sz w:val="24"/>
              </w:rPr>
            </w:pPr>
          </w:p>
        </w:tc>
        <w:tc>
          <w:tcPr>
            <w:tcW w:w="1578" w:type="dxa"/>
            <w:shd w:val="clear" w:color="auto" w:fill="FFFFFF"/>
            <w:vAlign w:val="center"/>
          </w:tcPr>
          <w:p w14:paraId="76FF976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★供应能力证明</w:t>
            </w:r>
          </w:p>
        </w:tc>
        <w:tc>
          <w:tcPr>
            <w:tcW w:w="3990" w:type="dxa"/>
            <w:shd w:val="clear" w:color="auto" w:fill="FFFFFF"/>
            <w:vAlign w:val="center"/>
          </w:tcPr>
          <w:p w14:paraId="4D22253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b/>
                <w:bCs/>
                <w:kern w:val="0"/>
                <w:sz w:val="24"/>
              </w:rPr>
              <w:t>供应商提供供应链稳定承诺书，确保产品的部件在产品服务周期内稳定供货（需提供加盖投标人公章的承诺书，否则作无效投标处理）</w:t>
            </w:r>
          </w:p>
        </w:tc>
        <w:tc>
          <w:tcPr>
            <w:tcW w:w="1326" w:type="dxa"/>
            <w:shd w:val="clear" w:color="auto" w:fill="FFFFFF"/>
            <w:vAlign w:val="center"/>
          </w:tcPr>
          <w:p w14:paraId="069792D8">
            <w:pPr>
              <w:widowControl/>
              <w:ind w:right="21" w:rightChars="10"/>
              <w:jc w:val="center"/>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kern w:val="0"/>
                <w:sz w:val="24"/>
              </w:rPr>
              <w:t>是</w:t>
            </w:r>
          </w:p>
        </w:tc>
      </w:tr>
      <w:tr w14:paraId="38165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themeFill="background1"/>
            <w:vAlign w:val="center"/>
          </w:tcPr>
          <w:p w14:paraId="7FB8CCC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146</w:t>
            </w:r>
          </w:p>
        </w:tc>
        <w:tc>
          <w:tcPr>
            <w:tcW w:w="981" w:type="dxa"/>
            <w:shd w:val="clear" w:color="auto" w:fill="FFFFFF" w:themeFill="background1"/>
            <w:vAlign w:val="center"/>
          </w:tcPr>
          <w:p w14:paraId="4989765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themeFill="background1"/>
            <w:vAlign w:val="center"/>
          </w:tcPr>
          <w:p w14:paraId="1BE17E1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中央处理器</w:t>
            </w:r>
          </w:p>
        </w:tc>
        <w:tc>
          <w:tcPr>
            <w:tcW w:w="1578" w:type="dxa"/>
            <w:shd w:val="clear" w:color="auto" w:fill="FFFFFF" w:themeFill="background1"/>
            <w:vAlign w:val="center"/>
          </w:tcPr>
          <w:p w14:paraId="57ECE1B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加解密功能</w:t>
            </w:r>
          </w:p>
        </w:tc>
        <w:tc>
          <w:tcPr>
            <w:tcW w:w="3990" w:type="dxa"/>
            <w:shd w:val="clear" w:color="auto" w:fill="FFFFFF" w:themeFill="background1"/>
            <w:vAlign w:val="center"/>
          </w:tcPr>
          <w:p w14:paraId="0A70E25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投标产品所配备的CPU（中央处理器）支持TEE可信执行环境，实现虚拟机在内存读写时的自动加解密功能。</w:t>
            </w:r>
          </w:p>
        </w:tc>
        <w:tc>
          <w:tcPr>
            <w:tcW w:w="1326" w:type="dxa"/>
            <w:shd w:val="clear" w:color="auto" w:fill="FFFFFF" w:themeFill="background1"/>
            <w:vAlign w:val="center"/>
          </w:tcPr>
          <w:p w14:paraId="4291C988">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BC4D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94" w:type="dxa"/>
            <w:shd w:val="clear" w:color="auto" w:fill="FFFFFF" w:themeFill="background1"/>
            <w:vAlign w:val="center"/>
          </w:tcPr>
          <w:p w14:paraId="5CF793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147</w:t>
            </w:r>
          </w:p>
        </w:tc>
        <w:tc>
          <w:tcPr>
            <w:tcW w:w="981" w:type="dxa"/>
            <w:shd w:val="clear" w:color="auto" w:fill="FFFFFF" w:themeFill="background1"/>
            <w:vAlign w:val="center"/>
          </w:tcPr>
          <w:p w14:paraId="59F103D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themeFill="background1"/>
            <w:vAlign w:val="center"/>
          </w:tcPr>
          <w:p w14:paraId="4BFAD15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中央处理器</w:t>
            </w:r>
          </w:p>
        </w:tc>
        <w:tc>
          <w:tcPr>
            <w:tcW w:w="1578" w:type="dxa"/>
            <w:shd w:val="clear" w:color="auto" w:fill="FFFFFF" w:themeFill="background1"/>
            <w:vAlign w:val="center"/>
          </w:tcPr>
          <w:p w14:paraId="0BA89B8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超线程技术</w:t>
            </w:r>
          </w:p>
        </w:tc>
        <w:tc>
          <w:tcPr>
            <w:tcW w:w="3990" w:type="dxa"/>
            <w:shd w:val="clear" w:color="auto" w:fill="FFFFFF" w:themeFill="background1"/>
            <w:vAlign w:val="center"/>
          </w:tcPr>
          <w:p w14:paraId="6812073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产品所配备的CPU（中央处理器）需支持且配置超线程技术；</w:t>
            </w:r>
          </w:p>
        </w:tc>
        <w:tc>
          <w:tcPr>
            <w:tcW w:w="1326" w:type="dxa"/>
            <w:shd w:val="clear" w:color="auto" w:fill="FFFFFF" w:themeFill="background1"/>
            <w:vAlign w:val="center"/>
          </w:tcPr>
          <w:p w14:paraId="37F263E6">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CCF9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 w:type="dxa"/>
            <w:shd w:val="clear" w:color="auto" w:fill="FFFFFF"/>
            <w:vAlign w:val="center"/>
          </w:tcPr>
          <w:p w14:paraId="393A3E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148</w:t>
            </w:r>
          </w:p>
        </w:tc>
        <w:tc>
          <w:tcPr>
            <w:tcW w:w="981" w:type="dxa"/>
            <w:shd w:val="clear" w:color="auto" w:fill="FFFFFF"/>
            <w:noWrap/>
            <w:vAlign w:val="center"/>
          </w:tcPr>
          <w:p w14:paraId="4FA1486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74046D3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78" w:type="dxa"/>
            <w:shd w:val="clear" w:color="auto" w:fill="FFFFFF"/>
            <w:vAlign w:val="center"/>
          </w:tcPr>
          <w:p w14:paraId="0F6AC7C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★授权</w:t>
            </w:r>
          </w:p>
        </w:tc>
        <w:tc>
          <w:tcPr>
            <w:tcW w:w="3990" w:type="dxa"/>
            <w:shd w:val="clear" w:color="auto" w:fill="FFFFFF"/>
            <w:vAlign w:val="center"/>
          </w:tcPr>
          <w:p w14:paraId="35ED3B7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配置软件授权（包含≥2颗物理CPU或≥1台物理服务器授权），具备计算虚拟化、存储虚拟化、网络虚拟化功能；</w:t>
            </w:r>
          </w:p>
        </w:tc>
        <w:tc>
          <w:tcPr>
            <w:tcW w:w="1326" w:type="dxa"/>
            <w:shd w:val="clear" w:color="auto" w:fill="FFFFFF"/>
            <w:vAlign w:val="center"/>
          </w:tcPr>
          <w:p w14:paraId="68A8C5E0">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F4DD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080" w:hRule="atLeast"/>
        </w:trPr>
        <w:tc>
          <w:tcPr>
            <w:tcW w:w="594" w:type="dxa"/>
            <w:shd w:val="clear" w:color="auto" w:fill="FFFFFF"/>
            <w:vAlign w:val="center"/>
          </w:tcPr>
          <w:p w14:paraId="2005359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149</w:t>
            </w:r>
          </w:p>
        </w:tc>
        <w:tc>
          <w:tcPr>
            <w:tcW w:w="981" w:type="dxa"/>
            <w:shd w:val="clear" w:color="auto" w:fill="FFFFFF"/>
            <w:noWrap/>
            <w:vAlign w:val="center"/>
          </w:tcPr>
          <w:p w14:paraId="1C0EDFA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6EE7F32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78" w:type="dxa"/>
            <w:shd w:val="clear" w:color="auto" w:fill="FFFFFF"/>
            <w:noWrap/>
            <w:vAlign w:val="center"/>
          </w:tcPr>
          <w:p w14:paraId="1B069E7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90" w:type="dxa"/>
            <w:shd w:val="clear" w:color="auto" w:fill="FFFFFF"/>
            <w:vAlign w:val="center"/>
          </w:tcPr>
          <w:p w14:paraId="1E9CD01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软件的代码自主率大于99%（按行数和文件数统计均不低于99%），同时为保证检测产品的代码完整性，要求代码检测量在100万以上；</w:t>
            </w:r>
          </w:p>
        </w:tc>
        <w:tc>
          <w:tcPr>
            <w:tcW w:w="1326" w:type="dxa"/>
            <w:shd w:val="clear" w:color="auto" w:fill="FFFFFF"/>
            <w:vAlign w:val="center"/>
          </w:tcPr>
          <w:p w14:paraId="1F4B83BA">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A052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080" w:hRule="atLeast"/>
        </w:trPr>
        <w:tc>
          <w:tcPr>
            <w:tcW w:w="594" w:type="dxa"/>
            <w:shd w:val="clear" w:color="auto" w:fill="FFFFFF"/>
            <w:vAlign w:val="center"/>
          </w:tcPr>
          <w:p w14:paraId="081BCE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150</w:t>
            </w:r>
          </w:p>
        </w:tc>
        <w:tc>
          <w:tcPr>
            <w:tcW w:w="981" w:type="dxa"/>
            <w:shd w:val="clear" w:color="auto" w:fill="FFFFFF"/>
            <w:noWrap/>
            <w:vAlign w:val="center"/>
          </w:tcPr>
          <w:p w14:paraId="44915D3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0F9418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78" w:type="dxa"/>
            <w:shd w:val="clear" w:color="auto" w:fill="FFFFFF"/>
            <w:noWrap/>
            <w:vAlign w:val="center"/>
          </w:tcPr>
          <w:p w14:paraId="6B32CA1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90" w:type="dxa"/>
            <w:shd w:val="clear" w:color="auto" w:fill="FFFFFF"/>
            <w:vAlign w:val="center"/>
          </w:tcPr>
          <w:p w14:paraId="71AFB5E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为提升平台虚拟机的部署密度，有效降低硬件部署成本，超融合平台应支持对集群主机内存的分层设置，基于冷热分层实现内存超分，最大超分比≥10倍；虚拟机可按需一键开启或关闭内存超分；</w:t>
            </w:r>
          </w:p>
        </w:tc>
        <w:tc>
          <w:tcPr>
            <w:tcW w:w="1326" w:type="dxa"/>
            <w:shd w:val="clear" w:color="auto" w:fill="FFFFFF"/>
            <w:vAlign w:val="center"/>
          </w:tcPr>
          <w:p w14:paraId="2529CC5B">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FBF9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594" w:type="dxa"/>
            <w:shd w:val="clear" w:color="auto" w:fill="FFFFFF"/>
            <w:vAlign w:val="center"/>
          </w:tcPr>
          <w:p w14:paraId="7B45E6C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151</w:t>
            </w:r>
          </w:p>
        </w:tc>
        <w:tc>
          <w:tcPr>
            <w:tcW w:w="981" w:type="dxa"/>
            <w:shd w:val="clear" w:color="auto" w:fill="FFFFFF"/>
            <w:noWrap/>
            <w:vAlign w:val="center"/>
          </w:tcPr>
          <w:p w14:paraId="3BEAC84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04BD323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78" w:type="dxa"/>
            <w:shd w:val="clear" w:color="auto" w:fill="FFFFFF"/>
            <w:noWrap/>
            <w:vAlign w:val="center"/>
          </w:tcPr>
          <w:p w14:paraId="2E50F3C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90" w:type="dxa"/>
            <w:shd w:val="clear" w:color="auto" w:fill="FFFFFF"/>
            <w:vAlign w:val="center"/>
          </w:tcPr>
          <w:p w14:paraId="20E3D81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支持物理机的全部功能。如：具有自己的资源（CPU，内存，网卡，存储、软驱、光驱、显卡等），可以指定单独的IP地址、MAC地址等；</w:t>
            </w:r>
          </w:p>
        </w:tc>
        <w:tc>
          <w:tcPr>
            <w:tcW w:w="1326" w:type="dxa"/>
            <w:shd w:val="clear" w:color="auto" w:fill="FFFFFF"/>
            <w:vAlign w:val="center"/>
          </w:tcPr>
          <w:p w14:paraId="12A3012F">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3B46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 w:type="dxa"/>
            <w:shd w:val="clear" w:color="auto" w:fill="FFFFFF"/>
            <w:vAlign w:val="center"/>
          </w:tcPr>
          <w:p w14:paraId="13591C6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152</w:t>
            </w:r>
          </w:p>
        </w:tc>
        <w:tc>
          <w:tcPr>
            <w:tcW w:w="981" w:type="dxa"/>
            <w:shd w:val="clear" w:color="auto" w:fill="FFFFFF"/>
            <w:noWrap/>
            <w:vAlign w:val="center"/>
          </w:tcPr>
          <w:p w14:paraId="41BD7AB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68B34B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78" w:type="dxa"/>
            <w:shd w:val="clear" w:color="auto" w:fill="FFFFFF"/>
            <w:noWrap/>
            <w:vAlign w:val="center"/>
          </w:tcPr>
          <w:p w14:paraId="7E498E5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90" w:type="dxa"/>
            <w:shd w:val="clear" w:color="auto" w:fill="FFFFFF"/>
            <w:vAlign w:val="center"/>
          </w:tcPr>
          <w:p w14:paraId="19791EC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提供B/S和C/S两种虚拟机控制台使用方式，C/S客户端无任何授权限制，支持本地文件托拉拽到虚拟机内部且支持和本地共享粘贴板；</w:t>
            </w:r>
          </w:p>
        </w:tc>
        <w:tc>
          <w:tcPr>
            <w:tcW w:w="1326" w:type="dxa"/>
            <w:shd w:val="clear" w:color="auto" w:fill="FFFFFF"/>
            <w:vAlign w:val="center"/>
          </w:tcPr>
          <w:p w14:paraId="7F8B307F">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C5CF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594" w:type="dxa"/>
            <w:shd w:val="clear" w:color="auto" w:fill="FFFFFF"/>
            <w:vAlign w:val="center"/>
          </w:tcPr>
          <w:p w14:paraId="076E99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153</w:t>
            </w:r>
          </w:p>
        </w:tc>
        <w:tc>
          <w:tcPr>
            <w:tcW w:w="981" w:type="dxa"/>
            <w:shd w:val="clear" w:color="auto" w:fill="FFFFFF"/>
            <w:noWrap/>
            <w:vAlign w:val="center"/>
          </w:tcPr>
          <w:p w14:paraId="5DE6809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127ED8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78" w:type="dxa"/>
            <w:shd w:val="clear" w:color="auto" w:fill="FFFFFF"/>
            <w:noWrap/>
            <w:vAlign w:val="center"/>
          </w:tcPr>
          <w:p w14:paraId="7802BBA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90" w:type="dxa"/>
            <w:shd w:val="clear" w:color="auto" w:fill="FFFFFF"/>
            <w:vAlign w:val="center"/>
          </w:tcPr>
          <w:p w14:paraId="170D5EC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虚拟机和裸金属服务器统一管理，支持对裸金属服务器远程电源管理、挂载安装ISO镜像等操作，可将虚拟机镜像部署为裸金属服务器操作系统，可查看裸金属服务器电源状态、CPU、内存、硬盘等硬件信息，支持打开裸金属服务器控制台进行运维操作；</w:t>
            </w:r>
          </w:p>
        </w:tc>
        <w:tc>
          <w:tcPr>
            <w:tcW w:w="1326" w:type="dxa"/>
            <w:shd w:val="clear" w:color="auto" w:fill="FFFFFF"/>
            <w:vAlign w:val="center"/>
          </w:tcPr>
          <w:p w14:paraId="1890A90A">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5A70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594" w:type="dxa"/>
            <w:shd w:val="clear" w:color="auto" w:fill="FFFFFF"/>
            <w:vAlign w:val="center"/>
          </w:tcPr>
          <w:p w14:paraId="761D8DD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154</w:t>
            </w:r>
          </w:p>
        </w:tc>
        <w:tc>
          <w:tcPr>
            <w:tcW w:w="981" w:type="dxa"/>
            <w:shd w:val="clear" w:color="auto" w:fill="FFFFFF"/>
            <w:noWrap/>
            <w:vAlign w:val="center"/>
          </w:tcPr>
          <w:p w14:paraId="5A7FD1F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6F0635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78" w:type="dxa"/>
            <w:shd w:val="clear" w:color="auto" w:fill="FFFFFF"/>
            <w:noWrap/>
            <w:vAlign w:val="center"/>
          </w:tcPr>
          <w:p w14:paraId="5C987A7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90" w:type="dxa"/>
            <w:shd w:val="clear" w:color="auto" w:fill="FFFFFF"/>
            <w:vAlign w:val="center"/>
          </w:tcPr>
          <w:p w14:paraId="2A60174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支持在线跨云迁移功能，在管理界面内将其它站点虚拟机不中断的迁移到超融合平台内，跨云迁移的站点包括但不限于vSphere、投标品牌虚拟化平台等，迁移过程无需手动关机和重启操作；</w:t>
            </w:r>
          </w:p>
        </w:tc>
        <w:tc>
          <w:tcPr>
            <w:tcW w:w="1326" w:type="dxa"/>
            <w:shd w:val="clear" w:color="auto" w:fill="FFFFFF"/>
            <w:vAlign w:val="center"/>
          </w:tcPr>
          <w:p w14:paraId="3849F82F">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4F6A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080" w:hRule="atLeast"/>
        </w:trPr>
        <w:tc>
          <w:tcPr>
            <w:tcW w:w="594" w:type="dxa"/>
            <w:shd w:val="clear" w:color="auto" w:fill="FFFFFF"/>
            <w:vAlign w:val="center"/>
          </w:tcPr>
          <w:p w14:paraId="444253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155</w:t>
            </w:r>
          </w:p>
        </w:tc>
        <w:tc>
          <w:tcPr>
            <w:tcW w:w="981" w:type="dxa"/>
            <w:shd w:val="clear" w:color="auto" w:fill="FFFFFF"/>
            <w:noWrap/>
            <w:vAlign w:val="center"/>
          </w:tcPr>
          <w:p w14:paraId="3B103CB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0F82257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78" w:type="dxa"/>
            <w:shd w:val="clear" w:color="auto" w:fill="FFFFFF"/>
            <w:noWrap/>
            <w:vAlign w:val="center"/>
          </w:tcPr>
          <w:p w14:paraId="38BFA1F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90" w:type="dxa"/>
            <w:shd w:val="clear" w:color="auto" w:fill="FFFFFF"/>
            <w:vAlign w:val="center"/>
          </w:tcPr>
          <w:p w14:paraId="20A3862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提供云边协同管理功能，支持中心站点分发应用至各个边缘站点，可一键将中心站点已部署配置完毕的应用虚拟机迁移至各边缘站点，支持基于GIS技术的全局站点展示视图，实时查看各站点资源状态；</w:t>
            </w:r>
          </w:p>
        </w:tc>
        <w:tc>
          <w:tcPr>
            <w:tcW w:w="1326" w:type="dxa"/>
            <w:shd w:val="clear" w:color="auto" w:fill="FFFFFF"/>
            <w:vAlign w:val="center"/>
          </w:tcPr>
          <w:p w14:paraId="6F70E261">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159F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594" w:type="dxa"/>
            <w:shd w:val="clear" w:color="auto" w:fill="FFFFFF"/>
            <w:vAlign w:val="center"/>
          </w:tcPr>
          <w:p w14:paraId="7E37FEF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156</w:t>
            </w:r>
          </w:p>
        </w:tc>
        <w:tc>
          <w:tcPr>
            <w:tcW w:w="981" w:type="dxa"/>
            <w:shd w:val="clear" w:color="auto" w:fill="FFFFFF"/>
            <w:noWrap/>
            <w:vAlign w:val="center"/>
          </w:tcPr>
          <w:p w14:paraId="19C60C3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763350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78" w:type="dxa"/>
            <w:shd w:val="clear" w:color="auto" w:fill="FFFFFF"/>
            <w:noWrap/>
            <w:vAlign w:val="center"/>
          </w:tcPr>
          <w:p w14:paraId="160E997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90" w:type="dxa"/>
            <w:shd w:val="clear" w:color="auto" w:fill="FFFFFF"/>
            <w:vAlign w:val="center"/>
          </w:tcPr>
          <w:p w14:paraId="53379C8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提供无授权限制的备份功能，支持虚拟机CBT模式备份，支持周期性备份和批量备份功能，备份策略可细化到分钟级，支持恢复过程中对虚拟机进行配置；</w:t>
            </w:r>
          </w:p>
        </w:tc>
        <w:tc>
          <w:tcPr>
            <w:tcW w:w="1326" w:type="dxa"/>
            <w:shd w:val="clear" w:color="auto" w:fill="FFFFFF"/>
            <w:vAlign w:val="center"/>
          </w:tcPr>
          <w:p w14:paraId="43D16533">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D325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594" w:type="dxa"/>
            <w:shd w:val="clear" w:color="auto" w:fill="FFFFFF"/>
            <w:vAlign w:val="center"/>
          </w:tcPr>
          <w:p w14:paraId="74CCE4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157</w:t>
            </w:r>
          </w:p>
        </w:tc>
        <w:tc>
          <w:tcPr>
            <w:tcW w:w="981" w:type="dxa"/>
            <w:shd w:val="clear" w:color="auto" w:fill="FFFFFF"/>
            <w:noWrap/>
            <w:vAlign w:val="center"/>
          </w:tcPr>
          <w:p w14:paraId="69FF19F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7886FAF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78" w:type="dxa"/>
            <w:shd w:val="clear" w:color="auto" w:fill="FFFFFF"/>
            <w:noWrap/>
            <w:vAlign w:val="center"/>
          </w:tcPr>
          <w:p w14:paraId="31D545E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90" w:type="dxa"/>
            <w:shd w:val="clear" w:color="auto" w:fill="FFFFFF"/>
            <w:vAlign w:val="center"/>
          </w:tcPr>
          <w:p w14:paraId="7A5E101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常见的虚拟资源和物理资源报警，包括但不限于CPU、内存、网卡和硬盘等资源；平台支持不同类型的报警级别，不同级别的报警需要发出对应级别的报警消息；支持邮件、短信、微信、钉钉、Teams及webhook等工具接收告警消息；</w:t>
            </w:r>
          </w:p>
        </w:tc>
        <w:tc>
          <w:tcPr>
            <w:tcW w:w="1326" w:type="dxa"/>
            <w:shd w:val="clear" w:color="auto" w:fill="FFFFFF"/>
            <w:vAlign w:val="center"/>
          </w:tcPr>
          <w:p w14:paraId="0508F848">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0C88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594" w:type="dxa"/>
            <w:shd w:val="clear" w:color="auto" w:fill="FFFFFF"/>
            <w:vAlign w:val="center"/>
          </w:tcPr>
          <w:p w14:paraId="3AA7222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158</w:t>
            </w:r>
          </w:p>
        </w:tc>
        <w:tc>
          <w:tcPr>
            <w:tcW w:w="981" w:type="dxa"/>
            <w:shd w:val="clear" w:color="auto" w:fill="FFFFFF"/>
            <w:noWrap/>
            <w:vAlign w:val="center"/>
          </w:tcPr>
          <w:p w14:paraId="6345BF7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731658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78" w:type="dxa"/>
            <w:shd w:val="clear" w:color="auto" w:fill="FFFFFF"/>
            <w:noWrap/>
            <w:vAlign w:val="center"/>
          </w:tcPr>
          <w:p w14:paraId="354E85D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3990" w:type="dxa"/>
            <w:shd w:val="clear" w:color="auto" w:fill="FFFFFF"/>
            <w:vAlign w:val="center"/>
          </w:tcPr>
          <w:p w14:paraId="3E18E96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支持虚拟机启动、重置密码、暂停、恢复、重启、关闭、快速克隆、迁移、备份、模板导入导出、快照等功能，支持嵌套虚拟化；</w:t>
            </w:r>
          </w:p>
        </w:tc>
        <w:tc>
          <w:tcPr>
            <w:tcW w:w="1326" w:type="dxa"/>
            <w:shd w:val="clear" w:color="auto" w:fill="FFFFFF"/>
            <w:vAlign w:val="center"/>
          </w:tcPr>
          <w:p w14:paraId="6E5026DE">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6EEA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594" w:type="dxa"/>
            <w:shd w:val="clear" w:color="auto" w:fill="FFFFFF"/>
            <w:vAlign w:val="center"/>
          </w:tcPr>
          <w:p w14:paraId="4423DC9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159</w:t>
            </w:r>
          </w:p>
        </w:tc>
        <w:tc>
          <w:tcPr>
            <w:tcW w:w="981" w:type="dxa"/>
            <w:shd w:val="clear" w:color="auto" w:fill="FFFFFF"/>
            <w:noWrap/>
            <w:vAlign w:val="center"/>
          </w:tcPr>
          <w:p w14:paraId="1306206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148953C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78" w:type="dxa"/>
            <w:shd w:val="clear" w:color="auto" w:fill="FFFFFF"/>
            <w:noWrap/>
            <w:vAlign w:val="center"/>
          </w:tcPr>
          <w:p w14:paraId="0CE472C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3990" w:type="dxa"/>
            <w:shd w:val="clear" w:color="auto" w:fill="FFFFFF"/>
            <w:vAlign w:val="center"/>
          </w:tcPr>
          <w:p w14:paraId="70887F9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支持虚拟机故障HA功能，可配置HA接入控制策略，HA最大尝试次数，且支持HA故障切换主机设置，达到故障隔离的效果，并支持配置虚拟机自启动策略和启动优先级；</w:t>
            </w:r>
          </w:p>
        </w:tc>
        <w:tc>
          <w:tcPr>
            <w:tcW w:w="1326" w:type="dxa"/>
            <w:shd w:val="clear" w:color="auto" w:fill="FFFFFF"/>
            <w:vAlign w:val="center"/>
          </w:tcPr>
          <w:p w14:paraId="06D047BA">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161F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594" w:type="dxa"/>
            <w:shd w:val="clear" w:color="auto" w:fill="FFFFFF"/>
            <w:vAlign w:val="center"/>
          </w:tcPr>
          <w:p w14:paraId="1EDBD5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160</w:t>
            </w:r>
          </w:p>
        </w:tc>
        <w:tc>
          <w:tcPr>
            <w:tcW w:w="981" w:type="dxa"/>
            <w:shd w:val="clear" w:color="auto" w:fill="FFFFFF"/>
            <w:noWrap/>
            <w:vAlign w:val="center"/>
          </w:tcPr>
          <w:p w14:paraId="7F857D9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0CCDA0D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78" w:type="dxa"/>
            <w:shd w:val="clear" w:color="auto" w:fill="FFFFFF"/>
            <w:noWrap/>
            <w:vAlign w:val="center"/>
          </w:tcPr>
          <w:p w14:paraId="0E5F16F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3990" w:type="dxa"/>
            <w:shd w:val="clear" w:color="auto" w:fill="FFFFFF"/>
            <w:vAlign w:val="center"/>
          </w:tcPr>
          <w:p w14:paraId="7453FC6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 xml:space="preserve">虚拟机支持添加串口、双显卡、USB、看门狗、FPGA、自定义PCI等设备以适配丰富的应用需求，虚拟机添加串口设备支持以telnet、网络客户端、网络服务端等模式登录并支持指定telnet端口号； </w:t>
            </w:r>
          </w:p>
        </w:tc>
        <w:tc>
          <w:tcPr>
            <w:tcW w:w="1326" w:type="dxa"/>
            <w:shd w:val="clear" w:color="auto" w:fill="FFFFFF"/>
            <w:vAlign w:val="center"/>
          </w:tcPr>
          <w:p w14:paraId="575E1D89">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F7B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594" w:type="dxa"/>
            <w:shd w:val="clear" w:color="auto" w:fill="FFFFFF"/>
            <w:vAlign w:val="center"/>
          </w:tcPr>
          <w:p w14:paraId="26B552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161</w:t>
            </w:r>
          </w:p>
        </w:tc>
        <w:tc>
          <w:tcPr>
            <w:tcW w:w="981" w:type="dxa"/>
            <w:shd w:val="clear" w:color="auto" w:fill="FFFFFF"/>
            <w:noWrap/>
            <w:vAlign w:val="center"/>
          </w:tcPr>
          <w:p w14:paraId="66172E0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0803AD3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78" w:type="dxa"/>
            <w:shd w:val="clear" w:color="auto" w:fill="FFFFFF"/>
            <w:noWrap/>
            <w:vAlign w:val="center"/>
          </w:tcPr>
          <w:p w14:paraId="08208D1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3990" w:type="dxa"/>
            <w:shd w:val="clear" w:color="auto" w:fill="FFFFFF"/>
            <w:vAlign w:val="center"/>
          </w:tcPr>
          <w:p w14:paraId="71FD530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支持精细化的虚拟机迁移控制，可配置虚拟机迁移速度和虚拟机迁移带宽百分比，通过设置虚拟机迁移带宽百分比可调整虚拟机迁移时所占用的管理网带宽，保障用户业务正常运行；</w:t>
            </w:r>
          </w:p>
        </w:tc>
        <w:tc>
          <w:tcPr>
            <w:tcW w:w="1326" w:type="dxa"/>
            <w:shd w:val="clear" w:color="auto" w:fill="FFFFFF"/>
            <w:vAlign w:val="center"/>
          </w:tcPr>
          <w:p w14:paraId="669F3B2C">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281E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 w:type="dxa"/>
            <w:shd w:val="clear" w:color="auto" w:fill="FFFFFF"/>
            <w:vAlign w:val="center"/>
          </w:tcPr>
          <w:p w14:paraId="647ED7A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162</w:t>
            </w:r>
          </w:p>
        </w:tc>
        <w:tc>
          <w:tcPr>
            <w:tcW w:w="981" w:type="dxa"/>
            <w:shd w:val="clear" w:color="auto" w:fill="FFFFFF"/>
            <w:noWrap/>
            <w:vAlign w:val="center"/>
          </w:tcPr>
          <w:p w14:paraId="7B5F895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2D35123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78" w:type="dxa"/>
            <w:shd w:val="clear" w:color="auto" w:fill="FFFFFF"/>
            <w:noWrap/>
            <w:vAlign w:val="center"/>
          </w:tcPr>
          <w:p w14:paraId="0DBF1ED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3990" w:type="dxa"/>
            <w:shd w:val="clear" w:color="auto" w:fill="FFFFFF"/>
            <w:vAlign w:val="center"/>
          </w:tcPr>
          <w:p w14:paraId="2F9DD8E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支持vAPP功能，可配置若干台虚拟机组成的应用组，可设置虚拟机启动顺序和启动间隔时间，可批量修改虚拟机组的参数；</w:t>
            </w:r>
          </w:p>
        </w:tc>
        <w:tc>
          <w:tcPr>
            <w:tcW w:w="1326" w:type="dxa"/>
            <w:shd w:val="clear" w:color="auto" w:fill="FFFFFF"/>
            <w:vAlign w:val="center"/>
          </w:tcPr>
          <w:p w14:paraId="50A00957">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D79A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594" w:type="dxa"/>
            <w:shd w:val="clear" w:color="auto" w:fill="FFFFFF"/>
            <w:vAlign w:val="center"/>
          </w:tcPr>
          <w:p w14:paraId="03D6D1B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163</w:t>
            </w:r>
          </w:p>
        </w:tc>
        <w:tc>
          <w:tcPr>
            <w:tcW w:w="981" w:type="dxa"/>
            <w:shd w:val="clear" w:color="auto" w:fill="FFFFFF"/>
            <w:noWrap/>
            <w:vAlign w:val="center"/>
          </w:tcPr>
          <w:p w14:paraId="5A2F764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1CEABA3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78" w:type="dxa"/>
            <w:shd w:val="clear" w:color="auto" w:fill="FFFFFF"/>
            <w:noWrap/>
            <w:vAlign w:val="center"/>
          </w:tcPr>
          <w:p w14:paraId="460F68A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3990" w:type="dxa"/>
            <w:shd w:val="clear" w:color="auto" w:fill="FFFFFF"/>
            <w:vAlign w:val="center"/>
          </w:tcPr>
          <w:p w14:paraId="4EB8783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支持一键开启和关闭数据中心内、集群内的所有虚拟机，并设置虚拟机跟随主机启动策略以及虚拟机启动优先级策略，方便机房搬迁或关电运维场景使用；</w:t>
            </w:r>
          </w:p>
        </w:tc>
        <w:tc>
          <w:tcPr>
            <w:tcW w:w="1326" w:type="dxa"/>
            <w:shd w:val="clear" w:color="auto" w:fill="FFFFFF"/>
            <w:vAlign w:val="center"/>
          </w:tcPr>
          <w:p w14:paraId="583B9463">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4FAD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080" w:hRule="atLeast"/>
        </w:trPr>
        <w:tc>
          <w:tcPr>
            <w:tcW w:w="594" w:type="dxa"/>
            <w:shd w:val="clear" w:color="auto" w:fill="FFFFFF"/>
            <w:vAlign w:val="center"/>
          </w:tcPr>
          <w:p w14:paraId="31A1649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164</w:t>
            </w:r>
          </w:p>
        </w:tc>
        <w:tc>
          <w:tcPr>
            <w:tcW w:w="981" w:type="dxa"/>
            <w:shd w:val="clear" w:color="auto" w:fill="FFFFFF"/>
            <w:noWrap/>
            <w:vAlign w:val="center"/>
          </w:tcPr>
          <w:p w14:paraId="19180D0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1AE512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78" w:type="dxa"/>
            <w:shd w:val="clear" w:color="auto" w:fill="FFFFFF"/>
            <w:noWrap/>
            <w:vAlign w:val="center"/>
          </w:tcPr>
          <w:p w14:paraId="7C57779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存储虚拟化</w:t>
            </w:r>
          </w:p>
        </w:tc>
        <w:tc>
          <w:tcPr>
            <w:tcW w:w="3990" w:type="dxa"/>
            <w:shd w:val="clear" w:color="auto" w:fill="FFFFFF"/>
            <w:vAlign w:val="center"/>
          </w:tcPr>
          <w:p w14:paraId="3311299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支持自定义存储策略，包括存储精简配置、存储白名单、自定义条带大小和条带数等。存储策略的颗粒度可以具体到存储卷（LUN）、虚拟机磁盘等，支持单虚拟机可配置不同副本和置备策略的虚拟磁盘；</w:t>
            </w:r>
          </w:p>
        </w:tc>
        <w:tc>
          <w:tcPr>
            <w:tcW w:w="1326" w:type="dxa"/>
            <w:shd w:val="clear" w:color="auto" w:fill="FFFFFF"/>
            <w:vAlign w:val="center"/>
          </w:tcPr>
          <w:p w14:paraId="5222C6F9">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F814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296" w:hRule="atLeast"/>
        </w:trPr>
        <w:tc>
          <w:tcPr>
            <w:tcW w:w="594" w:type="dxa"/>
            <w:shd w:val="clear" w:color="auto" w:fill="FFFFFF"/>
            <w:vAlign w:val="center"/>
          </w:tcPr>
          <w:p w14:paraId="08E1612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165</w:t>
            </w:r>
          </w:p>
        </w:tc>
        <w:tc>
          <w:tcPr>
            <w:tcW w:w="981" w:type="dxa"/>
            <w:shd w:val="clear" w:color="auto" w:fill="FFFFFF"/>
            <w:noWrap/>
            <w:vAlign w:val="center"/>
          </w:tcPr>
          <w:p w14:paraId="3CF4E53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549B5B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78" w:type="dxa"/>
            <w:shd w:val="clear" w:color="auto" w:fill="FFFFFF"/>
            <w:noWrap/>
            <w:vAlign w:val="center"/>
          </w:tcPr>
          <w:p w14:paraId="631F1EC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存储虚拟化</w:t>
            </w:r>
          </w:p>
        </w:tc>
        <w:tc>
          <w:tcPr>
            <w:tcW w:w="3990" w:type="dxa"/>
            <w:shd w:val="clear" w:color="auto" w:fill="FFFFFF"/>
            <w:vAlign w:val="center"/>
          </w:tcPr>
          <w:p w14:paraId="0BC51A1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机架感知，可提供基于服务器机架拓扑的存储副本智能分布功能，在超融合平台可以灵活编辑机架和主机拓扑，分布式存储根据拓扑结构自动调整数据副本分布策略，保证数据智能、均衡存储，避免出现由于单一机架的电源或网络故障造成的存储不可用和业务中断；</w:t>
            </w:r>
          </w:p>
        </w:tc>
        <w:tc>
          <w:tcPr>
            <w:tcW w:w="1326" w:type="dxa"/>
            <w:shd w:val="clear" w:color="auto" w:fill="FFFFFF"/>
            <w:vAlign w:val="center"/>
          </w:tcPr>
          <w:p w14:paraId="4A328017">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B265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594" w:type="dxa"/>
            <w:shd w:val="clear" w:color="auto" w:fill="FFFFFF"/>
            <w:vAlign w:val="center"/>
          </w:tcPr>
          <w:p w14:paraId="02CADB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166</w:t>
            </w:r>
          </w:p>
        </w:tc>
        <w:tc>
          <w:tcPr>
            <w:tcW w:w="981" w:type="dxa"/>
            <w:shd w:val="clear" w:color="auto" w:fill="FFFFFF"/>
            <w:noWrap/>
            <w:vAlign w:val="center"/>
          </w:tcPr>
          <w:p w14:paraId="30E86A8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114D547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78" w:type="dxa"/>
            <w:shd w:val="clear" w:color="auto" w:fill="FFFFFF"/>
            <w:noWrap/>
            <w:vAlign w:val="center"/>
          </w:tcPr>
          <w:p w14:paraId="309968E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存储虚拟化</w:t>
            </w:r>
          </w:p>
        </w:tc>
        <w:tc>
          <w:tcPr>
            <w:tcW w:w="3990" w:type="dxa"/>
            <w:shd w:val="clear" w:color="auto" w:fill="FFFFFF"/>
            <w:vAlign w:val="center"/>
          </w:tcPr>
          <w:p w14:paraId="63DE6CB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支持存储清理功能，可批量或单个扫描存储池，一键清理垃圾数据，节省物理资源；</w:t>
            </w:r>
          </w:p>
        </w:tc>
        <w:tc>
          <w:tcPr>
            <w:tcW w:w="1326" w:type="dxa"/>
            <w:shd w:val="clear" w:color="auto" w:fill="FFFFFF"/>
            <w:vAlign w:val="center"/>
          </w:tcPr>
          <w:p w14:paraId="040AC51B">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E6AA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594" w:type="dxa"/>
            <w:shd w:val="clear" w:color="auto" w:fill="FFFFFF"/>
            <w:vAlign w:val="center"/>
          </w:tcPr>
          <w:p w14:paraId="6C2B6F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167</w:t>
            </w:r>
          </w:p>
        </w:tc>
        <w:tc>
          <w:tcPr>
            <w:tcW w:w="981" w:type="dxa"/>
            <w:shd w:val="clear" w:color="auto" w:fill="FFFFFF"/>
            <w:noWrap/>
            <w:vAlign w:val="center"/>
          </w:tcPr>
          <w:p w14:paraId="1510624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3CD53B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78" w:type="dxa"/>
            <w:shd w:val="clear" w:color="auto" w:fill="FFFFFF"/>
            <w:noWrap/>
            <w:vAlign w:val="center"/>
          </w:tcPr>
          <w:p w14:paraId="32DC1C0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网络虚拟化</w:t>
            </w:r>
          </w:p>
        </w:tc>
        <w:tc>
          <w:tcPr>
            <w:tcW w:w="3990" w:type="dxa"/>
            <w:shd w:val="clear" w:color="auto" w:fill="FFFFFF"/>
            <w:vAlign w:val="center"/>
          </w:tcPr>
          <w:p w14:paraId="6BF5C93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提供全局分布式SDN功能，以避免SDN控制节点故障，提供分布式SDN硬件加速能力，可提供更高转发性能，SDN支持VLAN/VXLAN模式；</w:t>
            </w:r>
          </w:p>
        </w:tc>
        <w:tc>
          <w:tcPr>
            <w:tcW w:w="1326" w:type="dxa"/>
            <w:shd w:val="clear" w:color="auto" w:fill="FFFFFF"/>
            <w:vAlign w:val="center"/>
          </w:tcPr>
          <w:p w14:paraId="159F5602">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769F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594" w:type="dxa"/>
            <w:shd w:val="clear" w:color="auto" w:fill="FFFFFF"/>
            <w:vAlign w:val="center"/>
          </w:tcPr>
          <w:p w14:paraId="5691F2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168</w:t>
            </w:r>
          </w:p>
        </w:tc>
        <w:tc>
          <w:tcPr>
            <w:tcW w:w="981" w:type="dxa"/>
            <w:shd w:val="clear" w:color="auto" w:fill="FFFFFF"/>
            <w:noWrap/>
            <w:vAlign w:val="center"/>
          </w:tcPr>
          <w:p w14:paraId="2FF64E3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33ACC1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78" w:type="dxa"/>
            <w:shd w:val="clear" w:color="auto" w:fill="FFFFFF"/>
            <w:noWrap/>
            <w:vAlign w:val="center"/>
          </w:tcPr>
          <w:p w14:paraId="719040A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网络虚拟化</w:t>
            </w:r>
          </w:p>
        </w:tc>
        <w:tc>
          <w:tcPr>
            <w:tcW w:w="3990" w:type="dxa"/>
            <w:shd w:val="clear" w:color="auto" w:fill="FFFFFF"/>
            <w:vAlign w:val="center"/>
          </w:tcPr>
          <w:p w14:paraId="47F7F1A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支持全局分布式SDN智能加速，卸载分布式SDN网络的数据平面到硬件网卡，通过对东西向Overlay网络流量和南北向流量卸载，大幅提高网络转发性能并节省主机资源；</w:t>
            </w:r>
          </w:p>
        </w:tc>
        <w:tc>
          <w:tcPr>
            <w:tcW w:w="1326" w:type="dxa"/>
            <w:shd w:val="clear" w:color="auto" w:fill="FFFFFF"/>
            <w:vAlign w:val="center"/>
          </w:tcPr>
          <w:p w14:paraId="4901AF2F">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FC6B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594" w:type="dxa"/>
            <w:shd w:val="clear" w:color="auto" w:fill="FFFFFF"/>
            <w:vAlign w:val="center"/>
          </w:tcPr>
          <w:p w14:paraId="6ECA3F7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169</w:t>
            </w:r>
          </w:p>
        </w:tc>
        <w:tc>
          <w:tcPr>
            <w:tcW w:w="981" w:type="dxa"/>
            <w:shd w:val="clear" w:color="auto" w:fill="FFFFFF"/>
            <w:noWrap/>
            <w:vAlign w:val="center"/>
          </w:tcPr>
          <w:p w14:paraId="4AD87F5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776D69C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78" w:type="dxa"/>
            <w:shd w:val="clear" w:color="auto" w:fill="FFFFFF"/>
            <w:noWrap/>
            <w:vAlign w:val="center"/>
          </w:tcPr>
          <w:p w14:paraId="7D1DFE1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网络虚拟化</w:t>
            </w:r>
          </w:p>
        </w:tc>
        <w:tc>
          <w:tcPr>
            <w:tcW w:w="3990" w:type="dxa"/>
            <w:shd w:val="clear" w:color="auto" w:fill="FFFFFF"/>
            <w:vAlign w:val="center"/>
          </w:tcPr>
          <w:p w14:paraId="0D81032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支持网络图形化编排，编辑网络拓扑及拖拽网元即可完成网络拓扑的创建、变更、属性编辑；</w:t>
            </w:r>
          </w:p>
        </w:tc>
        <w:tc>
          <w:tcPr>
            <w:tcW w:w="1326" w:type="dxa"/>
            <w:shd w:val="clear" w:color="auto" w:fill="FFFFFF"/>
            <w:vAlign w:val="center"/>
          </w:tcPr>
          <w:p w14:paraId="2483267F">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888C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 w:type="dxa"/>
            <w:shd w:val="clear" w:color="auto" w:fill="FFFFFF"/>
            <w:vAlign w:val="center"/>
          </w:tcPr>
          <w:p w14:paraId="740EA7B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170</w:t>
            </w:r>
          </w:p>
        </w:tc>
        <w:tc>
          <w:tcPr>
            <w:tcW w:w="981" w:type="dxa"/>
            <w:shd w:val="clear" w:color="auto" w:fill="FFFFFF"/>
            <w:noWrap/>
            <w:vAlign w:val="center"/>
          </w:tcPr>
          <w:p w14:paraId="0357898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5761EFA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78" w:type="dxa"/>
            <w:shd w:val="clear" w:color="auto" w:fill="FFFFFF"/>
            <w:noWrap/>
            <w:vAlign w:val="center"/>
          </w:tcPr>
          <w:p w14:paraId="0FCCC69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网络虚拟化</w:t>
            </w:r>
          </w:p>
        </w:tc>
        <w:tc>
          <w:tcPr>
            <w:tcW w:w="3990" w:type="dxa"/>
            <w:shd w:val="clear" w:color="auto" w:fill="FFFFFF"/>
            <w:vAlign w:val="center"/>
          </w:tcPr>
          <w:p w14:paraId="227B176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支持物理网卡定位功能，可在平台发现网卡故障后，在管理界面直接点亮损坏网卡，方便运维人员到机房快速发现故障网卡设备；</w:t>
            </w:r>
          </w:p>
        </w:tc>
        <w:tc>
          <w:tcPr>
            <w:tcW w:w="1326" w:type="dxa"/>
            <w:shd w:val="clear" w:color="auto" w:fill="FFFFFF"/>
            <w:vAlign w:val="center"/>
          </w:tcPr>
          <w:p w14:paraId="45FB2A32">
            <w:pPr>
              <w:widowControl/>
              <w:ind w:right="21" w:rightChars="1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bl>
    <w:p w14:paraId="5B994F46">
      <w:pPr>
        <w:pStyle w:val="14"/>
        <w:ind w:firstLine="480"/>
        <w:rPr>
          <w:rFonts w:asciiTheme="minorEastAsia" w:hAnsiTheme="minorEastAsia" w:eastAsiaTheme="minorEastAsia" w:cstheme="minorEastAsia"/>
          <w:szCs w:val="24"/>
        </w:rPr>
      </w:pPr>
    </w:p>
    <w:p w14:paraId="6A8E6017">
      <w:pPr>
        <w:pStyle w:val="2"/>
        <w:numPr>
          <w:ilvl w:val="0"/>
          <w:numId w:val="2"/>
        </w:numPr>
        <w:ind w:left="442" w:hanging="442"/>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内外网交互区超融合集群</w:t>
      </w:r>
    </w:p>
    <w:tbl>
      <w:tblPr>
        <w:tblStyle w:val="15"/>
        <w:tblW w:w="9495" w:type="dxa"/>
        <w:tblInd w:w="-4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609"/>
        <w:gridCol w:w="981"/>
        <w:gridCol w:w="981"/>
        <w:gridCol w:w="1593"/>
        <w:gridCol w:w="3990"/>
        <w:gridCol w:w="1341"/>
      </w:tblGrid>
      <w:tr w14:paraId="09D1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85" w:hRule="atLeast"/>
        </w:trPr>
        <w:tc>
          <w:tcPr>
            <w:tcW w:w="609" w:type="dxa"/>
            <w:shd w:val="clear" w:color="auto" w:fill="FFFFFF"/>
            <w:vAlign w:val="center"/>
          </w:tcPr>
          <w:p w14:paraId="60FB539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序号</w:t>
            </w:r>
          </w:p>
        </w:tc>
        <w:tc>
          <w:tcPr>
            <w:tcW w:w="981" w:type="dxa"/>
            <w:shd w:val="clear" w:color="auto" w:fill="FFFFFF"/>
            <w:vAlign w:val="center"/>
          </w:tcPr>
          <w:p w14:paraId="49900B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指标分类</w:t>
            </w:r>
          </w:p>
        </w:tc>
        <w:tc>
          <w:tcPr>
            <w:tcW w:w="981" w:type="dxa"/>
            <w:shd w:val="clear" w:color="auto" w:fill="FFFFFF"/>
            <w:vAlign w:val="center"/>
          </w:tcPr>
          <w:p w14:paraId="71BE606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一级指标</w:t>
            </w:r>
          </w:p>
        </w:tc>
        <w:tc>
          <w:tcPr>
            <w:tcW w:w="1593" w:type="dxa"/>
            <w:shd w:val="clear" w:color="auto" w:fill="FFFFFF"/>
            <w:vAlign w:val="center"/>
          </w:tcPr>
          <w:p w14:paraId="62B1CA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二级指标</w:t>
            </w:r>
          </w:p>
        </w:tc>
        <w:tc>
          <w:tcPr>
            <w:tcW w:w="3990" w:type="dxa"/>
            <w:shd w:val="clear" w:color="auto" w:fill="FFFFFF"/>
            <w:vAlign w:val="center"/>
          </w:tcPr>
          <w:p w14:paraId="352FD7E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指标要求</w:t>
            </w:r>
          </w:p>
        </w:tc>
        <w:tc>
          <w:tcPr>
            <w:tcW w:w="1341" w:type="dxa"/>
            <w:shd w:val="clear" w:color="auto" w:fill="FFFFFF"/>
            <w:vAlign w:val="center"/>
          </w:tcPr>
          <w:p w14:paraId="725362A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是否提供证明材料</w:t>
            </w:r>
          </w:p>
        </w:tc>
      </w:tr>
      <w:tr w14:paraId="1EF5C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9" w:type="dxa"/>
            <w:shd w:val="clear" w:color="auto" w:fill="FFFFFF"/>
            <w:vAlign w:val="center"/>
          </w:tcPr>
          <w:p w14:paraId="5DC5839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w:t>
            </w:r>
          </w:p>
        </w:tc>
        <w:tc>
          <w:tcPr>
            <w:tcW w:w="981" w:type="dxa"/>
            <w:shd w:val="clear" w:color="auto" w:fill="FFFFFF"/>
            <w:vAlign w:val="center"/>
          </w:tcPr>
          <w:p w14:paraId="3D16CC5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shd w:val="clear" w:color="auto" w:fill="FFFFFF"/>
            <w:vAlign w:val="center"/>
          </w:tcPr>
          <w:p w14:paraId="2AD219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CPU规格</w:t>
            </w:r>
          </w:p>
        </w:tc>
        <w:tc>
          <w:tcPr>
            <w:tcW w:w="1593" w:type="dxa"/>
            <w:shd w:val="clear" w:color="auto" w:fill="FFFFFF"/>
            <w:vAlign w:val="center"/>
          </w:tcPr>
          <w:p w14:paraId="36B1D0D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★CPU信息</w:t>
            </w:r>
          </w:p>
        </w:tc>
        <w:tc>
          <w:tcPr>
            <w:tcW w:w="3990" w:type="dxa"/>
            <w:shd w:val="clear" w:color="auto" w:fill="FFFFFF"/>
            <w:vAlign w:val="center"/>
          </w:tcPr>
          <w:p w14:paraId="0E7AE39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供应商应给出CPU信息，包含CPU型号、物理核心数、主频、末级缓存容量、线程数、热设计功耗及支持内存的最高速率、通道数和位宽</w:t>
            </w:r>
          </w:p>
        </w:tc>
        <w:tc>
          <w:tcPr>
            <w:tcW w:w="1341" w:type="dxa"/>
            <w:shd w:val="clear" w:color="auto" w:fill="FFFFFF"/>
            <w:vAlign w:val="center"/>
          </w:tcPr>
          <w:p w14:paraId="37394D9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3A2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9" w:type="dxa"/>
            <w:shd w:val="clear" w:color="auto" w:fill="FFFFFF"/>
            <w:vAlign w:val="center"/>
          </w:tcPr>
          <w:p w14:paraId="40ED355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981" w:type="dxa"/>
            <w:shd w:val="clear" w:color="auto" w:fill="FFFFFF"/>
            <w:vAlign w:val="center"/>
          </w:tcPr>
          <w:p w14:paraId="36367B9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27F9E60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主板规格</w:t>
            </w:r>
          </w:p>
        </w:tc>
        <w:tc>
          <w:tcPr>
            <w:tcW w:w="1593" w:type="dxa"/>
            <w:shd w:val="clear" w:color="auto" w:fill="FFFFFF"/>
            <w:vAlign w:val="center"/>
          </w:tcPr>
          <w:p w14:paraId="763C9CB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★主板支持的CPU和内存情况</w:t>
            </w:r>
          </w:p>
        </w:tc>
        <w:tc>
          <w:tcPr>
            <w:tcW w:w="3990" w:type="dxa"/>
            <w:shd w:val="clear" w:color="auto" w:fill="FFFFFF"/>
            <w:vAlign w:val="center"/>
          </w:tcPr>
          <w:p w14:paraId="3F7E9A4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供应商给出主板支持的CPU和内存的型号数量</w:t>
            </w:r>
          </w:p>
        </w:tc>
        <w:tc>
          <w:tcPr>
            <w:tcW w:w="1341" w:type="dxa"/>
            <w:shd w:val="clear" w:color="auto" w:fill="FFFFFF"/>
            <w:vAlign w:val="center"/>
          </w:tcPr>
          <w:p w14:paraId="01A9DA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B763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3C81DA9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w:t>
            </w:r>
          </w:p>
        </w:tc>
        <w:tc>
          <w:tcPr>
            <w:tcW w:w="981" w:type="dxa"/>
            <w:shd w:val="clear" w:color="auto" w:fill="FFFFFF"/>
            <w:vAlign w:val="center"/>
          </w:tcPr>
          <w:p w14:paraId="002C0BE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7118BE6">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2825BDE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★主板内存槽数量</w:t>
            </w:r>
          </w:p>
        </w:tc>
        <w:tc>
          <w:tcPr>
            <w:tcW w:w="3990" w:type="dxa"/>
            <w:shd w:val="clear" w:color="auto" w:fill="FFFFFF"/>
            <w:vAlign w:val="center"/>
          </w:tcPr>
          <w:p w14:paraId="392D04F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非板载内存的可扩展插槽数量应≥4个</w:t>
            </w:r>
          </w:p>
        </w:tc>
        <w:tc>
          <w:tcPr>
            <w:tcW w:w="1341" w:type="dxa"/>
            <w:shd w:val="clear" w:color="auto" w:fill="FFFFFF"/>
            <w:vAlign w:val="center"/>
          </w:tcPr>
          <w:p w14:paraId="5550A3A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6577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543159B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w:t>
            </w:r>
          </w:p>
        </w:tc>
        <w:tc>
          <w:tcPr>
            <w:tcW w:w="981" w:type="dxa"/>
            <w:shd w:val="clear" w:color="auto" w:fill="FFFFFF"/>
            <w:vAlign w:val="center"/>
          </w:tcPr>
          <w:p w14:paraId="79CD86C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E343CDE">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070A58F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★主板存储接口</w:t>
            </w:r>
          </w:p>
        </w:tc>
        <w:tc>
          <w:tcPr>
            <w:tcW w:w="3990" w:type="dxa"/>
            <w:shd w:val="clear" w:color="auto" w:fill="FFFFFF"/>
            <w:vAlign w:val="center"/>
          </w:tcPr>
          <w:p w14:paraId="3D9B38E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至少支持SATA、SAS、M.2、U.2等存储接口中的1种</w:t>
            </w:r>
          </w:p>
        </w:tc>
        <w:tc>
          <w:tcPr>
            <w:tcW w:w="1341" w:type="dxa"/>
            <w:shd w:val="clear" w:color="auto" w:fill="FFFFFF"/>
            <w:vAlign w:val="center"/>
          </w:tcPr>
          <w:p w14:paraId="1F759B6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9479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320CF0D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w:t>
            </w:r>
          </w:p>
        </w:tc>
        <w:tc>
          <w:tcPr>
            <w:tcW w:w="981" w:type="dxa"/>
            <w:shd w:val="clear" w:color="auto" w:fill="FFFFFF"/>
            <w:vAlign w:val="center"/>
          </w:tcPr>
          <w:p w14:paraId="354142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27C081B3">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5B06520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★PCIe插槽接口</w:t>
            </w:r>
          </w:p>
        </w:tc>
        <w:tc>
          <w:tcPr>
            <w:tcW w:w="3990" w:type="dxa"/>
            <w:shd w:val="clear" w:color="auto" w:fill="FFFFFF"/>
            <w:vAlign w:val="center"/>
          </w:tcPr>
          <w:p w14:paraId="7F59F3F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符合PCIe3.0或以上的高速串行计算机扩展总线标准，PCIe的接口速率与位宽需保证向下兼容</w:t>
            </w:r>
          </w:p>
        </w:tc>
        <w:tc>
          <w:tcPr>
            <w:tcW w:w="1341" w:type="dxa"/>
            <w:shd w:val="clear" w:color="auto" w:fill="FFFFFF"/>
            <w:vAlign w:val="center"/>
          </w:tcPr>
          <w:p w14:paraId="093E08E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230C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9" w:type="dxa"/>
            <w:shd w:val="clear" w:color="auto" w:fill="FFFFFF"/>
            <w:vAlign w:val="center"/>
          </w:tcPr>
          <w:p w14:paraId="708E825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w:t>
            </w:r>
          </w:p>
        </w:tc>
        <w:tc>
          <w:tcPr>
            <w:tcW w:w="981" w:type="dxa"/>
            <w:shd w:val="clear" w:color="auto" w:fill="FFFFFF"/>
            <w:vAlign w:val="center"/>
          </w:tcPr>
          <w:p w14:paraId="6821819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60B4FF4">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25E73E3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★主板PCIe插槽数量及规格</w:t>
            </w:r>
          </w:p>
        </w:tc>
        <w:tc>
          <w:tcPr>
            <w:tcW w:w="3990" w:type="dxa"/>
            <w:shd w:val="clear" w:color="auto" w:fill="FFFFFF"/>
            <w:vAlign w:val="center"/>
          </w:tcPr>
          <w:p w14:paraId="23685E2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a）高度大于44.45mm双路或以上服务器PCIe插槽或接口应≥5个；</w:t>
            </w:r>
          </w:p>
          <w:p w14:paraId="68079F6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b）单路服务器PCIe插槽或接口应≥4个，可通过扩展卡进行插槽扩展</w:t>
            </w:r>
          </w:p>
        </w:tc>
        <w:tc>
          <w:tcPr>
            <w:tcW w:w="1341" w:type="dxa"/>
            <w:shd w:val="clear" w:color="auto" w:fill="FFFFFF"/>
            <w:vAlign w:val="center"/>
          </w:tcPr>
          <w:p w14:paraId="16C7164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C70D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728" w:hRule="atLeast"/>
        </w:trPr>
        <w:tc>
          <w:tcPr>
            <w:tcW w:w="609" w:type="dxa"/>
            <w:shd w:val="clear" w:color="auto" w:fill="FFFFFF"/>
            <w:vAlign w:val="center"/>
          </w:tcPr>
          <w:p w14:paraId="0CF6460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w:t>
            </w:r>
          </w:p>
        </w:tc>
        <w:tc>
          <w:tcPr>
            <w:tcW w:w="981" w:type="dxa"/>
            <w:shd w:val="clear" w:color="auto" w:fill="FFFFFF"/>
            <w:vAlign w:val="center"/>
          </w:tcPr>
          <w:p w14:paraId="4D76859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4CF5123">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2A4C6A9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特殊孔位及接口</w:t>
            </w:r>
          </w:p>
        </w:tc>
        <w:tc>
          <w:tcPr>
            <w:tcW w:w="3990" w:type="dxa"/>
            <w:shd w:val="clear" w:color="auto" w:fill="FFFFFF"/>
            <w:vAlign w:val="center"/>
          </w:tcPr>
          <w:p w14:paraId="7E985A8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服务器机箱内主板可根据用户实际使用需求支持安装多功能导入装置板卡，机箱内需预留多功能导入装置板卡安装位置，容量不小于55mm×45mm×15mm（长×宽×高，单位毫米）；b）服务器主板可根据用户实际使用需求预留满足USB2.0或USB3.0数据传输规范的接口，工作电压5V，采用USB2.0时，最大过电流应不小于0.5A，采用USB3.0时，最大过电流应不小于1A</w:t>
            </w:r>
          </w:p>
        </w:tc>
        <w:tc>
          <w:tcPr>
            <w:tcW w:w="1341" w:type="dxa"/>
            <w:shd w:val="clear" w:color="auto" w:fill="FFFFFF"/>
            <w:vAlign w:val="center"/>
          </w:tcPr>
          <w:p w14:paraId="6E6405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BE6D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9" w:type="dxa"/>
            <w:shd w:val="clear" w:color="auto" w:fill="FFFFFF"/>
            <w:vAlign w:val="center"/>
          </w:tcPr>
          <w:p w14:paraId="43DDF6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981" w:type="dxa"/>
            <w:shd w:val="clear" w:color="auto" w:fill="FFFFFF"/>
            <w:vAlign w:val="center"/>
          </w:tcPr>
          <w:p w14:paraId="365A34C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8218933">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18D16DD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板载网络接口</w:t>
            </w:r>
          </w:p>
        </w:tc>
        <w:tc>
          <w:tcPr>
            <w:tcW w:w="3990" w:type="dxa"/>
            <w:shd w:val="clear" w:color="auto" w:fill="FFFFFF"/>
            <w:vAlign w:val="center"/>
          </w:tcPr>
          <w:p w14:paraId="01BF520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若支持板载网络接口应≥2个1GE网口</w:t>
            </w:r>
          </w:p>
        </w:tc>
        <w:tc>
          <w:tcPr>
            <w:tcW w:w="1341" w:type="dxa"/>
            <w:shd w:val="clear" w:color="auto" w:fill="FFFFFF"/>
            <w:vAlign w:val="center"/>
          </w:tcPr>
          <w:p w14:paraId="07D8C29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AC95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9" w:type="dxa"/>
            <w:shd w:val="clear" w:color="auto" w:fill="FFFFFF"/>
            <w:vAlign w:val="center"/>
          </w:tcPr>
          <w:p w14:paraId="2A1FE42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w:t>
            </w:r>
          </w:p>
        </w:tc>
        <w:tc>
          <w:tcPr>
            <w:tcW w:w="981" w:type="dxa"/>
            <w:shd w:val="clear" w:color="auto" w:fill="FFFFFF"/>
            <w:vAlign w:val="center"/>
          </w:tcPr>
          <w:p w14:paraId="2F0E791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73E517E">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10D442B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主板OCP插槽数量</w:t>
            </w:r>
          </w:p>
        </w:tc>
        <w:tc>
          <w:tcPr>
            <w:tcW w:w="3990" w:type="dxa"/>
            <w:shd w:val="clear" w:color="auto" w:fill="FFFFFF"/>
            <w:vAlign w:val="center"/>
          </w:tcPr>
          <w:p w14:paraId="178B12C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支持OCP2.0及以上插槽的数量≥1个</w:t>
            </w:r>
          </w:p>
        </w:tc>
        <w:tc>
          <w:tcPr>
            <w:tcW w:w="1341" w:type="dxa"/>
            <w:shd w:val="clear" w:color="auto" w:fill="FFFFFF"/>
            <w:vAlign w:val="center"/>
          </w:tcPr>
          <w:p w14:paraId="24639C5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BE4B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09" w:type="dxa"/>
            <w:shd w:val="clear" w:color="auto" w:fill="FFFFFF"/>
            <w:vAlign w:val="center"/>
          </w:tcPr>
          <w:p w14:paraId="30BDB2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w:t>
            </w:r>
          </w:p>
        </w:tc>
        <w:tc>
          <w:tcPr>
            <w:tcW w:w="981" w:type="dxa"/>
            <w:shd w:val="clear" w:color="auto" w:fill="FFFFFF"/>
            <w:vAlign w:val="center"/>
          </w:tcPr>
          <w:p w14:paraId="51DF618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3E75B12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内存规格</w:t>
            </w:r>
          </w:p>
        </w:tc>
        <w:tc>
          <w:tcPr>
            <w:tcW w:w="1593" w:type="dxa"/>
            <w:shd w:val="clear" w:color="auto" w:fill="FFFFFF"/>
            <w:vAlign w:val="center"/>
          </w:tcPr>
          <w:p w14:paraId="235CB3A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★内存数量</w:t>
            </w:r>
          </w:p>
        </w:tc>
        <w:tc>
          <w:tcPr>
            <w:tcW w:w="3990" w:type="dxa"/>
            <w:shd w:val="clear" w:color="auto" w:fill="FFFFFF"/>
            <w:vAlign w:val="center"/>
          </w:tcPr>
          <w:p w14:paraId="0A94290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w:t>
            </w:r>
          </w:p>
        </w:tc>
        <w:tc>
          <w:tcPr>
            <w:tcW w:w="1341" w:type="dxa"/>
            <w:shd w:val="clear" w:color="auto" w:fill="FFFFFF"/>
            <w:vAlign w:val="center"/>
          </w:tcPr>
          <w:p w14:paraId="5FEDD6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7D3D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09" w:type="dxa"/>
            <w:shd w:val="clear" w:color="auto" w:fill="FFFFFF"/>
            <w:vAlign w:val="center"/>
          </w:tcPr>
          <w:p w14:paraId="656E84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w:t>
            </w:r>
          </w:p>
        </w:tc>
        <w:tc>
          <w:tcPr>
            <w:tcW w:w="981" w:type="dxa"/>
            <w:shd w:val="clear" w:color="auto" w:fill="FFFFFF"/>
            <w:vAlign w:val="center"/>
          </w:tcPr>
          <w:p w14:paraId="1BBFD6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443944D">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6B64D53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★内存规格</w:t>
            </w:r>
          </w:p>
        </w:tc>
        <w:tc>
          <w:tcPr>
            <w:tcW w:w="3990" w:type="dxa"/>
            <w:shd w:val="clear" w:color="auto" w:fill="FFFFFF"/>
            <w:vAlign w:val="center"/>
          </w:tcPr>
          <w:p w14:paraId="5A2A6E8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≥DDR4</w:t>
            </w:r>
          </w:p>
        </w:tc>
        <w:tc>
          <w:tcPr>
            <w:tcW w:w="1341" w:type="dxa"/>
            <w:shd w:val="clear" w:color="auto" w:fill="FFFFFF"/>
            <w:vAlign w:val="center"/>
          </w:tcPr>
          <w:p w14:paraId="7B923B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F4DA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9" w:type="dxa"/>
            <w:shd w:val="clear" w:color="auto" w:fill="FFFFFF"/>
            <w:vAlign w:val="center"/>
          </w:tcPr>
          <w:p w14:paraId="0F89A1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w:t>
            </w:r>
          </w:p>
        </w:tc>
        <w:tc>
          <w:tcPr>
            <w:tcW w:w="981" w:type="dxa"/>
            <w:shd w:val="clear" w:color="auto" w:fill="FFFFFF"/>
            <w:vAlign w:val="center"/>
          </w:tcPr>
          <w:p w14:paraId="3AD22B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76AB2AF">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434EE17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★内存通道</w:t>
            </w:r>
          </w:p>
        </w:tc>
        <w:tc>
          <w:tcPr>
            <w:tcW w:w="3990" w:type="dxa"/>
            <w:shd w:val="clear" w:color="auto" w:fill="FFFFFF"/>
            <w:vAlign w:val="center"/>
          </w:tcPr>
          <w:p w14:paraId="60D2DA1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支持多个内存接口通道，每个通道可支持1DPC或2DPC，当支持2DPC时，印制电路板上应具备插槽的序号标识，具体通道数应在随机文件中明确</w:t>
            </w:r>
          </w:p>
        </w:tc>
        <w:tc>
          <w:tcPr>
            <w:tcW w:w="1341" w:type="dxa"/>
            <w:shd w:val="clear" w:color="auto" w:fill="FFFFFF"/>
            <w:vAlign w:val="center"/>
          </w:tcPr>
          <w:p w14:paraId="1BD5826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E104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1B0A4C5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w:t>
            </w:r>
          </w:p>
        </w:tc>
        <w:tc>
          <w:tcPr>
            <w:tcW w:w="981" w:type="dxa"/>
            <w:shd w:val="clear" w:color="auto" w:fill="FFFFFF"/>
            <w:vAlign w:val="center"/>
          </w:tcPr>
          <w:p w14:paraId="0B2097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3DC8813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存储规格</w:t>
            </w:r>
          </w:p>
        </w:tc>
        <w:tc>
          <w:tcPr>
            <w:tcW w:w="1593" w:type="dxa"/>
            <w:shd w:val="clear" w:color="auto" w:fill="FFFFFF"/>
            <w:vAlign w:val="center"/>
          </w:tcPr>
          <w:p w14:paraId="658533A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硬盘类型</w:t>
            </w:r>
          </w:p>
        </w:tc>
        <w:tc>
          <w:tcPr>
            <w:tcW w:w="3990" w:type="dxa"/>
            <w:shd w:val="clear" w:color="auto" w:fill="FFFFFF"/>
            <w:vAlign w:val="center"/>
          </w:tcPr>
          <w:p w14:paraId="0318062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供应商给出服务器支持硬磁盘和固态盘类型及规格</w:t>
            </w:r>
          </w:p>
        </w:tc>
        <w:tc>
          <w:tcPr>
            <w:tcW w:w="1341" w:type="dxa"/>
            <w:shd w:val="clear" w:color="auto" w:fill="FFFFFF"/>
            <w:vAlign w:val="center"/>
          </w:tcPr>
          <w:p w14:paraId="5276E49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9094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9" w:type="dxa"/>
            <w:shd w:val="clear" w:color="auto" w:fill="FFFFFF"/>
            <w:vAlign w:val="center"/>
          </w:tcPr>
          <w:p w14:paraId="65C5A6D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w:t>
            </w:r>
          </w:p>
        </w:tc>
        <w:tc>
          <w:tcPr>
            <w:tcW w:w="981" w:type="dxa"/>
            <w:shd w:val="clear" w:color="auto" w:fill="FFFFFF"/>
            <w:vAlign w:val="center"/>
          </w:tcPr>
          <w:p w14:paraId="2A65D08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8472561">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2C88AA0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★硬磁盘实配容量</w:t>
            </w:r>
          </w:p>
        </w:tc>
        <w:tc>
          <w:tcPr>
            <w:tcW w:w="3990" w:type="dxa"/>
            <w:shd w:val="clear" w:color="auto" w:fill="FFFFFF"/>
            <w:vAlign w:val="center"/>
          </w:tcPr>
          <w:p w14:paraId="6B1BF33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硬盘1：≥480G SATA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硬盘2：≥1.6T SAS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硬盘3：≥2.4T 10K SAS</w:t>
            </w:r>
          </w:p>
        </w:tc>
        <w:tc>
          <w:tcPr>
            <w:tcW w:w="1341" w:type="dxa"/>
            <w:shd w:val="clear" w:color="auto" w:fill="FFFFFF"/>
            <w:vAlign w:val="center"/>
          </w:tcPr>
          <w:p w14:paraId="299C750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E776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9" w:type="dxa"/>
            <w:shd w:val="clear" w:color="auto" w:fill="FFFFFF"/>
            <w:vAlign w:val="center"/>
          </w:tcPr>
          <w:p w14:paraId="2D301CC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w:t>
            </w:r>
          </w:p>
        </w:tc>
        <w:tc>
          <w:tcPr>
            <w:tcW w:w="981" w:type="dxa"/>
            <w:shd w:val="clear" w:color="auto" w:fill="FFFFFF"/>
            <w:vAlign w:val="center"/>
          </w:tcPr>
          <w:p w14:paraId="7CA2CFD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0275271">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079E2AD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硬盘接口类型</w:t>
            </w:r>
          </w:p>
        </w:tc>
        <w:tc>
          <w:tcPr>
            <w:tcW w:w="3990" w:type="dxa"/>
            <w:shd w:val="clear" w:color="auto" w:fill="FFFFFF"/>
            <w:vAlign w:val="center"/>
          </w:tcPr>
          <w:p w14:paraId="3927D27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a）若配备硬磁盘，应提供SAS3.0或SATA3.0及以上接口；b）若配备固态盘，应提供至少1种类型固态盘接口，如UFS、SATA、PCIe等</w:t>
            </w:r>
          </w:p>
        </w:tc>
        <w:tc>
          <w:tcPr>
            <w:tcW w:w="1341" w:type="dxa"/>
            <w:shd w:val="clear" w:color="auto" w:fill="FFFFFF"/>
            <w:vAlign w:val="center"/>
          </w:tcPr>
          <w:p w14:paraId="06D6FA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3210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9" w:type="dxa"/>
            <w:shd w:val="clear" w:color="auto" w:fill="FFFFFF"/>
            <w:vAlign w:val="center"/>
          </w:tcPr>
          <w:p w14:paraId="074ECA6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w:t>
            </w:r>
          </w:p>
        </w:tc>
        <w:tc>
          <w:tcPr>
            <w:tcW w:w="981" w:type="dxa"/>
            <w:shd w:val="clear" w:color="auto" w:fill="FFFFFF"/>
            <w:vAlign w:val="center"/>
          </w:tcPr>
          <w:p w14:paraId="20A2AAF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7DD1A56">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236D4D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★硬盘实配数量</w:t>
            </w:r>
          </w:p>
        </w:tc>
        <w:tc>
          <w:tcPr>
            <w:tcW w:w="3990" w:type="dxa"/>
            <w:shd w:val="clear" w:color="auto" w:fill="FFFFFF"/>
            <w:vAlign w:val="center"/>
          </w:tcPr>
          <w:p w14:paraId="0F4A1CA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硬盘1：≥2块480G SATA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硬盘2：≥2块1.6T SAS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硬盘3：≥10块2.4T 10K SAS</w:t>
            </w:r>
          </w:p>
        </w:tc>
        <w:tc>
          <w:tcPr>
            <w:tcW w:w="1341" w:type="dxa"/>
            <w:shd w:val="clear" w:color="auto" w:fill="FFFFFF"/>
            <w:vAlign w:val="center"/>
          </w:tcPr>
          <w:p w14:paraId="34B520E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E9BD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296" w:hRule="atLeast"/>
        </w:trPr>
        <w:tc>
          <w:tcPr>
            <w:tcW w:w="609" w:type="dxa"/>
            <w:shd w:val="clear" w:color="auto" w:fill="FFFFFF"/>
            <w:vAlign w:val="center"/>
          </w:tcPr>
          <w:p w14:paraId="034BA3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17</w:t>
            </w:r>
          </w:p>
        </w:tc>
        <w:tc>
          <w:tcPr>
            <w:tcW w:w="981" w:type="dxa"/>
            <w:shd w:val="clear" w:color="auto" w:fill="FFFFFF"/>
            <w:vAlign w:val="center"/>
          </w:tcPr>
          <w:p w14:paraId="4FC8820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65A84083">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19D57C0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★硬盘插槽数量及规格</w:t>
            </w:r>
          </w:p>
        </w:tc>
        <w:tc>
          <w:tcPr>
            <w:tcW w:w="3990" w:type="dxa"/>
            <w:shd w:val="clear" w:color="auto" w:fill="FFFFFF"/>
            <w:vAlign w:val="center"/>
          </w:tcPr>
          <w:p w14:paraId="16B32F1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供应商应给出配置的硬盘尺寸，如2.5英寸、3.5英寸硬磁盘；b）机箱高度为88.9mm的服务器可支持的硬盘数量应≥8块，机箱高度为44.45mm的服务器可支持的硬盘数量应≥4块。c）存储型服务器可支持硬盘数量应≥24块</w:t>
            </w:r>
          </w:p>
        </w:tc>
        <w:tc>
          <w:tcPr>
            <w:tcW w:w="1341" w:type="dxa"/>
            <w:shd w:val="clear" w:color="auto" w:fill="FFFFFF"/>
            <w:vAlign w:val="center"/>
          </w:tcPr>
          <w:p w14:paraId="5A23633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0DB2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09" w:type="dxa"/>
            <w:shd w:val="clear" w:color="auto" w:fill="FFFFFF"/>
            <w:vAlign w:val="center"/>
          </w:tcPr>
          <w:p w14:paraId="242AEAA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18</w:t>
            </w:r>
          </w:p>
        </w:tc>
        <w:tc>
          <w:tcPr>
            <w:tcW w:w="981" w:type="dxa"/>
            <w:shd w:val="clear" w:color="auto" w:fill="FFFFFF"/>
            <w:vAlign w:val="center"/>
          </w:tcPr>
          <w:p w14:paraId="6F34FFB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E0F35FC">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2BA604B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硬盘其他参数要求</w:t>
            </w:r>
          </w:p>
        </w:tc>
        <w:tc>
          <w:tcPr>
            <w:tcW w:w="3990" w:type="dxa"/>
            <w:shd w:val="clear" w:color="auto" w:fill="FFFFFF"/>
            <w:vAlign w:val="center"/>
          </w:tcPr>
          <w:p w14:paraId="05F49E6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drawing>
                <wp:anchor distT="0" distB="0" distL="114300" distR="114300" simplePos="0" relativeHeight="251664384" behindDoc="0" locked="0" layoutInCell="1" allowOverlap="1">
                  <wp:simplePos x="0" y="0"/>
                  <wp:positionH relativeFrom="column">
                    <wp:posOffset>9525</wp:posOffset>
                  </wp:positionH>
                  <wp:positionV relativeFrom="paragraph">
                    <wp:posOffset>471170</wp:posOffset>
                  </wp:positionV>
                  <wp:extent cx="76200" cy="47625"/>
                  <wp:effectExtent l="0" t="0" r="0" b="0"/>
                  <wp:wrapNone/>
                  <wp:docPr id="6" name="图片 6"/>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5"/>
                          <a:stretch>
                            <a:fillRect/>
                          </a:stretch>
                        </pic:blipFill>
                        <pic:spPr>
                          <a:xfrm>
                            <a:off x="0" y="0"/>
                            <a:ext cx="76200" cy="47625"/>
                          </a:xfrm>
                          <a:prstGeom prst="rect">
                            <a:avLst/>
                          </a:prstGeom>
                          <a:noFill/>
                          <a:ln>
                            <a:noFill/>
                          </a:ln>
                        </pic:spPr>
                      </pic:pic>
                    </a:graphicData>
                  </a:graphic>
                </wp:anchor>
              </w:drawing>
            </w:r>
            <w:r>
              <w:rPr>
                <w:rFonts w:hint="eastAsia" w:asciiTheme="minorEastAsia" w:hAnsiTheme="minorEastAsia" w:eastAsiaTheme="minorEastAsia" w:cstheme="minorEastAsia"/>
                <w:kern w:val="0"/>
                <w:sz w:val="24"/>
              </w:rPr>
              <w:t>a）机械硬盘准备时间应≤30s；侧面固定螺丝孔数量可为4孔或6孔；工作状态环境温度应满足5℃55℃,其他参数应符合GB/T12628的相关规定；b）若服务器支持固态盘，固态盘符合SJ/T11654相关规定</w:t>
            </w:r>
          </w:p>
        </w:tc>
        <w:tc>
          <w:tcPr>
            <w:tcW w:w="1341" w:type="dxa"/>
            <w:shd w:val="clear" w:color="auto" w:fill="FFFFFF"/>
            <w:vAlign w:val="center"/>
          </w:tcPr>
          <w:p w14:paraId="7DD3F86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7FBA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9" w:type="dxa"/>
            <w:shd w:val="clear" w:color="auto" w:fill="FFFFFF"/>
            <w:vAlign w:val="center"/>
          </w:tcPr>
          <w:p w14:paraId="6CE8067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19</w:t>
            </w:r>
          </w:p>
        </w:tc>
        <w:tc>
          <w:tcPr>
            <w:tcW w:w="981" w:type="dxa"/>
            <w:shd w:val="clear" w:color="auto" w:fill="FFFFFF"/>
            <w:vAlign w:val="center"/>
          </w:tcPr>
          <w:p w14:paraId="1058810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shd w:val="clear" w:color="auto" w:fill="FFFFFF"/>
            <w:vAlign w:val="center"/>
          </w:tcPr>
          <w:p w14:paraId="4099B7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RAID卡规格（若支持RAID卡）</w:t>
            </w:r>
          </w:p>
        </w:tc>
        <w:tc>
          <w:tcPr>
            <w:tcW w:w="1593" w:type="dxa"/>
            <w:shd w:val="clear" w:color="auto" w:fill="FFFFFF"/>
            <w:vAlign w:val="center"/>
          </w:tcPr>
          <w:p w14:paraId="0BACDB3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RAID卡支持的SAS接口数</w:t>
            </w:r>
          </w:p>
        </w:tc>
        <w:tc>
          <w:tcPr>
            <w:tcW w:w="3990" w:type="dxa"/>
            <w:shd w:val="clear" w:color="auto" w:fill="FFFFFF"/>
            <w:vAlign w:val="center"/>
          </w:tcPr>
          <w:p w14:paraId="6969B40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1341" w:type="dxa"/>
            <w:shd w:val="clear" w:color="auto" w:fill="FFFFFF"/>
            <w:vAlign w:val="center"/>
          </w:tcPr>
          <w:p w14:paraId="594459A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D8DA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609" w:type="dxa"/>
            <w:shd w:val="clear" w:color="auto" w:fill="FFFFFF"/>
            <w:vAlign w:val="center"/>
          </w:tcPr>
          <w:p w14:paraId="1DF6798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20</w:t>
            </w:r>
          </w:p>
        </w:tc>
        <w:tc>
          <w:tcPr>
            <w:tcW w:w="981" w:type="dxa"/>
            <w:shd w:val="clear" w:color="auto" w:fill="FFFFFF"/>
            <w:vAlign w:val="center"/>
          </w:tcPr>
          <w:p w14:paraId="4DD0ACB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shd w:val="clear" w:color="auto" w:fill="FFFFFF"/>
            <w:vAlign w:val="center"/>
          </w:tcPr>
          <w:p w14:paraId="17376F1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SAS直通卡规格（若支持SAS直通卡）</w:t>
            </w:r>
          </w:p>
        </w:tc>
        <w:tc>
          <w:tcPr>
            <w:tcW w:w="1593" w:type="dxa"/>
            <w:shd w:val="clear" w:color="auto" w:fill="FFFFFF"/>
            <w:vAlign w:val="center"/>
          </w:tcPr>
          <w:p w14:paraId="6A76020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SAS直通卡SAS接口数量</w:t>
            </w:r>
          </w:p>
        </w:tc>
        <w:tc>
          <w:tcPr>
            <w:tcW w:w="3990" w:type="dxa"/>
            <w:shd w:val="clear" w:color="auto" w:fill="FFFFFF"/>
            <w:vAlign w:val="center"/>
          </w:tcPr>
          <w:p w14:paraId="59A4F43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≥0</w:t>
            </w:r>
          </w:p>
        </w:tc>
        <w:tc>
          <w:tcPr>
            <w:tcW w:w="1341" w:type="dxa"/>
            <w:shd w:val="clear" w:color="auto" w:fill="FFFFFF"/>
            <w:vAlign w:val="center"/>
          </w:tcPr>
          <w:p w14:paraId="6816A2C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46BA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9" w:type="dxa"/>
            <w:shd w:val="clear" w:color="auto" w:fill="FFFFFF"/>
            <w:vAlign w:val="center"/>
          </w:tcPr>
          <w:p w14:paraId="04C202A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21</w:t>
            </w:r>
          </w:p>
        </w:tc>
        <w:tc>
          <w:tcPr>
            <w:tcW w:w="981" w:type="dxa"/>
            <w:shd w:val="clear" w:color="auto" w:fill="FFFFFF"/>
            <w:vAlign w:val="center"/>
          </w:tcPr>
          <w:p w14:paraId="03D3C8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shd w:val="clear" w:color="auto" w:fill="FFFFFF"/>
            <w:vAlign w:val="center"/>
          </w:tcPr>
          <w:p w14:paraId="5CE76F8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HBA卡规格（若支HBA直通卡）</w:t>
            </w:r>
          </w:p>
        </w:tc>
        <w:tc>
          <w:tcPr>
            <w:tcW w:w="1593" w:type="dxa"/>
            <w:shd w:val="clear" w:color="auto" w:fill="FFFFFF"/>
            <w:vAlign w:val="center"/>
          </w:tcPr>
          <w:p w14:paraId="72F62EB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HBA卡端口数量</w:t>
            </w:r>
          </w:p>
        </w:tc>
        <w:tc>
          <w:tcPr>
            <w:tcW w:w="3990" w:type="dxa"/>
            <w:shd w:val="clear" w:color="auto" w:fill="FFFFFF"/>
            <w:vAlign w:val="center"/>
          </w:tcPr>
          <w:p w14:paraId="5E45A8F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≥0</w:t>
            </w:r>
          </w:p>
        </w:tc>
        <w:tc>
          <w:tcPr>
            <w:tcW w:w="1341" w:type="dxa"/>
            <w:shd w:val="clear" w:color="auto" w:fill="FFFFFF"/>
            <w:vAlign w:val="center"/>
          </w:tcPr>
          <w:p w14:paraId="25EA9E2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F8C0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9" w:type="dxa"/>
            <w:shd w:val="clear" w:color="auto" w:fill="FFFFFF"/>
            <w:vAlign w:val="center"/>
          </w:tcPr>
          <w:p w14:paraId="7C455D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22</w:t>
            </w:r>
          </w:p>
        </w:tc>
        <w:tc>
          <w:tcPr>
            <w:tcW w:w="981" w:type="dxa"/>
            <w:shd w:val="clear" w:color="auto" w:fill="FFFFFF"/>
            <w:vAlign w:val="center"/>
          </w:tcPr>
          <w:p w14:paraId="12BB34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47488F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网络规格</w:t>
            </w:r>
          </w:p>
        </w:tc>
        <w:tc>
          <w:tcPr>
            <w:tcW w:w="1593" w:type="dxa"/>
            <w:shd w:val="clear" w:color="auto" w:fill="FFFFFF"/>
            <w:vAlign w:val="center"/>
          </w:tcPr>
          <w:p w14:paraId="258B50C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★网口速率和数量</w:t>
            </w:r>
          </w:p>
        </w:tc>
        <w:tc>
          <w:tcPr>
            <w:tcW w:w="3990" w:type="dxa"/>
            <w:shd w:val="clear" w:color="auto" w:fill="FFFFFF"/>
            <w:vAlign w:val="center"/>
          </w:tcPr>
          <w:p w14:paraId="51ABA69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配置10GE光口≥4个（满配10GE多模光模块）</w:t>
            </w:r>
          </w:p>
          <w:p w14:paraId="5CFBDE49">
            <w:pPr>
              <w:widowControl/>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配置1GE电口≥2个</w:t>
            </w:r>
          </w:p>
        </w:tc>
        <w:tc>
          <w:tcPr>
            <w:tcW w:w="1341" w:type="dxa"/>
            <w:shd w:val="clear" w:color="auto" w:fill="FFFFFF"/>
            <w:vAlign w:val="center"/>
          </w:tcPr>
          <w:p w14:paraId="1BEDE5B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169F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9" w:type="dxa"/>
            <w:shd w:val="clear" w:color="auto" w:fill="FFFFFF"/>
            <w:vAlign w:val="center"/>
          </w:tcPr>
          <w:p w14:paraId="2471E25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23</w:t>
            </w:r>
          </w:p>
        </w:tc>
        <w:tc>
          <w:tcPr>
            <w:tcW w:w="981" w:type="dxa"/>
            <w:shd w:val="clear" w:color="auto" w:fill="FFFFFF"/>
            <w:vAlign w:val="center"/>
          </w:tcPr>
          <w:p w14:paraId="613FB14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5F5FCDF">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50FF0EC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存储型服务器网口速率和数量</w:t>
            </w:r>
          </w:p>
        </w:tc>
        <w:tc>
          <w:tcPr>
            <w:tcW w:w="3990" w:type="dxa"/>
            <w:shd w:val="clear" w:color="auto" w:fill="FFFFFF"/>
            <w:vAlign w:val="center"/>
          </w:tcPr>
          <w:p w14:paraId="4757EF4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存储型服务器1GE 网口数量≥2 个，10GE 以上网口数量≥2个（不涉及）</w:t>
            </w:r>
          </w:p>
        </w:tc>
        <w:tc>
          <w:tcPr>
            <w:tcW w:w="1341" w:type="dxa"/>
            <w:shd w:val="clear" w:color="auto" w:fill="FFFFFF"/>
            <w:vAlign w:val="center"/>
          </w:tcPr>
          <w:p w14:paraId="2AEF52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0EE7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62BDD4E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24</w:t>
            </w:r>
          </w:p>
        </w:tc>
        <w:tc>
          <w:tcPr>
            <w:tcW w:w="981" w:type="dxa"/>
            <w:shd w:val="clear" w:color="auto" w:fill="FFFFFF"/>
            <w:vAlign w:val="center"/>
          </w:tcPr>
          <w:p w14:paraId="497FF89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8EA0888">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2AB800B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独立网卡网口数量</w:t>
            </w:r>
          </w:p>
        </w:tc>
        <w:tc>
          <w:tcPr>
            <w:tcW w:w="3990" w:type="dxa"/>
            <w:shd w:val="clear" w:color="auto" w:fill="FFFFFF"/>
            <w:vAlign w:val="center"/>
          </w:tcPr>
          <w:p w14:paraId="4A2224D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配备10GE独立网卡，独立网卡网口数量≥2</w:t>
            </w:r>
          </w:p>
        </w:tc>
        <w:tc>
          <w:tcPr>
            <w:tcW w:w="1341" w:type="dxa"/>
            <w:shd w:val="clear" w:color="auto" w:fill="FFFFFF"/>
            <w:vAlign w:val="center"/>
          </w:tcPr>
          <w:p w14:paraId="1A45F6A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38BF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9" w:type="dxa"/>
            <w:shd w:val="clear" w:color="auto" w:fill="FFFFFF"/>
            <w:vAlign w:val="center"/>
          </w:tcPr>
          <w:p w14:paraId="76A322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25</w:t>
            </w:r>
          </w:p>
        </w:tc>
        <w:tc>
          <w:tcPr>
            <w:tcW w:w="981" w:type="dxa"/>
            <w:shd w:val="clear" w:color="auto" w:fill="FFFFFF"/>
            <w:vAlign w:val="center"/>
          </w:tcPr>
          <w:p w14:paraId="48E2DA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513491E5">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6CD0CAB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独立网卡接口类型</w:t>
            </w:r>
          </w:p>
        </w:tc>
        <w:tc>
          <w:tcPr>
            <w:tcW w:w="3990" w:type="dxa"/>
            <w:shd w:val="clear" w:color="auto" w:fill="FFFFFF"/>
            <w:vAlign w:val="center"/>
          </w:tcPr>
          <w:p w14:paraId="40A48A6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支持RJ45/QSFP/SFP等</w:t>
            </w:r>
          </w:p>
        </w:tc>
        <w:tc>
          <w:tcPr>
            <w:tcW w:w="1341" w:type="dxa"/>
            <w:shd w:val="clear" w:color="auto" w:fill="FFFFFF"/>
            <w:vAlign w:val="center"/>
          </w:tcPr>
          <w:p w14:paraId="2C0416E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7613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0DE06E1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26</w:t>
            </w:r>
          </w:p>
        </w:tc>
        <w:tc>
          <w:tcPr>
            <w:tcW w:w="981" w:type="dxa"/>
            <w:shd w:val="clear" w:color="auto" w:fill="FFFFFF"/>
            <w:vAlign w:val="center"/>
          </w:tcPr>
          <w:p w14:paraId="23A414D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53D6E6D8">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346C42C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板载网卡接口类型</w:t>
            </w:r>
          </w:p>
        </w:tc>
        <w:tc>
          <w:tcPr>
            <w:tcW w:w="3990" w:type="dxa"/>
            <w:shd w:val="clear" w:color="auto" w:fill="FFFFFF"/>
            <w:vAlign w:val="center"/>
          </w:tcPr>
          <w:p w14:paraId="6A44E7C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支持RJ45/QSFP/SFP等</w:t>
            </w:r>
          </w:p>
        </w:tc>
        <w:tc>
          <w:tcPr>
            <w:tcW w:w="1341" w:type="dxa"/>
            <w:shd w:val="clear" w:color="auto" w:fill="FFFFFF"/>
            <w:vAlign w:val="center"/>
          </w:tcPr>
          <w:p w14:paraId="32A237B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0D14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9" w:type="dxa"/>
            <w:shd w:val="clear" w:color="auto" w:fill="FFFFFF"/>
            <w:vAlign w:val="center"/>
          </w:tcPr>
          <w:p w14:paraId="2CED252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27</w:t>
            </w:r>
          </w:p>
        </w:tc>
        <w:tc>
          <w:tcPr>
            <w:tcW w:w="981" w:type="dxa"/>
            <w:shd w:val="clear" w:color="auto" w:fill="FFFFFF"/>
            <w:vAlign w:val="center"/>
          </w:tcPr>
          <w:p w14:paraId="4ACD22A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254B1F5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外部接口规格</w:t>
            </w:r>
          </w:p>
        </w:tc>
        <w:tc>
          <w:tcPr>
            <w:tcW w:w="1593" w:type="dxa"/>
            <w:shd w:val="clear" w:color="auto" w:fill="FFFFFF"/>
            <w:vAlign w:val="center"/>
          </w:tcPr>
          <w:p w14:paraId="0DA0B88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★显示接口</w:t>
            </w:r>
          </w:p>
        </w:tc>
        <w:tc>
          <w:tcPr>
            <w:tcW w:w="3990" w:type="dxa"/>
            <w:shd w:val="clear" w:color="auto" w:fill="FFFFFF"/>
            <w:vAlign w:val="center"/>
          </w:tcPr>
          <w:p w14:paraId="126C88A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显示接口类型应≥1种，如：VGA、DP、HDMI等</w:t>
            </w:r>
          </w:p>
        </w:tc>
        <w:tc>
          <w:tcPr>
            <w:tcW w:w="1341" w:type="dxa"/>
            <w:shd w:val="clear" w:color="auto" w:fill="FFFFFF"/>
            <w:vAlign w:val="center"/>
          </w:tcPr>
          <w:p w14:paraId="74E7FC8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4462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09" w:type="dxa"/>
            <w:shd w:val="clear" w:color="auto" w:fill="FFFFFF"/>
            <w:vAlign w:val="center"/>
          </w:tcPr>
          <w:p w14:paraId="47B39C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28</w:t>
            </w:r>
          </w:p>
        </w:tc>
        <w:tc>
          <w:tcPr>
            <w:tcW w:w="981" w:type="dxa"/>
            <w:shd w:val="clear" w:color="auto" w:fill="FFFFFF"/>
            <w:vAlign w:val="center"/>
          </w:tcPr>
          <w:p w14:paraId="3054BAE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56FB4A2D">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4734205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★USB接口</w:t>
            </w:r>
          </w:p>
        </w:tc>
        <w:tc>
          <w:tcPr>
            <w:tcW w:w="3990" w:type="dxa"/>
            <w:shd w:val="clear" w:color="auto" w:fill="FFFFFF"/>
            <w:vAlign w:val="center"/>
          </w:tcPr>
          <w:p w14:paraId="07A37C2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配备USB接口，如USB2.0、USB3.0等</w:t>
            </w:r>
          </w:p>
        </w:tc>
        <w:tc>
          <w:tcPr>
            <w:tcW w:w="1341" w:type="dxa"/>
            <w:shd w:val="clear" w:color="auto" w:fill="FFFFFF"/>
            <w:vAlign w:val="center"/>
          </w:tcPr>
          <w:p w14:paraId="11D8BC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8F72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448330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29</w:t>
            </w:r>
          </w:p>
        </w:tc>
        <w:tc>
          <w:tcPr>
            <w:tcW w:w="981" w:type="dxa"/>
            <w:shd w:val="clear" w:color="auto" w:fill="FFFFFF"/>
            <w:vAlign w:val="center"/>
          </w:tcPr>
          <w:p w14:paraId="7B88069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9713CCB">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634796E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特殊接口及孔位</w:t>
            </w:r>
          </w:p>
        </w:tc>
        <w:tc>
          <w:tcPr>
            <w:tcW w:w="3990" w:type="dxa"/>
            <w:shd w:val="clear" w:color="auto" w:fill="FFFFFF"/>
            <w:vAlign w:val="center"/>
          </w:tcPr>
          <w:p w14:paraId="57865C4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前面板预留1个专用USB母座接口孔位</w:t>
            </w:r>
          </w:p>
        </w:tc>
        <w:tc>
          <w:tcPr>
            <w:tcW w:w="1341" w:type="dxa"/>
            <w:shd w:val="clear" w:color="auto" w:fill="FFFFFF"/>
            <w:vAlign w:val="center"/>
          </w:tcPr>
          <w:p w14:paraId="36D1F83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622C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609" w:type="dxa"/>
            <w:shd w:val="clear" w:color="auto" w:fill="FFFFFF"/>
            <w:vAlign w:val="center"/>
          </w:tcPr>
          <w:p w14:paraId="7596E0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30</w:t>
            </w:r>
          </w:p>
        </w:tc>
        <w:tc>
          <w:tcPr>
            <w:tcW w:w="981" w:type="dxa"/>
            <w:shd w:val="clear" w:color="auto" w:fill="FFFFFF"/>
            <w:vAlign w:val="center"/>
          </w:tcPr>
          <w:p w14:paraId="3B80C6B6">
            <w:pPr>
              <w:widowControl/>
              <w:jc w:val="center"/>
              <w:rPr>
                <w:rFonts w:asciiTheme="minorEastAsia" w:hAnsiTheme="minorEastAsia" w:eastAsiaTheme="minorEastAsia" w:cstheme="minorEastAsia"/>
                <w:kern w:val="0"/>
                <w:sz w:val="24"/>
              </w:rPr>
            </w:pPr>
          </w:p>
        </w:tc>
        <w:tc>
          <w:tcPr>
            <w:tcW w:w="981" w:type="dxa"/>
            <w:vMerge w:val="continue"/>
            <w:shd w:val="clear" w:color="auto" w:fill="FFFFFF"/>
            <w:vAlign w:val="center"/>
          </w:tcPr>
          <w:p w14:paraId="59BEEE32">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7B6E7E4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其他接口</w:t>
            </w:r>
          </w:p>
        </w:tc>
        <w:tc>
          <w:tcPr>
            <w:tcW w:w="3990" w:type="dxa"/>
            <w:shd w:val="clear" w:color="auto" w:fill="FFFFFF"/>
            <w:vAlign w:val="center"/>
          </w:tcPr>
          <w:p w14:paraId="2A08A92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a）串口数量≥1个，并可实现GB/T6107或GB/T26803.2的相关功能；b）服务器主机前面板可根据用户实际使用需求预留1个专用USB母座接口孔位</w:t>
            </w:r>
          </w:p>
        </w:tc>
        <w:tc>
          <w:tcPr>
            <w:tcW w:w="1341" w:type="dxa"/>
            <w:shd w:val="clear" w:color="auto" w:fill="FFFFFF"/>
            <w:vAlign w:val="center"/>
          </w:tcPr>
          <w:p w14:paraId="280933D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7230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335633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31</w:t>
            </w:r>
          </w:p>
        </w:tc>
        <w:tc>
          <w:tcPr>
            <w:tcW w:w="981" w:type="dxa"/>
            <w:shd w:val="clear" w:color="auto" w:fill="FFFFFF"/>
            <w:vAlign w:val="center"/>
          </w:tcPr>
          <w:p w14:paraId="7188C6C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32FB423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电源规格</w:t>
            </w:r>
          </w:p>
        </w:tc>
        <w:tc>
          <w:tcPr>
            <w:tcW w:w="1593" w:type="dxa"/>
            <w:shd w:val="clear" w:color="auto" w:fill="FFFFFF"/>
            <w:vAlign w:val="center"/>
          </w:tcPr>
          <w:p w14:paraId="33EC92E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电源冗余模式</w:t>
            </w:r>
          </w:p>
        </w:tc>
        <w:tc>
          <w:tcPr>
            <w:tcW w:w="3990" w:type="dxa"/>
            <w:shd w:val="clear" w:color="auto" w:fill="FFFFFF"/>
            <w:vAlign w:val="center"/>
          </w:tcPr>
          <w:p w14:paraId="426B43D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整机电源模块按1+1冗余或N+1冗余配置</w:t>
            </w:r>
          </w:p>
        </w:tc>
        <w:tc>
          <w:tcPr>
            <w:tcW w:w="1341" w:type="dxa"/>
            <w:shd w:val="clear" w:color="auto" w:fill="FFFFFF"/>
            <w:vAlign w:val="center"/>
          </w:tcPr>
          <w:p w14:paraId="41EF8D4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B049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14ECF1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w:t>
            </w:r>
          </w:p>
        </w:tc>
        <w:tc>
          <w:tcPr>
            <w:tcW w:w="981" w:type="dxa"/>
            <w:shd w:val="clear" w:color="auto" w:fill="FFFFFF"/>
            <w:vAlign w:val="center"/>
          </w:tcPr>
          <w:p w14:paraId="3510B32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17771371">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4536E7B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★电源模块数量</w:t>
            </w:r>
          </w:p>
        </w:tc>
        <w:tc>
          <w:tcPr>
            <w:tcW w:w="3990" w:type="dxa"/>
            <w:shd w:val="clear" w:color="auto" w:fill="FFFFFF"/>
            <w:vAlign w:val="center"/>
          </w:tcPr>
          <w:p w14:paraId="4D4E7E9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1341" w:type="dxa"/>
            <w:shd w:val="clear" w:color="auto" w:fill="FFFFFF"/>
            <w:vAlign w:val="center"/>
          </w:tcPr>
          <w:p w14:paraId="4BEFD7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4582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53AC058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33</w:t>
            </w:r>
          </w:p>
        </w:tc>
        <w:tc>
          <w:tcPr>
            <w:tcW w:w="981" w:type="dxa"/>
            <w:shd w:val="clear" w:color="auto" w:fill="FFFFFF"/>
            <w:vAlign w:val="center"/>
          </w:tcPr>
          <w:p w14:paraId="66C86B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19F63F62">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4F002C7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★电源功率</w:t>
            </w:r>
          </w:p>
        </w:tc>
        <w:tc>
          <w:tcPr>
            <w:tcW w:w="3990" w:type="dxa"/>
            <w:shd w:val="clear" w:color="auto" w:fill="FFFFFF"/>
            <w:vAlign w:val="center"/>
          </w:tcPr>
          <w:p w14:paraId="77B31EF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电源模块功率应有一定冗余，满足处理器满载时的需求</w:t>
            </w:r>
          </w:p>
        </w:tc>
        <w:tc>
          <w:tcPr>
            <w:tcW w:w="1341" w:type="dxa"/>
            <w:shd w:val="clear" w:color="auto" w:fill="FFFFFF"/>
            <w:vAlign w:val="center"/>
          </w:tcPr>
          <w:p w14:paraId="7B4F3DB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698D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09" w:type="dxa"/>
            <w:shd w:val="clear" w:color="auto" w:fill="FFFFFF"/>
            <w:vAlign w:val="center"/>
          </w:tcPr>
          <w:p w14:paraId="7D47900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34</w:t>
            </w:r>
          </w:p>
        </w:tc>
        <w:tc>
          <w:tcPr>
            <w:tcW w:w="981" w:type="dxa"/>
            <w:shd w:val="clear" w:color="auto" w:fill="FFFFFF"/>
            <w:vAlign w:val="center"/>
          </w:tcPr>
          <w:p w14:paraId="115B48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590E28A9">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324EC3C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电源指示灯</w:t>
            </w:r>
          </w:p>
        </w:tc>
        <w:tc>
          <w:tcPr>
            <w:tcW w:w="3990" w:type="dxa"/>
            <w:shd w:val="clear" w:color="auto" w:fill="FFFFFF"/>
            <w:vAlign w:val="center"/>
          </w:tcPr>
          <w:p w14:paraId="56237B8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配备电源指示灯，指示待机、工作异常等状态</w:t>
            </w:r>
          </w:p>
        </w:tc>
        <w:tc>
          <w:tcPr>
            <w:tcW w:w="1341" w:type="dxa"/>
            <w:shd w:val="clear" w:color="auto" w:fill="FFFFFF"/>
            <w:vAlign w:val="center"/>
          </w:tcPr>
          <w:p w14:paraId="76FCCFF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3AFC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24" w:hRule="atLeast"/>
        </w:trPr>
        <w:tc>
          <w:tcPr>
            <w:tcW w:w="609" w:type="dxa"/>
            <w:shd w:val="clear" w:color="auto" w:fill="FFFFFF"/>
            <w:vAlign w:val="center"/>
          </w:tcPr>
          <w:p w14:paraId="4F19B72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35</w:t>
            </w:r>
          </w:p>
        </w:tc>
        <w:tc>
          <w:tcPr>
            <w:tcW w:w="981" w:type="dxa"/>
            <w:shd w:val="clear" w:color="auto" w:fill="FFFFFF"/>
            <w:vAlign w:val="center"/>
          </w:tcPr>
          <w:p w14:paraId="2D08627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3E372BC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整机规格</w:t>
            </w:r>
          </w:p>
        </w:tc>
        <w:tc>
          <w:tcPr>
            <w:tcW w:w="1593" w:type="dxa"/>
            <w:shd w:val="clear" w:color="auto" w:fill="FFFFFF"/>
            <w:vAlign w:val="center"/>
          </w:tcPr>
          <w:p w14:paraId="0752EDF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★外观和结构</w:t>
            </w:r>
          </w:p>
        </w:tc>
        <w:tc>
          <w:tcPr>
            <w:tcW w:w="3990" w:type="dxa"/>
            <w:shd w:val="clear" w:color="auto" w:fill="FFFFFF"/>
            <w:vAlign w:val="center"/>
          </w:tcPr>
          <w:p w14:paraId="5A43EFD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服务器的零部件应紧固无松动，可插拔部件应可靠连接，开关、按钮和其他控制部件应灵活可靠，布局应方便使用；b）产品表面不应有明显的凹痕、划伤、裂缝、变形和污染等。表面涂层均匀，不应起泡、龟裂、脱落和磨损，金属零部件无锈蚀及其它机械损伤；c）产品表面说明功能的文字、符号和标志应清晰、端正且牢固；d）应在服务器的显著位置提供运行状态的指示功能，并在技术文件或者技术白皮书中明确具体含义；e）机架、机箱的尺寸应符合通用机柜的安装要求，插入总线插座的电路板接口外形尺寸应符合有关总线标准的规定，将机箱固定在机柜上，机箱底面最大下垂变形不得干涉相邻机体；f）服务器尺寸具体要求在技术文件或者技术白皮书中明确</w:t>
            </w:r>
          </w:p>
        </w:tc>
        <w:tc>
          <w:tcPr>
            <w:tcW w:w="1341" w:type="dxa"/>
            <w:shd w:val="clear" w:color="auto" w:fill="FFFFFF"/>
            <w:vAlign w:val="center"/>
          </w:tcPr>
          <w:p w14:paraId="7B6106C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8F41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9" w:type="dxa"/>
            <w:shd w:val="clear" w:color="auto" w:fill="FFFFFF"/>
            <w:vAlign w:val="center"/>
          </w:tcPr>
          <w:p w14:paraId="4131FFC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36</w:t>
            </w:r>
          </w:p>
        </w:tc>
        <w:tc>
          <w:tcPr>
            <w:tcW w:w="981" w:type="dxa"/>
            <w:shd w:val="clear" w:color="auto" w:fill="FFFFFF"/>
            <w:vAlign w:val="center"/>
          </w:tcPr>
          <w:p w14:paraId="7723677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1C33AB1A">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6EC2E8F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★尺寸（高×宽×深）</w:t>
            </w:r>
          </w:p>
        </w:tc>
        <w:tc>
          <w:tcPr>
            <w:tcW w:w="3990" w:type="dxa"/>
            <w:shd w:val="clear" w:color="auto" w:fill="FFFFFF"/>
            <w:vAlign w:val="center"/>
          </w:tcPr>
          <w:p w14:paraId="0478429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供应商给出产品尺寸；设计应遵循标准化、系列化的要求；机箱的内部结构符合通用部件的安装需要</w:t>
            </w:r>
          </w:p>
        </w:tc>
        <w:tc>
          <w:tcPr>
            <w:tcW w:w="1341" w:type="dxa"/>
            <w:shd w:val="clear" w:color="auto" w:fill="FFFFFF"/>
            <w:vAlign w:val="center"/>
          </w:tcPr>
          <w:p w14:paraId="1AC468F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02C6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09" w:type="dxa"/>
            <w:shd w:val="clear" w:color="auto" w:fill="FFFFFF"/>
            <w:vAlign w:val="center"/>
          </w:tcPr>
          <w:p w14:paraId="28ACCA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37</w:t>
            </w:r>
          </w:p>
        </w:tc>
        <w:tc>
          <w:tcPr>
            <w:tcW w:w="981" w:type="dxa"/>
            <w:shd w:val="clear" w:color="auto" w:fill="FFFFFF"/>
            <w:vAlign w:val="center"/>
          </w:tcPr>
          <w:p w14:paraId="47ECC6D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CF880E0">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01B0097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服务器导轨</w:t>
            </w:r>
          </w:p>
        </w:tc>
        <w:tc>
          <w:tcPr>
            <w:tcW w:w="3990" w:type="dxa"/>
            <w:shd w:val="clear" w:color="auto" w:fill="FFFFFF"/>
            <w:vAlign w:val="center"/>
          </w:tcPr>
          <w:p w14:paraId="5022AC0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供应商给出导轨尺寸、安装方式等信息</w:t>
            </w:r>
          </w:p>
        </w:tc>
        <w:tc>
          <w:tcPr>
            <w:tcW w:w="1341" w:type="dxa"/>
            <w:shd w:val="clear" w:color="auto" w:fill="FFFFFF"/>
            <w:vAlign w:val="center"/>
          </w:tcPr>
          <w:p w14:paraId="00ED53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E40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9" w:type="dxa"/>
            <w:shd w:val="clear" w:color="auto" w:fill="FFFFFF"/>
            <w:vAlign w:val="center"/>
          </w:tcPr>
          <w:p w14:paraId="3F91EF6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38</w:t>
            </w:r>
          </w:p>
        </w:tc>
        <w:tc>
          <w:tcPr>
            <w:tcW w:w="981" w:type="dxa"/>
            <w:shd w:val="clear" w:color="auto" w:fill="FFFFFF"/>
            <w:vAlign w:val="center"/>
          </w:tcPr>
          <w:p w14:paraId="0A95E81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DDDC552">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0E888DA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CPU个数与机柜高度单位（U）比</w:t>
            </w:r>
          </w:p>
        </w:tc>
        <w:tc>
          <w:tcPr>
            <w:tcW w:w="3990" w:type="dxa"/>
            <w:shd w:val="clear" w:color="auto" w:fill="FFFFFF"/>
            <w:vAlign w:val="center"/>
          </w:tcPr>
          <w:p w14:paraId="0D7F4D0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供应商给出CPU个数与机柜高度</w:t>
            </w:r>
          </w:p>
        </w:tc>
        <w:tc>
          <w:tcPr>
            <w:tcW w:w="1341" w:type="dxa"/>
            <w:shd w:val="clear" w:color="auto" w:fill="FFFFFF"/>
            <w:vAlign w:val="center"/>
          </w:tcPr>
          <w:p w14:paraId="42DC6F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860D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09" w:type="dxa"/>
            <w:shd w:val="clear" w:color="auto" w:fill="FFFFFF"/>
            <w:vAlign w:val="center"/>
          </w:tcPr>
          <w:p w14:paraId="7DB5C59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39</w:t>
            </w:r>
          </w:p>
        </w:tc>
        <w:tc>
          <w:tcPr>
            <w:tcW w:w="981" w:type="dxa"/>
            <w:shd w:val="clear" w:color="auto" w:fill="FFFFFF"/>
            <w:vAlign w:val="center"/>
          </w:tcPr>
          <w:p w14:paraId="19C03A5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50553702">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5C59FAE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★环境适应性</w:t>
            </w:r>
          </w:p>
        </w:tc>
        <w:tc>
          <w:tcPr>
            <w:tcW w:w="3990" w:type="dxa"/>
            <w:shd w:val="clear" w:color="auto" w:fill="FFFFFF"/>
            <w:vAlign w:val="center"/>
          </w:tcPr>
          <w:p w14:paraId="5881D54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气候环境适应性应符合GB/T9813.3的有关规定，工作温度10~35℃,贮存运输温度-40～55℃;工作相对湿度35%～80%，贮存运输相对湿度20％～93%（40℃）;大气压86～106kPa</w:t>
            </w:r>
          </w:p>
        </w:tc>
        <w:tc>
          <w:tcPr>
            <w:tcW w:w="1341" w:type="dxa"/>
            <w:shd w:val="clear" w:color="auto" w:fill="FFFFFF"/>
            <w:vAlign w:val="center"/>
          </w:tcPr>
          <w:p w14:paraId="58B97C2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358B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9" w:type="dxa"/>
            <w:shd w:val="clear" w:color="auto" w:fill="FFFFFF"/>
            <w:vAlign w:val="center"/>
          </w:tcPr>
          <w:p w14:paraId="34BD30E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40</w:t>
            </w:r>
          </w:p>
        </w:tc>
        <w:tc>
          <w:tcPr>
            <w:tcW w:w="981" w:type="dxa"/>
            <w:shd w:val="clear" w:color="auto" w:fill="FFFFFF"/>
            <w:vAlign w:val="center"/>
          </w:tcPr>
          <w:p w14:paraId="7BDAE80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E8D5EE4">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0AB3419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特殊机型环境适应性</w:t>
            </w:r>
          </w:p>
        </w:tc>
        <w:tc>
          <w:tcPr>
            <w:tcW w:w="3990" w:type="dxa"/>
            <w:shd w:val="clear" w:color="auto" w:fill="FFFFFF"/>
            <w:vAlign w:val="center"/>
          </w:tcPr>
          <w:p w14:paraId="078BF15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边缘应用服务器，工作环境温度宜为0～45℃,短期工作可承受环境温度宜为-5～55℃,液冷服务器贮存运输温度宜为-30～55℃</w:t>
            </w:r>
          </w:p>
        </w:tc>
        <w:tc>
          <w:tcPr>
            <w:tcW w:w="1341" w:type="dxa"/>
            <w:shd w:val="clear" w:color="auto" w:fill="FFFFFF"/>
            <w:vAlign w:val="center"/>
          </w:tcPr>
          <w:p w14:paraId="78C2558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75C1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705858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41</w:t>
            </w:r>
          </w:p>
        </w:tc>
        <w:tc>
          <w:tcPr>
            <w:tcW w:w="981" w:type="dxa"/>
            <w:shd w:val="clear" w:color="auto" w:fill="FFFFFF"/>
            <w:vAlign w:val="center"/>
          </w:tcPr>
          <w:p w14:paraId="19C7427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261D758">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45D0792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★机械环境适应性</w:t>
            </w:r>
          </w:p>
        </w:tc>
        <w:tc>
          <w:tcPr>
            <w:tcW w:w="3990" w:type="dxa"/>
            <w:shd w:val="clear" w:color="auto" w:fill="FFFFFF"/>
            <w:vAlign w:val="center"/>
          </w:tcPr>
          <w:p w14:paraId="0B75F32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机械环境适应性应符合GB/T9813.3的有关规定</w:t>
            </w:r>
          </w:p>
        </w:tc>
        <w:tc>
          <w:tcPr>
            <w:tcW w:w="1341" w:type="dxa"/>
            <w:shd w:val="clear" w:color="auto" w:fill="FFFFFF"/>
            <w:vAlign w:val="center"/>
          </w:tcPr>
          <w:p w14:paraId="1F6A7F5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8820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9" w:type="dxa"/>
            <w:shd w:val="clear" w:color="auto" w:fill="FFFFFF"/>
            <w:vAlign w:val="center"/>
          </w:tcPr>
          <w:p w14:paraId="1AEFB7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42</w:t>
            </w:r>
          </w:p>
        </w:tc>
        <w:tc>
          <w:tcPr>
            <w:tcW w:w="981" w:type="dxa"/>
            <w:shd w:val="clear" w:color="auto" w:fill="FFFFFF"/>
            <w:vAlign w:val="center"/>
          </w:tcPr>
          <w:p w14:paraId="6702A0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09D3174">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091ECE7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★噪声</w:t>
            </w:r>
          </w:p>
        </w:tc>
        <w:tc>
          <w:tcPr>
            <w:tcW w:w="3990" w:type="dxa"/>
            <w:shd w:val="clear" w:color="auto" w:fill="FFFFFF"/>
            <w:vAlign w:val="center"/>
          </w:tcPr>
          <w:p w14:paraId="2DB9CA2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符合GB/T9813.3的有关规定，在产品说明中给出具体测试值塔式服务器噪声在空闲状态下≤50dB</w:t>
            </w:r>
          </w:p>
        </w:tc>
        <w:tc>
          <w:tcPr>
            <w:tcW w:w="1341" w:type="dxa"/>
            <w:shd w:val="clear" w:color="auto" w:fill="FFFFFF"/>
            <w:vAlign w:val="center"/>
          </w:tcPr>
          <w:p w14:paraId="0846976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1EF1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609" w:type="dxa"/>
            <w:shd w:val="clear" w:color="auto" w:fill="FFFFFF"/>
            <w:vAlign w:val="center"/>
          </w:tcPr>
          <w:p w14:paraId="5497903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43</w:t>
            </w:r>
          </w:p>
        </w:tc>
        <w:tc>
          <w:tcPr>
            <w:tcW w:w="981" w:type="dxa"/>
            <w:shd w:val="clear" w:color="auto" w:fill="FFFFFF"/>
            <w:vAlign w:val="center"/>
          </w:tcPr>
          <w:p w14:paraId="3C5D80A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3E930F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AI计算单元规格</w:t>
            </w:r>
          </w:p>
        </w:tc>
        <w:tc>
          <w:tcPr>
            <w:tcW w:w="1593" w:type="dxa"/>
            <w:shd w:val="clear" w:color="auto" w:fill="FFFFFF"/>
            <w:vAlign w:val="center"/>
          </w:tcPr>
          <w:p w14:paraId="218F189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AI计算单元</w:t>
            </w:r>
          </w:p>
        </w:tc>
        <w:tc>
          <w:tcPr>
            <w:tcW w:w="3990" w:type="dxa"/>
            <w:shd w:val="clear" w:color="auto" w:fill="FFFFFF"/>
            <w:vAlign w:val="center"/>
          </w:tcPr>
          <w:p w14:paraId="3787AF2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AI计算单元应符合如下要求：a）具备人工智能加速处理器，计算精度至少支持FP16、BF16、FP32、FP64、INT8和INT16等中的1种；b）单推理卡或模块，具备视频解析、文本识别、语音分析等推理能力；在视觉场景下配备可直接调用的接口实现视觉计算加速，路数不小于64（1080P30FPS）</w:t>
            </w:r>
          </w:p>
        </w:tc>
        <w:tc>
          <w:tcPr>
            <w:tcW w:w="1341" w:type="dxa"/>
            <w:shd w:val="clear" w:color="auto" w:fill="FFFFFF"/>
            <w:vAlign w:val="center"/>
          </w:tcPr>
          <w:p w14:paraId="415B99A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4DEE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135187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44</w:t>
            </w:r>
          </w:p>
        </w:tc>
        <w:tc>
          <w:tcPr>
            <w:tcW w:w="981" w:type="dxa"/>
            <w:shd w:val="clear" w:color="auto" w:fill="FFFFFF"/>
            <w:vAlign w:val="center"/>
          </w:tcPr>
          <w:p w14:paraId="2FE4E1A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9843F35">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430FE21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一键式迁移</w:t>
            </w:r>
          </w:p>
        </w:tc>
        <w:tc>
          <w:tcPr>
            <w:tcW w:w="3990" w:type="dxa"/>
            <w:shd w:val="clear" w:color="auto" w:fill="FFFFFF"/>
            <w:vAlign w:val="center"/>
          </w:tcPr>
          <w:p w14:paraId="31AAE04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若服务器配备AI计算单元，提供训练脚本迁移工具</w:t>
            </w:r>
          </w:p>
        </w:tc>
        <w:tc>
          <w:tcPr>
            <w:tcW w:w="1341" w:type="dxa"/>
            <w:shd w:val="clear" w:color="auto" w:fill="FFFFFF"/>
            <w:vAlign w:val="center"/>
          </w:tcPr>
          <w:p w14:paraId="3F7E67E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BBE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09" w:type="dxa"/>
            <w:shd w:val="clear" w:color="auto" w:fill="FFFFFF"/>
            <w:vAlign w:val="center"/>
          </w:tcPr>
          <w:p w14:paraId="3DD795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45</w:t>
            </w:r>
          </w:p>
        </w:tc>
        <w:tc>
          <w:tcPr>
            <w:tcW w:w="981" w:type="dxa"/>
            <w:shd w:val="clear" w:color="auto" w:fill="FFFFFF"/>
            <w:vAlign w:val="center"/>
          </w:tcPr>
          <w:p w14:paraId="2360B93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1B15A7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机柜规格</w:t>
            </w:r>
          </w:p>
        </w:tc>
        <w:tc>
          <w:tcPr>
            <w:tcW w:w="1593" w:type="dxa"/>
            <w:shd w:val="clear" w:color="auto" w:fill="FFFFFF"/>
            <w:vAlign w:val="center"/>
          </w:tcPr>
          <w:p w14:paraId="7F1406C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★机柜尺寸</w:t>
            </w:r>
          </w:p>
        </w:tc>
        <w:tc>
          <w:tcPr>
            <w:tcW w:w="3990" w:type="dxa"/>
            <w:shd w:val="clear" w:color="auto" w:fill="FFFFFF"/>
            <w:vAlign w:val="center"/>
          </w:tcPr>
          <w:p w14:paraId="26DF174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供应商给出长度、高度和深度</w:t>
            </w:r>
          </w:p>
        </w:tc>
        <w:tc>
          <w:tcPr>
            <w:tcW w:w="1341" w:type="dxa"/>
            <w:shd w:val="clear" w:color="auto" w:fill="FFFFFF"/>
            <w:vAlign w:val="center"/>
          </w:tcPr>
          <w:p w14:paraId="3D6515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9DCF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09" w:type="dxa"/>
            <w:shd w:val="clear" w:color="auto" w:fill="FFFFFF"/>
            <w:vAlign w:val="center"/>
          </w:tcPr>
          <w:p w14:paraId="73AC1AF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46</w:t>
            </w:r>
          </w:p>
        </w:tc>
        <w:tc>
          <w:tcPr>
            <w:tcW w:w="981" w:type="dxa"/>
            <w:shd w:val="clear" w:color="auto" w:fill="FFFFFF"/>
            <w:vAlign w:val="center"/>
          </w:tcPr>
          <w:p w14:paraId="067B23B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1295D537">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75BA5F8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机柜管理板</w:t>
            </w:r>
          </w:p>
        </w:tc>
        <w:tc>
          <w:tcPr>
            <w:tcW w:w="3990" w:type="dxa"/>
            <w:shd w:val="clear" w:color="auto" w:fill="FFFFFF"/>
            <w:vAlign w:val="center"/>
          </w:tcPr>
          <w:p w14:paraId="762B720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配备机柜管理板</w:t>
            </w:r>
          </w:p>
        </w:tc>
        <w:tc>
          <w:tcPr>
            <w:tcW w:w="1341" w:type="dxa"/>
            <w:shd w:val="clear" w:color="auto" w:fill="FFFFFF"/>
            <w:vAlign w:val="center"/>
          </w:tcPr>
          <w:p w14:paraId="62F52C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EC21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9" w:type="dxa"/>
            <w:shd w:val="clear" w:color="auto" w:fill="FFFFFF"/>
            <w:vAlign w:val="center"/>
          </w:tcPr>
          <w:p w14:paraId="31FA9E0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47</w:t>
            </w:r>
          </w:p>
        </w:tc>
        <w:tc>
          <w:tcPr>
            <w:tcW w:w="981" w:type="dxa"/>
            <w:shd w:val="clear" w:color="auto" w:fill="FFFFFF"/>
            <w:vAlign w:val="center"/>
          </w:tcPr>
          <w:p w14:paraId="495ADD5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646F1C0">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57469F0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机柜电源规格</w:t>
            </w:r>
          </w:p>
        </w:tc>
        <w:tc>
          <w:tcPr>
            <w:tcW w:w="3990" w:type="dxa"/>
            <w:shd w:val="clear" w:color="auto" w:fill="FFFFFF"/>
            <w:vAlign w:val="center"/>
          </w:tcPr>
          <w:p w14:paraId="7101C59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a）机柜电源支持集中供电，电源输入≥2路且支持自动切换；b）机柜电源模块支持N+1冗余配置，电源模块可独立更换</w:t>
            </w:r>
          </w:p>
        </w:tc>
        <w:tc>
          <w:tcPr>
            <w:tcW w:w="1341" w:type="dxa"/>
            <w:shd w:val="clear" w:color="auto" w:fill="FFFFFF"/>
            <w:vAlign w:val="center"/>
          </w:tcPr>
          <w:p w14:paraId="67D550E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0336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1D388E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48</w:t>
            </w:r>
          </w:p>
        </w:tc>
        <w:tc>
          <w:tcPr>
            <w:tcW w:w="981" w:type="dxa"/>
            <w:shd w:val="clear" w:color="auto" w:fill="FFFFFF"/>
            <w:vAlign w:val="center"/>
          </w:tcPr>
          <w:p w14:paraId="61096D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1F72F14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主板功能</w:t>
            </w:r>
          </w:p>
        </w:tc>
        <w:tc>
          <w:tcPr>
            <w:tcW w:w="1593" w:type="dxa"/>
            <w:shd w:val="clear" w:color="auto" w:fill="FFFFFF"/>
            <w:vAlign w:val="center"/>
          </w:tcPr>
          <w:p w14:paraId="4750262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★主板外部接口种类</w:t>
            </w:r>
          </w:p>
        </w:tc>
        <w:tc>
          <w:tcPr>
            <w:tcW w:w="3990" w:type="dxa"/>
            <w:shd w:val="clear" w:color="auto" w:fill="FFFFFF"/>
            <w:vAlign w:val="center"/>
          </w:tcPr>
          <w:p w14:paraId="21039C6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支持USB、显示、管理等接口，如：VGA、DP、HDMI、USB3.0、PS/2接口、BMC管理端口</w:t>
            </w:r>
          </w:p>
        </w:tc>
        <w:tc>
          <w:tcPr>
            <w:tcW w:w="1341" w:type="dxa"/>
            <w:shd w:val="clear" w:color="auto" w:fill="FFFFFF"/>
            <w:vAlign w:val="center"/>
          </w:tcPr>
          <w:p w14:paraId="2D83F1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578C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0B362B2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49</w:t>
            </w:r>
          </w:p>
        </w:tc>
        <w:tc>
          <w:tcPr>
            <w:tcW w:w="981" w:type="dxa"/>
            <w:shd w:val="clear" w:color="auto" w:fill="FFFFFF"/>
            <w:vAlign w:val="center"/>
          </w:tcPr>
          <w:p w14:paraId="269ACC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47D7058A">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5151DBA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主板防烧板设计</w:t>
            </w:r>
          </w:p>
        </w:tc>
        <w:tc>
          <w:tcPr>
            <w:tcW w:w="3990" w:type="dxa"/>
            <w:shd w:val="clear" w:color="auto" w:fill="FFFFFF"/>
            <w:vAlign w:val="center"/>
          </w:tcPr>
          <w:p w14:paraId="13873F5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支持主板防烧板设计，保证电源故障后不扩散</w:t>
            </w:r>
          </w:p>
        </w:tc>
        <w:tc>
          <w:tcPr>
            <w:tcW w:w="1341" w:type="dxa"/>
            <w:shd w:val="clear" w:color="auto" w:fill="FFFFFF"/>
            <w:vAlign w:val="center"/>
          </w:tcPr>
          <w:p w14:paraId="4D1F27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1B2C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7FA34CF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50</w:t>
            </w:r>
          </w:p>
        </w:tc>
        <w:tc>
          <w:tcPr>
            <w:tcW w:w="981" w:type="dxa"/>
            <w:shd w:val="clear" w:color="auto" w:fill="FFFFFF"/>
            <w:vAlign w:val="center"/>
          </w:tcPr>
          <w:p w14:paraId="628002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6B9B01BF">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6678FD1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扩展功能</w:t>
            </w:r>
          </w:p>
        </w:tc>
        <w:tc>
          <w:tcPr>
            <w:tcW w:w="3990" w:type="dxa"/>
            <w:shd w:val="clear" w:color="auto" w:fill="FFFFFF"/>
            <w:vAlign w:val="center"/>
          </w:tcPr>
          <w:p w14:paraId="1040990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实现至少一种扩展功能，如存储功能卡、显示功能卡、运算加速功能卡及网络功能卡等扩展功能</w:t>
            </w:r>
          </w:p>
        </w:tc>
        <w:tc>
          <w:tcPr>
            <w:tcW w:w="1341" w:type="dxa"/>
            <w:shd w:val="clear" w:color="auto" w:fill="FFFFFF"/>
            <w:vAlign w:val="center"/>
          </w:tcPr>
          <w:p w14:paraId="6D53923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515B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9" w:type="dxa"/>
            <w:shd w:val="clear" w:color="auto" w:fill="FFFFFF"/>
            <w:vAlign w:val="center"/>
          </w:tcPr>
          <w:p w14:paraId="0BAB7B7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51</w:t>
            </w:r>
          </w:p>
        </w:tc>
        <w:tc>
          <w:tcPr>
            <w:tcW w:w="981" w:type="dxa"/>
            <w:shd w:val="clear" w:color="auto" w:fill="FFFFFF"/>
            <w:vAlign w:val="center"/>
          </w:tcPr>
          <w:p w14:paraId="41B5297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shd w:val="clear" w:color="auto" w:fill="FFFFFF"/>
            <w:vAlign w:val="center"/>
          </w:tcPr>
          <w:p w14:paraId="5ACF209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网络功能</w:t>
            </w:r>
          </w:p>
        </w:tc>
        <w:tc>
          <w:tcPr>
            <w:tcW w:w="1593" w:type="dxa"/>
            <w:shd w:val="clear" w:color="auto" w:fill="FFFFFF"/>
            <w:vAlign w:val="center"/>
          </w:tcPr>
          <w:p w14:paraId="17199D1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★网络功能</w:t>
            </w:r>
          </w:p>
        </w:tc>
        <w:tc>
          <w:tcPr>
            <w:tcW w:w="3990" w:type="dxa"/>
            <w:shd w:val="clear" w:color="auto" w:fill="FFFFFF"/>
            <w:vAlign w:val="center"/>
          </w:tcPr>
          <w:p w14:paraId="26B17A0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支持网络连接、网络访问、数据交换和网络管控功能</w:t>
            </w:r>
          </w:p>
        </w:tc>
        <w:tc>
          <w:tcPr>
            <w:tcW w:w="1341" w:type="dxa"/>
            <w:shd w:val="clear" w:color="auto" w:fill="FFFFFF"/>
            <w:vAlign w:val="center"/>
          </w:tcPr>
          <w:p w14:paraId="0BE4E95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A0B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09" w:type="dxa"/>
            <w:shd w:val="clear" w:color="auto" w:fill="FFFFFF"/>
            <w:vAlign w:val="center"/>
          </w:tcPr>
          <w:p w14:paraId="2369B63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52</w:t>
            </w:r>
          </w:p>
        </w:tc>
        <w:tc>
          <w:tcPr>
            <w:tcW w:w="981" w:type="dxa"/>
            <w:shd w:val="clear" w:color="auto" w:fill="FFFFFF"/>
            <w:vAlign w:val="center"/>
          </w:tcPr>
          <w:p w14:paraId="232B2C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4498A9A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CPU功能</w:t>
            </w:r>
          </w:p>
        </w:tc>
        <w:tc>
          <w:tcPr>
            <w:tcW w:w="1593" w:type="dxa"/>
            <w:shd w:val="clear" w:color="auto" w:fill="FFFFFF"/>
            <w:vAlign w:val="center"/>
          </w:tcPr>
          <w:p w14:paraId="37CD8FA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★计算处理</w:t>
            </w:r>
          </w:p>
        </w:tc>
        <w:tc>
          <w:tcPr>
            <w:tcW w:w="3990" w:type="dxa"/>
            <w:shd w:val="clear" w:color="auto" w:fill="FFFFFF"/>
            <w:vAlign w:val="center"/>
          </w:tcPr>
          <w:p w14:paraId="4EACB25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支持通用计算及虚拟化功能。处理器需集成整型计算单元、浮点计算单元、内存控制器、I/O模块等，处理器与存储部件、网络部件、I/O部件等组成计算系统，提供数据处理、网络接入等计算相关功能</w:t>
            </w:r>
          </w:p>
        </w:tc>
        <w:tc>
          <w:tcPr>
            <w:tcW w:w="1341" w:type="dxa"/>
            <w:shd w:val="clear" w:color="auto" w:fill="FFFFFF"/>
            <w:vAlign w:val="center"/>
          </w:tcPr>
          <w:p w14:paraId="4C2250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1BFF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090F1B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53</w:t>
            </w:r>
          </w:p>
        </w:tc>
        <w:tc>
          <w:tcPr>
            <w:tcW w:w="981" w:type="dxa"/>
            <w:shd w:val="clear" w:color="auto" w:fill="FFFFFF"/>
            <w:vAlign w:val="center"/>
          </w:tcPr>
          <w:p w14:paraId="140168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2DD1240F">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7EECF4C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★密码算法实现</w:t>
            </w:r>
          </w:p>
        </w:tc>
        <w:tc>
          <w:tcPr>
            <w:tcW w:w="3990" w:type="dxa"/>
            <w:shd w:val="clear" w:color="auto" w:fill="FFFFFF"/>
            <w:vAlign w:val="center"/>
          </w:tcPr>
          <w:p w14:paraId="7A92870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CPU芯片应符合GM/T0008的相关规定，或芯片密码模块应符合GB/T37092或GM/T0028的相关规定</w:t>
            </w:r>
          </w:p>
        </w:tc>
        <w:tc>
          <w:tcPr>
            <w:tcW w:w="1341" w:type="dxa"/>
            <w:shd w:val="clear" w:color="auto" w:fill="FFFFFF"/>
            <w:vAlign w:val="center"/>
          </w:tcPr>
          <w:p w14:paraId="4E3385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7D80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09" w:type="dxa"/>
            <w:shd w:val="clear" w:color="auto" w:fill="FFFFFF"/>
            <w:vAlign w:val="center"/>
          </w:tcPr>
          <w:p w14:paraId="7731B53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54</w:t>
            </w:r>
          </w:p>
        </w:tc>
        <w:tc>
          <w:tcPr>
            <w:tcW w:w="981" w:type="dxa"/>
            <w:shd w:val="clear" w:color="auto" w:fill="FFFFFF"/>
            <w:vAlign w:val="center"/>
          </w:tcPr>
          <w:p w14:paraId="0CB0AA9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3A6DD7F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存储功能</w:t>
            </w:r>
          </w:p>
        </w:tc>
        <w:tc>
          <w:tcPr>
            <w:tcW w:w="1593" w:type="dxa"/>
            <w:shd w:val="clear" w:color="auto" w:fill="FFFFFF"/>
            <w:vAlign w:val="center"/>
          </w:tcPr>
          <w:p w14:paraId="2D08AAD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内存校验</w:t>
            </w:r>
          </w:p>
        </w:tc>
        <w:tc>
          <w:tcPr>
            <w:tcW w:w="3990" w:type="dxa"/>
            <w:shd w:val="clear" w:color="auto" w:fill="FFFFFF"/>
            <w:vAlign w:val="center"/>
          </w:tcPr>
          <w:p w14:paraId="21E16ED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支持内存校验或内存增强型纠错功能</w:t>
            </w:r>
          </w:p>
        </w:tc>
        <w:tc>
          <w:tcPr>
            <w:tcW w:w="1341" w:type="dxa"/>
            <w:shd w:val="clear" w:color="auto" w:fill="FFFFFF"/>
            <w:vAlign w:val="center"/>
          </w:tcPr>
          <w:p w14:paraId="376470B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DE74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9" w:type="dxa"/>
            <w:shd w:val="clear" w:color="auto" w:fill="FFFFFF"/>
            <w:vAlign w:val="center"/>
          </w:tcPr>
          <w:p w14:paraId="137BFA8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55</w:t>
            </w:r>
          </w:p>
        </w:tc>
        <w:tc>
          <w:tcPr>
            <w:tcW w:w="981" w:type="dxa"/>
            <w:shd w:val="clear" w:color="auto" w:fill="FFFFFF"/>
            <w:vAlign w:val="center"/>
          </w:tcPr>
          <w:p w14:paraId="4B98AC3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26081CEC">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1193FA7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SATASSDNAND健康状态上报</w:t>
            </w:r>
          </w:p>
        </w:tc>
        <w:tc>
          <w:tcPr>
            <w:tcW w:w="3990" w:type="dxa"/>
            <w:shd w:val="clear" w:color="auto" w:fill="FFFFFF"/>
            <w:vAlign w:val="center"/>
          </w:tcPr>
          <w:p w14:paraId="5B3A274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支持关键外部存储器（硬磁盘、SSD等）的健康状态上报并进行故障诊断</w:t>
            </w:r>
          </w:p>
        </w:tc>
        <w:tc>
          <w:tcPr>
            <w:tcW w:w="1341" w:type="dxa"/>
            <w:shd w:val="clear" w:color="auto" w:fill="FFFFFF"/>
            <w:vAlign w:val="center"/>
          </w:tcPr>
          <w:p w14:paraId="7A22C0E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2F1F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9" w:type="dxa"/>
            <w:shd w:val="clear" w:color="auto" w:fill="FFFFFF"/>
            <w:vAlign w:val="center"/>
          </w:tcPr>
          <w:p w14:paraId="4BAA8A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56</w:t>
            </w:r>
          </w:p>
        </w:tc>
        <w:tc>
          <w:tcPr>
            <w:tcW w:w="981" w:type="dxa"/>
            <w:shd w:val="clear" w:color="auto" w:fill="FFFFFF"/>
            <w:vAlign w:val="center"/>
          </w:tcPr>
          <w:p w14:paraId="5F5E234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61391694">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65E53D2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SATASSD单die故障隔离</w:t>
            </w:r>
          </w:p>
        </w:tc>
        <w:tc>
          <w:tcPr>
            <w:tcW w:w="3990" w:type="dxa"/>
            <w:shd w:val="clear" w:color="auto" w:fill="FFFFFF"/>
            <w:vAlign w:val="center"/>
          </w:tcPr>
          <w:p w14:paraId="4F0FB48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支持SSD关键外部存储器中单存储晶元故障隔离</w:t>
            </w:r>
          </w:p>
        </w:tc>
        <w:tc>
          <w:tcPr>
            <w:tcW w:w="1341" w:type="dxa"/>
            <w:shd w:val="clear" w:color="auto" w:fill="FFFFFF"/>
            <w:vAlign w:val="center"/>
          </w:tcPr>
          <w:p w14:paraId="0CDF6C2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67AF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9" w:type="dxa"/>
            <w:shd w:val="clear" w:color="auto" w:fill="FFFFFF"/>
            <w:vAlign w:val="center"/>
          </w:tcPr>
          <w:p w14:paraId="3809C4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57</w:t>
            </w:r>
          </w:p>
        </w:tc>
        <w:tc>
          <w:tcPr>
            <w:tcW w:w="981" w:type="dxa"/>
            <w:shd w:val="clear" w:color="auto" w:fill="FFFFFF"/>
            <w:vAlign w:val="center"/>
          </w:tcPr>
          <w:p w14:paraId="454F00F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73DE015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RAID卡功能</w:t>
            </w:r>
          </w:p>
        </w:tc>
        <w:tc>
          <w:tcPr>
            <w:tcW w:w="1593" w:type="dxa"/>
            <w:shd w:val="clear" w:color="auto" w:fill="FFFFFF"/>
            <w:vAlign w:val="center"/>
          </w:tcPr>
          <w:p w14:paraId="06EAF40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RAID卡配置及RAID级别支持</w:t>
            </w:r>
          </w:p>
        </w:tc>
        <w:tc>
          <w:tcPr>
            <w:tcW w:w="3990" w:type="dxa"/>
            <w:shd w:val="clear" w:color="auto" w:fill="FFFFFF"/>
            <w:vAlign w:val="center"/>
          </w:tcPr>
          <w:p w14:paraId="6939A82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RAID模式支持RAID0/1/10/5；</w:t>
            </w:r>
          </w:p>
        </w:tc>
        <w:tc>
          <w:tcPr>
            <w:tcW w:w="1341" w:type="dxa"/>
            <w:shd w:val="clear" w:color="auto" w:fill="FFFFFF"/>
            <w:vAlign w:val="center"/>
          </w:tcPr>
          <w:p w14:paraId="1B75F6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79B7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65E77B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58</w:t>
            </w:r>
          </w:p>
        </w:tc>
        <w:tc>
          <w:tcPr>
            <w:tcW w:w="981" w:type="dxa"/>
            <w:shd w:val="clear" w:color="auto" w:fill="FFFFFF"/>
            <w:vAlign w:val="center"/>
          </w:tcPr>
          <w:p w14:paraId="52B9CA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14FB2472">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4004C67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RAID卡BBU单元</w:t>
            </w:r>
          </w:p>
        </w:tc>
        <w:tc>
          <w:tcPr>
            <w:tcW w:w="3990" w:type="dxa"/>
            <w:shd w:val="clear" w:color="auto" w:fill="FFFFFF"/>
            <w:vAlign w:val="center"/>
          </w:tcPr>
          <w:p w14:paraId="69DD953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RAID卡支持电池或电容备份单元</w:t>
            </w:r>
          </w:p>
        </w:tc>
        <w:tc>
          <w:tcPr>
            <w:tcW w:w="1341" w:type="dxa"/>
            <w:shd w:val="clear" w:color="auto" w:fill="FFFFFF"/>
            <w:vAlign w:val="center"/>
          </w:tcPr>
          <w:p w14:paraId="59ABD7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9138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09" w:type="dxa"/>
            <w:shd w:val="clear" w:color="auto" w:fill="FFFFFF"/>
            <w:vAlign w:val="center"/>
          </w:tcPr>
          <w:p w14:paraId="23CFB8D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59</w:t>
            </w:r>
          </w:p>
        </w:tc>
        <w:tc>
          <w:tcPr>
            <w:tcW w:w="981" w:type="dxa"/>
            <w:shd w:val="clear" w:color="auto" w:fill="FFFFFF"/>
            <w:vAlign w:val="center"/>
          </w:tcPr>
          <w:p w14:paraId="1CE40B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shd w:val="clear" w:color="auto" w:fill="FFFFFF"/>
            <w:vAlign w:val="center"/>
          </w:tcPr>
          <w:p w14:paraId="0E21414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光驱功能</w:t>
            </w:r>
          </w:p>
        </w:tc>
        <w:tc>
          <w:tcPr>
            <w:tcW w:w="1593" w:type="dxa"/>
            <w:shd w:val="clear" w:color="auto" w:fill="FFFFFF"/>
            <w:vAlign w:val="center"/>
          </w:tcPr>
          <w:p w14:paraId="2DD9DA9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光驱类型（是否支持RW，以及光盘类型CD/DVD）</w:t>
            </w:r>
          </w:p>
        </w:tc>
        <w:tc>
          <w:tcPr>
            <w:tcW w:w="3990" w:type="dxa"/>
            <w:shd w:val="clear" w:color="auto" w:fill="FFFFFF"/>
            <w:vAlign w:val="center"/>
          </w:tcPr>
          <w:p w14:paraId="7A4990C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若配备光驱，应提供光驱的安装形式（如内置、外置）、光驱读写类型（如只读、可刻录等）、光盘类型的兼容列表（如CD-ROM、CD-RW、DVD±RW等）</w:t>
            </w:r>
          </w:p>
        </w:tc>
        <w:tc>
          <w:tcPr>
            <w:tcW w:w="1341" w:type="dxa"/>
            <w:shd w:val="clear" w:color="auto" w:fill="FFFFFF"/>
            <w:vAlign w:val="center"/>
          </w:tcPr>
          <w:p w14:paraId="00580C7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B6D5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7B391BF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60</w:t>
            </w:r>
          </w:p>
        </w:tc>
        <w:tc>
          <w:tcPr>
            <w:tcW w:w="981" w:type="dxa"/>
            <w:shd w:val="clear" w:color="auto" w:fill="FFFFFF"/>
            <w:vAlign w:val="center"/>
          </w:tcPr>
          <w:p w14:paraId="0F87650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5BBD44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电源功能</w:t>
            </w:r>
          </w:p>
        </w:tc>
        <w:tc>
          <w:tcPr>
            <w:tcW w:w="1593" w:type="dxa"/>
            <w:shd w:val="clear" w:color="auto" w:fill="FFFFFF"/>
            <w:vAlign w:val="center"/>
          </w:tcPr>
          <w:p w14:paraId="6276285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★电源热插拔</w:t>
            </w:r>
          </w:p>
        </w:tc>
        <w:tc>
          <w:tcPr>
            <w:tcW w:w="3990" w:type="dxa"/>
            <w:shd w:val="clear" w:color="auto" w:fill="FFFFFF"/>
            <w:vAlign w:val="center"/>
          </w:tcPr>
          <w:p w14:paraId="31E0C17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整机电源模块应具备热插拔功能</w:t>
            </w:r>
          </w:p>
        </w:tc>
        <w:tc>
          <w:tcPr>
            <w:tcW w:w="1341" w:type="dxa"/>
            <w:shd w:val="clear" w:color="auto" w:fill="FFFFFF"/>
            <w:vAlign w:val="center"/>
          </w:tcPr>
          <w:p w14:paraId="26751A7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1DD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171960A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61</w:t>
            </w:r>
          </w:p>
        </w:tc>
        <w:tc>
          <w:tcPr>
            <w:tcW w:w="981" w:type="dxa"/>
            <w:shd w:val="clear" w:color="auto" w:fill="FFFFFF"/>
            <w:vAlign w:val="center"/>
          </w:tcPr>
          <w:p w14:paraId="2CC111B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24613DE3">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48BF83F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★电源过流保护</w:t>
            </w:r>
          </w:p>
        </w:tc>
        <w:tc>
          <w:tcPr>
            <w:tcW w:w="3990" w:type="dxa"/>
            <w:shd w:val="clear" w:color="auto" w:fill="FFFFFF"/>
            <w:vAlign w:val="center"/>
          </w:tcPr>
          <w:p w14:paraId="6243755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支持过流及短路保护的功能</w:t>
            </w:r>
          </w:p>
        </w:tc>
        <w:tc>
          <w:tcPr>
            <w:tcW w:w="1341" w:type="dxa"/>
            <w:shd w:val="clear" w:color="auto" w:fill="FFFFFF"/>
            <w:vAlign w:val="center"/>
          </w:tcPr>
          <w:p w14:paraId="122F858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2DDB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09" w:type="dxa"/>
            <w:shd w:val="clear" w:color="auto" w:fill="FFFFFF"/>
            <w:vAlign w:val="center"/>
          </w:tcPr>
          <w:p w14:paraId="7450BD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62</w:t>
            </w:r>
          </w:p>
        </w:tc>
        <w:tc>
          <w:tcPr>
            <w:tcW w:w="981" w:type="dxa"/>
            <w:shd w:val="clear" w:color="auto" w:fill="FFFFFF"/>
            <w:vAlign w:val="center"/>
          </w:tcPr>
          <w:p w14:paraId="29C2A97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1AF69AD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整机功能</w:t>
            </w:r>
          </w:p>
        </w:tc>
        <w:tc>
          <w:tcPr>
            <w:tcW w:w="1593" w:type="dxa"/>
            <w:shd w:val="clear" w:color="auto" w:fill="FFFFFF"/>
            <w:vAlign w:val="center"/>
          </w:tcPr>
          <w:p w14:paraId="18F84C8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★散热方式</w:t>
            </w:r>
          </w:p>
        </w:tc>
        <w:tc>
          <w:tcPr>
            <w:tcW w:w="3990" w:type="dxa"/>
            <w:shd w:val="clear" w:color="auto" w:fill="FFFFFF"/>
            <w:vAlign w:val="center"/>
          </w:tcPr>
          <w:p w14:paraId="46165B4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支持风冷或液冷等散热方式</w:t>
            </w:r>
          </w:p>
        </w:tc>
        <w:tc>
          <w:tcPr>
            <w:tcW w:w="1341" w:type="dxa"/>
            <w:shd w:val="clear" w:color="auto" w:fill="FFFFFF"/>
            <w:vAlign w:val="center"/>
          </w:tcPr>
          <w:p w14:paraId="231E62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265C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9" w:type="dxa"/>
            <w:shd w:val="clear" w:color="auto" w:fill="FFFFFF"/>
            <w:vAlign w:val="center"/>
          </w:tcPr>
          <w:p w14:paraId="6AE3A9A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63</w:t>
            </w:r>
          </w:p>
        </w:tc>
        <w:tc>
          <w:tcPr>
            <w:tcW w:w="981" w:type="dxa"/>
            <w:shd w:val="clear" w:color="auto" w:fill="FFFFFF"/>
            <w:vAlign w:val="center"/>
          </w:tcPr>
          <w:p w14:paraId="7D50BD6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0592B974">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5726F5E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其他功能</w:t>
            </w:r>
          </w:p>
        </w:tc>
        <w:tc>
          <w:tcPr>
            <w:tcW w:w="3990" w:type="dxa"/>
            <w:shd w:val="clear" w:color="auto" w:fill="FFFFFF"/>
            <w:vAlign w:val="center"/>
          </w:tcPr>
          <w:p w14:paraId="38C2083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a）支持关键部件冗余（包括电源、风扇等）；b）支持熔断保护与恢复功能</w:t>
            </w:r>
          </w:p>
        </w:tc>
        <w:tc>
          <w:tcPr>
            <w:tcW w:w="1341" w:type="dxa"/>
            <w:shd w:val="clear" w:color="auto" w:fill="FFFFFF"/>
            <w:vAlign w:val="center"/>
          </w:tcPr>
          <w:p w14:paraId="2610A4D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E423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6" w:hRule="atLeast"/>
        </w:trPr>
        <w:tc>
          <w:tcPr>
            <w:tcW w:w="609" w:type="dxa"/>
            <w:shd w:val="clear" w:color="auto" w:fill="FFFFFF"/>
            <w:vAlign w:val="center"/>
          </w:tcPr>
          <w:p w14:paraId="02FBC3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64</w:t>
            </w:r>
          </w:p>
        </w:tc>
        <w:tc>
          <w:tcPr>
            <w:tcW w:w="981" w:type="dxa"/>
            <w:shd w:val="clear" w:color="auto" w:fill="FFFFFF"/>
            <w:vAlign w:val="center"/>
          </w:tcPr>
          <w:p w14:paraId="3A8C67C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shd w:val="clear" w:color="auto" w:fill="FFFFFF"/>
            <w:vAlign w:val="center"/>
          </w:tcPr>
          <w:p w14:paraId="78E373D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管理系统功能</w:t>
            </w:r>
          </w:p>
        </w:tc>
        <w:tc>
          <w:tcPr>
            <w:tcW w:w="1593" w:type="dxa"/>
            <w:shd w:val="clear" w:color="auto" w:fill="FFFFFF"/>
            <w:vAlign w:val="center"/>
          </w:tcPr>
          <w:p w14:paraId="3E8E071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★BMC固件基础功能</w:t>
            </w:r>
          </w:p>
        </w:tc>
        <w:tc>
          <w:tcPr>
            <w:tcW w:w="3990" w:type="dxa"/>
            <w:shd w:val="clear" w:color="auto" w:fill="FFFFFF"/>
            <w:vAlign w:val="center"/>
          </w:tcPr>
          <w:p w14:paraId="0C07180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支持DHCP设置网络功能；2）支持静态IP设置网络功能；3）支持设备日志记录，包括但不限于登录日志、操作日志和报警日志等功能；4）支持日志信息导出和记录删除功能；5）支持通过管理接口向外输出准确的报警信息功能；6）设备的BMC管理软件应能够按报警的严重程度进行区分；7）支持IPMI2.0、SNMP或Redfish等接口功能；8）支持键盘、鼠标和视频的重定向、文本控制台的重定向、远程虚拟媒体、高可靠的硬件监控和管理功能；9）支持基于网络开启、关闭和重启设备的功能，并查询当前设备开机运行状态；10）支持故障提示功能，并可通过接口读取服务器故障信息；11）支持基于网络的固件更新功能，包括BMC和BIOS等；12）支持基于网络安装操作系统的功能，并可通过网络控制台访问设备；13）支持通过本地的硬盘或光驱等存储设备，基于网络完成设备的操作系统安装功能；14）支持通过浏览器打开管理界面并登录功能；15）支持设置口令策略功能；16）支持访问权限设置功能，并通过日志记录访问事件；17）支持对出厂默认的用户名及口令进行安全保护功能，并提供默认口令修改提示；18）支持读取设备主板的工作环境温度功能；19）支持读取服务器CPU等核心器件的温度功能；20）支持通过外部管理工具进行BMC参数设置的功能，并可基于网络通过外部管理工具对BMC进行管理；21）应支持固件版本查询、固件升级22）支持基于网络实现开关机和复位控制的功能；23)BMC启动时间应不超过180s，实现功能包括网络、IPMI、散热、传感器服务可用；24）支持BMC固件设置的恢复出厂功能</w:t>
            </w:r>
          </w:p>
        </w:tc>
        <w:tc>
          <w:tcPr>
            <w:tcW w:w="1341" w:type="dxa"/>
            <w:shd w:val="clear" w:color="auto" w:fill="FFFFFF"/>
            <w:vAlign w:val="center"/>
          </w:tcPr>
          <w:p w14:paraId="229159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F415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609" w:type="dxa"/>
            <w:shd w:val="clear" w:color="auto" w:fill="FFFFFF"/>
            <w:vAlign w:val="center"/>
          </w:tcPr>
          <w:p w14:paraId="55688D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65</w:t>
            </w:r>
          </w:p>
        </w:tc>
        <w:tc>
          <w:tcPr>
            <w:tcW w:w="981" w:type="dxa"/>
            <w:shd w:val="clear" w:color="auto" w:fill="FFFFFF"/>
            <w:vAlign w:val="center"/>
          </w:tcPr>
          <w:p w14:paraId="392DAB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3C8518C3">
            <w:pPr>
              <w:widowControl/>
              <w:jc w:val="center"/>
              <w:rPr>
                <w:rFonts w:asciiTheme="minorEastAsia" w:hAnsiTheme="minorEastAsia" w:eastAsiaTheme="minorEastAsia" w:cstheme="minorEastAsia"/>
                <w:kern w:val="0"/>
                <w:sz w:val="24"/>
              </w:rPr>
            </w:pPr>
          </w:p>
        </w:tc>
        <w:tc>
          <w:tcPr>
            <w:tcW w:w="1593" w:type="dxa"/>
            <w:shd w:val="clear" w:color="auto" w:fill="FFFFFF"/>
            <w:vAlign w:val="center"/>
          </w:tcPr>
          <w:p w14:paraId="1C33DD5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BMC固件增强功能</w:t>
            </w:r>
          </w:p>
        </w:tc>
        <w:tc>
          <w:tcPr>
            <w:tcW w:w="3990" w:type="dxa"/>
            <w:shd w:val="clear" w:color="auto" w:fill="FFFFFF"/>
            <w:vAlign w:val="center"/>
          </w:tcPr>
          <w:p w14:paraId="65E1512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a）网络控制、安装提供图形访问界面网络；b）设备的BMC管理软件界面显示报警信息，且能够按报警的严重程度进行区分；c）WebGUI采用BMC端口直连，平均响应时间为≤1s</w:t>
            </w:r>
          </w:p>
        </w:tc>
        <w:tc>
          <w:tcPr>
            <w:tcW w:w="1341" w:type="dxa"/>
            <w:shd w:val="clear" w:color="auto" w:fill="FFFFFF"/>
            <w:vAlign w:val="center"/>
          </w:tcPr>
          <w:p w14:paraId="796E676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06D2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609" w:type="dxa"/>
            <w:shd w:val="clear" w:color="auto" w:fill="FFFFFF"/>
            <w:vAlign w:val="center"/>
          </w:tcPr>
          <w:p w14:paraId="42BFBD8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66</w:t>
            </w:r>
          </w:p>
        </w:tc>
        <w:tc>
          <w:tcPr>
            <w:tcW w:w="981" w:type="dxa"/>
            <w:shd w:val="clear" w:color="auto" w:fill="FFFFFF"/>
            <w:vAlign w:val="center"/>
          </w:tcPr>
          <w:p w14:paraId="78BEB55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3041DA42">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4570F7B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★BIOS固件基础功能</w:t>
            </w:r>
          </w:p>
        </w:tc>
        <w:tc>
          <w:tcPr>
            <w:tcW w:w="3990" w:type="dxa"/>
            <w:shd w:val="clear" w:color="auto" w:fill="FFFFFF"/>
            <w:vAlign w:val="center"/>
          </w:tcPr>
          <w:p w14:paraId="28B1EC3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查看固件版本、内存信息、主板信息、处理器信息和系统时间信息功能；b）支持上电初始化界面显示CPU信息、内存信息、固件版本和部分快捷键信息功能；c）支持设置界面中英文显示切换功能；d）支持查看PCIe设备信息，SATA设备信息功能；e）支持操作系统安装和引导功能，应并向操作系统提供计算机主板信息和服务接口；f）支持设置启动顺序，并按照设置的启动顺序启动功能；g）支持安全启动功能；h）支持设置口令、修改口令、验证口令功能；i）支持板载显示控制或独立显卡的显示控制功能；j）支持RAID识别和启动功能；k）支持串口重定向功能；l）支持固件更新功能；m）支持BIOS固件设置的恢复出厂功能；n）支持网络引导启用和关闭功能</w:t>
            </w:r>
          </w:p>
        </w:tc>
        <w:tc>
          <w:tcPr>
            <w:tcW w:w="1341" w:type="dxa"/>
            <w:shd w:val="clear" w:color="auto" w:fill="FFFFFF"/>
            <w:vAlign w:val="center"/>
          </w:tcPr>
          <w:p w14:paraId="56F171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D840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09" w:type="dxa"/>
            <w:shd w:val="clear" w:color="auto" w:fill="FFFFFF"/>
            <w:vAlign w:val="center"/>
          </w:tcPr>
          <w:p w14:paraId="2A8B142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67</w:t>
            </w:r>
          </w:p>
        </w:tc>
        <w:tc>
          <w:tcPr>
            <w:tcW w:w="981" w:type="dxa"/>
            <w:shd w:val="clear" w:color="auto" w:fill="FFFFFF"/>
            <w:vAlign w:val="center"/>
          </w:tcPr>
          <w:p w14:paraId="3981E19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5A4CFE96">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1BFCDDC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★远程控制</w:t>
            </w:r>
          </w:p>
        </w:tc>
        <w:tc>
          <w:tcPr>
            <w:tcW w:w="3990" w:type="dxa"/>
            <w:shd w:val="clear" w:color="auto" w:fill="FFFFFF"/>
            <w:vAlign w:val="center"/>
          </w:tcPr>
          <w:p w14:paraId="6F4047D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支持远程关机和重新启动功能</w:t>
            </w:r>
          </w:p>
        </w:tc>
        <w:tc>
          <w:tcPr>
            <w:tcW w:w="1341" w:type="dxa"/>
            <w:shd w:val="clear" w:color="auto" w:fill="FFFFFF"/>
            <w:vAlign w:val="center"/>
          </w:tcPr>
          <w:p w14:paraId="1F5D602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E108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9" w:type="dxa"/>
            <w:shd w:val="clear" w:color="auto" w:fill="FFFFFF"/>
            <w:vAlign w:val="center"/>
          </w:tcPr>
          <w:p w14:paraId="7A15273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68</w:t>
            </w:r>
          </w:p>
        </w:tc>
        <w:tc>
          <w:tcPr>
            <w:tcW w:w="981" w:type="dxa"/>
            <w:shd w:val="clear" w:color="auto" w:fill="FFFFFF"/>
            <w:vAlign w:val="center"/>
          </w:tcPr>
          <w:p w14:paraId="53114DF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659F31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操作系统及驱动功能</w:t>
            </w:r>
          </w:p>
        </w:tc>
        <w:tc>
          <w:tcPr>
            <w:tcW w:w="1593" w:type="dxa"/>
            <w:shd w:val="clear" w:color="auto" w:fill="FFFFFF"/>
            <w:vAlign w:val="center"/>
          </w:tcPr>
          <w:p w14:paraId="59AA78C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★操作系统及驱动的升级</w:t>
            </w:r>
          </w:p>
        </w:tc>
        <w:tc>
          <w:tcPr>
            <w:tcW w:w="3990" w:type="dxa"/>
            <w:shd w:val="clear" w:color="auto" w:fill="FFFFFF"/>
            <w:vAlign w:val="center"/>
          </w:tcPr>
          <w:p w14:paraId="3A051E7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支持通过网络、闪存盘对操作系统、驱动进行升级</w:t>
            </w:r>
          </w:p>
        </w:tc>
        <w:tc>
          <w:tcPr>
            <w:tcW w:w="1341" w:type="dxa"/>
            <w:shd w:val="clear" w:color="auto" w:fill="FFFFFF"/>
            <w:vAlign w:val="center"/>
          </w:tcPr>
          <w:p w14:paraId="39BD2FA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CF6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9" w:type="dxa"/>
            <w:shd w:val="clear" w:color="auto" w:fill="FFFFFF"/>
            <w:vAlign w:val="center"/>
          </w:tcPr>
          <w:p w14:paraId="1A94F2E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69</w:t>
            </w:r>
          </w:p>
        </w:tc>
        <w:tc>
          <w:tcPr>
            <w:tcW w:w="981" w:type="dxa"/>
            <w:shd w:val="clear" w:color="auto" w:fill="FFFFFF"/>
            <w:vAlign w:val="center"/>
          </w:tcPr>
          <w:p w14:paraId="207E3A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6D07C9A6">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0F27C36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操作系统及驱动的备份还原</w:t>
            </w:r>
          </w:p>
        </w:tc>
        <w:tc>
          <w:tcPr>
            <w:tcW w:w="3990" w:type="dxa"/>
            <w:shd w:val="clear" w:color="auto" w:fill="FFFFFF"/>
            <w:vAlign w:val="center"/>
          </w:tcPr>
          <w:p w14:paraId="1021102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支持操作系统备份及还原功能</w:t>
            </w:r>
          </w:p>
        </w:tc>
        <w:tc>
          <w:tcPr>
            <w:tcW w:w="1341" w:type="dxa"/>
            <w:shd w:val="clear" w:color="auto" w:fill="FFFFFF"/>
            <w:vAlign w:val="center"/>
          </w:tcPr>
          <w:p w14:paraId="75E4533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7FD6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9" w:type="dxa"/>
            <w:shd w:val="clear" w:color="auto" w:fill="FFFFFF"/>
            <w:vAlign w:val="center"/>
          </w:tcPr>
          <w:p w14:paraId="0713BEC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70</w:t>
            </w:r>
          </w:p>
        </w:tc>
        <w:tc>
          <w:tcPr>
            <w:tcW w:w="981" w:type="dxa"/>
            <w:shd w:val="clear" w:color="auto" w:fill="FFFFFF"/>
            <w:vAlign w:val="center"/>
          </w:tcPr>
          <w:p w14:paraId="243884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7C1A840B">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626ABA2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★操作系统功能</w:t>
            </w:r>
          </w:p>
        </w:tc>
        <w:tc>
          <w:tcPr>
            <w:tcW w:w="3990" w:type="dxa"/>
            <w:shd w:val="clear" w:color="auto" w:fill="FFFFFF"/>
            <w:vAlign w:val="center"/>
          </w:tcPr>
          <w:p w14:paraId="0BF5AF3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a）支持访问控制、安全审计、网络接入鉴别等功能；b）操作系统其他功能应满足操作系统政府采购需求标准中加*的指标要求</w:t>
            </w:r>
          </w:p>
        </w:tc>
        <w:tc>
          <w:tcPr>
            <w:tcW w:w="1341" w:type="dxa"/>
            <w:shd w:val="clear" w:color="auto" w:fill="FFFFFF"/>
            <w:vAlign w:val="center"/>
          </w:tcPr>
          <w:p w14:paraId="4C86A9E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7696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7193664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71</w:t>
            </w:r>
          </w:p>
        </w:tc>
        <w:tc>
          <w:tcPr>
            <w:tcW w:w="981" w:type="dxa"/>
            <w:shd w:val="clear" w:color="auto" w:fill="FFFFFF"/>
            <w:vAlign w:val="center"/>
          </w:tcPr>
          <w:p w14:paraId="0809774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shd w:val="clear" w:color="auto" w:fill="FFFFFF"/>
            <w:vAlign w:val="center"/>
          </w:tcPr>
          <w:p w14:paraId="7BC724B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中文信息处理功能</w:t>
            </w:r>
          </w:p>
        </w:tc>
        <w:tc>
          <w:tcPr>
            <w:tcW w:w="1593" w:type="dxa"/>
            <w:shd w:val="clear" w:color="auto" w:fill="FFFFFF"/>
            <w:vAlign w:val="center"/>
          </w:tcPr>
          <w:p w14:paraId="01A90DF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★中文信息处理</w:t>
            </w:r>
          </w:p>
        </w:tc>
        <w:tc>
          <w:tcPr>
            <w:tcW w:w="3990" w:type="dxa"/>
            <w:shd w:val="clear" w:color="auto" w:fill="FFFFFF"/>
            <w:vAlign w:val="center"/>
          </w:tcPr>
          <w:p w14:paraId="1EF20E0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符合GB18030的有关规定</w:t>
            </w:r>
          </w:p>
        </w:tc>
        <w:tc>
          <w:tcPr>
            <w:tcW w:w="1341" w:type="dxa"/>
            <w:shd w:val="clear" w:color="auto" w:fill="FFFFFF"/>
            <w:vAlign w:val="center"/>
          </w:tcPr>
          <w:p w14:paraId="7B2F529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CB0C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148CF20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72</w:t>
            </w:r>
          </w:p>
        </w:tc>
        <w:tc>
          <w:tcPr>
            <w:tcW w:w="981" w:type="dxa"/>
            <w:shd w:val="clear" w:color="auto" w:fill="FFFFFF"/>
            <w:vAlign w:val="center"/>
          </w:tcPr>
          <w:p w14:paraId="7A2D1BA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68F3AEA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机柜功能</w:t>
            </w:r>
          </w:p>
        </w:tc>
        <w:tc>
          <w:tcPr>
            <w:tcW w:w="1593" w:type="dxa"/>
            <w:shd w:val="clear" w:color="auto" w:fill="FFFFFF"/>
            <w:vAlign w:val="center"/>
          </w:tcPr>
          <w:p w14:paraId="46BA8F7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机柜管理功能</w:t>
            </w:r>
          </w:p>
        </w:tc>
        <w:tc>
          <w:tcPr>
            <w:tcW w:w="3990" w:type="dxa"/>
            <w:shd w:val="clear" w:color="auto" w:fill="FFFFFF"/>
            <w:vAlign w:val="center"/>
          </w:tcPr>
          <w:p w14:paraId="61EDB1C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机柜管理系统包括服务器节点BMC管理系统、机柜管理系统或交换节点管理系统</w:t>
            </w:r>
          </w:p>
        </w:tc>
        <w:tc>
          <w:tcPr>
            <w:tcW w:w="1341" w:type="dxa"/>
            <w:shd w:val="clear" w:color="auto" w:fill="FFFFFF"/>
            <w:vAlign w:val="center"/>
          </w:tcPr>
          <w:p w14:paraId="51D0FD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01BE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267446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73</w:t>
            </w:r>
          </w:p>
        </w:tc>
        <w:tc>
          <w:tcPr>
            <w:tcW w:w="981" w:type="dxa"/>
            <w:shd w:val="clear" w:color="auto" w:fill="FFFFFF"/>
            <w:vAlign w:val="center"/>
          </w:tcPr>
          <w:p w14:paraId="08ABB82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60BEAD7C">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7BB2F06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机柜通信方式</w:t>
            </w:r>
          </w:p>
        </w:tc>
        <w:tc>
          <w:tcPr>
            <w:tcW w:w="3990" w:type="dxa"/>
            <w:shd w:val="clear" w:color="auto" w:fill="FFFFFF"/>
            <w:vAlign w:val="center"/>
          </w:tcPr>
          <w:p w14:paraId="55B1E5E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若配备机柜管理板可实现包括：资产管理、电源模块、功耗管理和液冷漏液检测等功能</w:t>
            </w:r>
          </w:p>
        </w:tc>
        <w:tc>
          <w:tcPr>
            <w:tcW w:w="1341" w:type="dxa"/>
            <w:shd w:val="clear" w:color="auto" w:fill="FFFFFF"/>
            <w:vAlign w:val="center"/>
          </w:tcPr>
          <w:p w14:paraId="1BB33B6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BF05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5FE3B9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74</w:t>
            </w:r>
          </w:p>
        </w:tc>
        <w:tc>
          <w:tcPr>
            <w:tcW w:w="981" w:type="dxa"/>
            <w:shd w:val="clear" w:color="auto" w:fill="FFFFFF"/>
            <w:vAlign w:val="center"/>
          </w:tcPr>
          <w:p w14:paraId="4E9DBC3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41B80E1F">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26BF0FD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多集群作业管理</w:t>
            </w:r>
          </w:p>
        </w:tc>
        <w:tc>
          <w:tcPr>
            <w:tcW w:w="3990" w:type="dxa"/>
            <w:shd w:val="clear" w:color="auto" w:fill="FFFFFF"/>
            <w:vAlign w:val="center"/>
          </w:tcPr>
          <w:p w14:paraId="083B254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支持多集群作业管理功能</w:t>
            </w:r>
          </w:p>
        </w:tc>
        <w:tc>
          <w:tcPr>
            <w:tcW w:w="1341" w:type="dxa"/>
            <w:shd w:val="clear" w:color="auto" w:fill="FFFFFF"/>
            <w:vAlign w:val="center"/>
          </w:tcPr>
          <w:p w14:paraId="452B786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E1CF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440907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75</w:t>
            </w:r>
          </w:p>
        </w:tc>
        <w:tc>
          <w:tcPr>
            <w:tcW w:w="981" w:type="dxa"/>
            <w:shd w:val="clear" w:color="auto" w:fill="FFFFFF"/>
            <w:vAlign w:val="center"/>
          </w:tcPr>
          <w:p w14:paraId="2F95C4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shd w:val="clear" w:color="auto" w:fill="FFFFFF"/>
            <w:vAlign w:val="center"/>
          </w:tcPr>
          <w:p w14:paraId="27AD2FB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关键部件安全要求</w:t>
            </w:r>
          </w:p>
        </w:tc>
        <w:tc>
          <w:tcPr>
            <w:tcW w:w="1593" w:type="dxa"/>
            <w:shd w:val="clear" w:color="auto" w:fill="FFFFFF"/>
            <w:vAlign w:val="center"/>
          </w:tcPr>
          <w:p w14:paraId="1A81960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★关键部件安全要求</w:t>
            </w:r>
          </w:p>
        </w:tc>
        <w:tc>
          <w:tcPr>
            <w:tcW w:w="3990" w:type="dxa"/>
            <w:shd w:val="clear" w:color="auto" w:fill="FFFFFF"/>
            <w:vAlign w:val="center"/>
          </w:tcPr>
          <w:p w14:paraId="72D427B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CPU和操作系统等关键部件应当符合安全可靠测评要求</w:t>
            </w:r>
          </w:p>
        </w:tc>
        <w:tc>
          <w:tcPr>
            <w:tcW w:w="1341" w:type="dxa"/>
            <w:shd w:val="clear" w:color="auto" w:fill="FFFFFF"/>
            <w:vAlign w:val="center"/>
          </w:tcPr>
          <w:p w14:paraId="20F0E52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7765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9" w:type="dxa"/>
            <w:shd w:val="clear" w:color="auto" w:fill="FFFFFF"/>
            <w:vAlign w:val="center"/>
          </w:tcPr>
          <w:p w14:paraId="423075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76</w:t>
            </w:r>
          </w:p>
        </w:tc>
        <w:tc>
          <w:tcPr>
            <w:tcW w:w="981" w:type="dxa"/>
            <w:shd w:val="clear" w:color="auto" w:fill="FFFFFF"/>
            <w:vAlign w:val="center"/>
          </w:tcPr>
          <w:p w14:paraId="6740B7E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restart"/>
            <w:shd w:val="clear" w:color="auto" w:fill="FFFFFF"/>
            <w:vAlign w:val="center"/>
          </w:tcPr>
          <w:p w14:paraId="484C1FC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固件安全要求</w:t>
            </w:r>
          </w:p>
        </w:tc>
        <w:tc>
          <w:tcPr>
            <w:tcW w:w="1593" w:type="dxa"/>
            <w:shd w:val="clear" w:color="auto" w:fill="FFFFFF"/>
            <w:vAlign w:val="center"/>
          </w:tcPr>
          <w:p w14:paraId="4C655B8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★故障检测</w:t>
            </w:r>
          </w:p>
        </w:tc>
        <w:tc>
          <w:tcPr>
            <w:tcW w:w="3990" w:type="dxa"/>
            <w:shd w:val="clear" w:color="auto" w:fill="FFFFFF"/>
            <w:vAlign w:val="center"/>
          </w:tcPr>
          <w:p w14:paraId="4B2FB42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支持故障检测功能，可以检测到具体的FRU（内存、硬盘等）的故障并发出告警</w:t>
            </w:r>
          </w:p>
        </w:tc>
        <w:tc>
          <w:tcPr>
            <w:tcW w:w="1341" w:type="dxa"/>
            <w:shd w:val="clear" w:color="auto" w:fill="FFFFFF"/>
            <w:vAlign w:val="center"/>
          </w:tcPr>
          <w:p w14:paraId="6270176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873F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9" w:type="dxa"/>
            <w:shd w:val="clear" w:color="auto" w:fill="FFFFFF"/>
            <w:vAlign w:val="center"/>
          </w:tcPr>
          <w:p w14:paraId="7CD93E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77</w:t>
            </w:r>
          </w:p>
        </w:tc>
        <w:tc>
          <w:tcPr>
            <w:tcW w:w="981" w:type="dxa"/>
            <w:shd w:val="clear" w:color="auto" w:fill="FFFFFF"/>
            <w:vAlign w:val="center"/>
          </w:tcPr>
          <w:p w14:paraId="51AE403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11A2B766">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149A573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内存故障智能预测和自愈修复</w:t>
            </w:r>
          </w:p>
        </w:tc>
        <w:tc>
          <w:tcPr>
            <w:tcW w:w="3990" w:type="dxa"/>
            <w:shd w:val="clear" w:color="auto" w:fill="FFFFFF"/>
            <w:vAlign w:val="center"/>
          </w:tcPr>
          <w:p w14:paraId="7BEA3E0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支持内存故障智能预测和自愈修复，提前自动硬隔离，避免内存故障引起的非预期宕机以及内存寿命的降低</w:t>
            </w:r>
          </w:p>
        </w:tc>
        <w:tc>
          <w:tcPr>
            <w:tcW w:w="1341" w:type="dxa"/>
            <w:shd w:val="clear" w:color="auto" w:fill="FFFFFF"/>
            <w:vAlign w:val="center"/>
          </w:tcPr>
          <w:p w14:paraId="6F5DBEB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D92B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124EEC4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78</w:t>
            </w:r>
          </w:p>
        </w:tc>
        <w:tc>
          <w:tcPr>
            <w:tcW w:w="981" w:type="dxa"/>
            <w:shd w:val="clear" w:color="auto" w:fill="FFFFFF"/>
            <w:vAlign w:val="center"/>
          </w:tcPr>
          <w:p w14:paraId="28228AB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1EEBB6A7">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3743D1A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硬盘故障智能预测</w:t>
            </w:r>
          </w:p>
        </w:tc>
        <w:tc>
          <w:tcPr>
            <w:tcW w:w="3990" w:type="dxa"/>
            <w:shd w:val="clear" w:color="auto" w:fill="FFFFFF"/>
            <w:vAlign w:val="center"/>
          </w:tcPr>
          <w:p w14:paraId="48D7A77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支持硬盘故障智能预测，基于故障模型预测出硬盘的故障</w:t>
            </w:r>
          </w:p>
        </w:tc>
        <w:tc>
          <w:tcPr>
            <w:tcW w:w="1341" w:type="dxa"/>
            <w:shd w:val="clear" w:color="auto" w:fill="FFFFFF"/>
            <w:vAlign w:val="center"/>
          </w:tcPr>
          <w:p w14:paraId="4FAEEB6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A359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9" w:type="dxa"/>
            <w:shd w:val="clear" w:color="auto" w:fill="FFFFFF"/>
            <w:vAlign w:val="center"/>
          </w:tcPr>
          <w:p w14:paraId="40C38A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79</w:t>
            </w:r>
          </w:p>
        </w:tc>
        <w:tc>
          <w:tcPr>
            <w:tcW w:w="981" w:type="dxa"/>
            <w:shd w:val="clear" w:color="auto" w:fill="FFFFFF"/>
            <w:vAlign w:val="center"/>
          </w:tcPr>
          <w:p w14:paraId="36EAAB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46F4AC1E">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03A2712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PCIe链路故障智能诊断</w:t>
            </w:r>
          </w:p>
        </w:tc>
        <w:tc>
          <w:tcPr>
            <w:tcW w:w="3990" w:type="dxa"/>
            <w:shd w:val="clear" w:color="auto" w:fill="FFFFFF"/>
            <w:vAlign w:val="center"/>
          </w:tcPr>
          <w:p w14:paraId="52771D9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支持PCIe链路故障智能诊断，判断出现故障的PCIe链路</w:t>
            </w:r>
          </w:p>
        </w:tc>
        <w:tc>
          <w:tcPr>
            <w:tcW w:w="1341" w:type="dxa"/>
            <w:shd w:val="clear" w:color="auto" w:fill="FFFFFF"/>
            <w:vAlign w:val="center"/>
          </w:tcPr>
          <w:p w14:paraId="107D190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8B92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9" w:type="dxa"/>
            <w:shd w:val="clear" w:color="auto" w:fill="FFFFFF"/>
            <w:vAlign w:val="center"/>
          </w:tcPr>
          <w:p w14:paraId="2FB4D54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80</w:t>
            </w:r>
          </w:p>
        </w:tc>
        <w:tc>
          <w:tcPr>
            <w:tcW w:w="981" w:type="dxa"/>
            <w:shd w:val="clear" w:color="auto" w:fill="FFFFFF"/>
            <w:vAlign w:val="center"/>
          </w:tcPr>
          <w:p w14:paraId="1179D67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626BA456">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0E4CEC7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内存故障隔离</w:t>
            </w:r>
          </w:p>
        </w:tc>
        <w:tc>
          <w:tcPr>
            <w:tcW w:w="3990" w:type="dxa"/>
            <w:shd w:val="clear" w:color="auto" w:fill="FFFFFF"/>
            <w:vAlign w:val="center"/>
          </w:tcPr>
          <w:p w14:paraId="1B47049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支持内存故障隔离，在内存产生CE故障时，内存地址被隔离成功，服务器正常运行，业务系统不中断</w:t>
            </w:r>
          </w:p>
        </w:tc>
        <w:tc>
          <w:tcPr>
            <w:tcW w:w="1341" w:type="dxa"/>
            <w:shd w:val="clear" w:color="auto" w:fill="FFFFFF"/>
            <w:vAlign w:val="center"/>
          </w:tcPr>
          <w:p w14:paraId="10DF51F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0433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09" w:type="dxa"/>
            <w:shd w:val="clear" w:color="auto" w:fill="FFFFFF"/>
            <w:vAlign w:val="center"/>
          </w:tcPr>
          <w:p w14:paraId="511A09F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81</w:t>
            </w:r>
          </w:p>
        </w:tc>
        <w:tc>
          <w:tcPr>
            <w:tcW w:w="981" w:type="dxa"/>
            <w:shd w:val="clear" w:color="auto" w:fill="FFFFFF"/>
            <w:vAlign w:val="center"/>
          </w:tcPr>
          <w:p w14:paraId="407437A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0D3FB18E">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56DC438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内存、PCIe卡的故障精准告警功能</w:t>
            </w:r>
          </w:p>
        </w:tc>
        <w:tc>
          <w:tcPr>
            <w:tcW w:w="3990" w:type="dxa"/>
            <w:shd w:val="clear" w:color="auto" w:fill="FFFFFF"/>
            <w:vAlign w:val="center"/>
          </w:tcPr>
          <w:p w14:paraId="038221B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支持内存、PCIe卡的故障精准告警功能，触发告警并明确指示具体的故障位置</w:t>
            </w:r>
          </w:p>
        </w:tc>
        <w:tc>
          <w:tcPr>
            <w:tcW w:w="1341" w:type="dxa"/>
            <w:shd w:val="clear" w:color="auto" w:fill="FFFFFF"/>
            <w:vAlign w:val="center"/>
          </w:tcPr>
          <w:p w14:paraId="29A7300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D74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18E265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82</w:t>
            </w:r>
          </w:p>
        </w:tc>
        <w:tc>
          <w:tcPr>
            <w:tcW w:w="981" w:type="dxa"/>
            <w:shd w:val="clear" w:color="auto" w:fill="FFFFFF"/>
            <w:vAlign w:val="center"/>
          </w:tcPr>
          <w:p w14:paraId="1D51EB7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1EC5E934">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7FE6E95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异常下电关键数据保护</w:t>
            </w:r>
          </w:p>
        </w:tc>
        <w:tc>
          <w:tcPr>
            <w:tcW w:w="3990" w:type="dxa"/>
            <w:shd w:val="clear" w:color="auto" w:fill="FFFFFF"/>
            <w:vAlign w:val="center"/>
          </w:tcPr>
          <w:p w14:paraId="5EDBA0B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支持异常掉电关键数据保护，支持数据备份恢复机制，防止系统异常掉电导致的数据文件丢失</w:t>
            </w:r>
          </w:p>
        </w:tc>
        <w:tc>
          <w:tcPr>
            <w:tcW w:w="1341" w:type="dxa"/>
            <w:shd w:val="clear" w:color="auto" w:fill="FFFFFF"/>
            <w:vAlign w:val="center"/>
          </w:tcPr>
          <w:p w14:paraId="6BAD65F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DD0B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9" w:type="dxa"/>
            <w:shd w:val="clear" w:color="auto" w:fill="FFFFFF"/>
            <w:vAlign w:val="center"/>
          </w:tcPr>
          <w:p w14:paraId="23BA99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83</w:t>
            </w:r>
          </w:p>
        </w:tc>
        <w:tc>
          <w:tcPr>
            <w:tcW w:w="981" w:type="dxa"/>
            <w:shd w:val="clear" w:color="auto" w:fill="FFFFFF"/>
            <w:vAlign w:val="center"/>
          </w:tcPr>
          <w:p w14:paraId="10B4B2D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18CF3473">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4743CD7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BMC/BIOS固件双镜像保护</w:t>
            </w:r>
          </w:p>
        </w:tc>
        <w:tc>
          <w:tcPr>
            <w:tcW w:w="3990" w:type="dxa"/>
            <w:shd w:val="clear" w:color="auto" w:fill="FFFFFF"/>
            <w:vAlign w:val="center"/>
          </w:tcPr>
          <w:p w14:paraId="522B459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支持BMC/BIOS固件双镜像保护，运行异常时自动切换到备份镜像运行，提升系统稳定性</w:t>
            </w:r>
          </w:p>
        </w:tc>
        <w:tc>
          <w:tcPr>
            <w:tcW w:w="1341" w:type="dxa"/>
            <w:shd w:val="clear" w:color="auto" w:fill="FFFFFF"/>
            <w:vAlign w:val="center"/>
          </w:tcPr>
          <w:p w14:paraId="44C71F9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2612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9" w:type="dxa"/>
            <w:shd w:val="clear" w:color="auto" w:fill="FFFFFF"/>
            <w:vAlign w:val="center"/>
          </w:tcPr>
          <w:p w14:paraId="221DD5F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84</w:t>
            </w:r>
          </w:p>
        </w:tc>
        <w:tc>
          <w:tcPr>
            <w:tcW w:w="981" w:type="dxa"/>
            <w:shd w:val="clear" w:color="auto" w:fill="FFFFFF"/>
            <w:vAlign w:val="center"/>
          </w:tcPr>
          <w:p w14:paraId="3FBDB8C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23D7549C">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1DEB171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CPU核重启隔离</w:t>
            </w:r>
          </w:p>
        </w:tc>
        <w:tc>
          <w:tcPr>
            <w:tcW w:w="3990" w:type="dxa"/>
            <w:shd w:val="clear" w:color="auto" w:fill="FFFFFF"/>
            <w:vAlign w:val="center"/>
          </w:tcPr>
          <w:p w14:paraId="11A9AA9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支持CPU核发生不可纠正故障后，重启后由BIOS隔离该故障核，OS不可见，防止OS再次使用导致系统异常，核0除外</w:t>
            </w:r>
          </w:p>
        </w:tc>
        <w:tc>
          <w:tcPr>
            <w:tcW w:w="1341" w:type="dxa"/>
            <w:shd w:val="clear" w:color="auto" w:fill="FFFFFF"/>
            <w:vAlign w:val="center"/>
          </w:tcPr>
          <w:p w14:paraId="2822035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FB0E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2BB0F7B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85</w:t>
            </w:r>
          </w:p>
        </w:tc>
        <w:tc>
          <w:tcPr>
            <w:tcW w:w="981" w:type="dxa"/>
            <w:shd w:val="clear" w:color="auto" w:fill="FFFFFF"/>
            <w:vAlign w:val="center"/>
          </w:tcPr>
          <w:p w14:paraId="0A3B8AA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687F34FF">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3FC72CC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内存地址隔离</w:t>
            </w:r>
          </w:p>
        </w:tc>
        <w:tc>
          <w:tcPr>
            <w:tcW w:w="3990" w:type="dxa"/>
            <w:shd w:val="clear" w:color="auto" w:fill="FFFFFF"/>
            <w:vAlign w:val="center"/>
          </w:tcPr>
          <w:p w14:paraId="74730EA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在硬件支持的情况下，支持故障内存地址重启后隔离</w:t>
            </w:r>
          </w:p>
        </w:tc>
        <w:tc>
          <w:tcPr>
            <w:tcW w:w="1341" w:type="dxa"/>
            <w:shd w:val="clear" w:color="auto" w:fill="FFFFFF"/>
            <w:vAlign w:val="center"/>
          </w:tcPr>
          <w:p w14:paraId="71EFDC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55AC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65DD50D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86</w:t>
            </w:r>
          </w:p>
        </w:tc>
        <w:tc>
          <w:tcPr>
            <w:tcW w:w="981" w:type="dxa"/>
            <w:shd w:val="clear" w:color="auto" w:fill="FFFFFF"/>
            <w:vAlign w:val="center"/>
          </w:tcPr>
          <w:p w14:paraId="4322E2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590BA791">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530A156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内存存储阵列替换</w:t>
            </w:r>
          </w:p>
        </w:tc>
        <w:tc>
          <w:tcPr>
            <w:tcW w:w="3990" w:type="dxa"/>
            <w:shd w:val="clear" w:color="auto" w:fill="FFFFFF"/>
            <w:vAlign w:val="center"/>
          </w:tcPr>
          <w:p w14:paraId="4AAC257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在硬件支持的情况下，支持故障内存存储阵列替换</w:t>
            </w:r>
          </w:p>
        </w:tc>
        <w:tc>
          <w:tcPr>
            <w:tcW w:w="1341" w:type="dxa"/>
            <w:shd w:val="clear" w:color="auto" w:fill="FFFFFF"/>
            <w:vAlign w:val="center"/>
          </w:tcPr>
          <w:p w14:paraId="0C5EFA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2223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9" w:type="dxa"/>
            <w:shd w:val="clear" w:color="auto" w:fill="FFFFFF"/>
            <w:vAlign w:val="center"/>
          </w:tcPr>
          <w:p w14:paraId="55F6F2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87</w:t>
            </w:r>
          </w:p>
        </w:tc>
        <w:tc>
          <w:tcPr>
            <w:tcW w:w="981" w:type="dxa"/>
            <w:shd w:val="clear" w:color="auto" w:fill="FFFFFF"/>
            <w:vAlign w:val="center"/>
          </w:tcPr>
          <w:p w14:paraId="565B90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21424277">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5EE9840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安全启动</w:t>
            </w:r>
          </w:p>
        </w:tc>
        <w:tc>
          <w:tcPr>
            <w:tcW w:w="3990" w:type="dxa"/>
            <w:shd w:val="clear" w:color="auto" w:fill="FFFFFF"/>
            <w:vAlign w:val="center"/>
          </w:tcPr>
          <w:p w14:paraId="7CE1501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支持执行环境要求在整个系统启动的过程中，系统应提供一个机制来保护平台的完整性</w:t>
            </w:r>
          </w:p>
        </w:tc>
        <w:tc>
          <w:tcPr>
            <w:tcW w:w="1341" w:type="dxa"/>
            <w:shd w:val="clear" w:color="auto" w:fill="FFFFFF"/>
            <w:vAlign w:val="center"/>
          </w:tcPr>
          <w:p w14:paraId="2D143F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3154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13F6DBA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88</w:t>
            </w:r>
          </w:p>
        </w:tc>
        <w:tc>
          <w:tcPr>
            <w:tcW w:w="981" w:type="dxa"/>
            <w:shd w:val="clear" w:color="auto" w:fill="FFFFFF"/>
            <w:vAlign w:val="center"/>
          </w:tcPr>
          <w:p w14:paraId="04AA6E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restart"/>
            <w:shd w:val="clear" w:color="auto" w:fill="FFFFFF"/>
            <w:vAlign w:val="center"/>
          </w:tcPr>
          <w:p w14:paraId="1CCB548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系统安全要求</w:t>
            </w:r>
          </w:p>
        </w:tc>
        <w:tc>
          <w:tcPr>
            <w:tcW w:w="1593" w:type="dxa"/>
            <w:shd w:val="clear" w:color="auto" w:fill="FFFFFF"/>
            <w:vAlign w:val="center"/>
          </w:tcPr>
          <w:p w14:paraId="7E64FB7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syslog双向鉴别</w:t>
            </w:r>
          </w:p>
        </w:tc>
        <w:tc>
          <w:tcPr>
            <w:tcW w:w="3990" w:type="dxa"/>
            <w:shd w:val="clear" w:color="auto" w:fill="FFFFFF"/>
            <w:vAlign w:val="center"/>
          </w:tcPr>
          <w:p w14:paraId="7F70EED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支持系统日志双向鉴别，对服务器根证书和客户端根证书进行鉴别</w:t>
            </w:r>
          </w:p>
        </w:tc>
        <w:tc>
          <w:tcPr>
            <w:tcW w:w="1341" w:type="dxa"/>
            <w:shd w:val="clear" w:color="auto" w:fill="FFFFFF"/>
            <w:vAlign w:val="center"/>
          </w:tcPr>
          <w:p w14:paraId="69E2BA6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4648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9" w:type="dxa"/>
            <w:shd w:val="clear" w:color="auto" w:fill="FFFFFF"/>
            <w:vAlign w:val="center"/>
          </w:tcPr>
          <w:p w14:paraId="29A33A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89</w:t>
            </w:r>
          </w:p>
        </w:tc>
        <w:tc>
          <w:tcPr>
            <w:tcW w:w="981" w:type="dxa"/>
            <w:shd w:val="clear" w:color="auto" w:fill="FFFFFF"/>
            <w:vAlign w:val="center"/>
          </w:tcPr>
          <w:p w14:paraId="4D1996C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310CE798">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7F8BE77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★弱口令字典检查</w:t>
            </w:r>
          </w:p>
        </w:tc>
        <w:tc>
          <w:tcPr>
            <w:tcW w:w="3990" w:type="dxa"/>
            <w:shd w:val="clear" w:color="auto" w:fill="FFFFFF"/>
            <w:vAlign w:val="center"/>
          </w:tcPr>
          <w:p w14:paraId="403B19C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支持弱口令字典检查功能，出现在弱口令字典中的字符串不能被设置为用户口令</w:t>
            </w:r>
          </w:p>
        </w:tc>
        <w:tc>
          <w:tcPr>
            <w:tcW w:w="1341" w:type="dxa"/>
            <w:shd w:val="clear" w:color="auto" w:fill="FFFFFF"/>
            <w:vAlign w:val="center"/>
          </w:tcPr>
          <w:p w14:paraId="1A722D7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8DFB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9" w:type="dxa"/>
            <w:shd w:val="clear" w:color="auto" w:fill="FFFFFF"/>
            <w:vAlign w:val="center"/>
          </w:tcPr>
          <w:p w14:paraId="6DCEDA4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90</w:t>
            </w:r>
          </w:p>
        </w:tc>
        <w:tc>
          <w:tcPr>
            <w:tcW w:w="981" w:type="dxa"/>
            <w:shd w:val="clear" w:color="auto" w:fill="FFFFFF"/>
            <w:vAlign w:val="center"/>
          </w:tcPr>
          <w:p w14:paraId="53ACE51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05871DEA">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325CE45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★白名单访问控制</w:t>
            </w:r>
          </w:p>
        </w:tc>
        <w:tc>
          <w:tcPr>
            <w:tcW w:w="3990" w:type="dxa"/>
            <w:shd w:val="clear" w:color="auto" w:fill="FFFFFF"/>
            <w:vAlign w:val="center"/>
          </w:tcPr>
          <w:p w14:paraId="10381BA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支持基于时间、IP或MAC白名单访问控制</w:t>
            </w:r>
          </w:p>
        </w:tc>
        <w:tc>
          <w:tcPr>
            <w:tcW w:w="1341" w:type="dxa"/>
            <w:shd w:val="clear" w:color="auto" w:fill="FFFFFF"/>
            <w:vAlign w:val="center"/>
          </w:tcPr>
          <w:p w14:paraId="44DF939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8C13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60BAB4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91</w:t>
            </w:r>
          </w:p>
        </w:tc>
        <w:tc>
          <w:tcPr>
            <w:tcW w:w="981" w:type="dxa"/>
            <w:shd w:val="clear" w:color="auto" w:fill="FFFFFF"/>
            <w:vAlign w:val="center"/>
          </w:tcPr>
          <w:p w14:paraId="1FFDCE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53EE9DB1">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0C0CF61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双因素鉴别</w:t>
            </w:r>
          </w:p>
        </w:tc>
        <w:tc>
          <w:tcPr>
            <w:tcW w:w="3990" w:type="dxa"/>
            <w:shd w:val="clear" w:color="auto" w:fill="FFFFFF"/>
            <w:vAlign w:val="center"/>
          </w:tcPr>
          <w:p w14:paraId="47D0065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支持使用客户端证书和证书密码的双因素鉴别方式登录管理系统</w:t>
            </w:r>
          </w:p>
        </w:tc>
        <w:tc>
          <w:tcPr>
            <w:tcW w:w="1341" w:type="dxa"/>
            <w:shd w:val="clear" w:color="auto" w:fill="FFFFFF"/>
            <w:vAlign w:val="center"/>
          </w:tcPr>
          <w:p w14:paraId="449B28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A7F1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9" w:type="dxa"/>
            <w:shd w:val="clear" w:color="auto" w:fill="FFFFFF"/>
            <w:vAlign w:val="center"/>
          </w:tcPr>
          <w:p w14:paraId="3E09ED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92</w:t>
            </w:r>
          </w:p>
        </w:tc>
        <w:tc>
          <w:tcPr>
            <w:tcW w:w="981" w:type="dxa"/>
            <w:shd w:val="clear" w:color="auto" w:fill="FFFFFF"/>
            <w:vAlign w:val="center"/>
          </w:tcPr>
          <w:p w14:paraId="604D0CB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7C997C32">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3565247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★二次鉴别</w:t>
            </w:r>
          </w:p>
        </w:tc>
        <w:tc>
          <w:tcPr>
            <w:tcW w:w="3990" w:type="dxa"/>
            <w:shd w:val="clear" w:color="auto" w:fill="FFFFFF"/>
            <w:vAlign w:val="center"/>
          </w:tcPr>
          <w:p w14:paraId="6A2A989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支持二次鉴别功能。对于用户配置、权限配置、公钥导入等重要的管理操作，已登录用户应通过二次鉴别后，才能执行操作</w:t>
            </w:r>
          </w:p>
        </w:tc>
        <w:tc>
          <w:tcPr>
            <w:tcW w:w="1341" w:type="dxa"/>
            <w:shd w:val="clear" w:color="auto" w:fill="FFFFFF"/>
            <w:vAlign w:val="center"/>
          </w:tcPr>
          <w:p w14:paraId="3114F28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F1BE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9" w:type="dxa"/>
            <w:shd w:val="clear" w:color="auto" w:fill="FFFFFF"/>
            <w:vAlign w:val="center"/>
          </w:tcPr>
          <w:p w14:paraId="288B3DF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93</w:t>
            </w:r>
          </w:p>
        </w:tc>
        <w:tc>
          <w:tcPr>
            <w:tcW w:w="981" w:type="dxa"/>
            <w:shd w:val="clear" w:color="auto" w:fill="FFFFFF"/>
            <w:vAlign w:val="center"/>
          </w:tcPr>
          <w:p w14:paraId="5532B1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76CAF21F">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55AEAB8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匿名化用户告警接收邮箱</w:t>
            </w:r>
          </w:p>
        </w:tc>
        <w:tc>
          <w:tcPr>
            <w:tcW w:w="3990" w:type="dxa"/>
            <w:shd w:val="clear" w:color="auto" w:fill="FFFFFF"/>
            <w:vAlign w:val="center"/>
          </w:tcPr>
          <w:p w14:paraId="2B40688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支持带外管理系统中的用户告警接收邮箱进行匿名化处理</w:t>
            </w:r>
          </w:p>
        </w:tc>
        <w:tc>
          <w:tcPr>
            <w:tcW w:w="1341" w:type="dxa"/>
            <w:shd w:val="clear" w:color="auto" w:fill="FFFFFF"/>
            <w:vAlign w:val="center"/>
          </w:tcPr>
          <w:p w14:paraId="316BCD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83CF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9" w:type="dxa"/>
            <w:shd w:val="clear" w:color="auto" w:fill="FFFFFF"/>
            <w:vAlign w:val="center"/>
          </w:tcPr>
          <w:p w14:paraId="61F1B0A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94</w:t>
            </w:r>
          </w:p>
        </w:tc>
        <w:tc>
          <w:tcPr>
            <w:tcW w:w="981" w:type="dxa"/>
            <w:shd w:val="clear" w:color="auto" w:fill="FFFFFF"/>
            <w:vAlign w:val="center"/>
          </w:tcPr>
          <w:p w14:paraId="69B0E9C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56CAE0CC">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4E1D58F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★密码证书安全加密存储</w:t>
            </w:r>
          </w:p>
        </w:tc>
        <w:tc>
          <w:tcPr>
            <w:tcW w:w="3990" w:type="dxa"/>
            <w:shd w:val="clear" w:color="auto" w:fill="FFFFFF"/>
            <w:vAlign w:val="center"/>
          </w:tcPr>
          <w:p w14:paraId="37DB182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支持对带外管理系统中的用户口令和证书等敏感信息进行加密存储，禁止使用私有的和业界已知不安全的密码算法</w:t>
            </w:r>
          </w:p>
        </w:tc>
        <w:tc>
          <w:tcPr>
            <w:tcW w:w="1341" w:type="dxa"/>
            <w:shd w:val="clear" w:color="auto" w:fill="FFFFFF"/>
            <w:vAlign w:val="center"/>
          </w:tcPr>
          <w:p w14:paraId="38F598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FFA4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9" w:type="dxa"/>
            <w:shd w:val="clear" w:color="auto" w:fill="FFFFFF"/>
            <w:vAlign w:val="center"/>
          </w:tcPr>
          <w:p w14:paraId="602C6E5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95</w:t>
            </w:r>
          </w:p>
        </w:tc>
        <w:tc>
          <w:tcPr>
            <w:tcW w:w="981" w:type="dxa"/>
            <w:shd w:val="clear" w:color="auto" w:fill="FFFFFF"/>
            <w:vAlign w:val="center"/>
          </w:tcPr>
          <w:p w14:paraId="6F1EB2C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3DDDC66F">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63BFC70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★敏感信息安全加密传输</w:t>
            </w:r>
          </w:p>
        </w:tc>
        <w:tc>
          <w:tcPr>
            <w:tcW w:w="3990" w:type="dxa"/>
            <w:shd w:val="clear" w:color="auto" w:fill="FFFFFF"/>
            <w:vAlign w:val="center"/>
          </w:tcPr>
          <w:p w14:paraId="65A4D97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支持使用安全的传输加密协议（如SSH或HTTPS等）传输用户的敏感信息</w:t>
            </w:r>
          </w:p>
        </w:tc>
        <w:tc>
          <w:tcPr>
            <w:tcW w:w="1341" w:type="dxa"/>
            <w:shd w:val="clear" w:color="auto" w:fill="FFFFFF"/>
            <w:vAlign w:val="center"/>
          </w:tcPr>
          <w:p w14:paraId="1E1B91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BDF1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609" w:type="dxa"/>
            <w:shd w:val="clear" w:color="auto" w:fill="FFFFFF"/>
            <w:vAlign w:val="center"/>
          </w:tcPr>
          <w:p w14:paraId="4CFC07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96</w:t>
            </w:r>
          </w:p>
        </w:tc>
        <w:tc>
          <w:tcPr>
            <w:tcW w:w="981" w:type="dxa"/>
            <w:shd w:val="clear" w:color="auto" w:fill="FFFFFF"/>
            <w:vAlign w:val="center"/>
          </w:tcPr>
          <w:p w14:paraId="2DD7956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restart"/>
            <w:shd w:val="clear" w:color="auto" w:fill="FFFFFF"/>
            <w:vAlign w:val="center"/>
          </w:tcPr>
          <w:p w14:paraId="0F4BE4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信息安全要求</w:t>
            </w:r>
          </w:p>
        </w:tc>
        <w:tc>
          <w:tcPr>
            <w:tcW w:w="1593" w:type="dxa"/>
            <w:shd w:val="clear" w:color="auto" w:fill="FFFFFF"/>
            <w:vAlign w:val="center"/>
          </w:tcPr>
          <w:p w14:paraId="0879646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★研发过程安全</w:t>
            </w:r>
          </w:p>
        </w:tc>
        <w:tc>
          <w:tcPr>
            <w:tcW w:w="3990" w:type="dxa"/>
            <w:shd w:val="clear" w:color="auto" w:fill="FFFFFF"/>
            <w:vAlign w:val="center"/>
          </w:tcPr>
          <w:p w14:paraId="1AE3261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供应商承诺，生产商已建立从需求、设计、开发、测试、维护端到端的开发流程管理机制，输出和保存开发流程中每个阶段的产品需求清单、设计文档、开发文档、测试记录等材料，保证各个流程可追溯</w:t>
            </w:r>
            <w:r>
              <w:rPr>
                <w:rFonts w:hint="eastAsia"/>
                <w:b/>
                <w:bCs/>
              </w:rPr>
              <w:t>（需提供加盖投标人公章的承诺书</w:t>
            </w:r>
            <w:r>
              <w:rPr>
                <w:rFonts w:hint="eastAsia"/>
                <w:b/>
                <w:bCs/>
                <w:lang w:eastAsia="zh-CN"/>
              </w:rPr>
              <w:t>）</w:t>
            </w:r>
          </w:p>
        </w:tc>
        <w:tc>
          <w:tcPr>
            <w:tcW w:w="1341" w:type="dxa"/>
            <w:shd w:val="clear" w:color="auto" w:fill="FFFFFF"/>
            <w:vAlign w:val="center"/>
          </w:tcPr>
          <w:p w14:paraId="472A99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29082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9" w:type="dxa"/>
            <w:shd w:val="clear" w:color="auto" w:fill="FFFFFF"/>
            <w:vAlign w:val="center"/>
          </w:tcPr>
          <w:p w14:paraId="19A837D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97</w:t>
            </w:r>
          </w:p>
        </w:tc>
        <w:tc>
          <w:tcPr>
            <w:tcW w:w="981" w:type="dxa"/>
            <w:shd w:val="clear" w:color="auto" w:fill="FFFFFF"/>
            <w:vAlign w:val="center"/>
          </w:tcPr>
          <w:p w14:paraId="2A6078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2B42D59E">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23121CB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漏洞管理</w:t>
            </w:r>
          </w:p>
        </w:tc>
        <w:tc>
          <w:tcPr>
            <w:tcW w:w="3990" w:type="dxa"/>
            <w:shd w:val="clear" w:color="auto" w:fill="FFFFFF"/>
            <w:vAlign w:val="center"/>
          </w:tcPr>
          <w:p w14:paraId="6301EF9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供应商承诺，生产商已建立漏洞全量视图，保证产品版本涉及到的所有漏洞（如驱动程序、BMC软件等）都可以查看</w:t>
            </w:r>
            <w:r>
              <w:rPr>
                <w:rFonts w:hint="eastAsia"/>
                <w:b/>
                <w:bCs/>
              </w:rPr>
              <w:t>（需提供加盖投标人公章的承诺书</w:t>
            </w:r>
            <w:r>
              <w:rPr>
                <w:rFonts w:hint="eastAsia"/>
                <w:b/>
                <w:bCs/>
                <w:lang w:eastAsia="zh-CN"/>
              </w:rPr>
              <w:t>）</w:t>
            </w:r>
          </w:p>
        </w:tc>
        <w:tc>
          <w:tcPr>
            <w:tcW w:w="1341" w:type="dxa"/>
            <w:shd w:val="clear" w:color="auto" w:fill="FFFFFF"/>
            <w:vAlign w:val="center"/>
          </w:tcPr>
          <w:p w14:paraId="6D63470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42204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9" w:type="dxa"/>
            <w:shd w:val="clear" w:color="auto" w:fill="FFFFFF"/>
            <w:vAlign w:val="center"/>
          </w:tcPr>
          <w:p w14:paraId="6FB49A6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98</w:t>
            </w:r>
          </w:p>
        </w:tc>
        <w:tc>
          <w:tcPr>
            <w:tcW w:w="981" w:type="dxa"/>
            <w:shd w:val="clear" w:color="auto" w:fill="FFFFFF"/>
            <w:vAlign w:val="center"/>
          </w:tcPr>
          <w:p w14:paraId="5400AC6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1B8C9483">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19DC027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网络关键设备服务器要求</w:t>
            </w:r>
          </w:p>
        </w:tc>
        <w:tc>
          <w:tcPr>
            <w:tcW w:w="3990" w:type="dxa"/>
            <w:shd w:val="clear" w:color="auto" w:fill="FFFFFF"/>
            <w:vAlign w:val="center"/>
          </w:tcPr>
          <w:p w14:paraId="7C3F927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作为网络关键设备的服务器应符合GB40050的相关规定</w:t>
            </w:r>
          </w:p>
        </w:tc>
        <w:tc>
          <w:tcPr>
            <w:tcW w:w="1341" w:type="dxa"/>
            <w:shd w:val="clear" w:color="auto" w:fill="FFFFFF"/>
            <w:vAlign w:val="center"/>
          </w:tcPr>
          <w:p w14:paraId="294F12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1006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6" w:hRule="atLeast"/>
        </w:trPr>
        <w:tc>
          <w:tcPr>
            <w:tcW w:w="609" w:type="dxa"/>
            <w:shd w:val="clear" w:color="auto" w:fill="FFFFFF"/>
            <w:vAlign w:val="center"/>
          </w:tcPr>
          <w:p w14:paraId="72FF68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99</w:t>
            </w:r>
          </w:p>
        </w:tc>
        <w:tc>
          <w:tcPr>
            <w:tcW w:w="981" w:type="dxa"/>
            <w:shd w:val="clear" w:color="auto" w:fill="FFFFFF"/>
            <w:vAlign w:val="center"/>
          </w:tcPr>
          <w:p w14:paraId="06C8A0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61719239">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1DEB01A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增强要求</w:t>
            </w:r>
          </w:p>
        </w:tc>
        <w:tc>
          <w:tcPr>
            <w:tcW w:w="3990" w:type="dxa"/>
            <w:shd w:val="clear" w:color="auto" w:fill="FFFFFF"/>
            <w:vAlign w:val="center"/>
          </w:tcPr>
          <w:p w14:paraId="3C273DC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嵌入物理可信根，实现设备的信任链构建；b）支持可信平台控制模块（TPCM）；c）支持在固件系统（BMC、BIOS）启动前实现对固件度量的功能，支持物理可信根对BMC固件或BIOS固件进行完整性检测、更新和恢复；d）支持对CPU、网络控制器等关键处理器进行身份识别与度量的功能；e）支持基于处理器或可信计算模块度量的功能；f）所采用的可信密码模块接口应符合GM/T0012的相关规定；g）可信安全管理模块、处理器等硬件载体应通过国家相关部门的认证和许可</w:t>
            </w:r>
          </w:p>
        </w:tc>
        <w:tc>
          <w:tcPr>
            <w:tcW w:w="1341" w:type="dxa"/>
            <w:shd w:val="clear" w:color="auto" w:fill="FFFFFF"/>
            <w:vAlign w:val="center"/>
          </w:tcPr>
          <w:p w14:paraId="666E2BF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F47E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09" w:type="dxa"/>
            <w:shd w:val="clear" w:color="auto" w:fill="FFFFFF"/>
            <w:vAlign w:val="center"/>
          </w:tcPr>
          <w:p w14:paraId="1F3E7E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100</w:t>
            </w:r>
          </w:p>
        </w:tc>
        <w:tc>
          <w:tcPr>
            <w:tcW w:w="981" w:type="dxa"/>
            <w:shd w:val="clear" w:color="auto" w:fill="FFFFFF"/>
            <w:vAlign w:val="center"/>
          </w:tcPr>
          <w:p w14:paraId="5C901B3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shd w:val="clear" w:color="auto" w:fill="FFFFFF"/>
            <w:vAlign w:val="center"/>
          </w:tcPr>
          <w:p w14:paraId="08981EC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物理安全</w:t>
            </w:r>
          </w:p>
        </w:tc>
        <w:tc>
          <w:tcPr>
            <w:tcW w:w="1593" w:type="dxa"/>
            <w:shd w:val="clear" w:color="auto" w:fill="FFFFFF"/>
            <w:vAlign w:val="center"/>
          </w:tcPr>
          <w:p w14:paraId="36DC830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★物理安全</w:t>
            </w:r>
          </w:p>
        </w:tc>
        <w:tc>
          <w:tcPr>
            <w:tcW w:w="3990" w:type="dxa"/>
            <w:shd w:val="clear" w:color="auto" w:fill="FFFFFF"/>
            <w:vAlign w:val="center"/>
          </w:tcPr>
          <w:p w14:paraId="66A4343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安全要求应符合GB4943.1的规定</w:t>
            </w:r>
          </w:p>
        </w:tc>
        <w:tc>
          <w:tcPr>
            <w:tcW w:w="1341" w:type="dxa"/>
            <w:shd w:val="clear" w:color="auto" w:fill="FFFFFF"/>
            <w:vAlign w:val="center"/>
          </w:tcPr>
          <w:p w14:paraId="4B0971F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DD50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160CB1C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101</w:t>
            </w:r>
          </w:p>
        </w:tc>
        <w:tc>
          <w:tcPr>
            <w:tcW w:w="981" w:type="dxa"/>
            <w:shd w:val="clear" w:color="auto" w:fill="FFFFFF"/>
            <w:vAlign w:val="center"/>
          </w:tcPr>
          <w:p w14:paraId="686AD3F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shd w:val="clear" w:color="auto" w:fill="FFFFFF"/>
            <w:vAlign w:val="center"/>
          </w:tcPr>
          <w:p w14:paraId="7F2402C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限用物质的限量要求</w:t>
            </w:r>
          </w:p>
        </w:tc>
        <w:tc>
          <w:tcPr>
            <w:tcW w:w="1593" w:type="dxa"/>
            <w:shd w:val="clear" w:color="auto" w:fill="FFFFFF"/>
            <w:vAlign w:val="center"/>
          </w:tcPr>
          <w:p w14:paraId="624E928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★限用物质的限量要求</w:t>
            </w:r>
          </w:p>
        </w:tc>
        <w:tc>
          <w:tcPr>
            <w:tcW w:w="3990" w:type="dxa"/>
            <w:shd w:val="clear" w:color="auto" w:fill="FFFFFF"/>
            <w:vAlign w:val="center"/>
          </w:tcPr>
          <w:p w14:paraId="688C0A2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限用物质的限量应符合GB/T26572的要求</w:t>
            </w:r>
          </w:p>
        </w:tc>
        <w:tc>
          <w:tcPr>
            <w:tcW w:w="1341" w:type="dxa"/>
            <w:shd w:val="clear" w:color="auto" w:fill="FFFFFF"/>
            <w:vAlign w:val="center"/>
          </w:tcPr>
          <w:p w14:paraId="28E899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5C15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609" w:type="dxa"/>
            <w:shd w:val="clear" w:color="auto" w:fill="FFFFFF"/>
            <w:vAlign w:val="center"/>
          </w:tcPr>
          <w:p w14:paraId="1B8A685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102</w:t>
            </w:r>
          </w:p>
        </w:tc>
        <w:tc>
          <w:tcPr>
            <w:tcW w:w="981" w:type="dxa"/>
            <w:shd w:val="clear" w:color="auto" w:fill="FFFFFF"/>
            <w:vAlign w:val="center"/>
          </w:tcPr>
          <w:p w14:paraId="12F1BC4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restart"/>
            <w:shd w:val="clear" w:color="auto" w:fill="FFFFFF"/>
            <w:vAlign w:val="center"/>
          </w:tcPr>
          <w:p w14:paraId="60FF75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CPU性能</w:t>
            </w:r>
          </w:p>
        </w:tc>
        <w:tc>
          <w:tcPr>
            <w:tcW w:w="1593" w:type="dxa"/>
            <w:shd w:val="clear" w:color="auto" w:fill="FFFFFF"/>
            <w:vAlign w:val="center"/>
          </w:tcPr>
          <w:p w14:paraId="25B9396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★CPU主频</w:t>
            </w:r>
          </w:p>
        </w:tc>
        <w:tc>
          <w:tcPr>
            <w:tcW w:w="3990" w:type="dxa"/>
            <w:shd w:val="clear" w:color="auto" w:fill="FFFFFF"/>
            <w:vAlign w:val="center"/>
          </w:tcPr>
          <w:p w14:paraId="4D61606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≥2.2GHz</w:t>
            </w:r>
          </w:p>
        </w:tc>
        <w:tc>
          <w:tcPr>
            <w:tcW w:w="1341" w:type="dxa"/>
            <w:shd w:val="clear" w:color="auto" w:fill="FFFFFF"/>
            <w:vAlign w:val="center"/>
          </w:tcPr>
          <w:p w14:paraId="7D60588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5245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70260E6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103</w:t>
            </w:r>
          </w:p>
        </w:tc>
        <w:tc>
          <w:tcPr>
            <w:tcW w:w="981" w:type="dxa"/>
            <w:shd w:val="clear" w:color="auto" w:fill="FFFFFF"/>
            <w:vAlign w:val="center"/>
          </w:tcPr>
          <w:p w14:paraId="3B02C39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continue"/>
            <w:shd w:val="clear" w:color="auto" w:fill="FFFFFF"/>
            <w:vAlign w:val="center"/>
          </w:tcPr>
          <w:p w14:paraId="44E008C4">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119D962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★单CPU核数</w:t>
            </w:r>
          </w:p>
        </w:tc>
        <w:tc>
          <w:tcPr>
            <w:tcW w:w="3990" w:type="dxa"/>
            <w:shd w:val="clear" w:color="auto" w:fill="FFFFFF"/>
            <w:vAlign w:val="center"/>
          </w:tcPr>
          <w:p w14:paraId="3CEFFEC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≥24核；</w:t>
            </w:r>
            <w:r>
              <w:rPr>
                <w:rFonts w:hint="eastAsia" w:asciiTheme="minorEastAsia" w:hAnsiTheme="minorEastAsia" w:eastAsiaTheme="minorEastAsia" w:cstheme="minorEastAsia"/>
                <w:sz w:val="24"/>
              </w:rPr>
              <w:t>≥2颗</w:t>
            </w:r>
          </w:p>
        </w:tc>
        <w:tc>
          <w:tcPr>
            <w:tcW w:w="1341" w:type="dxa"/>
            <w:shd w:val="clear" w:color="auto" w:fill="FFFFFF"/>
            <w:vAlign w:val="center"/>
          </w:tcPr>
          <w:p w14:paraId="23D373E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E5C4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12DA8D1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104</w:t>
            </w:r>
          </w:p>
        </w:tc>
        <w:tc>
          <w:tcPr>
            <w:tcW w:w="981" w:type="dxa"/>
            <w:shd w:val="clear" w:color="auto" w:fill="FFFFFF"/>
            <w:vAlign w:val="center"/>
          </w:tcPr>
          <w:p w14:paraId="5964E8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continue"/>
            <w:shd w:val="clear" w:color="auto" w:fill="FFFFFF"/>
            <w:vAlign w:val="center"/>
          </w:tcPr>
          <w:p w14:paraId="4AF1E350">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4A99260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★单CPU末级缓存容量</w:t>
            </w:r>
          </w:p>
        </w:tc>
        <w:tc>
          <w:tcPr>
            <w:tcW w:w="3990" w:type="dxa"/>
            <w:shd w:val="clear" w:color="auto" w:fill="FFFFFF"/>
            <w:vAlign w:val="center"/>
          </w:tcPr>
          <w:p w14:paraId="111885C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≥8MB</w:t>
            </w:r>
          </w:p>
        </w:tc>
        <w:tc>
          <w:tcPr>
            <w:tcW w:w="1341" w:type="dxa"/>
            <w:shd w:val="clear" w:color="auto" w:fill="FFFFFF"/>
            <w:vAlign w:val="center"/>
          </w:tcPr>
          <w:p w14:paraId="69F9D7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CE3C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09" w:type="dxa"/>
            <w:shd w:val="clear" w:color="auto" w:fill="FFFFFF"/>
            <w:vAlign w:val="center"/>
          </w:tcPr>
          <w:p w14:paraId="676B160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105</w:t>
            </w:r>
          </w:p>
        </w:tc>
        <w:tc>
          <w:tcPr>
            <w:tcW w:w="981" w:type="dxa"/>
            <w:shd w:val="clear" w:color="auto" w:fill="FFFFFF"/>
            <w:vAlign w:val="center"/>
          </w:tcPr>
          <w:p w14:paraId="14AB450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restart"/>
            <w:shd w:val="clear" w:color="auto" w:fill="FFFFFF"/>
            <w:vAlign w:val="center"/>
          </w:tcPr>
          <w:p w14:paraId="458F733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内存性能</w:t>
            </w:r>
          </w:p>
        </w:tc>
        <w:tc>
          <w:tcPr>
            <w:tcW w:w="1593" w:type="dxa"/>
            <w:shd w:val="clear" w:color="auto" w:fill="FFFFFF"/>
            <w:vAlign w:val="center"/>
          </w:tcPr>
          <w:p w14:paraId="5F3E796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★单内存模块容量</w:t>
            </w:r>
          </w:p>
        </w:tc>
        <w:tc>
          <w:tcPr>
            <w:tcW w:w="3990" w:type="dxa"/>
            <w:shd w:val="clear" w:color="auto" w:fill="FFFFFF"/>
            <w:vAlign w:val="center"/>
          </w:tcPr>
          <w:p w14:paraId="1FB3361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≥32GB；</w:t>
            </w:r>
          </w:p>
        </w:tc>
        <w:tc>
          <w:tcPr>
            <w:tcW w:w="1341" w:type="dxa"/>
            <w:shd w:val="clear" w:color="auto" w:fill="FFFFFF"/>
            <w:vAlign w:val="center"/>
          </w:tcPr>
          <w:p w14:paraId="00CB201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8C19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09" w:type="dxa"/>
            <w:shd w:val="clear" w:color="auto" w:fill="FFFFFF"/>
            <w:vAlign w:val="center"/>
          </w:tcPr>
          <w:p w14:paraId="5473721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106</w:t>
            </w:r>
          </w:p>
        </w:tc>
        <w:tc>
          <w:tcPr>
            <w:tcW w:w="981" w:type="dxa"/>
            <w:shd w:val="clear" w:color="auto" w:fill="FFFFFF"/>
            <w:vAlign w:val="center"/>
          </w:tcPr>
          <w:p w14:paraId="7A644C7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continue"/>
            <w:shd w:val="clear" w:color="auto" w:fill="FFFFFF"/>
            <w:vAlign w:val="center"/>
          </w:tcPr>
          <w:p w14:paraId="778EB988">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41E1E00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★内存速率</w:t>
            </w:r>
          </w:p>
        </w:tc>
        <w:tc>
          <w:tcPr>
            <w:tcW w:w="3990" w:type="dxa"/>
            <w:shd w:val="clear" w:color="auto" w:fill="FFFFFF"/>
            <w:vAlign w:val="center"/>
          </w:tcPr>
          <w:p w14:paraId="116A7EF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≥3200MT/s</w:t>
            </w:r>
          </w:p>
        </w:tc>
        <w:tc>
          <w:tcPr>
            <w:tcW w:w="1341" w:type="dxa"/>
            <w:shd w:val="clear" w:color="auto" w:fill="FFFFFF"/>
            <w:vAlign w:val="center"/>
          </w:tcPr>
          <w:p w14:paraId="65029F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439F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09" w:type="dxa"/>
            <w:shd w:val="clear" w:color="auto" w:fill="FFFFFF"/>
            <w:vAlign w:val="center"/>
          </w:tcPr>
          <w:p w14:paraId="613BF10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107</w:t>
            </w:r>
          </w:p>
        </w:tc>
        <w:tc>
          <w:tcPr>
            <w:tcW w:w="981" w:type="dxa"/>
            <w:shd w:val="clear" w:color="auto" w:fill="FFFFFF"/>
            <w:vAlign w:val="center"/>
          </w:tcPr>
          <w:p w14:paraId="475B3A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shd w:val="clear" w:color="auto" w:fill="FFFFFF"/>
            <w:vAlign w:val="center"/>
          </w:tcPr>
          <w:p w14:paraId="265243E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存储性能</w:t>
            </w:r>
          </w:p>
        </w:tc>
        <w:tc>
          <w:tcPr>
            <w:tcW w:w="1593" w:type="dxa"/>
            <w:shd w:val="clear" w:color="auto" w:fill="FFFFFF"/>
            <w:vAlign w:val="center"/>
          </w:tcPr>
          <w:p w14:paraId="675C2A3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硬盘转速</w:t>
            </w:r>
          </w:p>
        </w:tc>
        <w:tc>
          <w:tcPr>
            <w:tcW w:w="3990" w:type="dxa"/>
            <w:shd w:val="clear" w:color="auto" w:fill="FFFFFF"/>
            <w:vAlign w:val="center"/>
          </w:tcPr>
          <w:p w14:paraId="18732A8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安装的硬磁盘转速不小于7200rpm</w:t>
            </w:r>
          </w:p>
        </w:tc>
        <w:tc>
          <w:tcPr>
            <w:tcW w:w="1341" w:type="dxa"/>
            <w:shd w:val="clear" w:color="auto" w:fill="FFFFFF"/>
            <w:vAlign w:val="center"/>
          </w:tcPr>
          <w:p w14:paraId="298D8C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06B2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5CDD5F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108</w:t>
            </w:r>
          </w:p>
        </w:tc>
        <w:tc>
          <w:tcPr>
            <w:tcW w:w="981" w:type="dxa"/>
            <w:shd w:val="clear" w:color="auto" w:fill="FFFFFF"/>
            <w:vAlign w:val="center"/>
          </w:tcPr>
          <w:p w14:paraId="2098D8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shd w:val="clear" w:color="auto" w:fill="FFFFFF"/>
            <w:vAlign w:val="center"/>
          </w:tcPr>
          <w:p w14:paraId="3DEE20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RAID卡性能</w:t>
            </w:r>
          </w:p>
        </w:tc>
        <w:tc>
          <w:tcPr>
            <w:tcW w:w="1593" w:type="dxa"/>
            <w:shd w:val="clear" w:color="auto" w:fill="FFFFFF"/>
            <w:vAlign w:val="center"/>
          </w:tcPr>
          <w:p w14:paraId="12C9CD6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RAID卡缓存容量大小</w:t>
            </w:r>
          </w:p>
        </w:tc>
        <w:tc>
          <w:tcPr>
            <w:tcW w:w="3990" w:type="dxa"/>
            <w:shd w:val="clear" w:color="auto" w:fill="FFFFFF"/>
            <w:vAlign w:val="center"/>
          </w:tcPr>
          <w:p w14:paraId="2BC107F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≥2GB</w:t>
            </w:r>
          </w:p>
        </w:tc>
        <w:tc>
          <w:tcPr>
            <w:tcW w:w="1341" w:type="dxa"/>
            <w:shd w:val="clear" w:color="auto" w:fill="FFFFFF"/>
            <w:vAlign w:val="center"/>
          </w:tcPr>
          <w:p w14:paraId="5F88D38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6C91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5988393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109</w:t>
            </w:r>
          </w:p>
        </w:tc>
        <w:tc>
          <w:tcPr>
            <w:tcW w:w="981" w:type="dxa"/>
            <w:shd w:val="clear" w:color="auto" w:fill="FFFFFF"/>
            <w:vAlign w:val="center"/>
          </w:tcPr>
          <w:p w14:paraId="44B267B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shd w:val="clear" w:color="auto" w:fill="FFFFFF"/>
            <w:vAlign w:val="center"/>
          </w:tcPr>
          <w:p w14:paraId="05098E9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FCHBA卡性能</w:t>
            </w:r>
          </w:p>
        </w:tc>
        <w:tc>
          <w:tcPr>
            <w:tcW w:w="1593" w:type="dxa"/>
            <w:shd w:val="clear" w:color="auto" w:fill="FFFFFF"/>
            <w:vAlign w:val="center"/>
          </w:tcPr>
          <w:p w14:paraId="31EBB46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FCHBA卡速率</w:t>
            </w:r>
          </w:p>
        </w:tc>
        <w:tc>
          <w:tcPr>
            <w:tcW w:w="3990" w:type="dxa"/>
            <w:shd w:val="clear" w:color="auto" w:fill="FFFFFF"/>
            <w:vAlign w:val="center"/>
          </w:tcPr>
          <w:p w14:paraId="7B2D110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若配备FCHBA卡，单端口最大的连接速率≥8Gb/s（不涉及）</w:t>
            </w:r>
          </w:p>
        </w:tc>
        <w:tc>
          <w:tcPr>
            <w:tcW w:w="1341" w:type="dxa"/>
            <w:shd w:val="clear" w:color="auto" w:fill="FFFFFF"/>
            <w:vAlign w:val="center"/>
          </w:tcPr>
          <w:p w14:paraId="2DB9BCB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1905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0984F7A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110</w:t>
            </w:r>
          </w:p>
        </w:tc>
        <w:tc>
          <w:tcPr>
            <w:tcW w:w="981" w:type="dxa"/>
            <w:shd w:val="clear" w:color="auto" w:fill="FFFFFF"/>
            <w:vAlign w:val="center"/>
          </w:tcPr>
          <w:p w14:paraId="1CE4DAB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restart"/>
            <w:shd w:val="clear" w:color="auto" w:fill="FFFFFF"/>
            <w:vAlign w:val="center"/>
          </w:tcPr>
          <w:p w14:paraId="4992B62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网络性能</w:t>
            </w:r>
          </w:p>
        </w:tc>
        <w:tc>
          <w:tcPr>
            <w:tcW w:w="1593" w:type="dxa"/>
            <w:shd w:val="clear" w:color="auto" w:fill="FFFFFF"/>
            <w:vAlign w:val="center"/>
          </w:tcPr>
          <w:p w14:paraId="314BEF7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独立网卡速率</w:t>
            </w:r>
          </w:p>
        </w:tc>
        <w:tc>
          <w:tcPr>
            <w:tcW w:w="3990" w:type="dxa"/>
            <w:shd w:val="clear" w:color="auto" w:fill="FFFFFF"/>
            <w:vAlign w:val="center"/>
          </w:tcPr>
          <w:p w14:paraId="5EDE8DF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端口速率≥10GE</w:t>
            </w:r>
          </w:p>
        </w:tc>
        <w:tc>
          <w:tcPr>
            <w:tcW w:w="1341" w:type="dxa"/>
            <w:shd w:val="clear" w:color="auto" w:fill="FFFFFF"/>
            <w:vAlign w:val="center"/>
          </w:tcPr>
          <w:p w14:paraId="08376E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EEF8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417D5C5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111</w:t>
            </w:r>
          </w:p>
        </w:tc>
        <w:tc>
          <w:tcPr>
            <w:tcW w:w="981" w:type="dxa"/>
            <w:shd w:val="clear" w:color="auto" w:fill="FFFFFF"/>
            <w:vAlign w:val="center"/>
          </w:tcPr>
          <w:p w14:paraId="529EF42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continue"/>
            <w:shd w:val="clear" w:color="auto" w:fill="FFFFFF"/>
            <w:vAlign w:val="center"/>
          </w:tcPr>
          <w:p w14:paraId="2590B0A7">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39CB3BE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板载网卡速率</w:t>
            </w:r>
          </w:p>
        </w:tc>
        <w:tc>
          <w:tcPr>
            <w:tcW w:w="3990" w:type="dxa"/>
            <w:shd w:val="clear" w:color="auto" w:fill="FFFFFF"/>
            <w:vAlign w:val="center"/>
          </w:tcPr>
          <w:p w14:paraId="1909551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端口速率≥1GE</w:t>
            </w:r>
          </w:p>
        </w:tc>
        <w:tc>
          <w:tcPr>
            <w:tcW w:w="1341" w:type="dxa"/>
            <w:shd w:val="clear" w:color="auto" w:fill="FFFFFF"/>
            <w:vAlign w:val="center"/>
          </w:tcPr>
          <w:p w14:paraId="30BE3C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FA45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09" w:type="dxa"/>
            <w:shd w:val="clear" w:color="auto" w:fill="FFFFFF"/>
            <w:vAlign w:val="center"/>
          </w:tcPr>
          <w:p w14:paraId="15CDC0C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112</w:t>
            </w:r>
          </w:p>
        </w:tc>
        <w:tc>
          <w:tcPr>
            <w:tcW w:w="981" w:type="dxa"/>
            <w:shd w:val="clear" w:color="auto" w:fill="FFFFFF"/>
            <w:vAlign w:val="center"/>
          </w:tcPr>
          <w:p w14:paraId="41AB2E2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shd w:val="clear" w:color="auto" w:fill="FFFFFF"/>
            <w:vAlign w:val="center"/>
          </w:tcPr>
          <w:p w14:paraId="3D54BE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电源能耗</w:t>
            </w:r>
          </w:p>
        </w:tc>
        <w:tc>
          <w:tcPr>
            <w:tcW w:w="1593" w:type="dxa"/>
            <w:shd w:val="clear" w:color="auto" w:fill="FFFFFF"/>
            <w:vAlign w:val="center"/>
          </w:tcPr>
          <w:p w14:paraId="63CE0B9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★电源能耗</w:t>
            </w:r>
          </w:p>
        </w:tc>
        <w:tc>
          <w:tcPr>
            <w:tcW w:w="3990" w:type="dxa"/>
            <w:shd w:val="clear" w:color="auto" w:fill="FFFFFF"/>
            <w:vAlign w:val="center"/>
          </w:tcPr>
          <w:p w14:paraId="3342A7F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符合GB/T9813.3的有关规定</w:t>
            </w:r>
          </w:p>
        </w:tc>
        <w:tc>
          <w:tcPr>
            <w:tcW w:w="1341" w:type="dxa"/>
            <w:shd w:val="clear" w:color="auto" w:fill="FFFFFF"/>
            <w:vAlign w:val="center"/>
          </w:tcPr>
          <w:p w14:paraId="300447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ECF9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4807E4B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113</w:t>
            </w:r>
          </w:p>
        </w:tc>
        <w:tc>
          <w:tcPr>
            <w:tcW w:w="981" w:type="dxa"/>
            <w:shd w:val="clear" w:color="auto" w:fill="FFFFFF"/>
            <w:vAlign w:val="center"/>
          </w:tcPr>
          <w:p w14:paraId="7677BE3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restart"/>
            <w:shd w:val="clear" w:color="auto" w:fill="FFFFFF"/>
            <w:vAlign w:val="center"/>
          </w:tcPr>
          <w:p w14:paraId="70962C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部件兼容性要求</w:t>
            </w:r>
          </w:p>
        </w:tc>
        <w:tc>
          <w:tcPr>
            <w:tcW w:w="1593" w:type="dxa"/>
            <w:shd w:val="clear" w:color="auto" w:fill="FFFFFF"/>
            <w:noWrap/>
            <w:vAlign w:val="center"/>
          </w:tcPr>
          <w:p w14:paraId="0F1884A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内存兼容性</w:t>
            </w:r>
          </w:p>
        </w:tc>
        <w:tc>
          <w:tcPr>
            <w:tcW w:w="3990" w:type="dxa"/>
            <w:shd w:val="clear" w:color="auto" w:fill="FFFFFF"/>
            <w:vAlign w:val="center"/>
          </w:tcPr>
          <w:p w14:paraId="510FD93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适配3种及以上厂商的内存产品，且均不低于产品支持的内存规格</w:t>
            </w:r>
          </w:p>
        </w:tc>
        <w:tc>
          <w:tcPr>
            <w:tcW w:w="1341" w:type="dxa"/>
            <w:shd w:val="clear" w:color="auto" w:fill="FFFFFF"/>
            <w:vAlign w:val="center"/>
          </w:tcPr>
          <w:p w14:paraId="1289B75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67BF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75FF382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114</w:t>
            </w:r>
          </w:p>
        </w:tc>
        <w:tc>
          <w:tcPr>
            <w:tcW w:w="981" w:type="dxa"/>
            <w:shd w:val="clear" w:color="auto" w:fill="FFFFFF"/>
            <w:vAlign w:val="center"/>
          </w:tcPr>
          <w:p w14:paraId="1BDA25A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42C7C8A1">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2478128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★固态存储兼容性</w:t>
            </w:r>
          </w:p>
        </w:tc>
        <w:tc>
          <w:tcPr>
            <w:tcW w:w="3990" w:type="dxa"/>
            <w:shd w:val="clear" w:color="auto" w:fill="FFFFFF"/>
            <w:vAlign w:val="center"/>
          </w:tcPr>
          <w:p w14:paraId="6FB55AE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适配3种或以上厂商的固态存储产品，且均不低于产品支持的固态存储设备规格</w:t>
            </w:r>
          </w:p>
        </w:tc>
        <w:tc>
          <w:tcPr>
            <w:tcW w:w="1341" w:type="dxa"/>
            <w:shd w:val="clear" w:color="auto" w:fill="FFFFFF"/>
            <w:vAlign w:val="center"/>
          </w:tcPr>
          <w:p w14:paraId="2F4FB9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A554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9" w:type="dxa"/>
            <w:shd w:val="clear" w:color="auto" w:fill="FFFFFF"/>
            <w:vAlign w:val="center"/>
          </w:tcPr>
          <w:p w14:paraId="13F7BFF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115</w:t>
            </w:r>
          </w:p>
        </w:tc>
        <w:tc>
          <w:tcPr>
            <w:tcW w:w="981" w:type="dxa"/>
            <w:shd w:val="clear" w:color="auto" w:fill="FFFFFF"/>
            <w:vAlign w:val="center"/>
          </w:tcPr>
          <w:p w14:paraId="139689E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4B4FA6E2">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2B75729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FCHBA卡兼容性</w:t>
            </w:r>
          </w:p>
        </w:tc>
        <w:tc>
          <w:tcPr>
            <w:tcW w:w="3990" w:type="dxa"/>
            <w:shd w:val="clear" w:color="auto" w:fill="FFFFFF"/>
            <w:vAlign w:val="center"/>
          </w:tcPr>
          <w:p w14:paraId="381C884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FCHBA应适配两种或以上厂商产品</w:t>
            </w:r>
          </w:p>
        </w:tc>
        <w:tc>
          <w:tcPr>
            <w:tcW w:w="1341" w:type="dxa"/>
            <w:shd w:val="clear" w:color="auto" w:fill="FFFFFF"/>
            <w:vAlign w:val="center"/>
          </w:tcPr>
          <w:p w14:paraId="7393311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05B6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63A5C7F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116</w:t>
            </w:r>
          </w:p>
        </w:tc>
        <w:tc>
          <w:tcPr>
            <w:tcW w:w="981" w:type="dxa"/>
            <w:shd w:val="clear" w:color="auto" w:fill="FFFFFF"/>
            <w:vAlign w:val="center"/>
          </w:tcPr>
          <w:p w14:paraId="7FA0B74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58EA6301">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2BAD31E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RAID卡兼容性</w:t>
            </w:r>
          </w:p>
        </w:tc>
        <w:tc>
          <w:tcPr>
            <w:tcW w:w="3990" w:type="dxa"/>
            <w:shd w:val="clear" w:color="auto" w:fill="FFFFFF"/>
            <w:vAlign w:val="center"/>
          </w:tcPr>
          <w:p w14:paraId="1CCE53C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RAID卡应适配两种或以上厂商产品</w:t>
            </w:r>
          </w:p>
        </w:tc>
        <w:tc>
          <w:tcPr>
            <w:tcW w:w="1341" w:type="dxa"/>
            <w:shd w:val="clear" w:color="auto" w:fill="FFFFFF"/>
            <w:vAlign w:val="center"/>
          </w:tcPr>
          <w:p w14:paraId="10AE81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9730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4064BF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117</w:t>
            </w:r>
          </w:p>
        </w:tc>
        <w:tc>
          <w:tcPr>
            <w:tcW w:w="981" w:type="dxa"/>
            <w:shd w:val="clear" w:color="auto" w:fill="FFFFFF"/>
            <w:vAlign w:val="center"/>
          </w:tcPr>
          <w:p w14:paraId="367EB2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restart"/>
            <w:shd w:val="clear" w:color="auto" w:fill="FFFFFF"/>
            <w:vAlign w:val="center"/>
          </w:tcPr>
          <w:p w14:paraId="4B66C94B">
            <w:pPr>
              <w:widowControl/>
              <w:jc w:val="center"/>
              <w:rPr>
                <w:rFonts w:asciiTheme="minorEastAsia" w:hAnsiTheme="minorEastAsia" w:eastAsiaTheme="minorEastAsia" w:cstheme="minorEastAsia"/>
                <w:kern w:val="0"/>
                <w:sz w:val="24"/>
              </w:rPr>
            </w:pPr>
          </w:p>
        </w:tc>
        <w:tc>
          <w:tcPr>
            <w:tcW w:w="1593" w:type="dxa"/>
            <w:shd w:val="clear" w:color="auto" w:fill="FFFFFF"/>
            <w:vAlign w:val="center"/>
          </w:tcPr>
          <w:p w14:paraId="453EA71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★网卡兼容性</w:t>
            </w:r>
          </w:p>
        </w:tc>
        <w:tc>
          <w:tcPr>
            <w:tcW w:w="3990" w:type="dxa"/>
            <w:shd w:val="clear" w:color="auto" w:fill="FFFFFF"/>
            <w:vAlign w:val="center"/>
          </w:tcPr>
          <w:p w14:paraId="3626E83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网卡应适配两种或以上厂商产品</w:t>
            </w:r>
          </w:p>
        </w:tc>
        <w:tc>
          <w:tcPr>
            <w:tcW w:w="1341" w:type="dxa"/>
            <w:shd w:val="clear" w:color="auto" w:fill="FFFFFF"/>
            <w:vAlign w:val="center"/>
          </w:tcPr>
          <w:p w14:paraId="093583A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669B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9" w:type="dxa"/>
            <w:shd w:val="clear" w:color="auto" w:fill="FFFFFF"/>
            <w:vAlign w:val="center"/>
          </w:tcPr>
          <w:p w14:paraId="0450143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118</w:t>
            </w:r>
          </w:p>
        </w:tc>
        <w:tc>
          <w:tcPr>
            <w:tcW w:w="981" w:type="dxa"/>
            <w:shd w:val="clear" w:color="auto" w:fill="FFFFFF"/>
            <w:vAlign w:val="center"/>
          </w:tcPr>
          <w:p w14:paraId="0EDAC0E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513B634E">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2090139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★功能卡兼容性</w:t>
            </w:r>
          </w:p>
        </w:tc>
        <w:tc>
          <w:tcPr>
            <w:tcW w:w="3990" w:type="dxa"/>
            <w:shd w:val="clear" w:color="auto" w:fill="FFFFFF"/>
            <w:vAlign w:val="center"/>
          </w:tcPr>
          <w:p w14:paraId="044C1F9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内置或适配符合PCIe的功能卡，如：网络功能卡、存储功能卡及图形显示功能卡</w:t>
            </w:r>
          </w:p>
        </w:tc>
        <w:tc>
          <w:tcPr>
            <w:tcW w:w="1341" w:type="dxa"/>
            <w:shd w:val="clear" w:color="auto" w:fill="FFFFFF"/>
            <w:vAlign w:val="center"/>
          </w:tcPr>
          <w:p w14:paraId="700C7FA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169A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09" w:type="dxa"/>
            <w:shd w:val="clear" w:color="auto" w:fill="FFFFFF"/>
            <w:vAlign w:val="center"/>
          </w:tcPr>
          <w:p w14:paraId="18C9DE0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119</w:t>
            </w:r>
          </w:p>
        </w:tc>
        <w:tc>
          <w:tcPr>
            <w:tcW w:w="981" w:type="dxa"/>
            <w:shd w:val="clear" w:color="auto" w:fill="FFFFFF"/>
            <w:vAlign w:val="center"/>
          </w:tcPr>
          <w:p w14:paraId="02B066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shd w:val="clear" w:color="auto" w:fill="FFFFFF"/>
            <w:vAlign w:val="center"/>
          </w:tcPr>
          <w:p w14:paraId="3B2D07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外设兼容性</w:t>
            </w:r>
          </w:p>
        </w:tc>
        <w:tc>
          <w:tcPr>
            <w:tcW w:w="1593" w:type="dxa"/>
            <w:shd w:val="clear" w:color="auto" w:fill="FFFFFF"/>
            <w:vAlign w:val="center"/>
          </w:tcPr>
          <w:p w14:paraId="6F7379B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★外设兼容性</w:t>
            </w:r>
          </w:p>
        </w:tc>
        <w:tc>
          <w:tcPr>
            <w:tcW w:w="3990" w:type="dxa"/>
            <w:shd w:val="clear" w:color="auto" w:fill="FFFFFF"/>
            <w:vAlign w:val="center"/>
          </w:tcPr>
          <w:p w14:paraId="4D74233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兼容多种主流生产商的外部设备，包括显示器、键盘、鼠标、闪存盘、移动硬盘、USB光驱及KVM等，要求使用不同厂商的外部设备时，系统均能正常识别和安装驱动</w:t>
            </w:r>
          </w:p>
        </w:tc>
        <w:tc>
          <w:tcPr>
            <w:tcW w:w="1341" w:type="dxa"/>
            <w:shd w:val="clear" w:color="auto" w:fill="FFFFFF"/>
            <w:vAlign w:val="center"/>
          </w:tcPr>
          <w:p w14:paraId="1D12DC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A10C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11F5F5B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120</w:t>
            </w:r>
          </w:p>
        </w:tc>
        <w:tc>
          <w:tcPr>
            <w:tcW w:w="981" w:type="dxa"/>
            <w:shd w:val="clear" w:color="auto" w:fill="FFFFFF"/>
            <w:vAlign w:val="center"/>
          </w:tcPr>
          <w:p w14:paraId="00B500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restart"/>
            <w:shd w:val="clear" w:color="auto" w:fill="FFFFFF"/>
            <w:vAlign w:val="center"/>
          </w:tcPr>
          <w:p w14:paraId="1D72B4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软件兼容性</w:t>
            </w:r>
          </w:p>
        </w:tc>
        <w:tc>
          <w:tcPr>
            <w:tcW w:w="1593" w:type="dxa"/>
            <w:shd w:val="clear" w:color="auto" w:fill="FFFFFF"/>
            <w:vAlign w:val="center"/>
          </w:tcPr>
          <w:p w14:paraId="769592F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★数据库兼容</w:t>
            </w:r>
          </w:p>
        </w:tc>
        <w:tc>
          <w:tcPr>
            <w:tcW w:w="3990" w:type="dxa"/>
            <w:shd w:val="clear" w:color="auto" w:fill="FFFFFF"/>
            <w:vAlign w:val="center"/>
          </w:tcPr>
          <w:p w14:paraId="05413E2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兼容3个及以上厂商的数据库产品</w:t>
            </w:r>
          </w:p>
        </w:tc>
        <w:tc>
          <w:tcPr>
            <w:tcW w:w="1341" w:type="dxa"/>
            <w:shd w:val="clear" w:color="auto" w:fill="FFFFFF"/>
            <w:vAlign w:val="center"/>
          </w:tcPr>
          <w:p w14:paraId="7C2404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1BED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09DFCD6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121</w:t>
            </w:r>
          </w:p>
        </w:tc>
        <w:tc>
          <w:tcPr>
            <w:tcW w:w="981" w:type="dxa"/>
            <w:shd w:val="clear" w:color="auto" w:fill="FFFFFF"/>
            <w:vAlign w:val="center"/>
          </w:tcPr>
          <w:p w14:paraId="6F0B287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0FAE6208">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17FB540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★中间件兼容</w:t>
            </w:r>
          </w:p>
        </w:tc>
        <w:tc>
          <w:tcPr>
            <w:tcW w:w="3990" w:type="dxa"/>
            <w:shd w:val="clear" w:color="auto" w:fill="FFFFFF"/>
            <w:vAlign w:val="center"/>
          </w:tcPr>
          <w:p w14:paraId="40EEF59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兼容3个及以上厂商的中间件产品</w:t>
            </w:r>
          </w:p>
        </w:tc>
        <w:tc>
          <w:tcPr>
            <w:tcW w:w="1341" w:type="dxa"/>
            <w:shd w:val="clear" w:color="auto" w:fill="FFFFFF"/>
            <w:vAlign w:val="center"/>
          </w:tcPr>
          <w:p w14:paraId="7F0C8E7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2EDE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3FF93A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122</w:t>
            </w:r>
          </w:p>
        </w:tc>
        <w:tc>
          <w:tcPr>
            <w:tcW w:w="981" w:type="dxa"/>
            <w:shd w:val="clear" w:color="auto" w:fill="FFFFFF"/>
            <w:vAlign w:val="center"/>
          </w:tcPr>
          <w:p w14:paraId="79331B0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4C83FE05">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77E024B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★平台软件兼容</w:t>
            </w:r>
          </w:p>
        </w:tc>
        <w:tc>
          <w:tcPr>
            <w:tcW w:w="3990" w:type="dxa"/>
            <w:shd w:val="clear" w:color="auto" w:fill="FFFFFF"/>
            <w:vAlign w:val="center"/>
          </w:tcPr>
          <w:p w14:paraId="6087605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兼容3个及以上厂商的大数据平台</w:t>
            </w:r>
          </w:p>
        </w:tc>
        <w:tc>
          <w:tcPr>
            <w:tcW w:w="1341" w:type="dxa"/>
            <w:shd w:val="clear" w:color="auto" w:fill="FFFFFF"/>
            <w:vAlign w:val="center"/>
          </w:tcPr>
          <w:p w14:paraId="4DBA3AC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F2F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3085DC4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123</w:t>
            </w:r>
          </w:p>
        </w:tc>
        <w:tc>
          <w:tcPr>
            <w:tcW w:w="981" w:type="dxa"/>
            <w:shd w:val="clear" w:color="auto" w:fill="FFFFFF"/>
            <w:vAlign w:val="center"/>
          </w:tcPr>
          <w:p w14:paraId="38F053F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034A0202">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2965B3B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虚拟化软件兼容</w:t>
            </w:r>
          </w:p>
        </w:tc>
        <w:tc>
          <w:tcPr>
            <w:tcW w:w="3990" w:type="dxa"/>
            <w:shd w:val="clear" w:color="auto" w:fill="FFFFFF"/>
            <w:vAlign w:val="center"/>
          </w:tcPr>
          <w:p w14:paraId="7951B5C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兼容2款及以上虚拟化软件</w:t>
            </w:r>
          </w:p>
        </w:tc>
        <w:tc>
          <w:tcPr>
            <w:tcW w:w="1341" w:type="dxa"/>
            <w:shd w:val="clear" w:color="auto" w:fill="FFFFFF"/>
            <w:vAlign w:val="center"/>
          </w:tcPr>
          <w:p w14:paraId="454F5A9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A1DD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1DDD06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124</w:t>
            </w:r>
          </w:p>
        </w:tc>
        <w:tc>
          <w:tcPr>
            <w:tcW w:w="981" w:type="dxa"/>
            <w:shd w:val="clear" w:color="auto" w:fill="FFFFFF"/>
            <w:vAlign w:val="center"/>
          </w:tcPr>
          <w:p w14:paraId="6E8AF68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81" w:type="dxa"/>
            <w:shd w:val="clear" w:color="auto" w:fill="FFFFFF"/>
            <w:vAlign w:val="center"/>
          </w:tcPr>
          <w:p w14:paraId="523FA58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存储可靠性要求</w:t>
            </w:r>
          </w:p>
        </w:tc>
        <w:tc>
          <w:tcPr>
            <w:tcW w:w="1593" w:type="dxa"/>
            <w:shd w:val="clear" w:color="auto" w:fill="FFFFFF"/>
            <w:vAlign w:val="center"/>
          </w:tcPr>
          <w:p w14:paraId="217572E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SATASSD可靠性</w:t>
            </w:r>
          </w:p>
        </w:tc>
        <w:tc>
          <w:tcPr>
            <w:tcW w:w="3990" w:type="dxa"/>
            <w:shd w:val="clear" w:color="auto" w:fill="FFFFFF"/>
            <w:vAlign w:val="center"/>
          </w:tcPr>
          <w:p w14:paraId="6098D7E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SSD的m1值（MTBF的不可接受值）不低于200000h</w:t>
            </w:r>
          </w:p>
        </w:tc>
        <w:tc>
          <w:tcPr>
            <w:tcW w:w="1341" w:type="dxa"/>
            <w:shd w:val="clear" w:color="auto" w:fill="FFFFFF"/>
            <w:vAlign w:val="center"/>
          </w:tcPr>
          <w:p w14:paraId="56D76F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7BB8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1ABBDD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125</w:t>
            </w:r>
          </w:p>
        </w:tc>
        <w:tc>
          <w:tcPr>
            <w:tcW w:w="981" w:type="dxa"/>
            <w:shd w:val="clear" w:color="auto" w:fill="FFFFFF"/>
            <w:vAlign w:val="center"/>
          </w:tcPr>
          <w:p w14:paraId="3EE4B14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81" w:type="dxa"/>
            <w:vMerge w:val="restart"/>
            <w:shd w:val="clear" w:color="auto" w:fill="FFFFFF"/>
            <w:vAlign w:val="center"/>
          </w:tcPr>
          <w:p w14:paraId="6A612A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整机可靠性要求</w:t>
            </w:r>
          </w:p>
        </w:tc>
        <w:tc>
          <w:tcPr>
            <w:tcW w:w="1593" w:type="dxa"/>
            <w:shd w:val="clear" w:color="auto" w:fill="FFFFFF"/>
            <w:vAlign w:val="center"/>
          </w:tcPr>
          <w:p w14:paraId="30C1B99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★整机可靠性</w:t>
            </w:r>
          </w:p>
        </w:tc>
        <w:tc>
          <w:tcPr>
            <w:tcW w:w="3990" w:type="dxa"/>
            <w:shd w:val="clear" w:color="auto" w:fill="FFFFFF"/>
            <w:vAlign w:val="center"/>
          </w:tcPr>
          <w:p w14:paraId="72EF659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m1值（MTBF的不可接受值）不得低于30000h</w:t>
            </w:r>
          </w:p>
        </w:tc>
        <w:tc>
          <w:tcPr>
            <w:tcW w:w="1341" w:type="dxa"/>
            <w:shd w:val="clear" w:color="auto" w:fill="FFFFFF"/>
            <w:vAlign w:val="center"/>
          </w:tcPr>
          <w:p w14:paraId="3FC88C4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3777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067FC2A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126</w:t>
            </w:r>
          </w:p>
        </w:tc>
        <w:tc>
          <w:tcPr>
            <w:tcW w:w="981" w:type="dxa"/>
            <w:shd w:val="clear" w:color="auto" w:fill="FFFFFF"/>
            <w:vAlign w:val="center"/>
          </w:tcPr>
          <w:p w14:paraId="152FECD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81" w:type="dxa"/>
            <w:vMerge w:val="continue"/>
            <w:shd w:val="clear" w:color="auto" w:fill="FFFFFF"/>
            <w:vAlign w:val="center"/>
          </w:tcPr>
          <w:p w14:paraId="594955E3">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11E31C6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★风扇可靠性</w:t>
            </w:r>
          </w:p>
        </w:tc>
        <w:tc>
          <w:tcPr>
            <w:tcW w:w="3990" w:type="dxa"/>
            <w:shd w:val="clear" w:color="auto" w:fill="FFFFFF"/>
            <w:vAlign w:val="center"/>
          </w:tcPr>
          <w:p w14:paraId="1A405F7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风扇寿命应不低于40000h</w:t>
            </w:r>
          </w:p>
        </w:tc>
        <w:tc>
          <w:tcPr>
            <w:tcW w:w="1341" w:type="dxa"/>
            <w:shd w:val="clear" w:color="auto" w:fill="FFFFFF"/>
            <w:vAlign w:val="center"/>
          </w:tcPr>
          <w:p w14:paraId="7F28532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1E6C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49C4BD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127</w:t>
            </w:r>
          </w:p>
        </w:tc>
        <w:tc>
          <w:tcPr>
            <w:tcW w:w="981" w:type="dxa"/>
            <w:shd w:val="clear" w:color="auto" w:fill="FFFFFF"/>
            <w:vAlign w:val="center"/>
          </w:tcPr>
          <w:p w14:paraId="40C033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81" w:type="dxa"/>
            <w:vMerge w:val="continue"/>
            <w:shd w:val="clear" w:color="auto" w:fill="FFFFFF"/>
            <w:vAlign w:val="center"/>
          </w:tcPr>
          <w:p w14:paraId="08483824">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6DC1E5D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★部件可靠性</w:t>
            </w:r>
          </w:p>
        </w:tc>
        <w:tc>
          <w:tcPr>
            <w:tcW w:w="3990" w:type="dxa"/>
            <w:shd w:val="clear" w:color="auto" w:fill="FFFFFF"/>
            <w:vAlign w:val="center"/>
          </w:tcPr>
          <w:p w14:paraId="3855839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支持硬盘、电源、风扇热插拔（内置风扇除外）</w:t>
            </w:r>
          </w:p>
        </w:tc>
        <w:tc>
          <w:tcPr>
            <w:tcW w:w="1341" w:type="dxa"/>
            <w:shd w:val="clear" w:color="auto" w:fill="FFFFFF"/>
            <w:vAlign w:val="center"/>
          </w:tcPr>
          <w:p w14:paraId="028CC2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38FD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9" w:type="dxa"/>
            <w:shd w:val="clear" w:color="auto" w:fill="FFFFFF"/>
            <w:vAlign w:val="center"/>
          </w:tcPr>
          <w:p w14:paraId="2BA733A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128</w:t>
            </w:r>
          </w:p>
        </w:tc>
        <w:tc>
          <w:tcPr>
            <w:tcW w:w="981" w:type="dxa"/>
            <w:shd w:val="clear" w:color="auto" w:fill="FFFFFF"/>
            <w:vAlign w:val="center"/>
          </w:tcPr>
          <w:p w14:paraId="29FB7AD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包装及运输要求</w:t>
            </w:r>
          </w:p>
        </w:tc>
        <w:tc>
          <w:tcPr>
            <w:tcW w:w="981" w:type="dxa"/>
            <w:shd w:val="clear" w:color="auto" w:fill="FFFFFF"/>
            <w:vAlign w:val="center"/>
          </w:tcPr>
          <w:p w14:paraId="5ECDF8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包装及运输要求</w:t>
            </w:r>
          </w:p>
        </w:tc>
        <w:tc>
          <w:tcPr>
            <w:tcW w:w="1593" w:type="dxa"/>
            <w:shd w:val="clear" w:color="auto" w:fill="FFFFFF"/>
            <w:vAlign w:val="center"/>
          </w:tcPr>
          <w:p w14:paraId="13E1904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★标志、包装、运输和贮存</w:t>
            </w:r>
          </w:p>
        </w:tc>
        <w:tc>
          <w:tcPr>
            <w:tcW w:w="3990" w:type="dxa"/>
            <w:shd w:val="clear" w:color="auto" w:fill="FFFFFF"/>
            <w:vAlign w:val="center"/>
          </w:tcPr>
          <w:p w14:paraId="0B472FE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符合GB/T9813.3和商品包装政府采购需求标准的相关规定</w:t>
            </w:r>
          </w:p>
        </w:tc>
        <w:tc>
          <w:tcPr>
            <w:tcW w:w="1341" w:type="dxa"/>
            <w:shd w:val="clear" w:color="auto" w:fill="FFFFFF"/>
            <w:vAlign w:val="center"/>
          </w:tcPr>
          <w:p w14:paraId="190379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8950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609" w:type="dxa"/>
            <w:shd w:val="clear" w:color="auto" w:fill="FFFFFF"/>
            <w:vAlign w:val="center"/>
          </w:tcPr>
          <w:p w14:paraId="00F8B24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129</w:t>
            </w:r>
          </w:p>
        </w:tc>
        <w:tc>
          <w:tcPr>
            <w:tcW w:w="981" w:type="dxa"/>
            <w:shd w:val="clear" w:color="auto" w:fill="FFFFFF"/>
            <w:vAlign w:val="center"/>
          </w:tcPr>
          <w:p w14:paraId="4CE0D7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restart"/>
            <w:shd w:val="clear" w:color="auto" w:fill="FFFFFF"/>
            <w:vAlign w:val="center"/>
          </w:tcPr>
          <w:p w14:paraId="208F3F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服务响应</w:t>
            </w:r>
          </w:p>
        </w:tc>
        <w:tc>
          <w:tcPr>
            <w:tcW w:w="1593" w:type="dxa"/>
            <w:shd w:val="clear" w:color="auto" w:fill="FFFFFF"/>
            <w:vAlign w:val="center"/>
          </w:tcPr>
          <w:p w14:paraId="5EBEEFF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★服务响应</w:t>
            </w:r>
          </w:p>
        </w:tc>
        <w:tc>
          <w:tcPr>
            <w:tcW w:w="3990" w:type="dxa"/>
            <w:shd w:val="clear" w:color="auto" w:fill="FFFFFF"/>
            <w:vAlign w:val="center"/>
          </w:tcPr>
          <w:p w14:paraId="4297953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提供电话、电子邮件、远程连接等多种形式服务；b）提供同城4h、异地12h技术响应服务，2个工作日解决问题，对于未能解决的问题和故障应提供可行的升级方案，并提供周转设备；c）建立全国技术服务体系和服务团体，符合专业服务体系标准要求，提供原厂中文服务；d）服务周期内提供产品的维修、换件和升级服务</w:t>
            </w:r>
          </w:p>
        </w:tc>
        <w:tc>
          <w:tcPr>
            <w:tcW w:w="1341" w:type="dxa"/>
            <w:shd w:val="clear" w:color="auto" w:fill="FFFFFF"/>
            <w:vAlign w:val="center"/>
          </w:tcPr>
          <w:p w14:paraId="7F44278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CC6B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45FDCE5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130</w:t>
            </w:r>
          </w:p>
        </w:tc>
        <w:tc>
          <w:tcPr>
            <w:tcW w:w="981" w:type="dxa"/>
            <w:shd w:val="clear" w:color="auto" w:fill="FFFFFF"/>
            <w:vAlign w:val="center"/>
          </w:tcPr>
          <w:p w14:paraId="1405D3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28546E40">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3616374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★培训服务</w:t>
            </w:r>
          </w:p>
        </w:tc>
        <w:tc>
          <w:tcPr>
            <w:tcW w:w="3990" w:type="dxa"/>
            <w:shd w:val="clear" w:color="auto" w:fill="FFFFFF"/>
            <w:vAlign w:val="center"/>
          </w:tcPr>
          <w:p w14:paraId="30B1B9D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供应商提供培训材料、产品手册、培训视频等培训相关内容</w:t>
            </w:r>
          </w:p>
        </w:tc>
        <w:tc>
          <w:tcPr>
            <w:tcW w:w="1341" w:type="dxa"/>
            <w:shd w:val="clear" w:color="auto" w:fill="FFFFFF"/>
            <w:vAlign w:val="center"/>
          </w:tcPr>
          <w:p w14:paraId="6AE7C1B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63A4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296" w:hRule="atLeast"/>
        </w:trPr>
        <w:tc>
          <w:tcPr>
            <w:tcW w:w="609" w:type="dxa"/>
            <w:shd w:val="clear" w:color="auto" w:fill="FFFFFF"/>
            <w:vAlign w:val="center"/>
          </w:tcPr>
          <w:p w14:paraId="1508F6E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131</w:t>
            </w:r>
          </w:p>
        </w:tc>
        <w:tc>
          <w:tcPr>
            <w:tcW w:w="981" w:type="dxa"/>
            <w:shd w:val="clear" w:color="auto" w:fill="FFFFFF"/>
            <w:vAlign w:val="center"/>
          </w:tcPr>
          <w:p w14:paraId="7EC9FD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shd w:val="clear" w:color="auto" w:fill="FFFFFF"/>
            <w:vAlign w:val="center"/>
          </w:tcPr>
          <w:p w14:paraId="00F0B00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服务周期</w:t>
            </w:r>
          </w:p>
        </w:tc>
        <w:tc>
          <w:tcPr>
            <w:tcW w:w="1593" w:type="dxa"/>
            <w:shd w:val="clear" w:color="auto" w:fill="FFFFFF"/>
            <w:vAlign w:val="center"/>
          </w:tcPr>
          <w:p w14:paraId="0D1653C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★服务周期</w:t>
            </w:r>
          </w:p>
        </w:tc>
        <w:tc>
          <w:tcPr>
            <w:tcW w:w="3990" w:type="dxa"/>
            <w:shd w:val="clear" w:color="auto" w:fill="FFFFFF"/>
            <w:vAlign w:val="center"/>
          </w:tcPr>
          <w:p w14:paraId="0DE840E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产品免费服务周期（含换件和维修）应不小于6年；b）设备停产后继续提供质量保障服务（含备品备件），服务终止时间与最后一批设备交付时间间隔不低于6年；c）产品停止服务时间应提前1年告知客户；d）产品发布日期需在技术文件或者技术白皮书中明确</w:t>
            </w:r>
          </w:p>
        </w:tc>
        <w:tc>
          <w:tcPr>
            <w:tcW w:w="1341" w:type="dxa"/>
            <w:shd w:val="clear" w:color="auto" w:fill="FFFFFF"/>
            <w:vAlign w:val="center"/>
          </w:tcPr>
          <w:p w14:paraId="1B1BE9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AE93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9" w:type="dxa"/>
            <w:shd w:val="clear" w:color="auto" w:fill="FFFFFF"/>
            <w:vAlign w:val="center"/>
          </w:tcPr>
          <w:p w14:paraId="5C36D6F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132</w:t>
            </w:r>
          </w:p>
        </w:tc>
        <w:tc>
          <w:tcPr>
            <w:tcW w:w="981" w:type="dxa"/>
            <w:shd w:val="clear" w:color="auto" w:fill="FFFFFF"/>
            <w:vAlign w:val="center"/>
          </w:tcPr>
          <w:p w14:paraId="412C275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restart"/>
            <w:shd w:val="clear" w:color="auto" w:fill="FFFFFF"/>
            <w:vAlign w:val="center"/>
          </w:tcPr>
          <w:p w14:paraId="0C2E98D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服务工具要求</w:t>
            </w:r>
          </w:p>
        </w:tc>
        <w:tc>
          <w:tcPr>
            <w:tcW w:w="1593" w:type="dxa"/>
            <w:shd w:val="clear" w:color="auto" w:fill="FFFFFF"/>
            <w:vAlign w:val="center"/>
          </w:tcPr>
          <w:p w14:paraId="4796929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★工具要求</w:t>
            </w:r>
          </w:p>
        </w:tc>
        <w:tc>
          <w:tcPr>
            <w:tcW w:w="3990" w:type="dxa"/>
            <w:shd w:val="clear" w:color="auto" w:fill="FFFFFF"/>
            <w:vAlign w:val="center"/>
          </w:tcPr>
          <w:p w14:paraId="763BF1C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供应商提供设置服务器硬件、辅助操作系统安装等功能的辅助工具和管理软件。且随附软件应具有合法授权或版权</w:t>
            </w:r>
          </w:p>
        </w:tc>
        <w:tc>
          <w:tcPr>
            <w:tcW w:w="1341" w:type="dxa"/>
            <w:shd w:val="clear" w:color="auto" w:fill="FFFFFF"/>
            <w:vAlign w:val="center"/>
          </w:tcPr>
          <w:p w14:paraId="36C4A4E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28B4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09" w:type="dxa"/>
            <w:shd w:val="clear" w:color="auto" w:fill="FFFFFF"/>
            <w:vAlign w:val="center"/>
          </w:tcPr>
          <w:p w14:paraId="263D48E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133</w:t>
            </w:r>
          </w:p>
        </w:tc>
        <w:tc>
          <w:tcPr>
            <w:tcW w:w="981" w:type="dxa"/>
            <w:shd w:val="clear" w:color="auto" w:fill="FFFFFF"/>
            <w:vAlign w:val="center"/>
          </w:tcPr>
          <w:p w14:paraId="50F930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0922B029">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59FB8A1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辅助工具</w:t>
            </w:r>
          </w:p>
        </w:tc>
        <w:tc>
          <w:tcPr>
            <w:tcW w:w="3990" w:type="dxa"/>
            <w:shd w:val="clear" w:color="auto" w:fill="FFFFFF"/>
            <w:vAlign w:val="center"/>
          </w:tcPr>
          <w:p w14:paraId="5852C91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支持如下功能a）本地的数据备份和还原功能；b）网络的数据备份和还原功能；c）通用服务器操作系统的自动安装功能；d）服务器所配硬件需要的驱动程序和系统补丁</w:t>
            </w:r>
          </w:p>
        </w:tc>
        <w:tc>
          <w:tcPr>
            <w:tcW w:w="1341" w:type="dxa"/>
            <w:shd w:val="clear" w:color="auto" w:fill="FFFFFF"/>
            <w:vAlign w:val="center"/>
          </w:tcPr>
          <w:p w14:paraId="65B19F6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1B2A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9" w:type="dxa"/>
            <w:shd w:val="clear" w:color="auto" w:fill="FFFFFF"/>
            <w:vAlign w:val="center"/>
          </w:tcPr>
          <w:p w14:paraId="0A0E41C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134</w:t>
            </w:r>
          </w:p>
        </w:tc>
        <w:tc>
          <w:tcPr>
            <w:tcW w:w="981" w:type="dxa"/>
            <w:shd w:val="clear" w:color="auto" w:fill="FFFFFF"/>
            <w:vAlign w:val="center"/>
          </w:tcPr>
          <w:p w14:paraId="1A36D6E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016391AE">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784BCAC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★驱动安装升级指引</w:t>
            </w:r>
          </w:p>
        </w:tc>
        <w:tc>
          <w:tcPr>
            <w:tcW w:w="3990" w:type="dxa"/>
            <w:shd w:val="clear" w:color="auto" w:fill="FFFFFF"/>
            <w:vAlign w:val="center"/>
          </w:tcPr>
          <w:p w14:paraId="7F824AE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供应商提供出厂安装的配件所需的驱动程序，形式包括但不限于驱动光盘、驱动下载链接等。其他配件应提供指引</w:t>
            </w:r>
          </w:p>
        </w:tc>
        <w:tc>
          <w:tcPr>
            <w:tcW w:w="1341" w:type="dxa"/>
            <w:shd w:val="clear" w:color="auto" w:fill="FFFFFF"/>
            <w:vAlign w:val="center"/>
          </w:tcPr>
          <w:p w14:paraId="3BF5E4F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CC5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7805201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135</w:t>
            </w:r>
          </w:p>
        </w:tc>
        <w:tc>
          <w:tcPr>
            <w:tcW w:w="981" w:type="dxa"/>
            <w:shd w:val="clear" w:color="auto" w:fill="FFFFFF"/>
            <w:vAlign w:val="center"/>
          </w:tcPr>
          <w:p w14:paraId="73EA1EB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1F486BF2">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0F81DAF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随机附开盖工具</w:t>
            </w:r>
          </w:p>
        </w:tc>
        <w:tc>
          <w:tcPr>
            <w:tcW w:w="3990" w:type="dxa"/>
            <w:shd w:val="clear" w:color="auto" w:fill="FFFFFF"/>
            <w:vAlign w:val="center"/>
          </w:tcPr>
          <w:p w14:paraId="2F22FFF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随服务器打包提供开机箱工具</w:t>
            </w:r>
          </w:p>
        </w:tc>
        <w:tc>
          <w:tcPr>
            <w:tcW w:w="1341" w:type="dxa"/>
            <w:shd w:val="clear" w:color="auto" w:fill="FFFFFF"/>
            <w:vAlign w:val="center"/>
          </w:tcPr>
          <w:p w14:paraId="623BD8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3C41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296" w:hRule="atLeast"/>
        </w:trPr>
        <w:tc>
          <w:tcPr>
            <w:tcW w:w="609" w:type="dxa"/>
            <w:shd w:val="clear" w:color="auto" w:fill="FFFFFF"/>
            <w:vAlign w:val="center"/>
          </w:tcPr>
          <w:p w14:paraId="4276903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136</w:t>
            </w:r>
          </w:p>
        </w:tc>
        <w:tc>
          <w:tcPr>
            <w:tcW w:w="981" w:type="dxa"/>
            <w:shd w:val="clear" w:color="auto" w:fill="FFFFFF"/>
            <w:vAlign w:val="center"/>
          </w:tcPr>
          <w:p w14:paraId="119A52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711A78B8">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058860A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代码迁移工具</w:t>
            </w:r>
          </w:p>
        </w:tc>
        <w:tc>
          <w:tcPr>
            <w:tcW w:w="3990" w:type="dxa"/>
            <w:shd w:val="clear" w:color="auto" w:fill="FFFFFF"/>
            <w:vAlign w:val="center"/>
          </w:tcPr>
          <w:p w14:paraId="6778F43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从其他CPU架构到当前服务器CPU架构的软件迁移工具产品，支持软件包迁移评估，对满足产品重构要求的软件包，能重构为当前服务器CPU架构的软件包。提供源码迁移功能，检查分析C/C++/Fortran/Go/解释型语言/汇编等源码文件，基于产品功能给出迁移指导</w:t>
            </w:r>
          </w:p>
        </w:tc>
        <w:tc>
          <w:tcPr>
            <w:tcW w:w="1341" w:type="dxa"/>
            <w:shd w:val="clear" w:color="auto" w:fill="FFFFFF"/>
            <w:vAlign w:val="center"/>
          </w:tcPr>
          <w:p w14:paraId="3961331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D594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609" w:type="dxa"/>
            <w:shd w:val="clear" w:color="auto" w:fill="FFFFFF"/>
            <w:vAlign w:val="center"/>
          </w:tcPr>
          <w:p w14:paraId="1AB8471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137</w:t>
            </w:r>
          </w:p>
        </w:tc>
        <w:tc>
          <w:tcPr>
            <w:tcW w:w="981" w:type="dxa"/>
            <w:shd w:val="clear" w:color="auto" w:fill="FFFFFF"/>
            <w:vAlign w:val="center"/>
          </w:tcPr>
          <w:p w14:paraId="5C1BE3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69600FAF">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602327A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性能分析工具</w:t>
            </w:r>
          </w:p>
        </w:tc>
        <w:tc>
          <w:tcPr>
            <w:tcW w:w="3990" w:type="dxa"/>
            <w:shd w:val="clear" w:color="auto" w:fill="FFFFFF"/>
            <w:vAlign w:val="center"/>
          </w:tcPr>
          <w:p w14:paraId="1C73847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供应商提供支持当前服务器CPU架构的性能分析工具产品，支持系统性能分析、Java性能分析和系统诊断，可分析系统或应用在CPU、内存、IO、网络等方面的性能，并给出优化建议</w:t>
            </w:r>
          </w:p>
        </w:tc>
        <w:tc>
          <w:tcPr>
            <w:tcW w:w="1341" w:type="dxa"/>
            <w:shd w:val="clear" w:color="auto" w:fill="FFFFFF"/>
            <w:vAlign w:val="center"/>
          </w:tcPr>
          <w:p w14:paraId="074D7B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8974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074AD67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138</w:t>
            </w:r>
          </w:p>
        </w:tc>
        <w:tc>
          <w:tcPr>
            <w:tcW w:w="981" w:type="dxa"/>
            <w:shd w:val="clear" w:color="auto" w:fill="FFFFFF"/>
            <w:vAlign w:val="center"/>
          </w:tcPr>
          <w:p w14:paraId="60FCAE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3F0417E8">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55BFA2B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跨架构平台应用兼容</w:t>
            </w:r>
          </w:p>
        </w:tc>
        <w:tc>
          <w:tcPr>
            <w:tcW w:w="3990" w:type="dxa"/>
            <w:shd w:val="clear" w:color="auto" w:fill="FFFFFF"/>
            <w:vAlign w:val="center"/>
          </w:tcPr>
          <w:p w14:paraId="7FC055A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跨CPU架构平台应用兼容工具，可兼容一种或者一种以上不同架构平台的应用</w:t>
            </w:r>
          </w:p>
        </w:tc>
        <w:tc>
          <w:tcPr>
            <w:tcW w:w="1341" w:type="dxa"/>
            <w:shd w:val="clear" w:color="auto" w:fill="FFFFFF"/>
            <w:vAlign w:val="center"/>
          </w:tcPr>
          <w:p w14:paraId="31D2C39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0CAF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638656F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139</w:t>
            </w:r>
          </w:p>
        </w:tc>
        <w:tc>
          <w:tcPr>
            <w:tcW w:w="981" w:type="dxa"/>
            <w:shd w:val="clear" w:color="auto" w:fill="FFFFFF"/>
            <w:vAlign w:val="center"/>
          </w:tcPr>
          <w:p w14:paraId="3AE797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5DEC5AF7">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36DA2DC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★管理软件</w:t>
            </w:r>
          </w:p>
        </w:tc>
        <w:tc>
          <w:tcPr>
            <w:tcW w:w="3990" w:type="dxa"/>
            <w:shd w:val="clear" w:color="auto" w:fill="FFFFFF"/>
            <w:vAlign w:val="center"/>
          </w:tcPr>
          <w:p w14:paraId="22D52B8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具备资源管理、系统管理、性能监控、健康监控、基于网络控制、报警设置功能</w:t>
            </w:r>
          </w:p>
        </w:tc>
        <w:tc>
          <w:tcPr>
            <w:tcW w:w="1341" w:type="dxa"/>
            <w:shd w:val="clear" w:color="auto" w:fill="FFFFFF"/>
            <w:vAlign w:val="center"/>
          </w:tcPr>
          <w:p w14:paraId="3F7C602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61AE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609" w:type="dxa"/>
            <w:shd w:val="clear" w:color="auto" w:fill="FFFFFF"/>
            <w:vAlign w:val="center"/>
          </w:tcPr>
          <w:p w14:paraId="2EA301F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140</w:t>
            </w:r>
          </w:p>
        </w:tc>
        <w:tc>
          <w:tcPr>
            <w:tcW w:w="981" w:type="dxa"/>
            <w:shd w:val="clear" w:color="auto" w:fill="FFFFFF"/>
            <w:vAlign w:val="center"/>
          </w:tcPr>
          <w:p w14:paraId="060FBA1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restart"/>
            <w:shd w:val="clear" w:color="auto" w:fill="FFFFFF"/>
            <w:vAlign w:val="center"/>
          </w:tcPr>
          <w:p w14:paraId="6C21DD7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增值服务</w:t>
            </w:r>
          </w:p>
        </w:tc>
        <w:tc>
          <w:tcPr>
            <w:tcW w:w="1593" w:type="dxa"/>
            <w:shd w:val="clear" w:color="auto" w:fill="FFFFFF"/>
            <w:vAlign w:val="center"/>
          </w:tcPr>
          <w:p w14:paraId="70E168E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★厂家升级产品软件与扩容服务</w:t>
            </w:r>
          </w:p>
        </w:tc>
        <w:tc>
          <w:tcPr>
            <w:tcW w:w="3990" w:type="dxa"/>
            <w:shd w:val="clear" w:color="auto" w:fill="FFFFFF"/>
            <w:vAlign w:val="center"/>
          </w:tcPr>
          <w:p w14:paraId="7E47E11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供应商提供原厂级的部件/软件产品升级和扩容能力</w:t>
            </w:r>
          </w:p>
        </w:tc>
        <w:tc>
          <w:tcPr>
            <w:tcW w:w="1341" w:type="dxa"/>
            <w:shd w:val="clear" w:color="auto" w:fill="FFFFFF"/>
            <w:vAlign w:val="center"/>
          </w:tcPr>
          <w:p w14:paraId="4A6B67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B79D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1621FE5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141</w:t>
            </w:r>
          </w:p>
        </w:tc>
        <w:tc>
          <w:tcPr>
            <w:tcW w:w="981" w:type="dxa"/>
            <w:shd w:val="clear" w:color="auto" w:fill="FFFFFF"/>
            <w:vAlign w:val="center"/>
          </w:tcPr>
          <w:p w14:paraId="227018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315A4E55">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4ECE8FE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服务保障升级</w:t>
            </w:r>
          </w:p>
        </w:tc>
        <w:tc>
          <w:tcPr>
            <w:tcW w:w="3990" w:type="dxa"/>
            <w:shd w:val="clear" w:color="auto" w:fill="FFFFFF"/>
            <w:vAlign w:val="center"/>
          </w:tcPr>
          <w:p w14:paraId="0330638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供应商有偿提供远程技术支持、软件授权服务、备件更换服务、现场支撑服务</w:t>
            </w:r>
          </w:p>
        </w:tc>
        <w:tc>
          <w:tcPr>
            <w:tcW w:w="1341" w:type="dxa"/>
            <w:shd w:val="clear" w:color="auto" w:fill="FFFFFF"/>
            <w:vAlign w:val="center"/>
          </w:tcPr>
          <w:p w14:paraId="4ED1435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0FFA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9" w:type="dxa"/>
            <w:shd w:val="clear" w:color="auto" w:fill="FFFFFF"/>
            <w:vAlign w:val="center"/>
          </w:tcPr>
          <w:p w14:paraId="3B0937D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142</w:t>
            </w:r>
          </w:p>
        </w:tc>
        <w:tc>
          <w:tcPr>
            <w:tcW w:w="981" w:type="dxa"/>
            <w:shd w:val="clear" w:color="auto" w:fill="FFFFFF"/>
            <w:vAlign w:val="center"/>
          </w:tcPr>
          <w:p w14:paraId="6E9651B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79F8972F">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18156F9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★提供上门服务</w:t>
            </w:r>
          </w:p>
        </w:tc>
        <w:tc>
          <w:tcPr>
            <w:tcW w:w="3990" w:type="dxa"/>
            <w:shd w:val="clear" w:color="auto" w:fill="FFFFFF"/>
            <w:vAlign w:val="center"/>
          </w:tcPr>
          <w:p w14:paraId="20A63C5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供应商具备提供上门服务的能力</w:t>
            </w:r>
          </w:p>
        </w:tc>
        <w:tc>
          <w:tcPr>
            <w:tcW w:w="1341" w:type="dxa"/>
            <w:shd w:val="clear" w:color="auto" w:fill="FFFFFF"/>
            <w:vAlign w:val="center"/>
          </w:tcPr>
          <w:p w14:paraId="55A9543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D446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09" w:type="dxa"/>
            <w:shd w:val="clear" w:color="auto" w:fill="FFFFFF"/>
            <w:vAlign w:val="center"/>
          </w:tcPr>
          <w:p w14:paraId="593313D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143</w:t>
            </w:r>
          </w:p>
        </w:tc>
        <w:tc>
          <w:tcPr>
            <w:tcW w:w="981" w:type="dxa"/>
            <w:shd w:val="clear" w:color="auto" w:fill="FFFFFF"/>
            <w:vAlign w:val="center"/>
          </w:tcPr>
          <w:p w14:paraId="39E5130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55CAF285">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3A9AB21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业务场景性能优化服务及整体架构升级服务</w:t>
            </w:r>
          </w:p>
        </w:tc>
        <w:tc>
          <w:tcPr>
            <w:tcW w:w="3990" w:type="dxa"/>
            <w:shd w:val="clear" w:color="auto" w:fill="FFFFFF"/>
            <w:vAlign w:val="center"/>
          </w:tcPr>
          <w:p w14:paraId="22715E9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供应商提供针对特定业务场景性能优化服务及整体架构升级服务</w:t>
            </w:r>
          </w:p>
        </w:tc>
        <w:tc>
          <w:tcPr>
            <w:tcW w:w="1341" w:type="dxa"/>
            <w:shd w:val="clear" w:color="auto" w:fill="FFFFFF"/>
            <w:vAlign w:val="center"/>
          </w:tcPr>
          <w:p w14:paraId="2EDBBD1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484D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9" w:type="dxa"/>
            <w:shd w:val="clear" w:color="auto" w:fill="FFFFFF"/>
            <w:vAlign w:val="center"/>
          </w:tcPr>
          <w:p w14:paraId="10A83D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144</w:t>
            </w:r>
          </w:p>
        </w:tc>
        <w:tc>
          <w:tcPr>
            <w:tcW w:w="981" w:type="dxa"/>
            <w:shd w:val="clear" w:color="auto" w:fill="FFFFFF"/>
            <w:vAlign w:val="center"/>
          </w:tcPr>
          <w:p w14:paraId="0871BE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供保要求</w:t>
            </w:r>
          </w:p>
        </w:tc>
        <w:tc>
          <w:tcPr>
            <w:tcW w:w="981" w:type="dxa"/>
            <w:vMerge w:val="restart"/>
            <w:shd w:val="clear" w:color="auto" w:fill="FFFFFF"/>
            <w:vAlign w:val="center"/>
          </w:tcPr>
          <w:p w14:paraId="734C29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供应链质量</w:t>
            </w:r>
          </w:p>
        </w:tc>
        <w:tc>
          <w:tcPr>
            <w:tcW w:w="1593" w:type="dxa"/>
            <w:shd w:val="clear" w:color="auto" w:fill="FFFFFF"/>
            <w:vAlign w:val="center"/>
          </w:tcPr>
          <w:p w14:paraId="5411181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★抗干扰性</w:t>
            </w:r>
          </w:p>
        </w:tc>
        <w:tc>
          <w:tcPr>
            <w:tcW w:w="3990" w:type="dxa"/>
            <w:shd w:val="clear" w:color="auto" w:fill="FFFFFF"/>
            <w:vAlign w:val="center"/>
          </w:tcPr>
          <w:p w14:paraId="13F6D79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当产品部件出现供应风险时，应通知客户并提供风险应对方案确保产品的服务保障，必要时应停止相关受影响产品的销售</w:t>
            </w:r>
          </w:p>
        </w:tc>
        <w:tc>
          <w:tcPr>
            <w:tcW w:w="1341" w:type="dxa"/>
            <w:shd w:val="clear" w:color="auto" w:fill="FFFFFF"/>
            <w:vAlign w:val="center"/>
          </w:tcPr>
          <w:p w14:paraId="47B4C1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0DC7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4DFCC43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145</w:t>
            </w:r>
          </w:p>
        </w:tc>
        <w:tc>
          <w:tcPr>
            <w:tcW w:w="981" w:type="dxa"/>
            <w:shd w:val="clear" w:color="auto" w:fill="FFFFFF"/>
            <w:vAlign w:val="center"/>
          </w:tcPr>
          <w:p w14:paraId="46FB67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供保要求</w:t>
            </w:r>
          </w:p>
        </w:tc>
        <w:tc>
          <w:tcPr>
            <w:tcW w:w="981" w:type="dxa"/>
            <w:vMerge w:val="continue"/>
            <w:shd w:val="clear" w:color="auto" w:fill="FFFFFF"/>
            <w:vAlign w:val="center"/>
          </w:tcPr>
          <w:p w14:paraId="6845E52E">
            <w:pPr>
              <w:widowControl/>
              <w:jc w:val="left"/>
              <w:rPr>
                <w:rFonts w:asciiTheme="minorEastAsia" w:hAnsiTheme="minorEastAsia" w:eastAsiaTheme="minorEastAsia" w:cstheme="minorEastAsia"/>
                <w:kern w:val="0"/>
                <w:sz w:val="24"/>
              </w:rPr>
            </w:pPr>
          </w:p>
        </w:tc>
        <w:tc>
          <w:tcPr>
            <w:tcW w:w="1593" w:type="dxa"/>
            <w:shd w:val="clear" w:color="auto" w:fill="FFFFFF"/>
            <w:vAlign w:val="center"/>
          </w:tcPr>
          <w:p w14:paraId="5959CB0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★供应能力证明</w:t>
            </w:r>
          </w:p>
        </w:tc>
        <w:tc>
          <w:tcPr>
            <w:tcW w:w="3990" w:type="dxa"/>
            <w:shd w:val="clear" w:color="auto" w:fill="FFFFFF"/>
            <w:vAlign w:val="center"/>
          </w:tcPr>
          <w:p w14:paraId="32CDCFE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b/>
                <w:bCs/>
                <w:kern w:val="0"/>
                <w:sz w:val="24"/>
              </w:rPr>
              <w:t>供应商提供供应链稳定承诺书，确保产品的部件在产品服务周期内稳定供货（需提供加盖投标人公章的承诺书，否则作无效投标处理）</w:t>
            </w:r>
          </w:p>
        </w:tc>
        <w:tc>
          <w:tcPr>
            <w:tcW w:w="1341" w:type="dxa"/>
            <w:shd w:val="clear" w:color="auto" w:fill="FFFFFF"/>
            <w:vAlign w:val="center"/>
          </w:tcPr>
          <w:p w14:paraId="191133A3">
            <w:pPr>
              <w:widowControl/>
              <w:jc w:val="center"/>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kern w:val="0"/>
                <w:sz w:val="24"/>
              </w:rPr>
              <w:t>是</w:t>
            </w:r>
          </w:p>
        </w:tc>
      </w:tr>
      <w:tr w14:paraId="4EE55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09313A5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146</w:t>
            </w:r>
          </w:p>
        </w:tc>
        <w:tc>
          <w:tcPr>
            <w:tcW w:w="981" w:type="dxa"/>
            <w:shd w:val="clear" w:color="auto" w:fill="FFFFFF"/>
            <w:vAlign w:val="center"/>
          </w:tcPr>
          <w:p w14:paraId="0FD0F76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vAlign w:val="center"/>
          </w:tcPr>
          <w:p w14:paraId="2FD5258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中央处理器</w:t>
            </w:r>
          </w:p>
        </w:tc>
        <w:tc>
          <w:tcPr>
            <w:tcW w:w="1593" w:type="dxa"/>
            <w:shd w:val="clear" w:color="auto" w:fill="FFFFFF"/>
            <w:vAlign w:val="center"/>
          </w:tcPr>
          <w:p w14:paraId="69B9961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 加解密功能</w:t>
            </w:r>
          </w:p>
        </w:tc>
        <w:tc>
          <w:tcPr>
            <w:tcW w:w="3990" w:type="dxa"/>
            <w:shd w:val="clear" w:color="auto" w:fill="FFFFFF"/>
            <w:vAlign w:val="center"/>
          </w:tcPr>
          <w:p w14:paraId="1F4D286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投标产品所配备的CPU（中央处理器）支持TEE可信执行环境，实现虚拟机在内存读写时的自动加解密功能。</w:t>
            </w:r>
            <w:r>
              <w:rPr>
                <w:rFonts w:hint="eastAsia" w:asciiTheme="minorEastAsia" w:hAnsiTheme="minorEastAsia" w:eastAsiaTheme="minorEastAsia" w:cstheme="minorEastAsia"/>
                <w:kern w:val="0"/>
                <w:sz w:val="24"/>
                <w:lang w:val="en-US" w:eastAsia="zh-CN"/>
              </w:rPr>
              <w:t>需</w:t>
            </w:r>
            <w:r>
              <w:rPr>
                <w:rFonts w:hint="eastAsia" w:asciiTheme="minorEastAsia" w:hAnsiTheme="minorEastAsia" w:eastAsiaTheme="minorEastAsia" w:cstheme="minorEastAsia"/>
                <w:kern w:val="0"/>
                <w:sz w:val="24"/>
              </w:rPr>
              <w:t>提供投标产品所配备的CPU（中央处理器）具有上述密码技术特性的证明材料</w:t>
            </w:r>
          </w:p>
        </w:tc>
        <w:tc>
          <w:tcPr>
            <w:tcW w:w="1341" w:type="dxa"/>
            <w:shd w:val="clear" w:color="auto" w:fill="FFFFFF"/>
            <w:vAlign w:val="center"/>
          </w:tcPr>
          <w:p w14:paraId="69B165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6B2FA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6C0874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147</w:t>
            </w:r>
          </w:p>
        </w:tc>
        <w:tc>
          <w:tcPr>
            <w:tcW w:w="981" w:type="dxa"/>
            <w:shd w:val="clear" w:color="auto" w:fill="FFFFFF"/>
            <w:vAlign w:val="center"/>
          </w:tcPr>
          <w:p w14:paraId="77E1FD8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vAlign w:val="center"/>
          </w:tcPr>
          <w:p w14:paraId="77A2A5F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中央处理器</w:t>
            </w:r>
          </w:p>
        </w:tc>
        <w:tc>
          <w:tcPr>
            <w:tcW w:w="1593" w:type="dxa"/>
            <w:shd w:val="clear" w:color="auto" w:fill="FFFFFF"/>
            <w:vAlign w:val="center"/>
          </w:tcPr>
          <w:p w14:paraId="6327D61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#超线程技术</w:t>
            </w:r>
          </w:p>
        </w:tc>
        <w:tc>
          <w:tcPr>
            <w:tcW w:w="3990" w:type="dxa"/>
            <w:shd w:val="clear" w:color="auto" w:fill="FFFFFF"/>
            <w:vAlign w:val="center"/>
          </w:tcPr>
          <w:p w14:paraId="3D5CE94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shd w:val="clear" w:color="auto" w:fill="FFFFFF" w:themeFill="background1"/>
              </w:rPr>
              <w:t>产品所配备的CPU（中央处理器）需支持且配置超线程技术</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w:t>
            </w:r>
            <w:r>
              <w:rPr>
                <w:rFonts w:hint="eastAsia" w:asciiTheme="minorEastAsia" w:hAnsiTheme="minorEastAsia" w:eastAsiaTheme="minorEastAsia" w:cstheme="minorEastAsia"/>
                <w:kern w:val="0"/>
                <w:sz w:val="24"/>
              </w:rPr>
              <w:t xml:space="preserve">提供投标产品所配备的CPU（中央处理器）具有上述技术特性的证明材料 </w:t>
            </w:r>
            <w:r>
              <w:rPr>
                <w:rFonts w:hint="eastAsia" w:asciiTheme="minorEastAsia" w:hAnsiTheme="minorEastAsia" w:eastAsiaTheme="minorEastAsia" w:cstheme="minorEastAsia"/>
                <w:kern w:val="0"/>
                <w:sz w:val="24"/>
                <w:shd w:val="clear" w:color="auto" w:fill="FFFFFF" w:themeFill="background1"/>
              </w:rPr>
              <w:t>；</w:t>
            </w:r>
          </w:p>
        </w:tc>
        <w:tc>
          <w:tcPr>
            <w:tcW w:w="1341" w:type="dxa"/>
            <w:shd w:val="clear" w:color="auto" w:fill="FFFFFF"/>
            <w:vAlign w:val="center"/>
          </w:tcPr>
          <w:p w14:paraId="601724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4838B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9" w:type="dxa"/>
            <w:shd w:val="clear" w:color="auto" w:fill="FFFFFF"/>
            <w:vAlign w:val="center"/>
          </w:tcPr>
          <w:p w14:paraId="27464E5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148</w:t>
            </w:r>
          </w:p>
        </w:tc>
        <w:tc>
          <w:tcPr>
            <w:tcW w:w="981" w:type="dxa"/>
            <w:shd w:val="clear" w:color="auto" w:fill="FFFFFF"/>
            <w:noWrap/>
            <w:vAlign w:val="center"/>
          </w:tcPr>
          <w:p w14:paraId="0EA9E7F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411D407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93" w:type="dxa"/>
            <w:shd w:val="clear" w:color="auto" w:fill="FFFFFF"/>
            <w:vAlign w:val="center"/>
          </w:tcPr>
          <w:p w14:paraId="0D60375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★授权</w:t>
            </w:r>
          </w:p>
        </w:tc>
        <w:tc>
          <w:tcPr>
            <w:tcW w:w="3990" w:type="dxa"/>
            <w:shd w:val="clear" w:color="auto" w:fill="FFFFFF"/>
            <w:vAlign w:val="center"/>
          </w:tcPr>
          <w:p w14:paraId="7443F36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配置软件授权（包含≥2颗物理CPU或≥1台物理服务器授权），具备计算虚拟化、存储虚拟化、网络虚拟化功能；</w:t>
            </w:r>
          </w:p>
        </w:tc>
        <w:tc>
          <w:tcPr>
            <w:tcW w:w="1341" w:type="dxa"/>
            <w:shd w:val="clear" w:color="auto" w:fill="FFFFFF"/>
            <w:vAlign w:val="center"/>
          </w:tcPr>
          <w:p w14:paraId="6293BE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FFDC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080" w:hRule="atLeast"/>
        </w:trPr>
        <w:tc>
          <w:tcPr>
            <w:tcW w:w="609" w:type="dxa"/>
            <w:shd w:val="clear" w:color="auto" w:fill="FFFFFF"/>
            <w:vAlign w:val="center"/>
          </w:tcPr>
          <w:p w14:paraId="20325C9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149</w:t>
            </w:r>
          </w:p>
        </w:tc>
        <w:tc>
          <w:tcPr>
            <w:tcW w:w="981" w:type="dxa"/>
            <w:shd w:val="clear" w:color="auto" w:fill="FFFFFF"/>
            <w:noWrap/>
            <w:vAlign w:val="center"/>
          </w:tcPr>
          <w:p w14:paraId="4B63CAF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1143260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93" w:type="dxa"/>
            <w:shd w:val="clear" w:color="auto" w:fill="FFFFFF"/>
            <w:noWrap/>
            <w:vAlign w:val="center"/>
          </w:tcPr>
          <w:p w14:paraId="6C0CF59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90" w:type="dxa"/>
            <w:shd w:val="clear" w:color="auto" w:fill="FFFFFF"/>
            <w:vAlign w:val="center"/>
          </w:tcPr>
          <w:p w14:paraId="4857590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软件的代码自主率大于99%（按行数和文件数统计均不低于99%），同时为保证检测产品的代码完整性，要求代码检测量在100万以上；</w:t>
            </w:r>
          </w:p>
        </w:tc>
        <w:tc>
          <w:tcPr>
            <w:tcW w:w="1341" w:type="dxa"/>
            <w:shd w:val="clear" w:color="auto" w:fill="FFFFFF"/>
            <w:vAlign w:val="center"/>
          </w:tcPr>
          <w:p w14:paraId="428BC8A7">
            <w:pPr>
              <w:widowControl/>
              <w:jc w:val="center"/>
              <w:rPr>
                <w:rFonts w:hint="eastAsia" w:asciiTheme="minorEastAsia" w:hAnsiTheme="minorEastAsia" w:eastAsiaTheme="minorEastAsia" w:cstheme="minorEastAsia"/>
                <w:kern w:val="0"/>
                <w:sz w:val="24"/>
                <w:lang w:eastAsia="zh-CN"/>
              </w:rPr>
            </w:pPr>
            <w:r>
              <w:rPr>
                <w:rFonts w:hint="eastAsia" w:asciiTheme="minorEastAsia" w:hAnsiTheme="minorEastAsia" w:eastAsiaTheme="minorEastAsia" w:cstheme="minorEastAsia"/>
                <w:kern w:val="0"/>
                <w:sz w:val="24"/>
                <w:lang w:val="en-US" w:eastAsia="zh-CN"/>
              </w:rPr>
              <w:t>否</w:t>
            </w:r>
          </w:p>
        </w:tc>
      </w:tr>
      <w:tr w14:paraId="2A1DD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09" w:type="dxa"/>
            <w:shd w:val="clear" w:color="auto" w:fill="FFFFFF"/>
            <w:vAlign w:val="center"/>
          </w:tcPr>
          <w:p w14:paraId="1C1183C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150</w:t>
            </w:r>
          </w:p>
        </w:tc>
        <w:tc>
          <w:tcPr>
            <w:tcW w:w="981" w:type="dxa"/>
            <w:shd w:val="clear" w:color="auto" w:fill="FFFFFF"/>
            <w:noWrap/>
            <w:vAlign w:val="center"/>
          </w:tcPr>
          <w:p w14:paraId="6524455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2681AE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93" w:type="dxa"/>
            <w:shd w:val="clear" w:color="auto" w:fill="FFFFFF"/>
            <w:noWrap/>
            <w:vAlign w:val="center"/>
          </w:tcPr>
          <w:p w14:paraId="7CF4E66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90" w:type="dxa"/>
            <w:shd w:val="clear" w:color="auto" w:fill="FFFFFF"/>
            <w:vAlign w:val="center"/>
          </w:tcPr>
          <w:p w14:paraId="407AAAA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为提升平台虚拟机的部署密度，有效降低硬件部署成本，超融合平台应支持对集群主机内存的分层设置，基于冷热分层实现内存超分，最大超分比≥10倍；虚拟机可按需一键开启或关闭内存超分</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41" w:type="dxa"/>
            <w:shd w:val="clear" w:color="auto" w:fill="FFFFFF"/>
            <w:vAlign w:val="center"/>
          </w:tcPr>
          <w:p w14:paraId="013C464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52779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9" w:type="dxa"/>
            <w:shd w:val="clear" w:color="auto" w:fill="FFFFFF"/>
            <w:vAlign w:val="center"/>
          </w:tcPr>
          <w:p w14:paraId="32100A4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151</w:t>
            </w:r>
          </w:p>
        </w:tc>
        <w:tc>
          <w:tcPr>
            <w:tcW w:w="981" w:type="dxa"/>
            <w:shd w:val="clear" w:color="auto" w:fill="FFFFFF"/>
            <w:noWrap/>
            <w:vAlign w:val="center"/>
          </w:tcPr>
          <w:p w14:paraId="2517490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5828AC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93" w:type="dxa"/>
            <w:shd w:val="clear" w:color="auto" w:fill="FFFFFF"/>
            <w:noWrap/>
            <w:vAlign w:val="center"/>
          </w:tcPr>
          <w:p w14:paraId="4A5E69E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90" w:type="dxa"/>
            <w:shd w:val="clear" w:color="auto" w:fill="FFFFFF"/>
            <w:vAlign w:val="center"/>
          </w:tcPr>
          <w:p w14:paraId="0873EA7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支持物理机的全部功能。如：具有自己的资源（CPU，内存，网卡，存储、软驱、光驱、显卡等），可以指定单独的IP地址、MAC地址等；</w:t>
            </w:r>
          </w:p>
        </w:tc>
        <w:tc>
          <w:tcPr>
            <w:tcW w:w="1341" w:type="dxa"/>
            <w:shd w:val="clear" w:color="auto" w:fill="FFFFFF"/>
            <w:vAlign w:val="center"/>
          </w:tcPr>
          <w:p w14:paraId="22782A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24E4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9" w:type="dxa"/>
            <w:shd w:val="clear" w:color="auto" w:fill="FFFFFF"/>
            <w:vAlign w:val="center"/>
          </w:tcPr>
          <w:p w14:paraId="466A7D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152</w:t>
            </w:r>
          </w:p>
        </w:tc>
        <w:tc>
          <w:tcPr>
            <w:tcW w:w="981" w:type="dxa"/>
            <w:shd w:val="clear" w:color="auto" w:fill="FFFFFF"/>
            <w:noWrap/>
            <w:vAlign w:val="center"/>
          </w:tcPr>
          <w:p w14:paraId="14FEE2B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41AB8A2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93" w:type="dxa"/>
            <w:shd w:val="clear" w:color="auto" w:fill="FFFFFF"/>
            <w:noWrap/>
            <w:vAlign w:val="center"/>
          </w:tcPr>
          <w:p w14:paraId="2DA4E0F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90" w:type="dxa"/>
            <w:shd w:val="clear" w:color="auto" w:fill="FFFFFF"/>
            <w:vAlign w:val="center"/>
          </w:tcPr>
          <w:p w14:paraId="254DE17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提供B/S和C/S两种虚拟机控制台使用方式，C/S客户端无任何授权限制，支持本地文件托拉拽到虚拟机内部且支持和本地共享粘贴板</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41" w:type="dxa"/>
            <w:shd w:val="clear" w:color="auto" w:fill="FFFFFF"/>
            <w:vAlign w:val="center"/>
          </w:tcPr>
          <w:p w14:paraId="4A992F6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6961E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609" w:type="dxa"/>
            <w:shd w:val="clear" w:color="auto" w:fill="FFFFFF"/>
            <w:vAlign w:val="center"/>
          </w:tcPr>
          <w:p w14:paraId="444B81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153</w:t>
            </w:r>
          </w:p>
        </w:tc>
        <w:tc>
          <w:tcPr>
            <w:tcW w:w="981" w:type="dxa"/>
            <w:shd w:val="clear" w:color="auto" w:fill="FFFFFF"/>
            <w:noWrap/>
            <w:vAlign w:val="center"/>
          </w:tcPr>
          <w:p w14:paraId="12B2F2E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71893F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93" w:type="dxa"/>
            <w:shd w:val="clear" w:color="auto" w:fill="FFFFFF"/>
            <w:noWrap/>
            <w:vAlign w:val="center"/>
          </w:tcPr>
          <w:p w14:paraId="1EFAAB2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90" w:type="dxa"/>
            <w:shd w:val="clear" w:color="auto" w:fill="FFFFFF"/>
            <w:vAlign w:val="center"/>
          </w:tcPr>
          <w:p w14:paraId="51C88DC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虚拟机和裸金属服务器统一管理，支持对裸金属服务器远程电源管理、挂载安装ISO镜像等操作，可将虚拟机镜像部署为裸金属服务器操作系统，可查看裸金属服务器电源状态、CPU、内存、硬盘等硬件信息，支持打开裸金属服务器控制台进行运维操作</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41" w:type="dxa"/>
            <w:shd w:val="clear" w:color="auto" w:fill="FFFFFF"/>
            <w:vAlign w:val="center"/>
          </w:tcPr>
          <w:p w14:paraId="485FEBF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747B8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09" w:type="dxa"/>
            <w:shd w:val="clear" w:color="auto" w:fill="FFFFFF"/>
            <w:vAlign w:val="center"/>
          </w:tcPr>
          <w:p w14:paraId="5E4FDDC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154</w:t>
            </w:r>
          </w:p>
        </w:tc>
        <w:tc>
          <w:tcPr>
            <w:tcW w:w="981" w:type="dxa"/>
            <w:shd w:val="clear" w:color="auto" w:fill="FFFFFF"/>
            <w:noWrap/>
            <w:vAlign w:val="center"/>
          </w:tcPr>
          <w:p w14:paraId="497CCC5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0CE7D08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93" w:type="dxa"/>
            <w:shd w:val="clear" w:color="auto" w:fill="FFFFFF"/>
            <w:noWrap/>
            <w:vAlign w:val="center"/>
          </w:tcPr>
          <w:p w14:paraId="73FBA32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90" w:type="dxa"/>
            <w:shd w:val="clear" w:color="auto" w:fill="FFFFFF"/>
            <w:vAlign w:val="center"/>
          </w:tcPr>
          <w:p w14:paraId="6A75682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支持在线跨云迁移功能，在管理界面内将其它站点虚拟机不中断的迁移到超融合平台内，跨云迁移的站点包括但不限于vSphere、投标品牌虚拟化平台等，迁移过程无需手动关机和重启操作</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41" w:type="dxa"/>
            <w:shd w:val="clear" w:color="auto" w:fill="FFFFFF"/>
            <w:vAlign w:val="center"/>
          </w:tcPr>
          <w:p w14:paraId="4F5BDB7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1AEBA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080" w:hRule="atLeast"/>
        </w:trPr>
        <w:tc>
          <w:tcPr>
            <w:tcW w:w="609" w:type="dxa"/>
            <w:shd w:val="clear" w:color="auto" w:fill="FFFFFF"/>
            <w:vAlign w:val="center"/>
          </w:tcPr>
          <w:p w14:paraId="3AFCF4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155</w:t>
            </w:r>
          </w:p>
        </w:tc>
        <w:tc>
          <w:tcPr>
            <w:tcW w:w="981" w:type="dxa"/>
            <w:shd w:val="clear" w:color="auto" w:fill="FFFFFF"/>
            <w:noWrap/>
            <w:vAlign w:val="center"/>
          </w:tcPr>
          <w:p w14:paraId="3B5BFD6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4B9A7E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93" w:type="dxa"/>
            <w:shd w:val="clear" w:color="auto" w:fill="FFFFFF"/>
            <w:noWrap/>
            <w:vAlign w:val="center"/>
          </w:tcPr>
          <w:p w14:paraId="6C2CFB5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90" w:type="dxa"/>
            <w:shd w:val="clear" w:color="auto" w:fill="FFFFFF"/>
            <w:vAlign w:val="center"/>
          </w:tcPr>
          <w:p w14:paraId="4C06390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提供云边协同管理功能，支持中心站点分发应用至各个边缘站点，可一键将中心站点已部署配置完毕的应用虚拟机迁移至各边缘站点，支持基于GIS技术的全局站点展示视图，实时查看各站点资源状态；</w:t>
            </w:r>
          </w:p>
        </w:tc>
        <w:tc>
          <w:tcPr>
            <w:tcW w:w="1341" w:type="dxa"/>
            <w:shd w:val="clear" w:color="auto" w:fill="FFFFFF"/>
            <w:vAlign w:val="center"/>
          </w:tcPr>
          <w:p w14:paraId="0FD83FB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4610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09" w:type="dxa"/>
            <w:shd w:val="clear" w:color="auto" w:fill="FFFFFF"/>
            <w:vAlign w:val="center"/>
          </w:tcPr>
          <w:p w14:paraId="49F757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156</w:t>
            </w:r>
          </w:p>
        </w:tc>
        <w:tc>
          <w:tcPr>
            <w:tcW w:w="981" w:type="dxa"/>
            <w:shd w:val="clear" w:color="auto" w:fill="FFFFFF"/>
            <w:noWrap/>
            <w:vAlign w:val="center"/>
          </w:tcPr>
          <w:p w14:paraId="7DAE14A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59B3635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93" w:type="dxa"/>
            <w:shd w:val="clear" w:color="auto" w:fill="FFFFFF"/>
            <w:noWrap/>
            <w:vAlign w:val="center"/>
          </w:tcPr>
          <w:p w14:paraId="6FA81FD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90" w:type="dxa"/>
            <w:shd w:val="clear" w:color="auto" w:fill="FFFFFF"/>
            <w:vAlign w:val="center"/>
          </w:tcPr>
          <w:p w14:paraId="45650DE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提供无授权限制的备份功能，支持虚拟机CBT模式备份，支持周期性备份和批量备份功能，备份策略可细化到分钟级，支持恢复过程中对虚拟机进行配置；</w:t>
            </w:r>
          </w:p>
        </w:tc>
        <w:tc>
          <w:tcPr>
            <w:tcW w:w="1341" w:type="dxa"/>
            <w:shd w:val="clear" w:color="auto" w:fill="FFFFFF"/>
            <w:vAlign w:val="center"/>
          </w:tcPr>
          <w:p w14:paraId="43EE83D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BBAF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080" w:hRule="atLeast"/>
        </w:trPr>
        <w:tc>
          <w:tcPr>
            <w:tcW w:w="609" w:type="dxa"/>
            <w:shd w:val="clear" w:color="auto" w:fill="FFFFFF"/>
            <w:vAlign w:val="center"/>
          </w:tcPr>
          <w:p w14:paraId="6C9E21B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157</w:t>
            </w:r>
          </w:p>
        </w:tc>
        <w:tc>
          <w:tcPr>
            <w:tcW w:w="981" w:type="dxa"/>
            <w:shd w:val="clear" w:color="auto" w:fill="FFFFFF"/>
            <w:noWrap/>
            <w:vAlign w:val="center"/>
          </w:tcPr>
          <w:p w14:paraId="5D86EB6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7D2F33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93" w:type="dxa"/>
            <w:shd w:val="clear" w:color="auto" w:fill="FFFFFF"/>
            <w:noWrap/>
            <w:vAlign w:val="center"/>
          </w:tcPr>
          <w:p w14:paraId="13D3C22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90" w:type="dxa"/>
            <w:shd w:val="clear" w:color="auto" w:fill="FFFFFF"/>
            <w:vAlign w:val="center"/>
          </w:tcPr>
          <w:p w14:paraId="4241BFA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常见的虚拟资源和物理资源报警，包括但不限于CPU、内存、网卡和硬盘等资源；平台支持不同类型的报警级别，不同级别的报警需要发出对应级别的报警消息；支持邮件、短信、微信、钉钉、Teams及webhook等工具接收告警消息；</w:t>
            </w:r>
          </w:p>
        </w:tc>
        <w:tc>
          <w:tcPr>
            <w:tcW w:w="1341" w:type="dxa"/>
            <w:shd w:val="clear" w:color="auto" w:fill="FFFFFF"/>
            <w:vAlign w:val="center"/>
          </w:tcPr>
          <w:p w14:paraId="76B17EB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245D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9" w:type="dxa"/>
            <w:shd w:val="clear" w:color="auto" w:fill="FFFFFF"/>
            <w:vAlign w:val="center"/>
          </w:tcPr>
          <w:p w14:paraId="6C07CB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158</w:t>
            </w:r>
          </w:p>
        </w:tc>
        <w:tc>
          <w:tcPr>
            <w:tcW w:w="981" w:type="dxa"/>
            <w:shd w:val="clear" w:color="auto" w:fill="FFFFFF"/>
            <w:noWrap/>
            <w:vAlign w:val="center"/>
          </w:tcPr>
          <w:p w14:paraId="38F9DE5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66D618E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93" w:type="dxa"/>
            <w:shd w:val="clear" w:color="auto" w:fill="FFFFFF"/>
            <w:noWrap/>
            <w:vAlign w:val="center"/>
          </w:tcPr>
          <w:p w14:paraId="0C0A839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3990" w:type="dxa"/>
            <w:shd w:val="clear" w:color="auto" w:fill="FFFFFF"/>
            <w:vAlign w:val="center"/>
          </w:tcPr>
          <w:p w14:paraId="5FD3AD9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支持虚拟机启动、重置密码、暂停、恢复、重启、关闭、快速克隆、迁移、备份、模板导入导出、快照等功能，支持嵌套虚拟化；</w:t>
            </w:r>
          </w:p>
        </w:tc>
        <w:tc>
          <w:tcPr>
            <w:tcW w:w="1341" w:type="dxa"/>
            <w:shd w:val="clear" w:color="auto" w:fill="FFFFFF"/>
            <w:vAlign w:val="center"/>
          </w:tcPr>
          <w:p w14:paraId="04F823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29E3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09" w:type="dxa"/>
            <w:shd w:val="clear" w:color="auto" w:fill="FFFFFF"/>
            <w:vAlign w:val="center"/>
          </w:tcPr>
          <w:p w14:paraId="5F0001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159</w:t>
            </w:r>
          </w:p>
        </w:tc>
        <w:tc>
          <w:tcPr>
            <w:tcW w:w="981" w:type="dxa"/>
            <w:shd w:val="clear" w:color="auto" w:fill="FFFFFF"/>
            <w:noWrap/>
            <w:vAlign w:val="center"/>
          </w:tcPr>
          <w:p w14:paraId="124AB77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00E20B2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93" w:type="dxa"/>
            <w:shd w:val="clear" w:color="auto" w:fill="FFFFFF"/>
            <w:noWrap/>
            <w:vAlign w:val="center"/>
          </w:tcPr>
          <w:p w14:paraId="2DC3FEA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3990" w:type="dxa"/>
            <w:shd w:val="clear" w:color="auto" w:fill="FFFFFF"/>
            <w:vAlign w:val="center"/>
          </w:tcPr>
          <w:p w14:paraId="2BD0D76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支持虚拟机故障HA功能，可配置HA接入控制策略，HA最大尝试次数，且支持HA故障切换主机设置，达到故障隔离的效果，并支持配置虚拟机自启动策略和启动优先级</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41" w:type="dxa"/>
            <w:shd w:val="clear" w:color="auto" w:fill="FFFFFF"/>
            <w:vAlign w:val="center"/>
          </w:tcPr>
          <w:p w14:paraId="712B17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0C3AB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09" w:type="dxa"/>
            <w:shd w:val="clear" w:color="auto" w:fill="FFFFFF"/>
            <w:vAlign w:val="center"/>
          </w:tcPr>
          <w:p w14:paraId="457B5D9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160</w:t>
            </w:r>
          </w:p>
        </w:tc>
        <w:tc>
          <w:tcPr>
            <w:tcW w:w="981" w:type="dxa"/>
            <w:shd w:val="clear" w:color="auto" w:fill="FFFFFF"/>
            <w:noWrap/>
            <w:vAlign w:val="center"/>
          </w:tcPr>
          <w:p w14:paraId="797C69E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459B54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93" w:type="dxa"/>
            <w:shd w:val="clear" w:color="auto" w:fill="FFFFFF"/>
            <w:noWrap/>
            <w:vAlign w:val="center"/>
          </w:tcPr>
          <w:p w14:paraId="2647170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3990" w:type="dxa"/>
            <w:shd w:val="clear" w:color="auto" w:fill="FFFFFF"/>
            <w:vAlign w:val="center"/>
          </w:tcPr>
          <w:p w14:paraId="320093D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 xml:space="preserve">虚拟机支持添加串口、双显卡、USB、看门狗、FPGA、自定义PCI等设备以适配丰富的应用需求，虚拟机添加串口设备支持以telnet、网络客户端、网络服务端等模式登录并支持指定telnet端口号； </w:t>
            </w:r>
          </w:p>
        </w:tc>
        <w:tc>
          <w:tcPr>
            <w:tcW w:w="1341" w:type="dxa"/>
            <w:shd w:val="clear" w:color="auto" w:fill="FFFFFF"/>
            <w:vAlign w:val="center"/>
          </w:tcPr>
          <w:p w14:paraId="226FA6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F706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609" w:type="dxa"/>
            <w:shd w:val="clear" w:color="auto" w:fill="FFFFFF"/>
            <w:vAlign w:val="center"/>
          </w:tcPr>
          <w:p w14:paraId="179ABF7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161</w:t>
            </w:r>
          </w:p>
        </w:tc>
        <w:tc>
          <w:tcPr>
            <w:tcW w:w="981" w:type="dxa"/>
            <w:shd w:val="clear" w:color="auto" w:fill="FFFFFF"/>
            <w:noWrap/>
            <w:vAlign w:val="center"/>
          </w:tcPr>
          <w:p w14:paraId="6F8FAAD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1A3FC8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93" w:type="dxa"/>
            <w:shd w:val="clear" w:color="auto" w:fill="FFFFFF"/>
            <w:noWrap/>
            <w:vAlign w:val="center"/>
          </w:tcPr>
          <w:p w14:paraId="15FA49C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3990" w:type="dxa"/>
            <w:shd w:val="clear" w:color="auto" w:fill="FFFFFF"/>
            <w:vAlign w:val="center"/>
          </w:tcPr>
          <w:p w14:paraId="7652619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支持精细化的虚拟机迁移控制，可配置虚拟机迁移速度和虚拟机迁移带宽百分比，通过设置虚拟机迁移带宽百分比可调整虚拟机迁移时所占用的管理网带宽，保障用户业务正常运行</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41" w:type="dxa"/>
            <w:shd w:val="clear" w:color="auto" w:fill="FFFFFF"/>
            <w:vAlign w:val="center"/>
          </w:tcPr>
          <w:p w14:paraId="6E22956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0BA53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9" w:type="dxa"/>
            <w:shd w:val="clear" w:color="auto" w:fill="FFFFFF"/>
            <w:vAlign w:val="center"/>
          </w:tcPr>
          <w:p w14:paraId="68939B8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162</w:t>
            </w:r>
          </w:p>
        </w:tc>
        <w:tc>
          <w:tcPr>
            <w:tcW w:w="981" w:type="dxa"/>
            <w:shd w:val="clear" w:color="auto" w:fill="FFFFFF"/>
            <w:noWrap/>
            <w:vAlign w:val="center"/>
          </w:tcPr>
          <w:p w14:paraId="39828CA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144815F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93" w:type="dxa"/>
            <w:shd w:val="clear" w:color="auto" w:fill="FFFFFF"/>
            <w:noWrap/>
            <w:vAlign w:val="center"/>
          </w:tcPr>
          <w:p w14:paraId="454807C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3990" w:type="dxa"/>
            <w:shd w:val="clear" w:color="auto" w:fill="FFFFFF"/>
            <w:vAlign w:val="center"/>
          </w:tcPr>
          <w:p w14:paraId="7B4AE47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支持vAPP功能，可配置若干台虚拟机组成的应用组，可设置虚拟机启动顺序和启动间隔时间，可批量修改虚拟机组的参数；</w:t>
            </w:r>
          </w:p>
        </w:tc>
        <w:tc>
          <w:tcPr>
            <w:tcW w:w="1341" w:type="dxa"/>
            <w:shd w:val="clear" w:color="auto" w:fill="FFFFFF"/>
            <w:vAlign w:val="center"/>
          </w:tcPr>
          <w:p w14:paraId="1CBFB1D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93BE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09" w:type="dxa"/>
            <w:shd w:val="clear" w:color="auto" w:fill="FFFFFF"/>
            <w:vAlign w:val="center"/>
          </w:tcPr>
          <w:p w14:paraId="15657FC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163</w:t>
            </w:r>
          </w:p>
        </w:tc>
        <w:tc>
          <w:tcPr>
            <w:tcW w:w="981" w:type="dxa"/>
            <w:shd w:val="clear" w:color="auto" w:fill="FFFFFF"/>
            <w:noWrap/>
            <w:vAlign w:val="center"/>
          </w:tcPr>
          <w:p w14:paraId="7E9CDF7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60ADC3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93" w:type="dxa"/>
            <w:shd w:val="clear" w:color="auto" w:fill="FFFFFF"/>
            <w:noWrap/>
            <w:vAlign w:val="center"/>
          </w:tcPr>
          <w:p w14:paraId="5B293E2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3990" w:type="dxa"/>
            <w:shd w:val="clear" w:color="auto" w:fill="FFFFFF"/>
            <w:vAlign w:val="center"/>
          </w:tcPr>
          <w:p w14:paraId="68730D6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支持一键开启和关闭数据中心内、集群内的所有虚拟机，并设置虚拟机跟随主机启动策略以及虚拟机启动优先级策略，方便机房搬迁或关电运维场景使用</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41" w:type="dxa"/>
            <w:shd w:val="clear" w:color="auto" w:fill="FFFFFF"/>
            <w:vAlign w:val="center"/>
          </w:tcPr>
          <w:p w14:paraId="51F9770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79C4B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609" w:type="dxa"/>
            <w:shd w:val="clear" w:color="auto" w:fill="FFFFFF"/>
            <w:vAlign w:val="center"/>
          </w:tcPr>
          <w:p w14:paraId="12D1D3B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164</w:t>
            </w:r>
          </w:p>
        </w:tc>
        <w:tc>
          <w:tcPr>
            <w:tcW w:w="981" w:type="dxa"/>
            <w:shd w:val="clear" w:color="auto" w:fill="FFFFFF"/>
            <w:noWrap/>
            <w:vAlign w:val="center"/>
          </w:tcPr>
          <w:p w14:paraId="4C3939D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03F5A8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93" w:type="dxa"/>
            <w:shd w:val="clear" w:color="auto" w:fill="FFFFFF"/>
            <w:noWrap/>
            <w:vAlign w:val="center"/>
          </w:tcPr>
          <w:p w14:paraId="094980E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#存储虚拟化</w:t>
            </w:r>
          </w:p>
        </w:tc>
        <w:tc>
          <w:tcPr>
            <w:tcW w:w="3990" w:type="dxa"/>
            <w:shd w:val="clear" w:color="auto" w:fill="FFFFFF"/>
            <w:vAlign w:val="center"/>
          </w:tcPr>
          <w:p w14:paraId="37EFBEF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支持自定义存储策略，包括存储精简配置、存储白名单、自定义条带大小和条带数等。存储策略的颗粒度可以具体到存储卷（LUN）、虚拟机磁盘等，支持单虚拟机可配置不同副本和置备策略的虚拟磁盘</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41" w:type="dxa"/>
            <w:shd w:val="clear" w:color="auto" w:fill="FFFFFF"/>
            <w:vAlign w:val="center"/>
          </w:tcPr>
          <w:p w14:paraId="4EC4D86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5BECA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609" w:type="dxa"/>
            <w:shd w:val="clear" w:color="auto" w:fill="FFFFFF"/>
            <w:vAlign w:val="center"/>
          </w:tcPr>
          <w:p w14:paraId="6C92F0D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165</w:t>
            </w:r>
          </w:p>
        </w:tc>
        <w:tc>
          <w:tcPr>
            <w:tcW w:w="981" w:type="dxa"/>
            <w:shd w:val="clear" w:color="auto" w:fill="FFFFFF"/>
            <w:noWrap/>
            <w:vAlign w:val="center"/>
          </w:tcPr>
          <w:p w14:paraId="340AEDC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108049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93" w:type="dxa"/>
            <w:shd w:val="clear" w:color="auto" w:fill="FFFFFF"/>
            <w:noWrap/>
            <w:vAlign w:val="center"/>
          </w:tcPr>
          <w:p w14:paraId="53CE592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存储虚拟化</w:t>
            </w:r>
          </w:p>
        </w:tc>
        <w:tc>
          <w:tcPr>
            <w:tcW w:w="3990" w:type="dxa"/>
            <w:shd w:val="clear" w:color="auto" w:fill="FFFFFF"/>
            <w:vAlign w:val="center"/>
          </w:tcPr>
          <w:p w14:paraId="0D1E66F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机架感知，可提供基于服务器机架拓扑的存储副本智能分布功能，在超融合平台可以灵活编辑机架和主机拓扑，分布式存储根据拓扑结构自动调整数据副本分布策略，保证数据智能、均衡存储，避免出现由于单一机架的电源或网络故障造成的存储不可用和业务中断；</w:t>
            </w:r>
          </w:p>
        </w:tc>
        <w:tc>
          <w:tcPr>
            <w:tcW w:w="1341" w:type="dxa"/>
            <w:shd w:val="clear" w:color="auto" w:fill="FFFFFF"/>
            <w:vAlign w:val="center"/>
          </w:tcPr>
          <w:p w14:paraId="4D752B3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C2F0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609" w:type="dxa"/>
            <w:shd w:val="clear" w:color="auto" w:fill="FFFFFF"/>
            <w:vAlign w:val="center"/>
          </w:tcPr>
          <w:p w14:paraId="707BE1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166</w:t>
            </w:r>
          </w:p>
        </w:tc>
        <w:tc>
          <w:tcPr>
            <w:tcW w:w="981" w:type="dxa"/>
            <w:shd w:val="clear" w:color="auto" w:fill="FFFFFF"/>
            <w:noWrap/>
            <w:vAlign w:val="center"/>
          </w:tcPr>
          <w:p w14:paraId="47B373D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1285A1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93" w:type="dxa"/>
            <w:shd w:val="clear" w:color="auto" w:fill="FFFFFF"/>
            <w:noWrap/>
            <w:vAlign w:val="center"/>
          </w:tcPr>
          <w:p w14:paraId="7002B0B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#存储虚拟化</w:t>
            </w:r>
          </w:p>
        </w:tc>
        <w:tc>
          <w:tcPr>
            <w:tcW w:w="3990" w:type="dxa"/>
            <w:shd w:val="clear" w:color="auto" w:fill="FFFFFF"/>
            <w:vAlign w:val="center"/>
          </w:tcPr>
          <w:p w14:paraId="3B86C8C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支持存储清理功能，可批量或单个扫描存储池，一键清理垃圾数据，节省物理资源</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41" w:type="dxa"/>
            <w:shd w:val="clear" w:color="auto" w:fill="FFFFFF"/>
            <w:vAlign w:val="center"/>
          </w:tcPr>
          <w:p w14:paraId="525CE48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61648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9" w:type="dxa"/>
            <w:shd w:val="clear" w:color="auto" w:fill="FFFFFF"/>
            <w:vAlign w:val="center"/>
          </w:tcPr>
          <w:p w14:paraId="311027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167</w:t>
            </w:r>
          </w:p>
        </w:tc>
        <w:tc>
          <w:tcPr>
            <w:tcW w:w="981" w:type="dxa"/>
            <w:shd w:val="clear" w:color="auto" w:fill="FFFFFF"/>
            <w:noWrap/>
            <w:vAlign w:val="center"/>
          </w:tcPr>
          <w:p w14:paraId="3C0A83E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2917C7A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93" w:type="dxa"/>
            <w:shd w:val="clear" w:color="auto" w:fill="FFFFFF"/>
            <w:noWrap/>
            <w:vAlign w:val="center"/>
          </w:tcPr>
          <w:p w14:paraId="1E2D1DE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网络虚拟化</w:t>
            </w:r>
          </w:p>
        </w:tc>
        <w:tc>
          <w:tcPr>
            <w:tcW w:w="3990" w:type="dxa"/>
            <w:shd w:val="clear" w:color="auto" w:fill="FFFFFF"/>
            <w:vAlign w:val="center"/>
          </w:tcPr>
          <w:p w14:paraId="09C6498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提供全局分布式SDN功能，以避免SDN控制节点故障，提供分布式SDN硬件加速能力，可提供更高转发性能，SDN支持VLAN/VXLAN模式；</w:t>
            </w:r>
          </w:p>
        </w:tc>
        <w:tc>
          <w:tcPr>
            <w:tcW w:w="1341" w:type="dxa"/>
            <w:shd w:val="clear" w:color="auto" w:fill="FFFFFF"/>
            <w:vAlign w:val="center"/>
          </w:tcPr>
          <w:p w14:paraId="036D2FA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955D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09" w:type="dxa"/>
            <w:shd w:val="clear" w:color="auto" w:fill="FFFFFF"/>
            <w:vAlign w:val="center"/>
          </w:tcPr>
          <w:p w14:paraId="06D729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168</w:t>
            </w:r>
          </w:p>
        </w:tc>
        <w:tc>
          <w:tcPr>
            <w:tcW w:w="981" w:type="dxa"/>
            <w:shd w:val="clear" w:color="auto" w:fill="FFFFFF"/>
            <w:noWrap/>
            <w:vAlign w:val="center"/>
          </w:tcPr>
          <w:p w14:paraId="2FD7D24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4BA4D3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93" w:type="dxa"/>
            <w:shd w:val="clear" w:color="auto" w:fill="FFFFFF"/>
            <w:noWrap/>
            <w:vAlign w:val="center"/>
          </w:tcPr>
          <w:p w14:paraId="1C6EB7C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网络虚拟化</w:t>
            </w:r>
          </w:p>
        </w:tc>
        <w:tc>
          <w:tcPr>
            <w:tcW w:w="3990" w:type="dxa"/>
            <w:shd w:val="clear" w:color="auto" w:fill="FFFFFF"/>
            <w:vAlign w:val="center"/>
          </w:tcPr>
          <w:p w14:paraId="63CC445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支持全局分布式SDN智能加速，卸载分布式SDN网络的数据平面到硬件网卡，通过对东西向Overlay网络流量和南北向流量卸载，大幅提高网络转发性能并节省主机资源；</w:t>
            </w:r>
          </w:p>
        </w:tc>
        <w:tc>
          <w:tcPr>
            <w:tcW w:w="1341" w:type="dxa"/>
            <w:shd w:val="clear" w:color="auto" w:fill="FFFFFF"/>
            <w:vAlign w:val="center"/>
          </w:tcPr>
          <w:p w14:paraId="7F9662F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44B2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09" w:type="dxa"/>
            <w:shd w:val="clear" w:color="auto" w:fill="FFFFFF"/>
            <w:vAlign w:val="center"/>
          </w:tcPr>
          <w:p w14:paraId="56BE7EE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169</w:t>
            </w:r>
          </w:p>
        </w:tc>
        <w:tc>
          <w:tcPr>
            <w:tcW w:w="981" w:type="dxa"/>
            <w:shd w:val="clear" w:color="auto" w:fill="FFFFFF"/>
            <w:noWrap/>
            <w:vAlign w:val="center"/>
          </w:tcPr>
          <w:p w14:paraId="5C5446A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45D213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93" w:type="dxa"/>
            <w:shd w:val="clear" w:color="auto" w:fill="FFFFFF"/>
            <w:noWrap/>
            <w:vAlign w:val="center"/>
          </w:tcPr>
          <w:p w14:paraId="5B8A11B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#网络虚拟化</w:t>
            </w:r>
          </w:p>
        </w:tc>
        <w:tc>
          <w:tcPr>
            <w:tcW w:w="3990" w:type="dxa"/>
            <w:shd w:val="clear" w:color="auto" w:fill="FFFFFF"/>
            <w:vAlign w:val="center"/>
          </w:tcPr>
          <w:p w14:paraId="13F4D48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支持网络图形化编排，编辑网络拓扑及拖拽网元即可完成网络拓扑的创建、变更、属性编辑</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41" w:type="dxa"/>
            <w:shd w:val="clear" w:color="auto" w:fill="FFFFFF"/>
            <w:vAlign w:val="center"/>
          </w:tcPr>
          <w:p w14:paraId="14DB165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3C8D3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09" w:type="dxa"/>
            <w:shd w:val="clear" w:color="auto" w:fill="FFFFFF"/>
            <w:vAlign w:val="center"/>
          </w:tcPr>
          <w:p w14:paraId="3432CFD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170</w:t>
            </w:r>
          </w:p>
        </w:tc>
        <w:tc>
          <w:tcPr>
            <w:tcW w:w="981" w:type="dxa"/>
            <w:shd w:val="clear" w:color="auto" w:fill="FFFFFF"/>
            <w:noWrap/>
            <w:vAlign w:val="center"/>
          </w:tcPr>
          <w:p w14:paraId="38E9933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1F8DE1D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593" w:type="dxa"/>
            <w:shd w:val="clear" w:color="auto" w:fill="FFFFFF"/>
            <w:noWrap/>
            <w:vAlign w:val="center"/>
          </w:tcPr>
          <w:p w14:paraId="29F4C8E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#网络虚拟化</w:t>
            </w:r>
          </w:p>
        </w:tc>
        <w:tc>
          <w:tcPr>
            <w:tcW w:w="3990" w:type="dxa"/>
            <w:shd w:val="clear" w:color="auto" w:fill="FFFFFF"/>
            <w:vAlign w:val="center"/>
          </w:tcPr>
          <w:p w14:paraId="45FDC16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支持物理网卡定位功能，可在平台发现网卡故障后，在管理界面直接点亮损坏网卡，方便运维人员到机房快速发现故障网卡设备</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41" w:type="dxa"/>
            <w:shd w:val="clear" w:color="auto" w:fill="FFFFFF"/>
            <w:vAlign w:val="center"/>
          </w:tcPr>
          <w:p w14:paraId="2A890C6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bl>
    <w:p w14:paraId="350DDA09">
      <w:pPr>
        <w:rPr>
          <w:rFonts w:asciiTheme="minorEastAsia" w:hAnsiTheme="minorEastAsia" w:eastAsiaTheme="minorEastAsia" w:cstheme="minorEastAsia"/>
          <w:sz w:val="24"/>
        </w:rPr>
      </w:pPr>
    </w:p>
    <w:p w14:paraId="0A58DA1E">
      <w:pPr>
        <w:pStyle w:val="2"/>
        <w:numPr>
          <w:ilvl w:val="0"/>
          <w:numId w:val="2"/>
        </w:numPr>
        <w:ind w:left="442" w:hanging="442"/>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医保超融合集群</w:t>
      </w:r>
    </w:p>
    <w:tbl>
      <w:tblPr>
        <w:tblStyle w:val="15"/>
        <w:tblW w:w="9672" w:type="dxa"/>
        <w:tblInd w:w="-6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735"/>
        <w:gridCol w:w="981"/>
        <w:gridCol w:w="981"/>
        <w:gridCol w:w="1713"/>
        <w:gridCol w:w="3960"/>
        <w:gridCol w:w="1302"/>
      </w:tblGrid>
      <w:tr w14:paraId="34B9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35" w:type="dxa"/>
            <w:shd w:val="clear" w:color="auto" w:fill="FFFFFF"/>
            <w:vAlign w:val="center"/>
          </w:tcPr>
          <w:p w14:paraId="36DEE5E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序号</w:t>
            </w:r>
          </w:p>
        </w:tc>
        <w:tc>
          <w:tcPr>
            <w:tcW w:w="981" w:type="dxa"/>
            <w:shd w:val="clear" w:color="auto" w:fill="FFFFFF"/>
            <w:vAlign w:val="center"/>
          </w:tcPr>
          <w:p w14:paraId="3422EF8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指标分类</w:t>
            </w:r>
          </w:p>
        </w:tc>
        <w:tc>
          <w:tcPr>
            <w:tcW w:w="981" w:type="dxa"/>
            <w:shd w:val="clear" w:color="auto" w:fill="FFFFFF"/>
            <w:vAlign w:val="center"/>
          </w:tcPr>
          <w:p w14:paraId="517E27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一级指标</w:t>
            </w:r>
          </w:p>
        </w:tc>
        <w:tc>
          <w:tcPr>
            <w:tcW w:w="1713" w:type="dxa"/>
            <w:shd w:val="clear" w:color="auto" w:fill="FFFFFF"/>
            <w:vAlign w:val="center"/>
          </w:tcPr>
          <w:p w14:paraId="7B6F11D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二级指标</w:t>
            </w:r>
          </w:p>
        </w:tc>
        <w:tc>
          <w:tcPr>
            <w:tcW w:w="3960" w:type="dxa"/>
            <w:shd w:val="clear" w:color="auto" w:fill="FFFFFF"/>
            <w:vAlign w:val="center"/>
          </w:tcPr>
          <w:p w14:paraId="10030F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指标要求</w:t>
            </w:r>
          </w:p>
        </w:tc>
        <w:tc>
          <w:tcPr>
            <w:tcW w:w="1302" w:type="dxa"/>
            <w:shd w:val="clear" w:color="auto" w:fill="FFFFFF"/>
            <w:vAlign w:val="center"/>
          </w:tcPr>
          <w:p w14:paraId="7955257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是否提供证明材料</w:t>
            </w:r>
          </w:p>
        </w:tc>
      </w:tr>
      <w:tr w14:paraId="35C1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35" w:type="dxa"/>
            <w:shd w:val="clear" w:color="auto" w:fill="FFFFFF"/>
            <w:vAlign w:val="center"/>
          </w:tcPr>
          <w:p w14:paraId="777421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w:t>
            </w:r>
          </w:p>
        </w:tc>
        <w:tc>
          <w:tcPr>
            <w:tcW w:w="981" w:type="dxa"/>
            <w:shd w:val="clear" w:color="auto" w:fill="FFFFFF"/>
            <w:vAlign w:val="center"/>
          </w:tcPr>
          <w:p w14:paraId="18F9699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shd w:val="clear" w:color="auto" w:fill="FFFFFF"/>
            <w:vAlign w:val="center"/>
          </w:tcPr>
          <w:p w14:paraId="198600F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CPU规格</w:t>
            </w:r>
          </w:p>
        </w:tc>
        <w:tc>
          <w:tcPr>
            <w:tcW w:w="1713" w:type="dxa"/>
            <w:shd w:val="clear" w:color="auto" w:fill="FFFFFF"/>
            <w:vAlign w:val="center"/>
          </w:tcPr>
          <w:p w14:paraId="105E6A3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★CPU信息</w:t>
            </w:r>
          </w:p>
        </w:tc>
        <w:tc>
          <w:tcPr>
            <w:tcW w:w="3960" w:type="dxa"/>
            <w:shd w:val="clear" w:color="auto" w:fill="FFFFFF"/>
            <w:vAlign w:val="center"/>
          </w:tcPr>
          <w:p w14:paraId="03246F7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供应商应给出CPU信息，包含CPU型号、物理核心数、主频、末级缓存容量、线程数、热设计功耗及支持内存的最高速率、通道数和位宽</w:t>
            </w:r>
          </w:p>
        </w:tc>
        <w:tc>
          <w:tcPr>
            <w:tcW w:w="1302" w:type="dxa"/>
            <w:shd w:val="clear" w:color="auto" w:fill="FFFFFF"/>
            <w:vAlign w:val="center"/>
          </w:tcPr>
          <w:p w14:paraId="0A4C12F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16B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6172F53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981" w:type="dxa"/>
            <w:shd w:val="clear" w:color="auto" w:fill="FFFFFF"/>
            <w:vAlign w:val="center"/>
          </w:tcPr>
          <w:p w14:paraId="7C9D93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1015A95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主板规格</w:t>
            </w:r>
          </w:p>
        </w:tc>
        <w:tc>
          <w:tcPr>
            <w:tcW w:w="1713" w:type="dxa"/>
            <w:shd w:val="clear" w:color="auto" w:fill="FFFFFF"/>
            <w:vAlign w:val="center"/>
          </w:tcPr>
          <w:p w14:paraId="7584D8D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★主板支持的CPU和内存情况</w:t>
            </w:r>
          </w:p>
        </w:tc>
        <w:tc>
          <w:tcPr>
            <w:tcW w:w="3960" w:type="dxa"/>
            <w:shd w:val="clear" w:color="auto" w:fill="FFFFFF"/>
            <w:vAlign w:val="center"/>
          </w:tcPr>
          <w:p w14:paraId="0F1EF06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供应商给出主板支持的CPU和内存的型号数量</w:t>
            </w:r>
          </w:p>
        </w:tc>
        <w:tc>
          <w:tcPr>
            <w:tcW w:w="1302" w:type="dxa"/>
            <w:shd w:val="clear" w:color="auto" w:fill="FFFFFF"/>
            <w:vAlign w:val="center"/>
          </w:tcPr>
          <w:p w14:paraId="5D06D0B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D25D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35" w:type="dxa"/>
            <w:shd w:val="clear" w:color="auto" w:fill="FFFFFF"/>
            <w:vAlign w:val="center"/>
          </w:tcPr>
          <w:p w14:paraId="7808D5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w:t>
            </w:r>
          </w:p>
        </w:tc>
        <w:tc>
          <w:tcPr>
            <w:tcW w:w="981" w:type="dxa"/>
            <w:shd w:val="clear" w:color="auto" w:fill="FFFFFF"/>
            <w:vAlign w:val="center"/>
          </w:tcPr>
          <w:p w14:paraId="7999185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2E4EB32">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506842D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★主板内存槽数量</w:t>
            </w:r>
          </w:p>
        </w:tc>
        <w:tc>
          <w:tcPr>
            <w:tcW w:w="3960" w:type="dxa"/>
            <w:shd w:val="clear" w:color="auto" w:fill="FFFFFF"/>
            <w:vAlign w:val="center"/>
          </w:tcPr>
          <w:p w14:paraId="65B0EFD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非板载内存的可扩展插槽数量应≥4个</w:t>
            </w:r>
          </w:p>
        </w:tc>
        <w:tc>
          <w:tcPr>
            <w:tcW w:w="1302" w:type="dxa"/>
            <w:shd w:val="clear" w:color="auto" w:fill="FFFFFF"/>
            <w:vAlign w:val="center"/>
          </w:tcPr>
          <w:p w14:paraId="6018AB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83BC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0CAAB3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w:t>
            </w:r>
          </w:p>
        </w:tc>
        <w:tc>
          <w:tcPr>
            <w:tcW w:w="981" w:type="dxa"/>
            <w:shd w:val="clear" w:color="auto" w:fill="FFFFFF"/>
            <w:vAlign w:val="center"/>
          </w:tcPr>
          <w:p w14:paraId="7781DB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78CAC62">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503906B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★主板存储接口</w:t>
            </w:r>
          </w:p>
        </w:tc>
        <w:tc>
          <w:tcPr>
            <w:tcW w:w="3960" w:type="dxa"/>
            <w:shd w:val="clear" w:color="auto" w:fill="FFFFFF"/>
            <w:vAlign w:val="center"/>
          </w:tcPr>
          <w:p w14:paraId="5805050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至少支持SATA、SAS、M.2、U.2等存储接口中的1种</w:t>
            </w:r>
          </w:p>
        </w:tc>
        <w:tc>
          <w:tcPr>
            <w:tcW w:w="1302" w:type="dxa"/>
            <w:shd w:val="clear" w:color="auto" w:fill="FFFFFF"/>
            <w:vAlign w:val="center"/>
          </w:tcPr>
          <w:p w14:paraId="6555347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FF0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7D05048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w:t>
            </w:r>
          </w:p>
        </w:tc>
        <w:tc>
          <w:tcPr>
            <w:tcW w:w="981" w:type="dxa"/>
            <w:shd w:val="clear" w:color="auto" w:fill="FFFFFF"/>
            <w:vAlign w:val="center"/>
          </w:tcPr>
          <w:p w14:paraId="7746C0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5A5D4E1B">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6D9C54D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★PCIe插槽接口</w:t>
            </w:r>
          </w:p>
        </w:tc>
        <w:tc>
          <w:tcPr>
            <w:tcW w:w="3960" w:type="dxa"/>
            <w:shd w:val="clear" w:color="auto" w:fill="FFFFFF"/>
            <w:vAlign w:val="center"/>
          </w:tcPr>
          <w:p w14:paraId="267F658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符合PCIe3.0或以上的高速串行计算机扩展总线标准，PCIe的接口速率与位宽需保证向下兼容</w:t>
            </w:r>
          </w:p>
        </w:tc>
        <w:tc>
          <w:tcPr>
            <w:tcW w:w="1302" w:type="dxa"/>
            <w:shd w:val="clear" w:color="auto" w:fill="FFFFFF"/>
            <w:vAlign w:val="center"/>
          </w:tcPr>
          <w:p w14:paraId="1A67273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3BE8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23F0E90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w:t>
            </w:r>
          </w:p>
        </w:tc>
        <w:tc>
          <w:tcPr>
            <w:tcW w:w="981" w:type="dxa"/>
            <w:shd w:val="clear" w:color="auto" w:fill="FFFFFF"/>
            <w:vAlign w:val="center"/>
          </w:tcPr>
          <w:p w14:paraId="38112F2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DF27AC5">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7ED0BDC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★主板PCIe插槽数量及规格</w:t>
            </w:r>
          </w:p>
        </w:tc>
        <w:tc>
          <w:tcPr>
            <w:tcW w:w="3960" w:type="dxa"/>
            <w:shd w:val="clear" w:color="auto" w:fill="FFFFFF"/>
            <w:vAlign w:val="center"/>
          </w:tcPr>
          <w:p w14:paraId="4ED871F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a）高度大于44.45mm双路或以上服务器PCIe插槽或接口应≥5个；</w:t>
            </w:r>
          </w:p>
          <w:p w14:paraId="6C6435E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b）单路服务器PCIe插槽或接口应≥4个，可通过扩展卡进行插槽扩展</w:t>
            </w:r>
          </w:p>
        </w:tc>
        <w:tc>
          <w:tcPr>
            <w:tcW w:w="1302" w:type="dxa"/>
            <w:shd w:val="clear" w:color="auto" w:fill="FFFFFF"/>
            <w:vAlign w:val="center"/>
          </w:tcPr>
          <w:p w14:paraId="63AB14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E7BA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735" w:type="dxa"/>
            <w:shd w:val="clear" w:color="auto" w:fill="FFFFFF"/>
            <w:vAlign w:val="center"/>
          </w:tcPr>
          <w:p w14:paraId="0BE4B9B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w:t>
            </w:r>
          </w:p>
        </w:tc>
        <w:tc>
          <w:tcPr>
            <w:tcW w:w="981" w:type="dxa"/>
            <w:shd w:val="clear" w:color="auto" w:fill="FFFFFF"/>
            <w:vAlign w:val="center"/>
          </w:tcPr>
          <w:p w14:paraId="0BBB66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38B6F53">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10C8B1A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特殊孔位及接口</w:t>
            </w:r>
          </w:p>
        </w:tc>
        <w:tc>
          <w:tcPr>
            <w:tcW w:w="3960" w:type="dxa"/>
            <w:shd w:val="clear" w:color="auto" w:fill="FFFFFF"/>
            <w:vAlign w:val="center"/>
          </w:tcPr>
          <w:p w14:paraId="389E6C5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服务器机箱内主板可根据用户实际使用需求支持安装多功能导入装置板卡，机箱内需预留多功能导入装置板卡安装位置，容量不小于55mm×45mm×15mm（长×宽×高，单位毫米）；b）服务器主板可根据用户实际使用需求预留满足USB2.0或USB3.0数据传输规范的接口，工作电压5V，采用USB2.0时，最大过电流应不小于0.5A，采用USB3.0时，最大过电流应不小于1A</w:t>
            </w:r>
          </w:p>
        </w:tc>
        <w:tc>
          <w:tcPr>
            <w:tcW w:w="1302" w:type="dxa"/>
            <w:shd w:val="clear" w:color="auto" w:fill="FFFFFF"/>
            <w:vAlign w:val="center"/>
          </w:tcPr>
          <w:p w14:paraId="56D2B8E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3039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619C24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981" w:type="dxa"/>
            <w:shd w:val="clear" w:color="auto" w:fill="FFFFFF"/>
            <w:vAlign w:val="center"/>
          </w:tcPr>
          <w:p w14:paraId="7B06F9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8746ED8">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1AF4F10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板载网络接口</w:t>
            </w:r>
          </w:p>
        </w:tc>
        <w:tc>
          <w:tcPr>
            <w:tcW w:w="3960" w:type="dxa"/>
            <w:shd w:val="clear" w:color="auto" w:fill="FFFFFF"/>
            <w:vAlign w:val="center"/>
          </w:tcPr>
          <w:p w14:paraId="389A2C5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若支持板载网络接口应≥2个1GE网口</w:t>
            </w:r>
          </w:p>
        </w:tc>
        <w:tc>
          <w:tcPr>
            <w:tcW w:w="1302" w:type="dxa"/>
            <w:shd w:val="clear" w:color="auto" w:fill="FFFFFF"/>
            <w:vAlign w:val="center"/>
          </w:tcPr>
          <w:p w14:paraId="23B54F6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6476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65EE99B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w:t>
            </w:r>
          </w:p>
        </w:tc>
        <w:tc>
          <w:tcPr>
            <w:tcW w:w="981" w:type="dxa"/>
            <w:shd w:val="clear" w:color="auto" w:fill="FFFFFF"/>
            <w:vAlign w:val="center"/>
          </w:tcPr>
          <w:p w14:paraId="7191F5F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67FAA677">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779DBA9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主板OCP插槽数量</w:t>
            </w:r>
          </w:p>
        </w:tc>
        <w:tc>
          <w:tcPr>
            <w:tcW w:w="3960" w:type="dxa"/>
            <w:shd w:val="clear" w:color="auto" w:fill="FFFFFF"/>
            <w:vAlign w:val="center"/>
          </w:tcPr>
          <w:p w14:paraId="5514FA5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支持OCP2.0及以上插槽的数量≥1个</w:t>
            </w:r>
          </w:p>
        </w:tc>
        <w:tc>
          <w:tcPr>
            <w:tcW w:w="1302" w:type="dxa"/>
            <w:shd w:val="clear" w:color="auto" w:fill="FFFFFF"/>
            <w:vAlign w:val="center"/>
          </w:tcPr>
          <w:p w14:paraId="0A1FC5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46A0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35" w:type="dxa"/>
            <w:shd w:val="clear" w:color="auto" w:fill="FFFFFF"/>
            <w:vAlign w:val="center"/>
          </w:tcPr>
          <w:p w14:paraId="31B1600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w:t>
            </w:r>
          </w:p>
        </w:tc>
        <w:tc>
          <w:tcPr>
            <w:tcW w:w="981" w:type="dxa"/>
            <w:shd w:val="clear" w:color="auto" w:fill="FFFFFF"/>
            <w:vAlign w:val="center"/>
          </w:tcPr>
          <w:p w14:paraId="0F2C41E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6D0100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内存规格</w:t>
            </w:r>
          </w:p>
        </w:tc>
        <w:tc>
          <w:tcPr>
            <w:tcW w:w="1713" w:type="dxa"/>
            <w:shd w:val="clear" w:color="auto" w:fill="FFFFFF"/>
            <w:vAlign w:val="center"/>
          </w:tcPr>
          <w:p w14:paraId="059AD85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★内存数量</w:t>
            </w:r>
          </w:p>
        </w:tc>
        <w:tc>
          <w:tcPr>
            <w:tcW w:w="3960" w:type="dxa"/>
            <w:shd w:val="clear" w:color="auto" w:fill="FFFFFF"/>
            <w:vAlign w:val="center"/>
          </w:tcPr>
          <w:p w14:paraId="0288806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w:t>
            </w:r>
          </w:p>
        </w:tc>
        <w:tc>
          <w:tcPr>
            <w:tcW w:w="1302" w:type="dxa"/>
            <w:shd w:val="clear" w:color="auto" w:fill="FFFFFF"/>
            <w:vAlign w:val="center"/>
          </w:tcPr>
          <w:p w14:paraId="0B24BC6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4880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35" w:type="dxa"/>
            <w:shd w:val="clear" w:color="auto" w:fill="FFFFFF"/>
            <w:vAlign w:val="center"/>
          </w:tcPr>
          <w:p w14:paraId="724A72B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w:t>
            </w:r>
          </w:p>
        </w:tc>
        <w:tc>
          <w:tcPr>
            <w:tcW w:w="981" w:type="dxa"/>
            <w:shd w:val="clear" w:color="auto" w:fill="FFFFFF"/>
            <w:vAlign w:val="center"/>
          </w:tcPr>
          <w:p w14:paraId="55A392A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537E4AF">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1749978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★内存规格</w:t>
            </w:r>
          </w:p>
        </w:tc>
        <w:tc>
          <w:tcPr>
            <w:tcW w:w="3960" w:type="dxa"/>
            <w:shd w:val="clear" w:color="auto" w:fill="FFFFFF"/>
            <w:vAlign w:val="center"/>
          </w:tcPr>
          <w:p w14:paraId="7E940AC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≥DDR4</w:t>
            </w:r>
          </w:p>
        </w:tc>
        <w:tc>
          <w:tcPr>
            <w:tcW w:w="1302" w:type="dxa"/>
            <w:shd w:val="clear" w:color="auto" w:fill="FFFFFF"/>
            <w:vAlign w:val="center"/>
          </w:tcPr>
          <w:p w14:paraId="54364A9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1AAD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1CB15C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w:t>
            </w:r>
          </w:p>
        </w:tc>
        <w:tc>
          <w:tcPr>
            <w:tcW w:w="981" w:type="dxa"/>
            <w:shd w:val="clear" w:color="auto" w:fill="FFFFFF"/>
            <w:vAlign w:val="center"/>
          </w:tcPr>
          <w:p w14:paraId="3BFE1B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E9AD885">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17E8695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★内存通道</w:t>
            </w:r>
          </w:p>
        </w:tc>
        <w:tc>
          <w:tcPr>
            <w:tcW w:w="3960" w:type="dxa"/>
            <w:shd w:val="clear" w:color="auto" w:fill="FFFFFF"/>
            <w:vAlign w:val="center"/>
          </w:tcPr>
          <w:p w14:paraId="244DE25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支持多个内存接口通道，每个通道可支持1DPC或2DPC，当支持2DPC时，印制电路板上应具备插槽的序号标识，具体通道数应在随机文件中明确</w:t>
            </w:r>
          </w:p>
        </w:tc>
        <w:tc>
          <w:tcPr>
            <w:tcW w:w="1302" w:type="dxa"/>
            <w:shd w:val="clear" w:color="auto" w:fill="FFFFFF"/>
            <w:vAlign w:val="center"/>
          </w:tcPr>
          <w:p w14:paraId="2C0FC8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BEFF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35" w:type="dxa"/>
            <w:shd w:val="clear" w:color="auto" w:fill="FFFFFF"/>
            <w:vAlign w:val="center"/>
          </w:tcPr>
          <w:p w14:paraId="61D3C88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w:t>
            </w:r>
          </w:p>
        </w:tc>
        <w:tc>
          <w:tcPr>
            <w:tcW w:w="981" w:type="dxa"/>
            <w:shd w:val="clear" w:color="auto" w:fill="FFFFFF"/>
            <w:vAlign w:val="center"/>
          </w:tcPr>
          <w:p w14:paraId="052CAE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486415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存储规格</w:t>
            </w:r>
          </w:p>
        </w:tc>
        <w:tc>
          <w:tcPr>
            <w:tcW w:w="1713" w:type="dxa"/>
            <w:shd w:val="clear" w:color="auto" w:fill="FFFFFF"/>
            <w:vAlign w:val="center"/>
          </w:tcPr>
          <w:p w14:paraId="4CF5814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硬盘类型</w:t>
            </w:r>
          </w:p>
        </w:tc>
        <w:tc>
          <w:tcPr>
            <w:tcW w:w="3960" w:type="dxa"/>
            <w:shd w:val="clear" w:color="auto" w:fill="FFFFFF"/>
            <w:vAlign w:val="center"/>
          </w:tcPr>
          <w:p w14:paraId="373737B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供应商给出服务器支持硬磁盘和固态盘类型及规格</w:t>
            </w:r>
          </w:p>
        </w:tc>
        <w:tc>
          <w:tcPr>
            <w:tcW w:w="1302" w:type="dxa"/>
            <w:shd w:val="clear" w:color="auto" w:fill="FFFFFF"/>
            <w:vAlign w:val="center"/>
          </w:tcPr>
          <w:p w14:paraId="2F411FA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5B45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4465B8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w:t>
            </w:r>
          </w:p>
        </w:tc>
        <w:tc>
          <w:tcPr>
            <w:tcW w:w="981" w:type="dxa"/>
            <w:shd w:val="clear" w:color="auto" w:fill="FFFFFF"/>
            <w:vAlign w:val="center"/>
          </w:tcPr>
          <w:p w14:paraId="381F18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1A8491C5">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67256A0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★硬磁盘实配容量</w:t>
            </w:r>
          </w:p>
        </w:tc>
        <w:tc>
          <w:tcPr>
            <w:tcW w:w="3960" w:type="dxa"/>
            <w:shd w:val="clear" w:color="auto" w:fill="FFFFFF"/>
            <w:vAlign w:val="center"/>
          </w:tcPr>
          <w:p w14:paraId="4E22FA8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硬盘1：≥480G SATA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硬盘2：≥1.6T SAS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硬盘3：≥2.4T 10K SAS</w:t>
            </w:r>
          </w:p>
        </w:tc>
        <w:tc>
          <w:tcPr>
            <w:tcW w:w="1302" w:type="dxa"/>
            <w:shd w:val="clear" w:color="auto" w:fill="FFFFFF"/>
            <w:vAlign w:val="center"/>
          </w:tcPr>
          <w:p w14:paraId="7F46B20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36FB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389356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w:t>
            </w:r>
          </w:p>
        </w:tc>
        <w:tc>
          <w:tcPr>
            <w:tcW w:w="981" w:type="dxa"/>
            <w:shd w:val="clear" w:color="auto" w:fill="FFFFFF"/>
            <w:vAlign w:val="center"/>
          </w:tcPr>
          <w:p w14:paraId="6E5EA0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5B0C89F4">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0D19541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硬盘接口类型</w:t>
            </w:r>
          </w:p>
        </w:tc>
        <w:tc>
          <w:tcPr>
            <w:tcW w:w="3960" w:type="dxa"/>
            <w:shd w:val="clear" w:color="auto" w:fill="FFFFFF"/>
            <w:vAlign w:val="center"/>
          </w:tcPr>
          <w:p w14:paraId="2DB9B1B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a）若配备硬磁盘，应提供SAS3.0或SATA3.0及以上接口；b）若配备固态盘，应提供至少1种类型固态盘接口，如UFS、SATA、PCIe等</w:t>
            </w:r>
          </w:p>
        </w:tc>
        <w:tc>
          <w:tcPr>
            <w:tcW w:w="1302" w:type="dxa"/>
            <w:shd w:val="clear" w:color="auto" w:fill="FFFFFF"/>
            <w:vAlign w:val="center"/>
          </w:tcPr>
          <w:p w14:paraId="03CB59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03EB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367F7C2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w:t>
            </w:r>
          </w:p>
        </w:tc>
        <w:tc>
          <w:tcPr>
            <w:tcW w:w="981" w:type="dxa"/>
            <w:shd w:val="clear" w:color="auto" w:fill="FFFFFF"/>
            <w:vAlign w:val="center"/>
          </w:tcPr>
          <w:p w14:paraId="4FD633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146F1DCC">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03E1D1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★硬盘实配数量</w:t>
            </w:r>
          </w:p>
        </w:tc>
        <w:tc>
          <w:tcPr>
            <w:tcW w:w="3960" w:type="dxa"/>
            <w:shd w:val="clear" w:color="auto" w:fill="FFFFFF"/>
            <w:vAlign w:val="center"/>
          </w:tcPr>
          <w:p w14:paraId="47461CB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硬盘1：≥2块480G SATA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硬盘2：≥2块1.6T SAS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硬盘3：≥10块2.4T 10K SAS</w:t>
            </w:r>
          </w:p>
        </w:tc>
        <w:tc>
          <w:tcPr>
            <w:tcW w:w="1302" w:type="dxa"/>
            <w:shd w:val="clear" w:color="auto" w:fill="FFFFFF"/>
            <w:vAlign w:val="center"/>
          </w:tcPr>
          <w:p w14:paraId="0545F2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6F5F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735" w:type="dxa"/>
            <w:shd w:val="clear" w:color="auto" w:fill="FFFFFF"/>
            <w:vAlign w:val="center"/>
          </w:tcPr>
          <w:p w14:paraId="08283F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17</w:t>
            </w:r>
          </w:p>
        </w:tc>
        <w:tc>
          <w:tcPr>
            <w:tcW w:w="981" w:type="dxa"/>
            <w:shd w:val="clear" w:color="auto" w:fill="FFFFFF"/>
            <w:vAlign w:val="center"/>
          </w:tcPr>
          <w:p w14:paraId="284442A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5F05D6B">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49717A2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★硬盘插槽数量及规格</w:t>
            </w:r>
          </w:p>
        </w:tc>
        <w:tc>
          <w:tcPr>
            <w:tcW w:w="3960" w:type="dxa"/>
            <w:shd w:val="clear" w:color="auto" w:fill="FFFFFF"/>
            <w:vAlign w:val="center"/>
          </w:tcPr>
          <w:p w14:paraId="0117A7E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供应商应给出配置的硬盘尺寸，如2.5英寸、3.5英寸硬磁盘；b）机箱高度为88.9mm的服务器可支持的硬盘数量应≥8块，机箱高度为44.45mm的服务器可支持的硬盘数量应≥4块。c）存储型服务器可支持硬盘数量应≥24块</w:t>
            </w:r>
          </w:p>
        </w:tc>
        <w:tc>
          <w:tcPr>
            <w:tcW w:w="1302" w:type="dxa"/>
            <w:shd w:val="clear" w:color="auto" w:fill="FFFFFF"/>
            <w:vAlign w:val="center"/>
          </w:tcPr>
          <w:p w14:paraId="5DAF9C4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1767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35" w:type="dxa"/>
            <w:shd w:val="clear" w:color="auto" w:fill="FFFFFF"/>
            <w:vAlign w:val="center"/>
          </w:tcPr>
          <w:p w14:paraId="6012FFC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18</w:t>
            </w:r>
          </w:p>
        </w:tc>
        <w:tc>
          <w:tcPr>
            <w:tcW w:w="981" w:type="dxa"/>
            <w:shd w:val="clear" w:color="auto" w:fill="FFFFFF"/>
            <w:vAlign w:val="center"/>
          </w:tcPr>
          <w:p w14:paraId="1D042A3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56F4D3A6">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43004B1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硬盘其他参数要求</w:t>
            </w:r>
          </w:p>
        </w:tc>
        <w:tc>
          <w:tcPr>
            <w:tcW w:w="3960" w:type="dxa"/>
            <w:shd w:val="clear" w:color="auto" w:fill="FFFFFF"/>
            <w:vAlign w:val="center"/>
          </w:tcPr>
          <w:p w14:paraId="5DAD34F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drawing>
                <wp:anchor distT="0" distB="0" distL="114300" distR="114300" simplePos="0" relativeHeight="251671552" behindDoc="0" locked="0" layoutInCell="1" allowOverlap="1">
                  <wp:simplePos x="0" y="0"/>
                  <wp:positionH relativeFrom="column">
                    <wp:posOffset>9525</wp:posOffset>
                  </wp:positionH>
                  <wp:positionV relativeFrom="paragraph">
                    <wp:posOffset>471170</wp:posOffset>
                  </wp:positionV>
                  <wp:extent cx="76200" cy="47625"/>
                  <wp:effectExtent l="0" t="0" r="0" b="0"/>
                  <wp:wrapNone/>
                  <wp:docPr id="13" name="图片 22"/>
                  <wp:cNvGraphicFramePr/>
                  <a:graphic xmlns:a="http://schemas.openxmlformats.org/drawingml/2006/main">
                    <a:graphicData uri="http://schemas.openxmlformats.org/drawingml/2006/picture">
                      <pic:pic xmlns:pic="http://schemas.openxmlformats.org/drawingml/2006/picture">
                        <pic:nvPicPr>
                          <pic:cNvPr id="13" name="图片 22"/>
                          <pic:cNvPicPr/>
                        </pic:nvPicPr>
                        <pic:blipFill>
                          <a:blip r:embed="rId5"/>
                          <a:stretch>
                            <a:fillRect/>
                          </a:stretch>
                        </pic:blipFill>
                        <pic:spPr>
                          <a:xfrm>
                            <a:off x="0" y="0"/>
                            <a:ext cx="76200" cy="47625"/>
                          </a:xfrm>
                          <a:prstGeom prst="rect">
                            <a:avLst/>
                          </a:prstGeom>
                          <a:noFill/>
                          <a:ln>
                            <a:noFill/>
                          </a:ln>
                        </pic:spPr>
                      </pic:pic>
                    </a:graphicData>
                  </a:graphic>
                </wp:anchor>
              </w:drawing>
            </w:r>
            <w:r>
              <w:rPr>
                <w:rFonts w:hint="eastAsia" w:asciiTheme="minorEastAsia" w:hAnsiTheme="minorEastAsia" w:eastAsiaTheme="minorEastAsia" w:cstheme="minorEastAsia"/>
                <w:kern w:val="0"/>
                <w:sz w:val="24"/>
              </w:rPr>
              <w:t>a）机械硬盘准备时间应≤30s；侧面固定螺丝孔数量可为4孔或6孔；工作状态环境温度应满足5℃55℃,其他参数应符合GB/T12628的相关规定；b）若服务器支持固态盘，固态盘符合SJ/T11654相关规定</w:t>
            </w:r>
          </w:p>
        </w:tc>
        <w:tc>
          <w:tcPr>
            <w:tcW w:w="1302" w:type="dxa"/>
            <w:shd w:val="clear" w:color="auto" w:fill="FFFFFF"/>
            <w:vAlign w:val="center"/>
          </w:tcPr>
          <w:p w14:paraId="2164A9F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B5C0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2B372B9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19</w:t>
            </w:r>
          </w:p>
        </w:tc>
        <w:tc>
          <w:tcPr>
            <w:tcW w:w="981" w:type="dxa"/>
            <w:shd w:val="clear" w:color="auto" w:fill="FFFFFF"/>
            <w:vAlign w:val="center"/>
          </w:tcPr>
          <w:p w14:paraId="1DA1D5E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shd w:val="clear" w:color="auto" w:fill="FFFFFF"/>
            <w:vAlign w:val="center"/>
          </w:tcPr>
          <w:p w14:paraId="64A4922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RAID卡规格（若支持RAID卡）</w:t>
            </w:r>
          </w:p>
        </w:tc>
        <w:tc>
          <w:tcPr>
            <w:tcW w:w="1713" w:type="dxa"/>
            <w:shd w:val="clear" w:color="auto" w:fill="FFFFFF"/>
            <w:vAlign w:val="center"/>
          </w:tcPr>
          <w:p w14:paraId="2F6BCC0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RAID卡支持的SAS接口数</w:t>
            </w:r>
          </w:p>
        </w:tc>
        <w:tc>
          <w:tcPr>
            <w:tcW w:w="3960" w:type="dxa"/>
            <w:shd w:val="clear" w:color="auto" w:fill="FFFFFF"/>
            <w:vAlign w:val="center"/>
          </w:tcPr>
          <w:p w14:paraId="73CDC70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1302" w:type="dxa"/>
            <w:shd w:val="clear" w:color="auto" w:fill="FFFFFF"/>
            <w:vAlign w:val="center"/>
          </w:tcPr>
          <w:p w14:paraId="694A2FF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49D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35" w:type="dxa"/>
            <w:shd w:val="clear" w:color="auto" w:fill="FFFFFF"/>
            <w:vAlign w:val="center"/>
          </w:tcPr>
          <w:p w14:paraId="71C149A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20</w:t>
            </w:r>
          </w:p>
        </w:tc>
        <w:tc>
          <w:tcPr>
            <w:tcW w:w="981" w:type="dxa"/>
            <w:shd w:val="clear" w:color="auto" w:fill="FFFFFF"/>
            <w:vAlign w:val="center"/>
          </w:tcPr>
          <w:p w14:paraId="089BF24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shd w:val="clear" w:color="auto" w:fill="FFFFFF"/>
            <w:vAlign w:val="center"/>
          </w:tcPr>
          <w:p w14:paraId="4035494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SAS直通卡规格（若支持SAS直通卡）</w:t>
            </w:r>
          </w:p>
        </w:tc>
        <w:tc>
          <w:tcPr>
            <w:tcW w:w="1713" w:type="dxa"/>
            <w:shd w:val="clear" w:color="auto" w:fill="FFFFFF"/>
            <w:vAlign w:val="center"/>
          </w:tcPr>
          <w:p w14:paraId="6AF4161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SAS直通卡SAS接口数量</w:t>
            </w:r>
          </w:p>
        </w:tc>
        <w:tc>
          <w:tcPr>
            <w:tcW w:w="3960" w:type="dxa"/>
            <w:shd w:val="clear" w:color="auto" w:fill="FFFFFF"/>
            <w:vAlign w:val="center"/>
          </w:tcPr>
          <w:p w14:paraId="0D6C6B3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≥0</w:t>
            </w:r>
          </w:p>
        </w:tc>
        <w:tc>
          <w:tcPr>
            <w:tcW w:w="1302" w:type="dxa"/>
            <w:shd w:val="clear" w:color="auto" w:fill="FFFFFF"/>
            <w:vAlign w:val="center"/>
          </w:tcPr>
          <w:p w14:paraId="0EE3EC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F53B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7C2A63C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21</w:t>
            </w:r>
          </w:p>
        </w:tc>
        <w:tc>
          <w:tcPr>
            <w:tcW w:w="981" w:type="dxa"/>
            <w:shd w:val="clear" w:color="auto" w:fill="FFFFFF"/>
            <w:vAlign w:val="center"/>
          </w:tcPr>
          <w:p w14:paraId="343460B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shd w:val="clear" w:color="auto" w:fill="FFFFFF"/>
            <w:vAlign w:val="center"/>
          </w:tcPr>
          <w:p w14:paraId="448CE47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HBA卡规格（若支HBA直通卡）</w:t>
            </w:r>
          </w:p>
        </w:tc>
        <w:tc>
          <w:tcPr>
            <w:tcW w:w="1713" w:type="dxa"/>
            <w:shd w:val="clear" w:color="auto" w:fill="FFFFFF"/>
            <w:vAlign w:val="center"/>
          </w:tcPr>
          <w:p w14:paraId="3D34C22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HBA卡端口数量</w:t>
            </w:r>
          </w:p>
        </w:tc>
        <w:tc>
          <w:tcPr>
            <w:tcW w:w="3960" w:type="dxa"/>
            <w:shd w:val="clear" w:color="auto" w:fill="FFFFFF"/>
            <w:vAlign w:val="center"/>
          </w:tcPr>
          <w:p w14:paraId="3A6F5BA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≥0</w:t>
            </w:r>
          </w:p>
        </w:tc>
        <w:tc>
          <w:tcPr>
            <w:tcW w:w="1302" w:type="dxa"/>
            <w:shd w:val="clear" w:color="auto" w:fill="FFFFFF"/>
            <w:vAlign w:val="center"/>
          </w:tcPr>
          <w:p w14:paraId="35D6E20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0E3E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04E805B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22</w:t>
            </w:r>
          </w:p>
        </w:tc>
        <w:tc>
          <w:tcPr>
            <w:tcW w:w="981" w:type="dxa"/>
            <w:shd w:val="clear" w:color="auto" w:fill="FFFFFF"/>
            <w:vAlign w:val="center"/>
          </w:tcPr>
          <w:p w14:paraId="26277DE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7F92060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网络规格</w:t>
            </w:r>
          </w:p>
        </w:tc>
        <w:tc>
          <w:tcPr>
            <w:tcW w:w="1713" w:type="dxa"/>
            <w:shd w:val="clear" w:color="auto" w:fill="FFFFFF"/>
            <w:vAlign w:val="center"/>
          </w:tcPr>
          <w:p w14:paraId="1064DA3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★网口速率和数量</w:t>
            </w:r>
          </w:p>
        </w:tc>
        <w:tc>
          <w:tcPr>
            <w:tcW w:w="3960" w:type="dxa"/>
            <w:shd w:val="clear" w:color="auto" w:fill="FFFFFF"/>
            <w:vAlign w:val="center"/>
          </w:tcPr>
          <w:p w14:paraId="6739E86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配置10GE光口≥4个（满配10GE多模光模块）</w:t>
            </w:r>
          </w:p>
          <w:p w14:paraId="17CE5DE2">
            <w:pPr>
              <w:widowControl/>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配置1GE电口≥2个</w:t>
            </w:r>
          </w:p>
        </w:tc>
        <w:tc>
          <w:tcPr>
            <w:tcW w:w="1302" w:type="dxa"/>
            <w:shd w:val="clear" w:color="auto" w:fill="FFFFFF"/>
            <w:vAlign w:val="center"/>
          </w:tcPr>
          <w:p w14:paraId="0E6DA9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EA4F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58FA49C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23</w:t>
            </w:r>
          </w:p>
        </w:tc>
        <w:tc>
          <w:tcPr>
            <w:tcW w:w="981" w:type="dxa"/>
            <w:shd w:val="clear" w:color="auto" w:fill="FFFFFF"/>
            <w:vAlign w:val="center"/>
          </w:tcPr>
          <w:p w14:paraId="490F613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A818784">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682E08C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存储型服务器网口速率和数量</w:t>
            </w:r>
          </w:p>
        </w:tc>
        <w:tc>
          <w:tcPr>
            <w:tcW w:w="3960" w:type="dxa"/>
            <w:shd w:val="clear" w:color="auto" w:fill="FFFFFF"/>
            <w:vAlign w:val="center"/>
          </w:tcPr>
          <w:p w14:paraId="3369176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存储型服务器1GE 网口数量≥2 个，10GE 以上网口数量≥2个（不涉及）</w:t>
            </w:r>
          </w:p>
        </w:tc>
        <w:tc>
          <w:tcPr>
            <w:tcW w:w="1302" w:type="dxa"/>
            <w:shd w:val="clear" w:color="auto" w:fill="FFFFFF"/>
            <w:vAlign w:val="center"/>
          </w:tcPr>
          <w:p w14:paraId="0AA111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356F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55C3E5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24</w:t>
            </w:r>
          </w:p>
        </w:tc>
        <w:tc>
          <w:tcPr>
            <w:tcW w:w="981" w:type="dxa"/>
            <w:shd w:val="clear" w:color="auto" w:fill="FFFFFF"/>
            <w:vAlign w:val="center"/>
          </w:tcPr>
          <w:p w14:paraId="634A3B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9C0A733">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05B69F4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独立网卡网口数量</w:t>
            </w:r>
          </w:p>
        </w:tc>
        <w:tc>
          <w:tcPr>
            <w:tcW w:w="3960" w:type="dxa"/>
            <w:shd w:val="clear" w:color="auto" w:fill="FFFFFF"/>
            <w:vAlign w:val="center"/>
          </w:tcPr>
          <w:p w14:paraId="53D8D49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配备10GE独立网卡，独立网卡网口数量≥2</w:t>
            </w:r>
          </w:p>
        </w:tc>
        <w:tc>
          <w:tcPr>
            <w:tcW w:w="1302" w:type="dxa"/>
            <w:shd w:val="clear" w:color="auto" w:fill="FFFFFF"/>
            <w:vAlign w:val="center"/>
          </w:tcPr>
          <w:p w14:paraId="195A3A1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22A1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35" w:type="dxa"/>
            <w:shd w:val="clear" w:color="auto" w:fill="FFFFFF"/>
            <w:vAlign w:val="center"/>
          </w:tcPr>
          <w:p w14:paraId="3B5DE4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25</w:t>
            </w:r>
          </w:p>
        </w:tc>
        <w:tc>
          <w:tcPr>
            <w:tcW w:w="981" w:type="dxa"/>
            <w:shd w:val="clear" w:color="auto" w:fill="FFFFFF"/>
            <w:vAlign w:val="center"/>
          </w:tcPr>
          <w:p w14:paraId="6C51B1E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EE2A7AD">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5C5724E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独立网卡接口类型</w:t>
            </w:r>
          </w:p>
        </w:tc>
        <w:tc>
          <w:tcPr>
            <w:tcW w:w="3960" w:type="dxa"/>
            <w:shd w:val="clear" w:color="auto" w:fill="FFFFFF"/>
            <w:vAlign w:val="center"/>
          </w:tcPr>
          <w:p w14:paraId="2694F05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支持RJ45/QSFP/SFP等</w:t>
            </w:r>
          </w:p>
        </w:tc>
        <w:tc>
          <w:tcPr>
            <w:tcW w:w="1302" w:type="dxa"/>
            <w:shd w:val="clear" w:color="auto" w:fill="FFFFFF"/>
            <w:vAlign w:val="center"/>
          </w:tcPr>
          <w:p w14:paraId="4C06DB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1183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1BB0F2F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26</w:t>
            </w:r>
          </w:p>
        </w:tc>
        <w:tc>
          <w:tcPr>
            <w:tcW w:w="981" w:type="dxa"/>
            <w:shd w:val="clear" w:color="auto" w:fill="FFFFFF"/>
            <w:vAlign w:val="center"/>
          </w:tcPr>
          <w:p w14:paraId="67D7612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1D25E09">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26BE13C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板载网卡接口类型</w:t>
            </w:r>
          </w:p>
        </w:tc>
        <w:tc>
          <w:tcPr>
            <w:tcW w:w="3960" w:type="dxa"/>
            <w:shd w:val="clear" w:color="auto" w:fill="FFFFFF"/>
            <w:vAlign w:val="center"/>
          </w:tcPr>
          <w:p w14:paraId="6838D31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支持RJ45/QSFP/SFP等</w:t>
            </w:r>
          </w:p>
        </w:tc>
        <w:tc>
          <w:tcPr>
            <w:tcW w:w="1302" w:type="dxa"/>
            <w:shd w:val="clear" w:color="auto" w:fill="FFFFFF"/>
            <w:vAlign w:val="center"/>
          </w:tcPr>
          <w:p w14:paraId="3837E98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C952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6F80B30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27</w:t>
            </w:r>
          </w:p>
        </w:tc>
        <w:tc>
          <w:tcPr>
            <w:tcW w:w="981" w:type="dxa"/>
            <w:shd w:val="clear" w:color="auto" w:fill="FFFFFF"/>
            <w:vAlign w:val="center"/>
          </w:tcPr>
          <w:p w14:paraId="45D790C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5864343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外部接口规格</w:t>
            </w:r>
          </w:p>
        </w:tc>
        <w:tc>
          <w:tcPr>
            <w:tcW w:w="1713" w:type="dxa"/>
            <w:shd w:val="clear" w:color="auto" w:fill="FFFFFF"/>
            <w:vAlign w:val="center"/>
          </w:tcPr>
          <w:p w14:paraId="093A479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★显示接口</w:t>
            </w:r>
          </w:p>
        </w:tc>
        <w:tc>
          <w:tcPr>
            <w:tcW w:w="3960" w:type="dxa"/>
            <w:shd w:val="clear" w:color="auto" w:fill="FFFFFF"/>
            <w:vAlign w:val="center"/>
          </w:tcPr>
          <w:p w14:paraId="62A0652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显示接口类型应≥1种，如：VGA、DP、HDMI等</w:t>
            </w:r>
          </w:p>
        </w:tc>
        <w:tc>
          <w:tcPr>
            <w:tcW w:w="1302" w:type="dxa"/>
            <w:shd w:val="clear" w:color="auto" w:fill="FFFFFF"/>
            <w:vAlign w:val="center"/>
          </w:tcPr>
          <w:p w14:paraId="01910D4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A171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35" w:type="dxa"/>
            <w:shd w:val="clear" w:color="auto" w:fill="FFFFFF"/>
            <w:vAlign w:val="center"/>
          </w:tcPr>
          <w:p w14:paraId="4C2A7D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28</w:t>
            </w:r>
          </w:p>
        </w:tc>
        <w:tc>
          <w:tcPr>
            <w:tcW w:w="981" w:type="dxa"/>
            <w:shd w:val="clear" w:color="auto" w:fill="FFFFFF"/>
            <w:vAlign w:val="center"/>
          </w:tcPr>
          <w:p w14:paraId="2884EE8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4B8D4A7">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22A7B99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★USB接口</w:t>
            </w:r>
          </w:p>
        </w:tc>
        <w:tc>
          <w:tcPr>
            <w:tcW w:w="3960" w:type="dxa"/>
            <w:shd w:val="clear" w:color="auto" w:fill="FFFFFF"/>
            <w:vAlign w:val="center"/>
          </w:tcPr>
          <w:p w14:paraId="786C1B5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配备USB接口，如USB2.0、USB3.0等</w:t>
            </w:r>
          </w:p>
        </w:tc>
        <w:tc>
          <w:tcPr>
            <w:tcW w:w="1302" w:type="dxa"/>
            <w:shd w:val="clear" w:color="auto" w:fill="FFFFFF"/>
            <w:vAlign w:val="center"/>
          </w:tcPr>
          <w:p w14:paraId="107F76B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DD71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44C2AB2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29</w:t>
            </w:r>
          </w:p>
        </w:tc>
        <w:tc>
          <w:tcPr>
            <w:tcW w:w="981" w:type="dxa"/>
            <w:shd w:val="clear" w:color="auto" w:fill="FFFFFF"/>
            <w:vAlign w:val="center"/>
          </w:tcPr>
          <w:p w14:paraId="1BF6597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67E81324">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14C62E3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特殊接口及孔位</w:t>
            </w:r>
          </w:p>
        </w:tc>
        <w:tc>
          <w:tcPr>
            <w:tcW w:w="3960" w:type="dxa"/>
            <w:shd w:val="clear" w:color="auto" w:fill="FFFFFF"/>
            <w:vAlign w:val="center"/>
          </w:tcPr>
          <w:p w14:paraId="580D10B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前面板预留1个专用USB母座接口孔位</w:t>
            </w:r>
          </w:p>
        </w:tc>
        <w:tc>
          <w:tcPr>
            <w:tcW w:w="1302" w:type="dxa"/>
            <w:shd w:val="clear" w:color="auto" w:fill="FFFFFF"/>
            <w:vAlign w:val="center"/>
          </w:tcPr>
          <w:p w14:paraId="600FEFE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8C0E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35" w:type="dxa"/>
            <w:shd w:val="clear" w:color="auto" w:fill="FFFFFF"/>
            <w:vAlign w:val="center"/>
          </w:tcPr>
          <w:p w14:paraId="4F03FD7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30</w:t>
            </w:r>
          </w:p>
        </w:tc>
        <w:tc>
          <w:tcPr>
            <w:tcW w:w="981" w:type="dxa"/>
            <w:shd w:val="clear" w:color="auto" w:fill="FFFFFF"/>
            <w:vAlign w:val="center"/>
          </w:tcPr>
          <w:p w14:paraId="1D0E1081">
            <w:pPr>
              <w:widowControl/>
              <w:jc w:val="center"/>
              <w:rPr>
                <w:rFonts w:asciiTheme="minorEastAsia" w:hAnsiTheme="minorEastAsia" w:eastAsiaTheme="minorEastAsia" w:cstheme="minorEastAsia"/>
                <w:kern w:val="0"/>
                <w:sz w:val="24"/>
              </w:rPr>
            </w:pPr>
          </w:p>
        </w:tc>
        <w:tc>
          <w:tcPr>
            <w:tcW w:w="981" w:type="dxa"/>
            <w:vMerge w:val="continue"/>
            <w:shd w:val="clear" w:color="auto" w:fill="FFFFFF"/>
            <w:vAlign w:val="center"/>
          </w:tcPr>
          <w:p w14:paraId="7F1EBCB4">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4C2E242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其他接口</w:t>
            </w:r>
          </w:p>
        </w:tc>
        <w:tc>
          <w:tcPr>
            <w:tcW w:w="3960" w:type="dxa"/>
            <w:shd w:val="clear" w:color="auto" w:fill="FFFFFF"/>
            <w:vAlign w:val="center"/>
          </w:tcPr>
          <w:p w14:paraId="350D91C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a）串口数量≥1个，并可实现GB/T6107或GB/T26803.2的相关功能；b）服务器主机前面板可根据用户实际使用需求预留1个专用USB母座接口孔位</w:t>
            </w:r>
          </w:p>
        </w:tc>
        <w:tc>
          <w:tcPr>
            <w:tcW w:w="1302" w:type="dxa"/>
            <w:shd w:val="clear" w:color="auto" w:fill="FFFFFF"/>
            <w:vAlign w:val="center"/>
          </w:tcPr>
          <w:p w14:paraId="1C033E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8132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35" w:type="dxa"/>
            <w:shd w:val="clear" w:color="auto" w:fill="FFFFFF"/>
            <w:vAlign w:val="center"/>
          </w:tcPr>
          <w:p w14:paraId="4966923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31</w:t>
            </w:r>
          </w:p>
        </w:tc>
        <w:tc>
          <w:tcPr>
            <w:tcW w:w="981" w:type="dxa"/>
            <w:shd w:val="clear" w:color="auto" w:fill="FFFFFF"/>
            <w:vAlign w:val="center"/>
          </w:tcPr>
          <w:p w14:paraId="39DECD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4E9A8D9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电源规格</w:t>
            </w:r>
          </w:p>
        </w:tc>
        <w:tc>
          <w:tcPr>
            <w:tcW w:w="1713" w:type="dxa"/>
            <w:shd w:val="clear" w:color="auto" w:fill="FFFFFF"/>
            <w:vAlign w:val="center"/>
          </w:tcPr>
          <w:p w14:paraId="21E89CC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电源冗余模式</w:t>
            </w:r>
          </w:p>
        </w:tc>
        <w:tc>
          <w:tcPr>
            <w:tcW w:w="3960" w:type="dxa"/>
            <w:shd w:val="clear" w:color="auto" w:fill="FFFFFF"/>
            <w:vAlign w:val="center"/>
          </w:tcPr>
          <w:p w14:paraId="3E85C4D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整机电源模块按1+1冗余或N+1冗余配置</w:t>
            </w:r>
          </w:p>
        </w:tc>
        <w:tc>
          <w:tcPr>
            <w:tcW w:w="1302" w:type="dxa"/>
            <w:shd w:val="clear" w:color="auto" w:fill="FFFFFF"/>
            <w:vAlign w:val="center"/>
          </w:tcPr>
          <w:p w14:paraId="000E5A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2987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7DA256E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w:t>
            </w:r>
          </w:p>
        </w:tc>
        <w:tc>
          <w:tcPr>
            <w:tcW w:w="981" w:type="dxa"/>
            <w:shd w:val="clear" w:color="auto" w:fill="FFFFFF"/>
            <w:vAlign w:val="center"/>
          </w:tcPr>
          <w:p w14:paraId="1F16650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547B124E">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782ACA7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★电源模块数量</w:t>
            </w:r>
          </w:p>
        </w:tc>
        <w:tc>
          <w:tcPr>
            <w:tcW w:w="3960" w:type="dxa"/>
            <w:shd w:val="clear" w:color="auto" w:fill="FFFFFF"/>
            <w:vAlign w:val="center"/>
          </w:tcPr>
          <w:p w14:paraId="6D2DF3C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1302" w:type="dxa"/>
            <w:shd w:val="clear" w:color="auto" w:fill="FFFFFF"/>
            <w:vAlign w:val="center"/>
          </w:tcPr>
          <w:p w14:paraId="039E6A2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9D95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35" w:type="dxa"/>
            <w:shd w:val="clear" w:color="auto" w:fill="FFFFFF"/>
            <w:vAlign w:val="center"/>
          </w:tcPr>
          <w:p w14:paraId="3AAD09A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33</w:t>
            </w:r>
          </w:p>
        </w:tc>
        <w:tc>
          <w:tcPr>
            <w:tcW w:w="981" w:type="dxa"/>
            <w:shd w:val="clear" w:color="auto" w:fill="FFFFFF"/>
            <w:vAlign w:val="center"/>
          </w:tcPr>
          <w:p w14:paraId="0231EDF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0C3ADD5">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46FACA9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★电源功率</w:t>
            </w:r>
          </w:p>
        </w:tc>
        <w:tc>
          <w:tcPr>
            <w:tcW w:w="3960" w:type="dxa"/>
            <w:shd w:val="clear" w:color="auto" w:fill="FFFFFF"/>
            <w:vAlign w:val="center"/>
          </w:tcPr>
          <w:p w14:paraId="10C8FB8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电源模块功率应有一定冗余，满足处理器满载时的需求</w:t>
            </w:r>
          </w:p>
        </w:tc>
        <w:tc>
          <w:tcPr>
            <w:tcW w:w="1302" w:type="dxa"/>
            <w:shd w:val="clear" w:color="auto" w:fill="FFFFFF"/>
            <w:vAlign w:val="center"/>
          </w:tcPr>
          <w:p w14:paraId="382208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412D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735" w:type="dxa"/>
            <w:shd w:val="clear" w:color="auto" w:fill="FFFFFF"/>
            <w:vAlign w:val="center"/>
          </w:tcPr>
          <w:p w14:paraId="6FB1F12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34</w:t>
            </w:r>
          </w:p>
        </w:tc>
        <w:tc>
          <w:tcPr>
            <w:tcW w:w="981" w:type="dxa"/>
            <w:shd w:val="clear" w:color="auto" w:fill="FFFFFF"/>
            <w:vAlign w:val="center"/>
          </w:tcPr>
          <w:p w14:paraId="07D6BCA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67EFA40">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4CB7D3C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电源指示灯</w:t>
            </w:r>
          </w:p>
        </w:tc>
        <w:tc>
          <w:tcPr>
            <w:tcW w:w="3960" w:type="dxa"/>
            <w:shd w:val="clear" w:color="auto" w:fill="FFFFFF"/>
            <w:vAlign w:val="center"/>
          </w:tcPr>
          <w:p w14:paraId="68B70D3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配备电源指示灯，指示待机、工作异常等状态</w:t>
            </w:r>
          </w:p>
        </w:tc>
        <w:tc>
          <w:tcPr>
            <w:tcW w:w="1302" w:type="dxa"/>
            <w:shd w:val="clear" w:color="auto" w:fill="FFFFFF"/>
            <w:vAlign w:val="center"/>
          </w:tcPr>
          <w:p w14:paraId="1118959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908C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4" w:hRule="atLeast"/>
        </w:trPr>
        <w:tc>
          <w:tcPr>
            <w:tcW w:w="735" w:type="dxa"/>
            <w:shd w:val="clear" w:color="auto" w:fill="FFFFFF"/>
            <w:vAlign w:val="center"/>
          </w:tcPr>
          <w:p w14:paraId="1D1B169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35</w:t>
            </w:r>
          </w:p>
        </w:tc>
        <w:tc>
          <w:tcPr>
            <w:tcW w:w="981" w:type="dxa"/>
            <w:shd w:val="clear" w:color="auto" w:fill="FFFFFF"/>
            <w:vAlign w:val="center"/>
          </w:tcPr>
          <w:p w14:paraId="06BBE5F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7B05142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整机规格</w:t>
            </w:r>
          </w:p>
        </w:tc>
        <w:tc>
          <w:tcPr>
            <w:tcW w:w="1713" w:type="dxa"/>
            <w:shd w:val="clear" w:color="auto" w:fill="FFFFFF"/>
            <w:vAlign w:val="center"/>
          </w:tcPr>
          <w:p w14:paraId="6A155A6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★外观和结构</w:t>
            </w:r>
          </w:p>
        </w:tc>
        <w:tc>
          <w:tcPr>
            <w:tcW w:w="3960" w:type="dxa"/>
            <w:shd w:val="clear" w:color="auto" w:fill="FFFFFF"/>
            <w:vAlign w:val="center"/>
          </w:tcPr>
          <w:p w14:paraId="7C4B486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服务器的零部件应紧固无松动，可插拔部件应可靠连接，开关、按钮和其他控制部件应灵活可靠，布局应方便使用；b）产品表面不应有明显的凹痕、划伤、裂缝、变形和污染等。表面涂层均匀，不应起泡、龟裂、脱落和磨损，金属零部件无锈蚀及其它机械损伤；c）产品表面说明功能的文字、符号和标志应清晰、端正且牢固；d）应在服务器的显著位置提供运行状态的指示功能，并在技术文件或者技术白皮书中明确具体含义；e）机架、机箱的尺寸应符合通用机柜的安装要求，插入总线插座的电路板接口外形尺寸应符合有关总线标准的规定，将机箱固定在机柜上，机箱底面最大下垂变形不得干涉相邻机体；f）服务器尺寸具体要求在技术文件或者技术白皮书中明确</w:t>
            </w:r>
          </w:p>
        </w:tc>
        <w:tc>
          <w:tcPr>
            <w:tcW w:w="1302" w:type="dxa"/>
            <w:shd w:val="clear" w:color="auto" w:fill="FFFFFF"/>
            <w:vAlign w:val="center"/>
          </w:tcPr>
          <w:p w14:paraId="050929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1487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35" w:type="dxa"/>
            <w:shd w:val="clear" w:color="auto" w:fill="FFFFFF"/>
            <w:vAlign w:val="center"/>
          </w:tcPr>
          <w:p w14:paraId="1E3C31C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36</w:t>
            </w:r>
          </w:p>
        </w:tc>
        <w:tc>
          <w:tcPr>
            <w:tcW w:w="981" w:type="dxa"/>
            <w:shd w:val="clear" w:color="auto" w:fill="FFFFFF"/>
            <w:vAlign w:val="center"/>
          </w:tcPr>
          <w:p w14:paraId="43BF492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1AF754CB">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4403B8A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★尺寸（高×宽×深）</w:t>
            </w:r>
          </w:p>
        </w:tc>
        <w:tc>
          <w:tcPr>
            <w:tcW w:w="3960" w:type="dxa"/>
            <w:shd w:val="clear" w:color="auto" w:fill="FFFFFF"/>
            <w:vAlign w:val="center"/>
          </w:tcPr>
          <w:p w14:paraId="1AFCB43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供应商给出产品尺寸；设计应遵循标准化、系列化的要求；机箱的内部结构符合通用部件的安装需要</w:t>
            </w:r>
          </w:p>
        </w:tc>
        <w:tc>
          <w:tcPr>
            <w:tcW w:w="1302" w:type="dxa"/>
            <w:shd w:val="clear" w:color="auto" w:fill="FFFFFF"/>
            <w:vAlign w:val="center"/>
          </w:tcPr>
          <w:p w14:paraId="0D591F7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3370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35" w:type="dxa"/>
            <w:shd w:val="clear" w:color="auto" w:fill="FFFFFF"/>
            <w:vAlign w:val="center"/>
          </w:tcPr>
          <w:p w14:paraId="7FE693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37</w:t>
            </w:r>
          </w:p>
        </w:tc>
        <w:tc>
          <w:tcPr>
            <w:tcW w:w="981" w:type="dxa"/>
            <w:shd w:val="clear" w:color="auto" w:fill="FFFFFF"/>
            <w:vAlign w:val="center"/>
          </w:tcPr>
          <w:p w14:paraId="3F9E9D2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666FEA0">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50AE0BB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服务器导轨</w:t>
            </w:r>
          </w:p>
        </w:tc>
        <w:tc>
          <w:tcPr>
            <w:tcW w:w="3960" w:type="dxa"/>
            <w:shd w:val="clear" w:color="auto" w:fill="FFFFFF"/>
            <w:vAlign w:val="center"/>
          </w:tcPr>
          <w:p w14:paraId="01D34E1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供应商给出导轨尺寸、安装方式等信息</w:t>
            </w:r>
          </w:p>
        </w:tc>
        <w:tc>
          <w:tcPr>
            <w:tcW w:w="1302" w:type="dxa"/>
            <w:shd w:val="clear" w:color="auto" w:fill="FFFFFF"/>
            <w:vAlign w:val="center"/>
          </w:tcPr>
          <w:p w14:paraId="0623F9A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E99D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3BEF7C9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38</w:t>
            </w:r>
          </w:p>
        </w:tc>
        <w:tc>
          <w:tcPr>
            <w:tcW w:w="981" w:type="dxa"/>
            <w:shd w:val="clear" w:color="auto" w:fill="FFFFFF"/>
            <w:vAlign w:val="center"/>
          </w:tcPr>
          <w:p w14:paraId="4A87318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22825132">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3A494BE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CPU个数与机柜高度单位（U）比</w:t>
            </w:r>
          </w:p>
        </w:tc>
        <w:tc>
          <w:tcPr>
            <w:tcW w:w="3960" w:type="dxa"/>
            <w:shd w:val="clear" w:color="auto" w:fill="FFFFFF"/>
            <w:vAlign w:val="center"/>
          </w:tcPr>
          <w:p w14:paraId="0A31A11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供应商给出CPU个数与机柜高度</w:t>
            </w:r>
          </w:p>
        </w:tc>
        <w:tc>
          <w:tcPr>
            <w:tcW w:w="1302" w:type="dxa"/>
            <w:shd w:val="clear" w:color="auto" w:fill="FFFFFF"/>
            <w:vAlign w:val="center"/>
          </w:tcPr>
          <w:p w14:paraId="07AA66D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118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35" w:type="dxa"/>
            <w:shd w:val="clear" w:color="auto" w:fill="FFFFFF"/>
            <w:vAlign w:val="center"/>
          </w:tcPr>
          <w:p w14:paraId="78875E8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39</w:t>
            </w:r>
          </w:p>
        </w:tc>
        <w:tc>
          <w:tcPr>
            <w:tcW w:w="981" w:type="dxa"/>
            <w:shd w:val="clear" w:color="auto" w:fill="FFFFFF"/>
            <w:vAlign w:val="center"/>
          </w:tcPr>
          <w:p w14:paraId="5EC8CC7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13B0FB3">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07AE908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★环境适应性</w:t>
            </w:r>
          </w:p>
        </w:tc>
        <w:tc>
          <w:tcPr>
            <w:tcW w:w="3960" w:type="dxa"/>
            <w:shd w:val="clear" w:color="auto" w:fill="FFFFFF"/>
            <w:vAlign w:val="center"/>
          </w:tcPr>
          <w:p w14:paraId="4F1C45E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气候环境适应性应符合GB/T9813.3的有关规定，工作温度10~35℃,贮存运输温度-40～55℃;工作相对湿度35%～80%，贮存运输相对湿度20％～93%（40℃）;大气压86～106kPa</w:t>
            </w:r>
          </w:p>
        </w:tc>
        <w:tc>
          <w:tcPr>
            <w:tcW w:w="1302" w:type="dxa"/>
            <w:shd w:val="clear" w:color="auto" w:fill="FFFFFF"/>
            <w:vAlign w:val="center"/>
          </w:tcPr>
          <w:p w14:paraId="361DC6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98B1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35" w:type="dxa"/>
            <w:shd w:val="clear" w:color="auto" w:fill="FFFFFF"/>
            <w:vAlign w:val="center"/>
          </w:tcPr>
          <w:p w14:paraId="05F8272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40</w:t>
            </w:r>
          </w:p>
        </w:tc>
        <w:tc>
          <w:tcPr>
            <w:tcW w:w="981" w:type="dxa"/>
            <w:shd w:val="clear" w:color="auto" w:fill="FFFFFF"/>
            <w:vAlign w:val="center"/>
          </w:tcPr>
          <w:p w14:paraId="4A459CC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BD81AF5">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3EA4E79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特殊机型环境适应性</w:t>
            </w:r>
          </w:p>
        </w:tc>
        <w:tc>
          <w:tcPr>
            <w:tcW w:w="3960" w:type="dxa"/>
            <w:shd w:val="clear" w:color="auto" w:fill="FFFFFF"/>
            <w:vAlign w:val="center"/>
          </w:tcPr>
          <w:p w14:paraId="67F1421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边缘应用服务器，工作环境温度宜为0～45℃,短期工作可承受环境温度宜为-5～55℃,液冷服务器贮存运输温度宜为-30～55℃</w:t>
            </w:r>
          </w:p>
        </w:tc>
        <w:tc>
          <w:tcPr>
            <w:tcW w:w="1302" w:type="dxa"/>
            <w:shd w:val="clear" w:color="auto" w:fill="FFFFFF"/>
            <w:vAlign w:val="center"/>
          </w:tcPr>
          <w:p w14:paraId="3C4627C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315A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52DAF2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41</w:t>
            </w:r>
          </w:p>
        </w:tc>
        <w:tc>
          <w:tcPr>
            <w:tcW w:w="981" w:type="dxa"/>
            <w:shd w:val="clear" w:color="auto" w:fill="FFFFFF"/>
            <w:vAlign w:val="center"/>
          </w:tcPr>
          <w:p w14:paraId="105F601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1FC9CE3">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5C8D935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★机械环境适应性</w:t>
            </w:r>
          </w:p>
        </w:tc>
        <w:tc>
          <w:tcPr>
            <w:tcW w:w="3960" w:type="dxa"/>
            <w:shd w:val="clear" w:color="auto" w:fill="FFFFFF"/>
            <w:vAlign w:val="center"/>
          </w:tcPr>
          <w:p w14:paraId="74A2E60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机械环境适应性应符合GB/T9813.3的有关规定</w:t>
            </w:r>
          </w:p>
        </w:tc>
        <w:tc>
          <w:tcPr>
            <w:tcW w:w="1302" w:type="dxa"/>
            <w:shd w:val="clear" w:color="auto" w:fill="FFFFFF"/>
            <w:vAlign w:val="center"/>
          </w:tcPr>
          <w:p w14:paraId="6357A8C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ECED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2BE4A2E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42</w:t>
            </w:r>
          </w:p>
        </w:tc>
        <w:tc>
          <w:tcPr>
            <w:tcW w:w="981" w:type="dxa"/>
            <w:shd w:val="clear" w:color="auto" w:fill="FFFFFF"/>
            <w:vAlign w:val="center"/>
          </w:tcPr>
          <w:p w14:paraId="24DE2A9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B936E2F">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3474A15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★噪声</w:t>
            </w:r>
          </w:p>
        </w:tc>
        <w:tc>
          <w:tcPr>
            <w:tcW w:w="3960" w:type="dxa"/>
            <w:shd w:val="clear" w:color="auto" w:fill="FFFFFF"/>
            <w:vAlign w:val="center"/>
          </w:tcPr>
          <w:p w14:paraId="654D7B3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符合GB/T9813.3的有关规定，在产品说明中给出具体测试值塔式服务器噪声在空闲状态下≤50dB</w:t>
            </w:r>
          </w:p>
        </w:tc>
        <w:tc>
          <w:tcPr>
            <w:tcW w:w="1302" w:type="dxa"/>
            <w:shd w:val="clear" w:color="auto" w:fill="FFFFFF"/>
            <w:vAlign w:val="center"/>
          </w:tcPr>
          <w:p w14:paraId="73144F3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E5CC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735" w:type="dxa"/>
            <w:shd w:val="clear" w:color="auto" w:fill="FFFFFF"/>
            <w:vAlign w:val="center"/>
          </w:tcPr>
          <w:p w14:paraId="16E99D6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43</w:t>
            </w:r>
          </w:p>
        </w:tc>
        <w:tc>
          <w:tcPr>
            <w:tcW w:w="981" w:type="dxa"/>
            <w:shd w:val="clear" w:color="auto" w:fill="FFFFFF"/>
            <w:vAlign w:val="center"/>
          </w:tcPr>
          <w:p w14:paraId="271E16B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1CB1652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AI计算单元规格</w:t>
            </w:r>
          </w:p>
        </w:tc>
        <w:tc>
          <w:tcPr>
            <w:tcW w:w="1713" w:type="dxa"/>
            <w:shd w:val="clear" w:color="auto" w:fill="FFFFFF"/>
            <w:vAlign w:val="center"/>
          </w:tcPr>
          <w:p w14:paraId="40C139E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AI计算单元</w:t>
            </w:r>
          </w:p>
        </w:tc>
        <w:tc>
          <w:tcPr>
            <w:tcW w:w="3960" w:type="dxa"/>
            <w:shd w:val="clear" w:color="auto" w:fill="FFFFFF"/>
            <w:vAlign w:val="center"/>
          </w:tcPr>
          <w:p w14:paraId="6455B87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AI计算单元应符合如下要求：a）具备人工智能加速处理器，计算精度至少支持FP16、BF16、FP32、FP64、INT8和INT16等中的1种；b）单推理卡或模块，具备视频解析、文本识别、语音分析等推理能力；在视觉场景下配备可直接调用的接口实现视觉计算加速，路数不小于64（1080P30FPS）</w:t>
            </w:r>
          </w:p>
        </w:tc>
        <w:tc>
          <w:tcPr>
            <w:tcW w:w="1302" w:type="dxa"/>
            <w:shd w:val="clear" w:color="auto" w:fill="FFFFFF"/>
            <w:vAlign w:val="center"/>
          </w:tcPr>
          <w:p w14:paraId="741D497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AF91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56C7818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44</w:t>
            </w:r>
          </w:p>
        </w:tc>
        <w:tc>
          <w:tcPr>
            <w:tcW w:w="981" w:type="dxa"/>
            <w:shd w:val="clear" w:color="auto" w:fill="FFFFFF"/>
            <w:vAlign w:val="center"/>
          </w:tcPr>
          <w:p w14:paraId="3090276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838292F">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02D6516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一键式迁移</w:t>
            </w:r>
          </w:p>
        </w:tc>
        <w:tc>
          <w:tcPr>
            <w:tcW w:w="3960" w:type="dxa"/>
            <w:shd w:val="clear" w:color="auto" w:fill="FFFFFF"/>
            <w:vAlign w:val="center"/>
          </w:tcPr>
          <w:p w14:paraId="11B8498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若服务器配备AI计算单元，提供训练脚本迁移工具</w:t>
            </w:r>
          </w:p>
        </w:tc>
        <w:tc>
          <w:tcPr>
            <w:tcW w:w="1302" w:type="dxa"/>
            <w:shd w:val="clear" w:color="auto" w:fill="FFFFFF"/>
            <w:vAlign w:val="center"/>
          </w:tcPr>
          <w:p w14:paraId="5D6D7EB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899E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35" w:type="dxa"/>
            <w:shd w:val="clear" w:color="auto" w:fill="FFFFFF"/>
            <w:vAlign w:val="center"/>
          </w:tcPr>
          <w:p w14:paraId="4D0E48E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45</w:t>
            </w:r>
          </w:p>
        </w:tc>
        <w:tc>
          <w:tcPr>
            <w:tcW w:w="981" w:type="dxa"/>
            <w:shd w:val="clear" w:color="auto" w:fill="FFFFFF"/>
            <w:vAlign w:val="center"/>
          </w:tcPr>
          <w:p w14:paraId="000739D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08FBAB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机柜规格</w:t>
            </w:r>
          </w:p>
        </w:tc>
        <w:tc>
          <w:tcPr>
            <w:tcW w:w="1713" w:type="dxa"/>
            <w:shd w:val="clear" w:color="auto" w:fill="FFFFFF"/>
            <w:vAlign w:val="center"/>
          </w:tcPr>
          <w:p w14:paraId="2A69D35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★机柜尺寸</w:t>
            </w:r>
          </w:p>
        </w:tc>
        <w:tc>
          <w:tcPr>
            <w:tcW w:w="3960" w:type="dxa"/>
            <w:shd w:val="clear" w:color="auto" w:fill="FFFFFF"/>
            <w:vAlign w:val="center"/>
          </w:tcPr>
          <w:p w14:paraId="5DE63B2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供应商给出长度、高度和深度</w:t>
            </w:r>
          </w:p>
        </w:tc>
        <w:tc>
          <w:tcPr>
            <w:tcW w:w="1302" w:type="dxa"/>
            <w:shd w:val="clear" w:color="auto" w:fill="FFFFFF"/>
            <w:vAlign w:val="center"/>
          </w:tcPr>
          <w:p w14:paraId="434788D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99D4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35" w:type="dxa"/>
            <w:shd w:val="clear" w:color="auto" w:fill="FFFFFF"/>
            <w:vAlign w:val="center"/>
          </w:tcPr>
          <w:p w14:paraId="0E354B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46</w:t>
            </w:r>
          </w:p>
        </w:tc>
        <w:tc>
          <w:tcPr>
            <w:tcW w:w="981" w:type="dxa"/>
            <w:shd w:val="clear" w:color="auto" w:fill="FFFFFF"/>
            <w:vAlign w:val="center"/>
          </w:tcPr>
          <w:p w14:paraId="0039582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1617D487">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077345F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机柜管理板</w:t>
            </w:r>
          </w:p>
        </w:tc>
        <w:tc>
          <w:tcPr>
            <w:tcW w:w="3960" w:type="dxa"/>
            <w:shd w:val="clear" w:color="auto" w:fill="FFFFFF"/>
            <w:vAlign w:val="center"/>
          </w:tcPr>
          <w:p w14:paraId="3F6A6E5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配备机柜管理板</w:t>
            </w:r>
          </w:p>
        </w:tc>
        <w:tc>
          <w:tcPr>
            <w:tcW w:w="1302" w:type="dxa"/>
            <w:shd w:val="clear" w:color="auto" w:fill="FFFFFF"/>
            <w:vAlign w:val="center"/>
          </w:tcPr>
          <w:p w14:paraId="44174F9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C2CF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78F84FA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47</w:t>
            </w:r>
          </w:p>
        </w:tc>
        <w:tc>
          <w:tcPr>
            <w:tcW w:w="981" w:type="dxa"/>
            <w:shd w:val="clear" w:color="auto" w:fill="FFFFFF"/>
            <w:vAlign w:val="center"/>
          </w:tcPr>
          <w:p w14:paraId="4557D5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1A60037">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61BC3A1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机柜电源规格</w:t>
            </w:r>
          </w:p>
        </w:tc>
        <w:tc>
          <w:tcPr>
            <w:tcW w:w="3960" w:type="dxa"/>
            <w:shd w:val="clear" w:color="auto" w:fill="FFFFFF"/>
            <w:vAlign w:val="center"/>
          </w:tcPr>
          <w:p w14:paraId="2E7FCA6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a）机柜电源支持集中供电，电源输入≥2路且支持自动切换；b）机柜电源模块支持N+1冗余配置，电源模块可独立更换</w:t>
            </w:r>
          </w:p>
        </w:tc>
        <w:tc>
          <w:tcPr>
            <w:tcW w:w="1302" w:type="dxa"/>
            <w:shd w:val="clear" w:color="auto" w:fill="FFFFFF"/>
            <w:vAlign w:val="center"/>
          </w:tcPr>
          <w:p w14:paraId="1A2BAE4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8206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35" w:type="dxa"/>
            <w:shd w:val="clear" w:color="auto" w:fill="FFFFFF"/>
            <w:vAlign w:val="center"/>
          </w:tcPr>
          <w:p w14:paraId="67F4BBB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48</w:t>
            </w:r>
          </w:p>
        </w:tc>
        <w:tc>
          <w:tcPr>
            <w:tcW w:w="981" w:type="dxa"/>
            <w:shd w:val="clear" w:color="auto" w:fill="FFFFFF"/>
            <w:vAlign w:val="center"/>
          </w:tcPr>
          <w:p w14:paraId="39D203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665A61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主板功能</w:t>
            </w:r>
          </w:p>
        </w:tc>
        <w:tc>
          <w:tcPr>
            <w:tcW w:w="1713" w:type="dxa"/>
            <w:shd w:val="clear" w:color="auto" w:fill="FFFFFF"/>
            <w:vAlign w:val="center"/>
          </w:tcPr>
          <w:p w14:paraId="75D348F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★主板外部接口种类</w:t>
            </w:r>
          </w:p>
        </w:tc>
        <w:tc>
          <w:tcPr>
            <w:tcW w:w="3960" w:type="dxa"/>
            <w:shd w:val="clear" w:color="auto" w:fill="FFFFFF"/>
            <w:vAlign w:val="center"/>
          </w:tcPr>
          <w:p w14:paraId="69C0232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支持USB、显示、管理等接口，如：VGA、DP、HDMI、USB3.0、PS/2接口、BMC管理端口</w:t>
            </w:r>
          </w:p>
        </w:tc>
        <w:tc>
          <w:tcPr>
            <w:tcW w:w="1302" w:type="dxa"/>
            <w:shd w:val="clear" w:color="auto" w:fill="FFFFFF"/>
            <w:vAlign w:val="center"/>
          </w:tcPr>
          <w:p w14:paraId="76B56E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0C66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35" w:type="dxa"/>
            <w:shd w:val="clear" w:color="auto" w:fill="FFFFFF"/>
            <w:vAlign w:val="center"/>
          </w:tcPr>
          <w:p w14:paraId="417E56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49</w:t>
            </w:r>
          </w:p>
        </w:tc>
        <w:tc>
          <w:tcPr>
            <w:tcW w:w="981" w:type="dxa"/>
            <w:shd w:val="clear" w:color="auto" w:fill="FFFFFF"/>
            <w:vAlign w:val="center"/>
          </w:tcPr>
          <w:p w14:paraId="56DFBC7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250565F6">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74A7C6D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主板防烧板设计</w:t>
            </w:r>
          </w:p>
        </w:tc>
        <w:tc>
          <w:tcPr>
            <w:tcW w:w="3960" w:type="dxa"/>
            <w:shd w:val="clear" w:color="auto" w:fill="FFFFFF"/>
            <w:vAlign w:val="center"/>
          </w:tcPr>
          <w:p w14:paraId="4F0BB18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支持主板防烧板设计，保证电源故障后不扩散</w:t>
            </w:r>
          </w:p>
        </w:tc>
        <w:tc>
          <w:tcPr>
            <w:tcW w:w="1302" w:type="dxa"/>
            <w:shd w:val="clear" w:color="auto" w:fill="FFFFFF"/>
            <w:vAlign w:val="center"/>
          </w:tcPr>
          <w:p w14:paraId="78F01CE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4EB0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2AA905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50</w:t>
            </w:r>
          </w:p>
        </w:tc>
        <w:tc>
          <w:tcPr>
            <w:tcW w:w="981" w:type="dxa"/>
            <w:shd w:val="clear" w:color="auto" w:fill="FFFFFF"/>
            <w:vAlign w:val="center"/>
          </w:tcPr>
          <w:p w14:paraId="1263DD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637FAA16">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550158D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扩展功能</w:t>
            </w:r>
          </w:p>
        </w:tc>
        <w:tc>
          <w:tcPr>
            <w:tcW w:w="3960" w:type="dxa"/>
            <w:shd w:val="clear" w:color="auto" w:fill="FFFFFF"/>
            <w:vAlign w:val="center"/>
          </w:tcPr>
          <w:p w14:paraId="2117BCA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实现至少一种扩展功能，如存储功能卡、显示功能卡、运算加速功能卡及网络功能卡等扩展功能</w:t>
            </w:r>
          </w:p>
        </w:tc>
        <w:tc>
          <w:tcPr>
            <w:tcW w:w="1302" w:type="dxa"/>
            <w:shd w:val="clear" w:color="auto" w:fill="FFFFFF"/>
            <w:vAlign w:val="center"/>
          </w:tcPr>
          <w:p w14:paraId="27EFAD7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61C3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35" w:type="dxa"/>
            <w:shd w:val="clear" w:color="auto" w:fill="FFFFFF"/>
            <w:vAlign w:val="center"/>
          </w:tcPr>
          <w:p w14:paraId="5401D5F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51</w:t>
            </w:r>
          </w:p>
        </w:tc>
        <w:tc>
          <w:tcPr>
            <w:tcW w:w="981" w:type="dxa"/>
            <w:shd w:val="clear" w:color="auto" w:fill="FFFFFF"/>
            <w:vAlign w:val="center"/>
          </w:tcPr>
          <w:p w14:paraId="42FB0BA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shd w:val="clear" w:color="auto" w:fill="FFFFFF"/>
            <w:vAlign w:val="center"/>
          </w:tcPr>
          <w:p w14:paraId="3619667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网络功能</w:t>
            </w:r>
          </w:p>
        </w:tc>
        <w:tc>
          <w:tcPr>
            <w:tcW w:w="1713" w:type="dxa"/>
            <w:shd w:val="clear" w:color="auto" w:fill="FFFFFF"/>
            <w:vAlign w:val="center"/>
          </w:tcPr>
          <w:p w14:paraId="6BA3421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★网络功能</w:t>
            </w:r>
          </w:p>
        </w:tc>
        <w:tc>
          <w:tcPr>
            <w:tcW w:w="3960" w:type="dxa"/>
            <w:shd w:val="clear" w:color="auto" w:fill="FFFFFF"/>
            <w:vAlign w:val="center"/>
          </w:tcPr>
          <w:p w14:paraId="40BCCB2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支持网络连接、网络访问、数据交换和网络管控功能</w:t>
            </w:r>
          </w:p>
        </w:tc>
        <w:tc>
          <w:tcPr>
            <w:tcW w:w="1302" w:type="dxa"/>
            <w:shd w:val="clear" w:color="auto" w:fill="FFFFFF"/>
            <w:vAlign w:val="center"/>
          </w:tcPr>
          <w:p w14:paraId="537D97A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B40A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35" w:type="dxa"/>
            <w:shd w:val="clear" w:color="auto" w:fill="FFFFFF"/>
            <w:vAlign w:val="center"/>
          </w:tcPr>
          <w:p w14:paraId="3DB736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52</w:t>
            </w:r>
          </w:p>
        </w:tc>
        <w:tc>
          <w:tcPr>
            <w:tcW w:w="981" w:type="dxa"/>
            <w:shd w:val="clear" w:color="auto" w:fill="FFFFFF"/>
            <w:vAlign w:val="center"/>
          </w:tcPr>
          <w:p w14:paraId="733F0EB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40CE3F5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CPU功能</w:t>
            </w:r>
          </w:p>
        </w:tc>
        <w:tc>
          <w:tcPr>
            <w:tcW w:w="1713" w:type="dxa"/>
            <w:shd w:val="clear" w:color="auto" w:fill="FFFFFF"/>
            <w:vAlign w:val="center"/>
          </w:tcPr>
          <w:p w14:paraId="4F5CBB7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★计算处理</w:t>
            </w:r>
          </w:p>
        </w:tc>
        <w:tc>
          <w:tcPr>
            <w:tcW w:w="3960" w:type="dxa"/>
            <w:shd w:val="clear" w:color="auto" w:fill="FFFFFF"/>
            <w:vAlign w:val="center"/>
          </w:tcPr>
          <w:p w14:paraId="2CEB63C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支持通用计算及虚拟化功能。处理器需集成整型计算单元、浮点计算单元、内存控制器、I/O模块等，处理器与存储部件、网络部件、I/O部件等组成计算系统，提供数据处理、网络接入等计算相关功能</w:t>
            </w:r>
          </w:p>
        </w:tc>
        <w:tc>
          <w:tcPr>
            <w:tcW w:w="1302" w:type="dxa"/>
            <w:shd w:val="clear" w:color="auto" w:fill="FFFFFF"/>
            <w:vAlign w:val="center"/>
          </w:tcPr>
          <w:p w14:paraId="67AD7E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8927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341802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53</w:t>
            </w:r>
          </w:p>
        </w:tc>
        <w:tc>
          <w:tcPr>
            <w:tcW w:w="981" w:type="dxa"/>
            <w:shd w:val="clear" w:color="auto" w:fill="FFFFFF"/>
            <w:vAlign w:val="center"/>
          </w:tcPr>
          <w:p w14:paraId="2624855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48C30828">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6E83BA4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★密码算法实现</w:t>
            </w:r>
          </w:p>
        </w:tc>
        <w:tc>
          <w:tcPr>
            <w:tcW w:w="3960" w:type="dxa"/>
            <w:shd w:val="clear" w:color="auto" w:fill="FFFFFF"/>
            <w:vAlign w:val="center"/>
          </w:tcPr>
          <w:p w14:paraId="7D1CC21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CPU芯片应符合GM/T0008的相关规定，或芯片密码模块应符合GB/T37092或GM/T0028的相关规定</w:t>
            </w:r>
          </w:p>
        </w:tc>
        <w:tc>
          <w:tcPr>
            <w:tcW w:w="1302" w:type="dxa"/>
            <w:shd w:val="clear" w:color="auto" w:fill="FFFFFF"/>
            <w:vAlign w:val="center"/>
          </w:tcPr>
          <w:p w14:paraId="1201485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FF39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35" w:type="dxa"/>
            <w:shd w:val="clear" w:color="auto" w:fill="FFFFFF"/>
            <w:vAlign w:val="center"/>
          </w:tcPr>
          <w:p w14:paraId="360A05A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54</w:t>
            </w:r>
          </w:p>
        </w:tc>
        <w:tc>
          <w:tcPr>
            <w:tcW w:w="981" w:type="dxa"/>
            <w:shd w:val="clear" w:color="auto" w:fill="FFFFFF"/>
            <w:vAlign w:val="center"/>
          </w:tcPr>
          <w:p w14:paraId="1BABC49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16D2589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存储功能</w:t>
            </w:r>
          </w:p>
        </w:tc>
        <w:tc>
          <w:tcPr>
            <w:tcW w:w="1713" w:type="dxa"/>
            <w:shd w:val="clear" w:color="auto" w:fill="FFFFFF"/>
            <w:vAlign w:val="center"/>
          </w:tcPr>
          <w:p w14:paraId="68F8AEA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内存校验</w:t>
            </w:r>
          </w:p>
        </w:tc>
        <w:tc>
          <w:tcPr>
            <w:tcW w:w="3960" w:type="dxa"/>
            <w:shd w:val="clear" w:color="auto" w:fill="FFFFFF"/>
            <w:vAlign w:val="center"/>
          </w:tcPr>
          <w:p w14:paraId="53BF1C0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支持内存校验或内存增强型纠错功能</w:t>
            </w:r>
          </w:p>
        </w:tc>
        <w:tc>
          <w:tcPr>
            <w:tcW w:w="1302" w:type="dxa"/>
            <w:shd w:val="clear" w:color="auto" w:fill="FFFFFF"/>
            <w:vAlign w:val="center"/>
          </w:tcPr>
          <w:p w14:paraId="0BEE81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731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4CEF42B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55</w:t>
            </w:r>
          </w:p>
        </w:tc>
        <w:tc>
          <w:tcPr>
            <w:tcW w:w="981" w:type="dxa"/>
            <w:shd w:val="clear" w:color="auto" w:fill="FFFFFF"/>
            <w:vAlign w:val="center"/>
          </w:tcPr>
          <w:p w14:paraId="5D86A6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1EE009F7">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53B31BA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SATASSDNAND健康状态上报</w:t>
            </w:r>
          </w:p>
        </w:tc>
        <w:tc>
          <w:tcPr>
            <w:tcW w:w="3960" w:type="dxa"/>
            <w:shd w:val="clear" w:color="auto" w:fill="FFFFFF"/>
            <w:vAlign w:val="center"/>
          </w:tcPr>
          <w:p w14:paraId="610E87E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支持关键外部存储器（硬磁盘、SSD等）的健康状态上报并进行故障诊断</w:t>
            </w:r>
          </w:p>
        </w:tc>
        <w:tc>
          <w:tcPr>
            <w:tcW w:w="1302" w:type="dxa"/>
            <w:shd w:val="clear" w:color="auto" w:fill="FFFFFF"/>
            <w:vAlign w:val="center"/>
          </w:tcPr>
          <w:p w14:paraId="0623077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FFF9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6F0838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56</w:t>
            </w:r>
          </w:p>
        </w:tc>
        <w:tc>
          <w:tcPr>
            <w:tcW w:w="981" w:type="dxa"/>
            <w:shd w:val="clear" w:color="auto" w:fill="FFFFFF"/>
            <w:vAlign w:val="center"/>
          </w:tcPr>
          <w:p w14:paraId="6FEBAD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2E1EC817">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59E7913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SATASSD单die故障隔离</w:t>
            </w:r>
          </w:p>
        </w:tc>
        <w:tc>
          <w:tcPr>
            <w:tcW w:w="3960" w:type="dxa"/>
            <w:shd w:val="clear" w:color="auto" w:fill="FFFFFF"/>
            <w:vAlign w:val="center"/>
          </w:tcPr>
          <w:p w14:paraId="081ADC2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支持SSD关键外部存储器中单存储晶元故障隔离</w:t>
            </w:r>
          </w:p>
        </w:tc>
        <w:tc>
          <w:tcPr>
            <w:tcW w:w="1302" w:type="dxa"/>
            <w:shd w:val="clear" w:color="auto" w:fill="FFFFFF"/>
            <w:vAlign w:val="center"/>
          </w:tcPr>
          <w:p w14:paraId="700047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7D13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1B42317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57</w:t>
            </w:r>
          </w:p>
        </w:tc>
        <w:tc>
          <w:tcPr>
            <w:tcW w:w="981" w:type="dxa"/>
            <w:shd w:val="clear" w:color="auto" w:fill="FFFFFF"/>
            <w:vAlign w:val="center"/>
          </w:tcPr>
          <w:p w14:paraId="567C2E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3EE80AB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RAID卡功能</w:t>
            </w:r>
          </w:p>
        </w:tc>
        <w:tc>
          <w:tcPr>
            <w:tcW w:w="1713" w:type="dxa"/>
            <w:shd w:val="clear" w:color="auto" w:fill="FFFFFF"/>
            <w:vAlign w:val="center"/>
          </w:tcPr>
          <w:p w14:paraId="108D658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RAID卡配置及RAID级别支持</w:t>
            </w:r>
          </w:p>
        </w:tc>
        <w:tc>
          <w:tcPr>
            <w:tcW w:w="3960" w:type="dxa"/>
            <w:shd w:val="clear" w:color="auto" w:fill="FFFFFF"/>
            <w:vAlign w:val="center"/>
          </w:tcPr>
          <w:p w14:paraId="6241A03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RAID模式支持RAID0/1/10/5；</w:t>
            </w:r>
          </w:p>
        </w:tc>
        <w:tc>
          <w:tcPr>
            <w:tcW w:w="1302" w:type="dxa"/>
            <w:shd w:val="clear" w:color="auto" w:fill="FFFFFF"/>
            <w:vAlign w:val="center"/>
          </w:tcPr>
          <w:p w14:paraId="30CA7E3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ECD5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35" w:type="dxa"/>
            <w:shd w:val="clear" w:color="auto" w:fill="FFFFFF"/>
            <w:vAlign w:val="center"/>
          </w:tcPr>
          <w:p w14:paraId="177D88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58</w:t>
            </w:r>
          </w:p>
        </w:tc>
        <w:tc>
          <w:tcPr>
            <w:tcW w:w="981" w:type="dxa"/>
            <w:shd w:val="clear" w:color="auto" w:fill="FFFFFF"/>
            <w:vAlign w:val="center"/>
          </w:tcPr>
          <w:p w14:paraId="2448B2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61936A15">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06D430B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RAID卡BBU单元</w:t>
            </w:r>
          </w:p>
        </w:tc>
        <w:tc>
          <w:tcPr>
            <w:tcW w:w="3960" w:type="dxa"/>
            <w:shd w:val="clear" w:color="auto" w:fill="FFFFFF"/>
            <w:vAlign w:val="center"/>
          </w:tcPr>
          <w:p w14:paraId="7DBF851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RAID卡支持电池或电容备份单元</w:t>
            </w:r>
          </w:p>
        </w:tc>
        <w:tc>
          <w:tcPr>
            <w:tcW w:w="1302" w:type="dxa"/>
            <w:shd w:val="clear" w:color="auto" w:fill="FFFFFF"/>
            <w:vAlign w:val="center"/>
          </w:tcPr>
          <w:p w14:paraId="1B8968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5263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35" w:type="dxa"/>
            <w:shd w:val="clear" w:color="auto" w:fill="FFFFFF"/>
            <w:vAlign w:val="center"/>
          </w:tcPr>
          <w:p w14:paraId="1B8E9D5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59</w:t>
            </w:r>
          </w:p>
        </w:tc>
        <w:tc>
          <w:tcPr>
            <w:tcW w:w="981" w:type="dxa"/>
            <w:shd w:val="clear" w:color="auto" w:fill="FFFFFF"/>
            <w:vAlign w:val="center"/>
          </w:tcPr>
          <w:p w14:paraId="6B27D0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shd w:val="clear" w:color="auto" w:fill="FFFFFF"/>
            <w:vAlign w:val="center"/>
          </w:tcPr>
          <w:p w14:paraId="2378201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光驱功能</w:t>
            </w:r>
          </w:p>
        </w:tc>
        <w:tc>
          <w:tcPr>
            <w:tcW w:w="1713" w:type="dxa"/>
            <w:shd w:val="clear" w:color="auto" w:fill="FFFFFF"/>
            <w:vAlign w:val="center"/>
          </w:tcPr>
          <w:p w14:paraId="7E9CE8C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光驱类型（是否支持RW，以及光盘类型CD/DVD）</w:t>
            </w:r>
          </w:p>
        </w:tc>
        <w:tc>
          <w:tcPr>
            <w:tcW w:w="3960" w:type="dxa"/>
            <w:shd w:val="clear" w:color="auto" w:fill="FFFFFF"/>
            <w:vAlign w:val="center"/>
          </w:tcPr>
          <w:p w14:paraId="7197141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若配备光驱，应提供光驱的安装形式（如内置、外置）、光驱读写类型（如只读、可刻录等）、光盘类型的兼容列表（如CD-ROM、CD-RW、DVD±RW等）</w:t>
            </w:r>
          </w:p>
        </w:tc>
        <w:tc>
          <w:tcPr>
            <w:tcW w:w="1302" w:type="dxa"/>
            <w:shd w:val="clear" w:color="auto" w:fill="FFFFFF"/>
            <w:vAlign w:val="center"/>
          </w:tcPr>
          <w:p w14:paraId="5DF912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2AAE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35" w:type="dxa"/>
            <w:shd w:val="clear" w:color="auto" w:fill="FFFFFF"/>
            <w:vAlign w:val="center"/>
          </w:tcPr>
          <w:p w14:paraId="112281C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60</w:t>
            </w:r>
          </w:p>
        </w:tc>
        <w:tc>
          <w:tcPr>
            <w:tcW w:w="981" w:type="dxa"/>
            <w:shd w:val="clear" w:color="auto" w:fill="FFFFFF"/>
            <w:vAlign w:val="center"/>
          </w:tcPr>
          <w:p w14:paraId="420FA9B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1C5236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电源功能</w:t>
            </w:r>
          </w:p>
        </w:tc>
        <w:tc>
          <w:tcPr>
            <w:tcW w:w="1713" w:type="dxa"/>
            <w:shd w:val="clear" w:color="auto" w:fill="FFFFFF"/>
            <w:vAlign w:val="center"/>
          </w:tcPr>
          <w:p w14:paraId="317619D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★电源热插拔</w:t>
            </w:r>
          </w:p>
        </w:tc>
        <w:tc>
          <w:tcPr>
            <w:tcW w:w="3960" w:type="dxa"/>
            <w:shd w:val="clear" w:color="auto" w:fill="FFFFFF"/>
            <w:vAlign w:val="center"/>
          </w:tcPr>
          <w:p w14:paraId="4F4FEEA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整机电源模块应具备热插拔功能</w:t>
            </w:r>
          </w:p>
        </w:tc>
        <w:tc>
          <w:tcPr>
            <w:tcW w:w="1302" w:type="dxa"/>
            <w:shd w:val="clear" w:color="auto" w:fill="FFFFFF"/>
            <w:vAlign w:val="center"/>
          </w:tcPr>
          <w:p w14:paraId="6AAB839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4DC9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1044F7F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61</w:t>
            </w:r>
          </w:p>
        </w:tc>
        <w:tc>
          <w:tcPr>
            <w:tcW w:w="981" w:type="dxa"/>
            <w:shd w:val="clear" w:color="auto" w:fill="FFFFFF"/>
            <w:vAlign w:val="center"/>
          </w:tcPr>
          <w:p w14:paraId="65BCFD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10091ACD">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1ACE737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★电源过流保护</w:t>
            </w:r>
          </w:p>
        </w:tc>
        <w:tc>
          <w:tcPr>
            <w:tcW w:w="3960" w:type="dxa"/>
            <w:shd w:val="clear" w:color="auto" w:fill="FFFFFF"/>
            <w:vAlign w:val="center"/>
          </w:tcPr>
          <w:p w14:paraId="32ECBF2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支持过流及短路保护的功能</w:t>
            </w:r>
          </w:p>
        </w:tc>
        <w:tc>
          <w:tcPr>
            <w:tcW w:w="1302" w:type="dxa"/>
            <w:shd w:val="clear" w:color="auto" w:fill="FFFFFF"/>
            <w:vAlign w:val="center"/>
          </w:tcPr>
          <w:p w14:paraId="3221B2F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3722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35" w:type="dxa"/>
            <w:shd w:val="clear" w:color="auto" w:fill="FFFFFF"/>
            <w:vAlign w:val="center"/>
          </w:tcPr>
          <w:p w14:paraId="4E09C10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62</w:t>
            </w:r>
          </w:p>
        </w:tc>
        <w:tc>
          <w:tcPr>
            <w:tcW w:w="981" w:type="dxa"/>
            <w:shd w:val="clear" w:color="auto" w:fill="FFFFFF"/>
            <w:vAlign w:val="center"/>
          </w:tcPr>
          <w:p w14:paraId="31353E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7F17032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整机功能</w:t>
            </w:r>
          </w:p>
        </w:tc>
        <w:tc>
          <w:tcPr>
            <w:tcW w:w="1713" w:type="dxa"/>
            <w:shd w:val="clear" w:color="auto" w:fill="FFFFFF"/>
            <w:vAlign w:val="center"/>
          </w:tcPr>
          <w:p w14:paraId="07FA4BC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★散热方式</w:t>
            </w:r>
          </w:p>
        </w:tc>
        <w:tc>
          <w:tcPr>
            <w:tcW w:w="3960" w:type="dxa"/>
            <w:shd w:val="clear" w:color="auto" w:fill="FFFFFF"/>
            <w:vAlign w:val="center"/>
          </w:tcPr>
          <w:p w14:paraId="1112E12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支持风冷或液冷等散热方式</w:t>
            </w:r>
          </w:p>
        </w:tc>
        <w:tc>
          <w:tcPr>
            <w:tcW w:w="1302" w:type="dxa"/>
            <w:shd w:val="clear" w:color="auto" w:fill="FFFFFF"/>
            <w:vAlign w:val="center"/>
          </w:tcPr>
          <w:p w14:paraId="7C8A3DF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D2A0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67901EA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63</w:t>
            </w:r>
          </w:p>
        </w:tc>
        <w:tc>
          <w:tcPr>
            <w:tcW w:w="981" w:type="dxa"/>
            <w:shd w:val="clear" w:color="auto" w:fill="FFFFFF"/>
            <w:vAlign w:val="center"/>
          </w:tcPr>
          <w:p w14:paraId="63D7A66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1B89FA06">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7F3A475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其他功能</w:t>
            </w:r>
          </w:p>
        </w:tc>
        <w:tc>
          <w:tcPr>
            <w:tcW w:w="3960" w:type="dxa"/>
            <w:shd w:val="clear" w:color="auto" w:fill="FFFFFF"/>
            <w:vAlign w:val="center"/>
          </w:tcPr>
          <w:p w14:paraId="53C66B8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a）支持关键部件冗余（包括电源、风扇等）；b）支持熔断保护与恢复功能</w:t>
            </w:r>
          </w:p>
        </w:tc>
        <w:tc>
          <w:tcPr>
            <w:tcW w:w="1302" w:type="dxa"/>
            <w:shd w:val="clear" w:color="auto" w:fill="FFFFFF"/>
            <w:vAlign w:val="center"/>
          </w:tcPr>
          <w:p w14:paraId="55D2F4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F9C5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551" w:hRule="atLeast"/>
        </w:trPr>
        <w:tc>
          <w:tcPr>
            <w:tcW w:w="735" w:type="dxa"/>
            <w:shd w:val="clear" w:color="auto" w:fill="FFFFFF"/>
            <w:vAlign w:val="center"/>
          </w:tcPr>
          <w:p w14:paraId="4E18B7B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64</w:t>
            </w:r>
          </w:p>
        </w:tc>
        <w:tc>
          <w:tcPr>
            <w:tcW w:w="981" w:type="dxa"/>
            <w:shd w:val="clear" w:color="auto" w:fill="FFFFFF"/>
            <w:vAlign w:val="center"/>
          </w:tcPr>
          <w:p w14:paraId="722738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shd w:val="clear" w:color="auto" w:fill="FFFFFF"/>
            <w:vAlign w:val="center"/>
          </w:tcPr>
          <w:p w14:paraId="40FA8DF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管理系统功能</w:t>
            </w:r>
          </w:p>
        </w:tc>
        <w:tc>
          <w:tcPr>
            <w:tcW w:w="1713" w:type="dxa"/>
            <w:shd w:val="clear" w:color="auto" w:fill="FFFFFF"/>
            <w:vAlign w:val="center"/>
          </w:tcPr>
          <w:p w14:paraId="53C8AE6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★BMC固件基础功能</w:t>
            </w:r>
          </w:p>
        </w:tc>
        <w:tc>
          <w:tcPr>
            <w:tcW w:w="3960" w:type="dxa"/>
            <w:shd w:val="clear" w:color="auto" w:fill="FFFFFF"/>
            <w:vAlign w:val="center"/>
          </w:tcPr>
          <w:p w14:paraId="68B6C03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支持DHCP设置网络功能；2）支持静态IP设置网络功能；3）支持设备日志记录，包括但不限于登录日志、操作日志和报警日志等功能；4）支持日志信息导出和记录删除功能；5）支持通过管理接口向外输出准确的报警信息功能；6）设备的BMC管理软件应能够按报警的严重程度进行区分；7）支持IPMI2.0、SNMP或Redfish等接口功能；8）支持键盘、鼠标和视频的重定向、文本控制台的重定向、远程虚拟媒体、高可靠的硬件监控和管理功能；9）支持基于网络开启、关闭和重启设备的功能，并查询当前设备开机运行状态；10）支持故障提示功能，并可通过接口读取服务器故障信息；11）支持基于网络的固件更新功能，包括BMC和BIOS等；12）支持基于网络安装操作系统的功能，并可通过网络控制台访问设备；13）支持通过本地的硬盘或光驱等存储设备，基于网络完成设备的操作系统安装功能；14）支持通过浏览器打开管理界面并登录功能；15）支持设置口令策略功能；16）支持访问权限设置功能，并通过日志记录访问事件；17）支持对出厂默认的用户名及口令进行安全保护功能，并提供默认口令修改提示；18）支持读取设备主板的工作环境温度功能；19）支持读取服务器CPU等核心器件的温度功能；20）支持通过外部管理工具进行BMC参数设置的功能，并可基于网络通过外部管理工具对BMC进行管理；21）应支持固件版本查询、固件升级22）支持基于网络实现开关机和复位控制的功能；23)BMC启动时间应不超过180s，实现功能包括网络、IPMI、散热、传感器服务可用；24）支持BMC固件设置的恢复出厂功能</w:t>
            </w:r>
          </w:p>
        </w:tc>
        <w:tc>
          <w:tcPr>
            <w:tcW w:w="1302" w:type="dxa"/>
            <w:shd w:val="clear" w:color="auto" w:fill="FFFFFF"/>
            <w:vAlign w:val="center"/>
          </w:tcPr>
          <w:p w14:paraId="14A1CC4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D360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735" w:type="dxa"/>
            <w:shd w:val="clear" w:color="auto" w:fill="FFFFFF"/>
            <w:vAlign w:val="center"/>
          </w:tcPr>
          <w:p w14:paraId="71FB08B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65</w:t>
            </w:r>
          </w:p>
        </w:tc>
        <w:tc>
          <w:tcPr>
            <w:tcW w:w="981" w:type="dxa"/>
            <w:shd w:val="clear" w:color="auto" w:fill="FFFFFF"/>
            <w:vAlign w:val="center"/>
          </w:tcPr>
          <w:p w14:paraId="203931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2D89A778">
            <w:pPr>
              <w:widowControl/>
              <w:jc w:val="center"/>
              <w:rPr>
                <w:rFonts w:asciiTheme="minorEastAsia" w:hAnsiTheme="minorEastAsia" w:eastAsiaTheme="minorEastAsia" w:cstheme="minorEastAsia"/>
                <w:kern w:val="0"/>
                <w:sz w:val="24"/>
              </w:rPr>
            </w:pPr>
          </w:p>
        </w:tc>
        <w:tc>
          <w:tcPr>
            <w:tcW w:w="1713" w:type="dxa"/>
            <w:shd w:val="clear" w:color="auto" w:fill="FFFFFF"/>
            <w:vAlign w:val="center"/>
          </w:tcPr>
          <w:p w14:paraId="3BFEB3E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BMC固件增强功能</w:t>
            </w:r>
          </w:p>
        </w:tc>
        <w:tc>
          <w:tcPr>
            <w:tcW w:w="3960" w:type="dxa"/>
            <w:shd w:val="clear" w:color="auto" w:fill="FFFFFF"/>
            <w:vAlign w:val="center"/>
          </w:tcPr>
          <w:p w14:paraId="0FA81A0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a）网络控制、安装提供图形访问界面网络；b）设备的BMC管理软件界面显示报警信息，且能够按报警的严重程度进行区分；c）WebGUI采用BMC端口直连，平均响应时间为≤1s</w:t>
            </w:r>
          </w:p>
        </w:tc>
        <w:tc>
          <w:tcPr>
            <w:tcW w:w="1302" w:type="dxa"/>
            <w:shd w:val="clear" w:color="auto" w:fill="FFFFFF"/>
            <w:vAlign w:val="center"/>
          </w:tcPr>
          <w:p w14:paraId="6CB9F0E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1E3A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0" w:hRule="atLeast"/>
        </w:trPr>
        <w:tc>
          <w:tcPr>
            <w:tcW w:w="735" w:type="dxa"/>
            <w:shd w:val="clear" w:color="auto" w:fill="FFFFFF"/>
            <w:vAlign w:val="center"/>
          </w:tcPr>
          <w:p w14:paraId="5C416E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66</w:t>
            </w:r>
          </w:p>
        </w:tc>
        <w:tc>
          <w:tcPr>
            <w:tcW w:w="981" w:type="dxa"/>
            <w:shd w:val="clear" w:color="auto" w:fill="FFFFFF"/>
            <w:vAlign w:val="center"/>
          </w:tcPr>
          <w:p w14:paraId="20399E7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31721244">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2F7A1E6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★BIOS固件基础功能</w:t>
            </w:r>
          </w:p>
        </w:tc>
        <w:tc>
          <w:tcPr>
            <w:tcW w:w="3960" w:type="dxa"/>
            <w:shd w:val="clear" w:color="auto" w:fill="FFFFFF"/>
            <w:vAlign w:val="center"/>
          </w:tcPr>
          <w:p w14:paraId="56A4E89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查看固件版本、内存信息、主板信息、处理器信息和系统时间信息功能；b）支持上电初始化界面显示CPU信息、内存信息、固件版本和部分快捷键信息功能；c）支持设置界面中英文显示切换功能；d）支持查看PCIe设备信息，SATA设备信息功能；e）支持操作系统安装和引导功能，应并向操作系统提供计算机主板信息和服务接口；f）支持设置启动顺序，并按照设置的启动顺序启动功能；g）支持安全启动功能；h）支持设置口令、修改口令、验证口令功能；i）支持板载显示控制或独立显卡的显示控制功能；j）支持RAID识别和启动功能；k）支持串口重定向功能；l）支持固件更新功能；m）支持BIOS固件设置的恢复出厂功能；n）支持网络引导启用和关闭功能</w:t>
            </w:r>
          </w:p>
        </w:tc>
        <w:tc>
          <w:tcPr>
            <w:tcW w:w="1302" w:type="dxa"/>
            <w:shd w:val="clear" w:color="auto" w:fill="FFFFFF"/>
            <w:vAlign w:val="center"/>
          </w:tcPr>
          <w:p w14:paraId="0B2A104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8D0C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735" w:type="dxa"/>
            <w:shd w:val="clear" w:color="auto" w:fill="FFFFFF"/>
            <w:vAlign w:val="center"/>
          </w:tcPr>
          <w:p w14:paraId="147653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67</w:t>
            </w:r>
          </w:p>
        </w:tc>
        <w:tc>
          <w:tcPr>
            <w:tcW w:w="981" w:type="dxa"/>
            <w:shd w:val="clear" w:color="auto" w:fill="FFFFFF"/>
            <w:vAlign w:val="center"/>
          </w:tcPr>
          <w:p w14:paraId="4E9446C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4D3EA549">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3BEECDB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★远程控制</w:t>
            </w:r>
          </w:p>
        </w:tc>
        <w:tc>
          <w:tcPr>
            <w:tcW w:w="3960" w:type="dxa"/>
            <w:shd w:val="clear" w:color="auto" w:fill="FFFFFF"/>
            <w:vAlign w:val="center"/>
          </w:tcPr>
          <w:p w14:paraId="37CB87D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支持远程关机和重新启动功能</w:t>
            </w:r>
          </w:p>
        </w:tc>
        <w:tc>
          <w:tcPr>
            <w:tcW w:w="1302" w:type="dxa"/>
            <w:shd w:val="clear" w:color="auto" w:fill="FFFFFF"/>
            <w:vAlign w:val="center"/>
          </w:tcPr>
          <w:p w14:paraId="7B22BB4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E5A6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7DFE88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68</w:t>
            </w:r>
          </w:p>
        </w:tc>
        <w:tc>
          <w:tcPr>
            <w:tcW w:w="981" w:type="dxa"/>
            <w:shd w:val="clear" w:color="auto" w:fill="FFFFFF"/>
            <w:vAlign w:val="center"/>
          </w:tcPr>
          <w:p w14:paraId="0ECEE7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0C17738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操作系统及驱动功能</w:t>
            </w:r>
          </w:p>
        </w:tc>
        <w:tc>
          <w:tcPr>
            <w:tcW w:w="1713" w:type="dxa"/>
            <w:shd w:val="clear" w:color="auto" w:fill="FFFFFF"/>
            <w:vAlign w:val="center"/>
          </w:tcPr>
          <w:p w14:paraId="4708600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★操作系统及驱动的升级</w:t>
            </w:r>
          </w:p>
        </w:tc>
        <w:tc>
          <w:tcPr>
            <w:tcW w:w="3960" w:type="dxa"/>
            <w:shd w:val="clear" w:color="auto" w:fill="FFFFFF"/>
            <w:vAlign w:val="center"/>
          </w:tcPr>
          <w:p w14:paraId="1AB06F9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支持通过网络、闪存盘对操作系统、驱动进行升级</w:t>
            </w:r>
          </w:p>
        </w:tc>
        <w:tc>
          <w:tcPr>
            <w:tcW w:w="1302" w:type="dxa"/>
            <w:shd w:val="clear" w:color="auto" w:fill="FFFFFF"/>
            <w:vAlign w:val="center"/>
          </w:tcPr>
          <w:p w14:paraId="7E15EB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5B5E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35" w:type="dxa"/>
            <w:shd w:val="clear" w:color="auto" w:fill="FFFFFF"/>
            <w:vAlign w:val="center"/>
          </w:tcPr>
          <w:p w14:paraId="44BE13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69</w:t>
            </w:r>
          </w:p>
        </w:tc>
        <w:tc>
          <w:tcPr>
            <w:tcW w:w="981" w:type="dxa"/>
            <w:shd w:val="clear" w:color="auto" w:fill="FFFFFF"/>
            <w:vAlign w:val="center"/>
          </w:tcPr>
          <w:p w14:paraId="4EDBB13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4F1C91F7">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34A5DD8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操作系统及驱动的备份还原</w:t>
            </w:r>
          </w:p>
        </w:tc>
        <w:tc>
          <w:tcPr>
            <w:tcW w:w="3960" w:type="dxa"/>
            <w:shd w:val="clear" w:color="auto" w:fill="FFFFFF"/>
            <w:vAlign w:val="center"/>
          </w:tcPr>
          <w:p w14:paraId="552F7F7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支持操作系统备份及还原功能</w:t>
            </w:r>
          </w:p>
        </w:tc>
        <w:tc>
          <w:tcPr>
            <w:tcW w:w="1302" w:type="dxa"/>
            <w:shd w:val="clear" w:color="auto" w:fill="FFFFFF"/>
            <w:vAlign w:val="center"/>
          </w:tcPr>
          <w:p w14:paraId="27A4D86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B389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048553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70</w:t>
            </w:r>
          </w:p>
        </w:tc>
        <w:tc>
          <w:tcPr>
            <w:tcW w:w="981" w:type="dxa"/>
            <w:shd w:val="clear" w:color="auto" w:fill="FFFFFF"/>
            <w:vAlign w:val="center"/>
          </w:tcPr>
          <w:p w14:paraId="17A573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0D491DA5">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731BE88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★操作系统功能</w:t>
            </w:r>
          </w:p>
        </w:tc>
        <w:tc>
          <w:tcPr>
            <w:tcW w:w="3960" w:type="dxa"/>
            <w:shd w:val="clear" w:color="auto" w:fill="FFFFFF"/>
            <w:vAlign w:val="center"/>
          </w:tcPr>
          <w:p w14:paraId="7DF861F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a）支持访问控制、安全审计、网络接入鉴别等功能；b）操作系统其他功能应满足操作系统政府采购需求标准中加*的指标要求</w:t>
            </w:r>
          </w:p>
        </w:tc>
        <w:tc>
          <w:tcPr>
            <w:tcW w:w="1302" w:type="dxa"/>
            <w:shd w:val="clear" w:color="auto" w:fill="FFFFFF"/>
            <w:vAlign w:val="center"/>
          </w:tcPr>
          <w:p w14:paraId="4FBFE8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D1DC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68A4245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71</w:t>
            </w:r>
          </w:p>
        </w:tc>
        <w:tc>
          <w:tcPr>
            <w:tcW w:w="981" w:type="dxa"/>
            <w:shd w:val="clear" w:color="auto" w:fill="FFFFFF"/>
            <w:vAlign w:val="center"/>
          </w:tcPr>
          <w:p w14:paraId="3BE43D8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shd w:val="clear" w:color="auto" w:fill="FFFFFF"/>
            <w:vAlign w:val="center"/>
          </w:tcPr>
          <w:p w14:paraId="624EA9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中文信息处理功能</w:t>
            </w:r>
          </w:p>
        </w:tc>
        <w:tc>
          <w:tcPr>
            <w:tcW w:w="1713" w:type="dxa"/>
            <w:shd w:val="clear" w:color="auto" w:fill="FFFFFF"/>
            <w:vAlign w:val="center"/>
          </w:tcPr>
          <w:p w14:paraId="733AFB3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★中文信息处理</w:t>
            </w:r>
          </w:p>
        </w:tc>
        <w:tc>
          <w:tcPr>
            <w:tcW w:w="3960" w:type="dxa"/>
            <w:shd w:val="clear" w:color="auto" w:fill="FFFFFF"/>
            <w:vAlign w:val="center"/>
          </w:tcPr>
          <w:p w14:paraId="43C212B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符合GB18030的有关规定</w:t>
            </w:r>
          </w:p>
        </w:tc>
        <w:tc>
          <w:tcPr>
            <w:tcW w:w="1302" w:type="dxa"/>
            <w:shd w:val="clear" w:color="auto" w:fill="FFFFFF"/>
            <w:vAlign w:val="center"/>
          </w:tcPr>
          <w:p w14:paraId="392C68F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E893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35" w:type="dxa"/>
            <w:shd w:val="clear" w:color="auto" w:fill="FFFFFF"/>
            <w:vAlign w:val="center"/>
          </w:tcPr>
          <w:p w14:paraId="19E340F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72</w:t>
            </w:r>
          </w:p>
        </w:tc>
        <w:tc>
          <w:tcPr>
            <w:tcW w:w="981" w:type="dxa"/>
            <w:shd w:val="clear" w:color="auto" w:fill="FFFFFF"/>
            <w:vAlign w:val="center"/>
          </w:tcPr>
          <w:p w14:paraId="1DF2318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0717218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机柜功能</w:t>
            </w:r>
          </w:p>
        </w:tc>
        <w:tc>
          <w:tcPr>
            <w:tcW w:w="1713" w:type="dxa"/>
            <w:shd w:val="clear" w:color="auto" w:fill="FFFFFF"/>
            <w:vAlign w:val="center"/>
          </w:tcPr>
          <w:p w14:paraId="0ED9C72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机柜管理功能</w:t>
            </w:r>
          </w:p>
        </w:tc>
        <w:tc>
          <w:tcPr>
            <w:tcW w:w="3960" w:type="dxa"/>
            <w:shd w:val="clear" w:color="auto" w:fill="FFFFFF"/>
            <w:vAlign w:val="center"/>
          </w:tcPr>
          <w:p w14:paraId="75D48B0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机柜管理系统包括服务器节点BMC管理系统、机柜管理系统或交换节点管理系统</w:t>
            </w:r>
          </w:p>
        </w:tc>
        <w:tc>
          <w:tcPr>
            <w:tcW w:w="1302" w:type="dxa"/>
            <w:shd w:val="clear" w:color="auto" w:fill="FFFFFF"/>
            <w:vAlign w:val="center"/>
          </w:tcPr>
          <w:p w14:paraId="512F0C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EBF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786582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73</w:t>
            </w:r>
          </w:p>
        </w:tc>
        <w:tc>
          <w:tcPr>
            <w:tcW w:w="981" w:type="dxa"/>
            <w:shd w:val="clear" w:color="auto" w:fill="FFFFFF"/>
            <w:vAlign w:val="center"/>
          </w:tcPr>
          <w:p w14:paraId="5BC9C3A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7E497B0A">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79DCBBA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机柜通信方式</w:t>
            </w:r>
          </w:p>
        </w:tc>
        <w:tc>
          <w:tcPr>
            <w:tcW w:w="3960" w:type="dxa"/>
            <w:shd w:val="clear" w:color="auto" w:fill="FFFFFF"/>
            <w:vAlign w:val="center"/>
          </w:tcPr>
          <w:p w14:paraId="1E03795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若配备机柜管理板可实现包括：资产管理、电源模块、功耗管理和液冷漏液检测等功能</w:t>
            </w:r>
          </w:p>
        </w:tc>
        <w:tc>
          <w:tcPr>
            <w:tcW w:w="1302" w:type="dxa"/>
            <w:shd w:val="clear" w:color="auto" w:fill="FFFFFF"/>
            <w:vAlign w:val="center"/>
          </w:tcPr>
          <w:p w14:paraId="0D124D4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6D1A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253A19C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74</w:t>
            </w:r>
          </w:p>
        </w:tc>
        <w:tc>
          <w:tcPr>
            <w:tcW w:w="981" w:type="dxa"/>
            <w:shd w:val="clear" w:color="auto" w:fill="FFFFFF"/>
            <w:vAlign w:val="center"/>
          </w:tcPr>
          <w:p w14:paraId="745AF4D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28FD557D">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7CB7F47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多集群作业管理</w:t>
            </w:r>
          </w:p>
        </w:tc>
        <w:tc>
          <w:tcPr>
            <w:tcW w:w="3960" w:type="dxa"/>
            <w:shd w:val="clear" w:color="auto" w:fill="FFFFFF"/>
            <w:vAlign w:val="center"/>
          </w:tcPr>
          <w:p w14:paraId="1509809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支持多集群作业管理功能</w:t>
            </w:r>
          </w:p>
        </w:tc>
        <w:tc>
          <w:tcPr>
            <w:tcW w:w="1302" w:type="dxa"/>
            <w:shd w:val="clear" w:color="auto" w:fill="FFFFFF"/>
            <w:vAlign w:val="center"/>
          </w:tcPr>
          <w:p w14:paraId="5745BB5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FCEE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08A0D74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75</w:t>
            </w:r>
          </w:p>
        </w:tc>
        <w:tc>
          <w:tcPr>
            <w:tcW w:w="981" w:type="dxa"/>
            <w:shd w:val="clear" w:color="auto" w:fill="FFFFFF"/>
            <w:vAlign w:val="center"/>
          </w:tcPr>
          <w:p w14:paraId="56EB0AD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shd w:val="clear" w:color="auto" w:fill="FFFFFF"/>
            <w:vAlign w:val="center"/>
          </w:tcPr>
          <w:p w14:paraId="453609A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关键部件安全要求</w:t>
            </w:r>
          </w:p>
        </w:tc>
        <w:tc>
          <w:tcPr>
            <w:tcW w:w="1713" w:type="dxa"/>
            <w:shd w:val="clear" w:color="auto" w:fill="FFFFFF"/>
            <w:vAlign w:val="center"/>
          </w:tcPr>
          <w:p w14:paraId="1DC679D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★关键部件安全要求</w:t>
            </w:r>
          </w:p>
        </w:tc>
        <w:tc>
          <w:tcPr>
            <w:tcW w:w="3960" w:type="dxa"/>
            <w:shd w:val="clear" w:color="auto" w:fill="FFFFFF"/>
            <w:vAlign w:val="center"/>
          </w:tcPr>
          <w:p w14:paraId="6C44A74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CPU和操作系统等关键部件应当符合安全可靠测评要求</w:t>
            </w:r>
          </w:p>
        </w:tc>
        <w:tc>
          <w:tcPr>
            <w:tcW w:w="1302" w:type="dxa"/>
            <w:shd w:val="clear" w:color="auto" w:fill="FFFFFF"/>
            <w:vAlign w:val="center"/>
          </w:tcPr>
          <w:p w14:paraId="1E5EEA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E64A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55AF97C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76</w:t>
            </w:r>
          </w:p>
        </w:tc>
        <w:tc>
          <w:tcPr>
            <w:tcW w:w="981" w:type="dxa"/>
            <w:shd w:val="clear" w:color="auto" w:fill="FFFFFF"/>
            <w:vAlign w:val="center"/>
          </w:tcPr>
          <w:p w14:paraId="0CBF78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restart"/>
            <w:shd w:val="clear" w:color="auto" w:fill="FFFFFF"/>
            <w:vAlign w:val="center"/>
          </w:tcPr>
          <w:p w14:paraId="376EDD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固件安全要求</w:t>
            </w:r>
          </w:p>
        </w:tc>
        <w:tc>
          <w:tcPr>
            <w:tcW w:w="1713" w:type="dxa"/>
            <w:shd w:val="clear" w:color="auto" w:fill="FFFFFF"/>
            <w:vAlign w:val="center"/>
          </w:tcPr>
          <w:p w14:paraId="22DE6B1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★故障检测</w:t>
            </w:r>
          </w:p>
        </w:tc>
        <w:tc>
          <w:tcPr>
            <w:tcW w:w="3960" w:type="dxa"/>
            <w:shd w:val="clear" w:color="auto" w:fill="FFFFFF"/>
            <w:vAlign w:val="center"/>
          </w:tcPr>
          <w:p w14:paraId="20BE63C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支持故障检测功能，可以检测到具体的FRU（内存、硬盘等）的故障并发出告警</w:t>
            </w:r>
          </w:p>
        </w:tc>
        <w:tc>
          <w:tcPr>
            <w:tcW w:w="1302" w:type="dxa"/>
            <w:shd w:val="clear" w:color="auto" w:fill="FFFFFF"/>
            <w:vAlign w:val="center"/>
          </w:tcPr>
          <w:p w14:paraId="3131624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CD1B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34F709E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77</w:t>
            </w:r>
          </w:p>
        </w:tc>
        <w:tc>
          <w:tcPr>
            <w:tcW w:w="981" w:type="dxa"/>
            <w:shd w:val="clear" w:color="auto" w:fill="FFFFFF"/>
            <w:vAlign w:val="center"/>
          </w:tcPr>
          <w:p w14:paraId="5A2414E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15C125FF">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0CE6D9F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内存故障智能预测和自愈修复</w:t>
            </w:r>
          </w:p>
        </w:tc>
        <w:tc>
          <w:tcPr>
            <w:tcW w:w="3960" w:type="dxa"/>
            <w:shd w:val="clear" w:color="auto" w:fill="FFFFFF"/>
            <w:vAlign w:val="center"/>
          </w:tcPr>
          <w:p w14:paraId="0C52994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支持内存故障智能预测和自愈修复，提前自动硬隔离，避免内存故障引起的非预期宕机以及内存寿命的降低</w:t>
            </w:r>
          </w:p>
        </w:tc>
        <w:tc>
          <w:tcPr>
            <w:tcW w:w="1302" w:type="dxa"/>
            <w:shd w:val="clear" w:color="auto" w:fill="FFFFFF"/>
            <w:vAlign w:val="center"/>
          </w:tcPr>
          <w:p w14:paraId="5B47A68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02E1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5C3DAE8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78</w:t>
            </w:r>
          </w:p>
        </w:tc>
        <w:tc>
          <w:tcPr>
            <w:tcW w:w="981" w:type="dxa"/>
            <w:shd w:val="clear" w:color="auto" w:fill="FFFFFF"/>
            <w:vAlign w:val="center"/>
          </w:tcPr>
          <w:p w14:paraId="672C77A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157E8631">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0CF341D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硬盘故障智能预测</w:t>
            </w:r>
          </w:p>
        </w:tc>
        <w:tc>
          <w:tcPr>
            <w:tcW w:w="3960" w:type="dxa"/>
            <w:shd w:val="clear" w:color="auto" w:fill="FFFFFF"/>
            <w:vAlign w:val="center"/>
          </w:tcPr>
          <w:p w14:paraId="700D29E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支持硬盘故障智能预测，基于故障模型预测出硬盘的故障</w:t>
            </w:r>
          </w:p>
        </w:tc>
        <w:tc>
          <w:tcPr>
            <w:tcW w:w="1302" w:type="dxa"/>
            <w:shd w:val="clear" w:color="auto" w:fill="FFFFFF"/>
            <w:vAlign w:val="center"/>
          </w:tcPr>
          <w:p w14:paraId="649C014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F4C1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35" w:type="dxa"/>
            <w:shd w:val="clear" w:color="auto" w:fill="FFFFFF"/>
            <w:vAlign w:val="center"/>
          </w:tcPr>
          <w:p w14:paraId="7C4D29A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79</w:t>
            </w:r>
          </w:p>
        </w:tc>
        <w:tc>
          <w:tcPr>
            <w:tcW w:w="981" w:type="dxa"/>
            <w:shd w:val="clear" w:color="auto" w:fill="FFFFFF"/>
            <w:vAlign w:val="center"/>
          </w:tcPr>
          <w:p w14:paraId="086B87C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03FE3241">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647ECE4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PCIe链路故障智能诊断</w:t>
            </w:r>
          </w:p>
        </w:tc>
        <w:tc>
          <w:tcPr>
            <w:tcW w:w="3960" w:type="dxa"/>
            <w:shd w:val="clear" w:color="auto" w:fill="FFFFFF"/>
            <w:vAlign w:val="center"/>
          </w:tcPr>
          <w:p w14:paraId="169AE67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支持PCIe链路故障智能诊断，判断出现故障的PCIe链路</w:t>
            </w:r>
          </w:p>
        </w:tc>
        <w:tc>
          <w:tcPr>
            <w:tcW w:w="1302" w:type="dxa"/>
            <w:shd w:val="clear" w:color="auto" w:fill="FFFFFF"/>
            <w:vAlign w:val="center"/>
          </w:tcPr>
          <w:p w14:paraId="21B4F36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F200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7F1C1D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80</w:t>
            </w:r>
          </w:p>
        </w:tc>
        <w:tc>
          <w:tcPr>
            <w:tcW w:w="981" w:type="dxa"/>
            <w:shd w:val="clear" w:color="auto" w:fill="FFFFFF"/>
            <w:vAlign w:val="center"/>
          </w:tcPr>
          <w:p w14:paraId="1561542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5F0FA215">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7084DA5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内存故障隔离</w:t>
            </w:r>
          </w:p>
        </w:tc>
        <w:tc>
          <w:tcPr>
            <w:tcW w:w="3960" w:type="dxa"/>
            <w:shd w:val="clear" w:color="auto" w:fill="FFFFFF"/>
            <w:vAlign w:val="center"/>
          </w:tcPr>
          <w:p w14:paraId="73848E7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支持内存故障隔离，在内存产生CE故障时，内存地址被隔离成功，服务器正常运行，业务系统不中断</w:t>
            </w:r>
          </w:p>
        </w:tc>
        <w:tc>
          <w:tcPr>
            <w:tcW w:w="1302" w:type="dxa"/>
            <w:shd w:val="clear" w:color="auto" w:fill="FFFFFF"/>
            <w:vAlign w:val="center"/>
          </w:tcPr>
          <w:p w14:paraId="60738D9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C2FE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35" w:type="dxa"/>
            <w:shd w:val="clear" w:color="auto" w:fill="FFFFFF"/>
            <w:vAlign w:val="center"/>
          </w:tcPr>
          <w:p w14:paraId="2A6239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81</w:t>
            </w:r>
          </w:p>
        </w:tc>
        <w:tc>
          <w:tcPr>
            <w:tcW w:w="981" w:type="dxa"/>
            <w:shd w:val="clear" w:color="auto" w:fill="FFFFFF"/>
            <w:vAlign w:val="center"/>
          </w:tcPr>
          <w:p w14:paraId="70BC8FE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0A99D984">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3CEA919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内存、PCIe卡的故障精准告警功能</w:t>
            </w:r>
          </w:p>
        </w:tc>
        <w:tc>
          <w:tcPr>
            <w:tcW w:w="3960" w:type="dxa"/>
            <w:shd w:val="clear" w:color="auto" w:fill="FFFFFF"/>
            <w:vAlign w:val="center"/>
          </w:tcPr>
          <w:p w14:paraId="7E649A3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支持内存、PCIe卡的故障精准告警功能，触发告警并明确指示具体的故障位置</w:t>
            </w:r>
          </w:p>
        </w:tc>
        <w:tc>
          <w:tcPr>
            <w:tcW w:w="1302" w:type="dxa"/>
            <w:shd w:val="clear" w:color="auto" w:fill="FFFFFF"/>
            <w:vAlign w:val="center"/>
          </w:tcPr>
          <w:p w14:paraId="1DB671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611F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6018004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82</w:t>
            </w:r>
          </w:p>
        </w:tc>
        <w:tc>
          <w:tcPr>
            <w:tcW w:w="981" w:type="dxa"/>
            <w:shd w:val="clear" w:color="auto" w:fill="FFFFFF"/>
            <w:vAlign w:val="center"/>
          </w:tcPr>
          <w:p w14:paraId="474C145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168AE2E2">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7B90DBE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异常下电关键数据保护</w:t>
            </w:r>
          </w:p>
        </w:tc>
        <w:tc>
          <w:tcPr>
            <w:tcW w:w="3960" w:type="dxa"/>
            <w:shd w:val="clear" w:color="auto" w:fill="FFFFFF"/>
            <w:vAlign w:val="center"/>
          </w:tcPr>
          <w:p w14:paraId="0978F13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支持异常掉电关键数据保护，支持数据备份恢复机制，防止系统异常掉电导致的数据文件丢失</w:t>
            </w:r>
          </w:p>
        </w:tc>
        <w:tc>
          <w:tcPr>
            <w:tcW w:w="1302" w:type="dxa"/>
            <w:shd w:val="clear" w:color="auto" w:fill="FFFFFF"/>
            <w:vAlign w:val="center"/>
          </w:tcPr>
          <w:p w14:paraId="4D176E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794C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31A49D8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83</w:t>
            </w:r>
          </w:p>
        </w:tc>
        <w:tc>
          <w:tcPr>
            <w:tcW w:w="981" w:type="dxa"/>
            <w:shd w:val="clear" w:color="auto" w:fill="FFFFFF"/>
            <w:vAlign w:val="center"/>
          </w:tcPr>
          <w:p w14:paraId="15907F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5DC0BEA0">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2CCDC04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BMC/BIOS固件双镜像保护</w:t>
            </w:r>
          </w:p>
        </w:tc>
        <w:tc>
          <w:tcPr>
            <w:tcW w:w="3960" w:type="dxa"/>
            <w:shd w:val="clear" w:color="auto" w:fill="FFFFFF"/>
            <w:vAlign w:val="center"/>
          </w:tcPr>
          <w:p w14:paraId="7FA3F2B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支持BMC/BIOS固件双镜像保护，运行异常时自动切换到备份镜像运行，提升系统稳定性</w:t>
            </w:r>
          </w:p>
        </w:tc>
        <w:tc>
          <w:tcPr>
            <w:tcW w:w="1302" w:type="dxa"/>
            <w:shd w:val="clear" w:color="auto" w:fill="FFFFFF"/>
            <w:vAlign w:val="center"/>
          </w:tcPr>
          <w:p w14:paraId="6DBC87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6C3C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35" w:type="dxa"/>
            <w:shd w:val="clear" w:color="auto" w:fill="FFFFFF"/>
            <w:vAlign w:val="center"/>
          </w:tcPr>
          <w:p w14:paraId="3E6EF9B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84</w:t>
            </w:r>
          </w:p>
        </w:tc>
        <w:tc>
          <w:tcPr>
            <w:tcW w:w="981" w:type="dxa"/>
            <w:shd w:val="clear" w:color="auto" w:fill="FFFFFF"/>
            <w:vAlign w:val="center"/>
          </w:tcPr>
          <w:p w14:paraId="33D80E1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021B63BA">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5CC7C4F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CPU核重启隔离</w:t>
            </w:r>
          </w:p>
        </w:tc>
        <w:tc>
          <w:tcPr>
            <w:tcW w:w="3960" w:type="dxa"/>
            <w:shd w:val="clear" w:color="auto" w:fill="FFFFFF"/>
            <w:vAlign w:val="center"/>
          </w:tcPr>
          <w:p w14:paraId="4468A35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支持CPU核发生不可纠正故障后，重启后由BIOS隔离该故障核，OS不可见，防止OS再次使用导致系统异常，核0除外</w:t>
            </w:r>
          </w:p>
        </w:tc>
        <w:tc>
          <w:tcPr>
            <w:tcW w:w="1302" w:type="dxa"/>
            <w:shd w:val="clear" w:color="auto" w:fill="FFFFFF"/>
            <w:vAlign w:val="center"/>
          </w:tcPr>
          <w:p w14:paraId="5B484AB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9A2F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2607A99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85</w:t>
            </w:r>
          </w:p>
        </w:tc>
        <w:tc>
          <w:tcPr>
            <w:tcW w:w="981" w:type="dxa"/>
            <w:shd w:val="clear" w:color="auto" w:fill="FFFFFF"/>
            <w:vAlign w:val="center"/>
          </w:tcPr>
          <w:p w14:paraId="2EFB93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139AFD0D">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010CF23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内存地址隔离</w:t>
            </w:r>
          </w:p>
        </w:tc>
        <w:tc>
          <w:tcPr>
            <w:tcW w:w="3960" w:type="dxa"/>
            <w:shd w:val="clear" w:color="auto" w:fill="FFFFFF"/>
            <w:vAlign w:val="center"/>
          </w:tcPr>
          <w:p w14:paraId="57880B0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在硬件支持的情况下，支持故障内存地址重启后隔离</w:t>
            </w:r>
          </w:p>
        </w:tc>
        <w:tc>
          <w:tcPr>
            <w:tcW w:w="1302" w:type="dxa"/>
            <w:shd w:val="clear" w:color="auto" w:fill="FFFFFF"/>
            <w:vAlign w:val="center"/>
          </w:tcPr>
          <w:p w14:paraId="367D16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9237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5F120D3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86</w:t>
            </w:r>
          </w:p>
        </w:tc>
        <w:tc>
          <w:tcPr>
            <w:tcW w:w="981" w:type="dxa"/>
            <w:shd w:val="clear" w:color="auto" w:fill="FFFFFF"/>
            <w:vAlign w:val="center"/>
          </w:tcPr>
          <w:p w14:paraId="15F7DD2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4CFB8799">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2DD36EC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内存存储阵列替换</w:t>
            </w:r>
          </w:p>
        </w:tc>
        <w:tc>
          <w:tcPr>
            <w:tcW w:w="3960" w:type="dxa"/>
            <w:shd w:val="clear" w:color="auto" w:fill="FFFFFF"/>
            <w:vAlign w:val="center"/>
          </w:tcPr>
          <w:p w14:paraId="15ED676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在硬件支持的情况下，支持故障内存存储阵列替换</w:t>
            </w:r>
          </w:p>
        </w:tc>
        <w:tc>
          <w:tcPr>
            <w:tcW w:w="1302" w:type="dxa"/>
            <w:shd w:val="clear" w:color="auto" w:fill="FFFFFF"/>
            <w:vAlign w:val="center"/>
          </w:tcPr>
          <w:p w14:paraId="444E24B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845C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28EA2EA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87</w:t>
            </w:r>
          </w:p>
        </w:tc>
        <w:tc>
          <w:tcPr>
            <w:tcW w:w="981" w:type="dxa"/>
            <w:shd w:val="clear" w:color="auto" w:fill="FFFFFF"/>
            <w:vAlign w:val="center"/>
          </w:tcPr>
          <w:p w14:paraId="37E74A0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1C984026">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6D3EE87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安全启动</w:t>
            </w:r>
          </w:p>
        </w:tc>
        <w:tc>
          <w:tcPr>
            <w:tcW w:w="3960" w:type="dxa"/>
            <w:shd w:val="clear" w:color="auto" w:fill="FFFFFF"/>
            <w:vAlign w:val="center"/>
          </w:tcPr>
          <w:p w14:paraId="7B4D0B3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支持执行环境要求在整个系统启动的过程中，系统应提供一个机制来保护平台的完整性</w:t>
            </w:r>
          </w:p>
        </w:tc>
        <w:tc>
          <w:tcPr>
            <w:tcW w:w="1302" w:type="dxa"/>
            <w:shd w:val="clear" w:color="auto" w:fill="FFFFFF"/>
            <w:vAlign w:val="center"/>
          </w:tcPr>
          <w:p w14:paraId="756686F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B96E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5E5A9B6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88</w:t>
            </w:r>
          </w:p>
        </w:tc>
        <w:tc>
          <w:tcPr>
            <w:tcW w:w="981" w:type="dxa"/>
            <w:shd w:val="clear" w:color="auto" w:fill="FFFFFF"/>
            <w:vAlign w:val="center"/>
          </w:tcPr>
          <w:p w14:paraId="26E7FD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restart"/>
            <w:shd w:val="clear" w:color="auto" w:fill="FFFFFF"/>
            <w:vAlign w:val="center"/>
          </w:tcPr>
          <w:p w14:paraId="42F6990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系统安全要求</w:t>
            </w:r>
          </w:p>
        </w:tc>
        <w:tc>
          <w:tcPr>
            <w:tcW w:w="1713" w:type="dxa"/>
            <w:shd w:val="clear" w:color="auto" w:fill="FFFFFF"/>
            <w:vAlign w:val="center"/>
          </w:tcPr>
          <w:p w14:paraId="407D41B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syslog双向鉴别</w:t>
            </w:r>
          </w:p>
        </w:tc>
        <w:tc>
          <w:tcPr>
            <w:tcW w:w="3960" w:type="dxa"/>
            <w:shd w:val="clear" w:color="auto" w:fill="FFFFFF"/>
            <w:vAlign w:val="center"/>
          </w:tcPr>
          <w:p w14:paraId="193DD57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支持系统日志双向鉴别，对服务器根证书和客户端根证书进行鉴别</w:t>
            </w:r>
          </w:p>
        </w:tc>
        <w:tc>
          <w:tcPr>
            <w:tcW w:w="1302" w:type="dxa"/>
            <w:shd w:val="clear" w:color="auto" w:fill="FFFFFF"/>
            <w:vAlign w:val="center"/>
          </w:tcPr>
          <w:p w14:paraId="43DC2B8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2F89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726713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89</w:t>
            </w:r>
          </w:p>
        </w:tc>
        <w:tc>
          <w:tcPr>
            <w:tcW w:w="981" w:type="dxa"/>
            <w:shd w:val="clear" w:color="auto" w:fill="FFFFFF"/>
            <w:vAlign w:val="center"/>
          </w:tcPr>
          <w:p w14:paraId="4B18A2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1CF4C670">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3FADFC3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★弱口令字典检查</w:t>
            </w:r>
          </w:p>
        </w:tc>
        <w:tc>
          <w:tcPr>
            <w:tcW w:w="3960" w:type="dxa"/>
            <w:shd w:val="clear" w:color="auto" w:fill="FFFFFF"/>
            <w:vAlign w:val="center"/>
          </w:tcPr>
          <w:p w14:paraId="7A01832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支持弱口令字典检查功能，出现在弱口令字典中的字符串不能被设置为用户口令</w:t>
            </w:r>
          </w:p>
        </w:tc>
        <w:tc>
          <w:tcPr>
            <w:tcW w:w="1302" w:type="dxa"/>
            <w:shd w:val="clear" w:color="auto" w:fill="FFFFFF"/>
            <w:vAlign w:val="center"/>
          </w:tcPr>
          <w:p w14:paraId="29A2FD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CEBE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40AAF8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90</w:t>
            </w:r>
          </w:p>
        </w:tc>
        <w:tc>
          <w:tcPr>
            <w:tcW w:w="981" w:type="dxa"/>
            <w:shd w:val="clear" w:color="auto" w:fill="FFFFFF"/>
            <w:vAlign w:val="center"/>
          </w:tcPr>
          <w:p w14:paraId="5EA0837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249E90DD">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235F5A5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★白名单访问控制</w:t>
            </w:r>
          </w:p>
        </w:tc>
        <w:tc>
          <w:tcPr>
            <w:tcW w:w="3960" w:type="dxa"/>
            <w:shd w:val="clear" w:color="auto" w:fill="FFFFFF"/>
            <w:vAlign w:val="center"/>
          </w:tcPr>
          <w:p w14:paraId="0ADD4F4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支持基于时间、IP或MAC白名单访问控制</w:t>
            </w:r>
          </w:p>
        </w:tc>
        <w:tc>
          <w:tcPr>
            <w:tcW w:w="1302" w:type="dxa"/>
            <w:shd w:val="clear" w:color="auto" w:fill="FFFFFF"/>
            <w:vAlign w:val="center"/>
          </w:tcPr>
          <w:p w14:paraId="64DD83E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839C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73C734E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91</w:t>
            </w:r>
          </w:p>
        </w:tc>
        <w:tc>
          <w:tcPr>
            <w:tcW w:w="981" w:type="dxa"/>
            <w:shd w:val="clear" w:color="auto" w:fill="FFFFFF"/>
            <w:vAlign w:val="center"/>
          </w:tcPr>
          <w:p w14:paraId="22AB75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644B1070">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0B5259A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双因素鉴别</w:t>
            </w:r>
          </w:p>
        </w:tc>
        <w:tc>
          <w:tcPr>
            <w:tcW w:w="3960" w:type="dxa"/>
            <w:shd w:val="clear" w:color="auto" w:fill="FFFFFF"/>
            <w:vAlign w:val="center"/>
          </w:tcPr>
          <w:p w14:paraId="0B9702B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支持使用客户端证书和证书密码的双因素鉴别方式登录管理系统</w:t>
            </w:r>
          </w:p>
        </w:tc>
        <w:tc>
          <w:tcPr>
            <w:tcW w:w="1302" w:type="dxa"/>
            <w:shd w:val="clear" w:color="auto" w:fill="FFFFFF"/>
            <w:vAlign w:val="center"/>
          </w:tcPr>
          <w:p w14:paraId="591407E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1BB8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1F76958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92</w:t>
            </w:r>
          </w:p>
        </w:tc>
        <w:tc>
          <w:tcPr>
            <w:tcW w:w="981" w:type="dxa"/>
            <w:shd w:val="clear" w:color="auto" w:fill="FFFFFF"/>
            <w:vAlign w:val="center"/>
          </w:tcPr>
          <w:p w14:paraId="2D43AE2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7861E180">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70D8730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★二次鉴别</w:t>
            </w:r>
          </w:p>
        </w:tc>
        <w:tc>
          <w:tcPr>
            <w:tcW w:w="3960" w:type="dxa"/>
            <w:shd w:val="clear" w:color="auto" w:fill="FFFFFF"/>
            <w:vAlign w:val="center"/>
          </w:tcPr>
          <w:p w14:paraId="24F1E07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支持二次鉴别功能。对于用户配置、权限配置、公钥导入等重要的管理操作，已登录用户应通过二次鉴别后，才能执行操作</w:t>
            </w:r>
          </w:p>
        </w:tc>
        <w:tc>
          <w:tcPr>
            <w:tcW w:w="1302" w:type="dxa"/>
            <w:shd w:val="clear" w:color="auto" w:fill="FFFFFF"/>
            <w:vAlign w:val="center"/>
          </w:tcPr>
          <w:p w14:paraId="6C2958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0202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0F61C8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93</w:t>
            </w:r>
          </w:p>
        </w:tc>
        <w:tc>
          <w:tcPr>
            <w:tcW w:w="981" w:type="dxa"/>
            <w:shd w:val="clear" w:color="auto" w:fill="FFFFFF"/>
            <w:vAlign w:val="center"/>
          </w:tcPr>
          <w:p w14:paraId="12EE42E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48F356FE">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47B7466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匿名化用户告警接收邮箱</w:t>
            </w:r>
          </w:p>
        </w:tc>
        <w:tc>
          <w:tcPr>
            <w:tcW w:w="3960" w:type="dxa"/>
            <w:shd w:val="clear" w:color="auto" w:fill="FFFFFF"/>
            <w:vAlign w:val="center"/>
          </w:tcPr>
          <w:p w14:paraId="52196B5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支持带外管理系统中的用户告警接收邮箱进行匿名化处理</w:t>
            </w:r>
          </w:p>
        </w:tc>
        <w:tc>
          <w:tcPr>
            <w:tcW w:w="1302" w:type="dxa"/>
            <w:shd w:val="clear" w:color="auto" w:fill="FFFFFF"/>
            <w:vAlign w:val="center"/>
          </w:tcPr>
          <w:p w14:paraId="622C55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1E73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50F807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94</w:t>
            </w:r>
          </w:p>
        </w:tc>
        <w:tc>
          <w:tcPr>
            <w:tcW w:w="981" w:type="dxa"/>
            <w:shd w:val="clear" w:color="auto" w:fill="FFFFFF"/>
            <w:vAlign w:val="center"/>
          </w:tcPr>
          <w:p w14:paraId="5589688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3DA3BEDC">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6866B14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★密码证书安全加密存储</w:t>
            </w:r>
          </w:p>
        </w:tc>
        <w:tc>
          <w:tcPr>
            <w:tcW w:w="3960" w:type="dxa"/>
            <w:shd w:val="clear" w:color="auto" w:fill="FFFFFF"/>
            <w:vAlign w:val="center"/>
          </w:tcPr>
          <w:p w14:paraId="7C2B0F1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支持对带外管理系统中的用户口令和证书等敏感信息进行加密存储，禁止使用私有的和业界已知不安全的密码算法</w:t>
            </w:r>
          </w:p>
        </w:tc>
        <w:tc>
          <w:tcPr>
            <w:tcW w:w="1302" w:type="dxa"/>
            <w:shd w:val="clear" w:color="auto" w:fill="FFFFFF"/>
            <w:vAlign w:val="center"/>
          </w:tcPr>
          <w:p w14:paraId="1DDDF02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40D3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35" w:type="dxa"/>
            <w:shd w:val="clear" w:color="auto" w:fill="FFFFFF"/>
            <w:vAlign w:val="center"/>
          </w:tcPr>
          <w:p w14:paraId="2DBF32D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95</w:t>
            </w:r>
          </w:p>
        </w:tc>
        <w:tc>
          <w:tcPr>
            <w:tcW w:w="981" w:type="dxa"/>
            <w:shd w:val="clear" w:color="auto" w:fill="FFFFFF"/>
            <w:vAlign w:val="center"/>
          </w:tcPr>
          <w:p w14:paraId="6647A68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6D5ACCC5">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535D084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★敏感信息安全加密传输</w:t>
            </w:r>
          </w:p>
        </w:tc>
        <w:tc>
          <w:tcPr>
            <w:tcW w:w="3960" w:type="dxa"/>
            <w:shd w:val="clear" w:color="auto" w:fill="FFFFFF"/>
            <w:vAlign w:val="center"/>
          </w:tcPr>
          <w:p w14:paraId="0242DF1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支持使用安全的传输加密协议（如SSH或HTTPS等）传输用户的敏感信息</w:t>
            </w:r>
          </w:p>
        </w:tc>
        <w:tc>
          <w:tcPr>
            <w:tcW w:w="1302" w:type="dxa"/>
            <w:shd w:val="clear" w:color="auto" w:fill="FFFFFF"/>
            <w:vAlign w:val="center"/>
          </w:tcPr>
          <w:p w14:paraId="3D886B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F0CB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080" w:hRule="atLeast"/>
        </w:trPr>
        <w:tc>
          <w:tcPr>
            <w:tcW w:w="735" w:type="dxa"/>
            <w:shd w:val="clear" w:color="auto" w:fill="FFFFFF"/>
            <w:vAlign w:val="center"/>
          </w:tcPr>
          <w:p w14:paraId="3416258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96</w:t>
            </w:r>
          </w:p>
        </w:tc>
        <w:tc>
          <w:tcPr>
            <w:tcW w:w="981" w:type="dxa"/>
            <w:shd w:val="clear" w:color="auto" w:fill="FFFFFF"/>
            <w:vAlign w:val="center"/>
          </w:tcPr>
          <w:p w14:paraId="22CCFE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restart"/>
            <w:shd w:val="clear" w:color="auto" w:fill="FFFFFF"/>
            <w:vAlign w:val="center"/>
          </w:tcPr>
          <w:p w14:paraId="34C92E1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信息安全要求</w:t>
            </w:r>
          </w:p>
        </w:tc>
        <w:tc>
          <w:tcPr>
            <w:tcW w:w="1713" w:type="dxa"/>
            <w:shd w:val="clear" w:color="auto" w:fill="FFFFFF"/>
            <w:vAlign w:val="center"/>
          </w:tcPr>
          <w:p w14:paraId="2D1571C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★研发过程安全</w:t>
            </w:r>
          </w:p>
        </w:tc>
        <w:tc>
          <w:tcPr>
            <w:tcW w:w="3960" w:type="dxa"/>
            <w:shd w:val="clear" w:color="auto" w:fill="FFFFFF"/>
            <w:vAlign w:val="center"/>
          </w:tcPr>
          <w:p w14:paraId="29260E5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供应商承诺，生产商已建立从需求、设计、开发、测试、维护端到端的开发流程管理机制，输出和保存开发流程中每个阶段的产品需求清单、设计文档、开发文档、测试记录等材料，保证各个流程可追溯</w:t>
            </w:r>
            <w:r>
              <w:rPr>
                <w:rFonts w:hint="eastAsia"/>
                <w:b/>
                <w:bCs/>
              </w:rPr>
              <w:t>（需提供加盖投标人公章的承诺书</w:t>
            </w:r>
            <w:r>
              <w:rPr>
                <w:rFonts w:hint="eastAsia"/>
                <w:b/>
                <w:bCs/>
                <w:lang w:eastAsia="zh-CN"/>
              </w:rPr>
              <w:t>）</w:t>
            </w:r>
          </w:p>
        </w:tc>
        <w:tc>
          <w:tcPr>
            <w:tcW w:w="1302" w:type="dxa"/>
            <w:shd w:val="clear" w:color="auto" w:fill="FFFFFF"/>
            <w:vAlign w:val="center"/>
          </w:tcPr>
          <w:p w14:paraId="1816E7A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0057D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287A76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97</w:t>
            </w:r>
          </w:p>
        </w:tc>
        <w:tc>
          <w:tcPr>
            <w:tcW w:w="981" w:type="dxa"/>
            <w:shd w:val="clear" w:color="auto" w:fill="FFFFFF"/>
            <w:vAlign w:val="center"/>
          </w:tcPr>
          <w:p w14:paraId="664804B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2B14D03F">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19FF0A2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漏洞管理</w:t>
            </w:r>
          </w:p>
        </w:tc>
        <w:tc>
          <w:tcPr>
            <w:tcW w:w="3960" w:type="dxa"/>
            <w:shd w:val="clear" w:color="auto" w:fill="FFFFFF"/>
            <w:vAlign w:val="center"/>
          </w:tcPr>
          <w:p w14:paraId="39FD6DC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供应商承诺，生产商已建立漏洞全量视图，保证产品版本涉及到的所有漏洞（如驱动程序、BMC软件等）都可以查看</w:t>
            </w:r>
            <w:r>
              <w:rPr>
                <w:rFonts w:hint="eastAsia"/>
                <w:b/>
                <w:bCs/>
              </w:rPr>
              <w:t>（需提供加盖投标人公章的承诺书</w:t>
            </w:r>
            <w:r>
              <w:rPr>
                <w:rFonts w:hint="eastAsia"/>
                <w:b/>
                <w:bCs/>
                <w:lang w:eastAsia="zh-CN"/>
              </w:rPr>
              <w:t>）</w:t>
            </w:r>
          </w:p>
        </w:tc>
        <w:tc>
          <w:tcPr>
            <w:tcW w:w="1302" w:type="dxa"/>
            <w:shd w:val="clear" w:color="auto" w:fill="FFFFFF"/>
            <w:vAlign w:val="center"/>
          </w:tcPr>
          <w:p w14:paraId="3D758A6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63600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4E5A58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98</w:t>
            </w:r>
          </w:p>
        </w:tc>
        <w:tc>
          <w:tcPr>
            <w:tcW w:w="981" w:type="dxa"/>
            <w:shd w:val="clear" w:color="auto" w:fill="FFFFFF"/>
            <w:vAlign w:val="center"/>
          </w:tcPr>
          <w:p w14:paraId="6F30762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48F82796">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2C71114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网络关键设备服务器要求</w:t>
            </w:r>
          </w:p>
        </w:tc>
        <w:tc>
          <w:tcPr>
            <w:tcW w:w="3960" w:type="dxa"/>
            <w:shd w:val="clear" w:color="auto" w:fill="FFFFFF"/>
            <w:vAlign w:val="center"/>
          </w:tcPr>
          <w:p w14:paraId="0F7939F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作为网络关键设备的服务器应符合GB40050的相关规定</w:t>
            </w:r>
          </w:p>
        </w:tc>
        <w:tc>
          <w:tcPr>
            <w:tcW w:w="1302" w:type="dxa"/>
            <w:shd w:val="clear" w:color="auto" w:fill="FFFFFF"/>
            <w:vAlign w:val="center"/>
          </w:tcPr>
          <w:p w14:paraId="780C315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D615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6" w:hRule="atLeast"/>
        </w:trPr>
        <w:tc>
          <w:tcPr>
            <w:tcW w:w="735" w:type="dxa"/>
            <w:shd w:val="clear" w:color="auto" w:fill="FFFFFF"/>
            <w:vAlign w:val="center"/>
          </w:tcPr>
          <w:p w14:paraId="164BD69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99</w:t>
            </w:r>
          </w:p>
        </w:tc>
        <w:tc>
          <w:tcPr>
            <w:tcW w:w="981" w:type="dxa"/>
            <w:shd w:val="clear" w:color="auto" w:fill="FFFFFF"/>
            <w:vAlign w:val="center"/>
          </w:tcPr>
          <w:p w14:paraId="1109427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790C944D">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546BE94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增强要求</w:t>
            </w:r>
          </w:p>
        </w:tc>
        <w:tc>
          <w:tcPr>
            <w:tcW w:w="3960" w:type="dxa"/>
            <w:shd w:val="clear" w:color="auto" w:fill="FFFFFF"/>
            <w:vAlign w:val="center"/>
          </w:tcPr>
          <w:p w14:paraId="5E8C470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嵌入物理可信根，实现设备的信任链构建；b）支持可信平台控制模块（TPCM）；c）支持在固件系统（BMC、BIOS）启动前实现对固件度量的功能，支持物理可信根对BMC固件或BIOS固件进行完整性检测、更新和恢复；d）支持对CPU、网络控制器等关键处理器进行身份识别与度量的功能；e）支持基于处理器或可信计算模块度量的功能；f）所采用的可信密码模块接口应符合GM/T0012的相关规定；g）可信安全管理模块、处理器等硬件载体应通过国家相关部门的认证和许可</w:t>
            </w:r>
          </w:p>
        </w:tc>
        <w:tc>
          <w:tcPr>
            <w:tcW w:w="1302" w:type="dxa"/>
            <w:shd w:val="clear" w:color="auto" w:fill="FFFFFF"/>
            <w:vAlign w:val="center"/>
          </w:tcPr>
          <w:p w14:paraId="10B396B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AF5A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35" w:type="dxa"/>
            <w:shd w:val="clear" w:color="auto" w:fill="FFFFFF"/>
            <w:vAlign w:val="center"/>
          </w:tcPr>
          <w:p w14:paraId="4F496D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100</w:t>
            </w:r>
          </w:p>
        </w:tc>
        <w:tc>
          <w:tcPr>
            <w:tcW w:w="981" w:type="dxa"/>
            <w:shd w:val="clear" w:color="auto" w:fill="FFFFFF"/>
            <w:vAlign w:val="center"/>
          </w:tcPr>
          <w:p w14:paraId="2950D1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shd w:val="clear" w:color="auto" w:fill="FFFFFF"/>
            <w:vAlign w:val="center"/>
          </w:tcPr>
          <w:p w14:paraId="63D0C4F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物理安全</w:t>
            </w:r>
          </w:p>
        </w:tc>
        <w:tc>
          <w:tcPr>
            <w:tcW w:w="1713" w:type="dxa"/>
            <w:shd w:val="clear" w:color="auto" w:fill="FFFFFF"/>
            <w:vAlign w:val="center"/>
          </w:tcPr>
          <w:p w14:paraId="321258C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★物理安全</w:t>
            </w:r>
          </w:p>
        </w:tc>
        <w:tc>
          <w:tcPr>
            <w:tcW w:w="3960" w:type="dxa"/>
            <w:shd w:val="clear" w:color="auto" w:fill="FFFFFF"/>
            <w:vAlign w:val="center"/>
          </w:tcPr>
          <w:p w14:paraId="188CE4C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安全要求应符合GB4943.1的规定</w:t>
            </w:r>
          </w:p>
        </w:tc>
        <w:tc>
          <w:tcPr>
            <w:tcW w:w="1302" w:type="dxa"/>
            <w:shd w:val="clear" w:color="auto" w:fill="FFFFFF"/>
            <w:vAlign w:val="center"/>
          </w:tcPr>
          <w:p w14:paraId="36EDB6C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0C5D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70A294A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101</w:t>
            </w:r>
          </w:p>
        </w:tc>
        <w:tc>
          <w:tcPr>
            <w:tcW w:w="981" w:type="dxa"/>
            <w:shd w:val="clear" w:color="auto" w:fill="FFFFFF"/>
            <w:vAlign w:val="center"/>
          </w:tcPr>
          <w:p w14:paraId="6509750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shd w:val="clear" w:color="auto" w:fill="FFFFFF"/>
            <w:vAlign w:val="center"/>
          </w:tcPr>
          <w:p w14:paraId="3F96A3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限用物质的限量要求</w:t>
            </w:r>
          </w:p>
        </w:tc>
        <w:tc>
          <w:tcPr>
            <w:tcW w:w="1713" w:type="dxa"/>
            <w:shd w:val="clear" w:color="auto" w:fill="FFFFFF"/>
            <w:vAlign w:val="center"/>
          </w:tcPr>
          <w:p w14:paraId="451476F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★限用物质的限量要求</w:t>
            </w:r>
          </w:p>
        </w:tc>
        <w:tc>
          <w:tcPr>
            <w:tcW w:w="3960" w:type="dxa"/>
            <w:shd w:val="clear" w:color="auto" w:fill="FFFFFF"/>
            <w:vAlign w:val="center"/>
          </w:tcPr>
          <w:p w14:paraId="6EAC68F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限用物质的限量应符合GB/T26572的要求</w:t>
            </w:r>
          </w:p>
        </w:tc>
        <w:tc>
          <w:tcPr>
            <w:tcW w:w="1302" w:type="dxa"/>
            <w:shd w:val="clear" w:color="auto" w:fill="FFFFFF"/>
            <w:vAlign w:val="center"/>
          </w:tcPr>
          <w:p w14:paraId="536F0E2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9C92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35" w:type="dxa"/>
            <w:shd w:val="clear" w:color="auto" w:fill="FFFFFF"/>
            <w:vAlign w:val="center"/>
          </w:tcPr>
          <w:p w14:paraId="67DCD9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102</w:t>
            </w:r>
          </w:p>
        </w:tc>
        <w:tc>
          <w:tcPr>
            <w:tcW w:w="981" w:type="dxa"/>
            <w:shd w:val="clear" w:color="auto" w:fill="FFFFFF"/>
            <w:vAlign w:val="center"/>
          </w:tcPr>
          <w:p w14:paraId="7467E0B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restart"/>
            <w:shd w:val="clear" w:color="auto" w:fill="FFFFFF"/>
            <w:vAlign w:val="center"/>
          </w:tcPr>
          <w:p w14:paraId="1E30864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CPU性能</w:t>
            </w:r>
          </w:p>
        </w:tc>
        <w:tc>
          <w:tcPr>
            <w:tcW w:w="1713" w:type="dxa"/>
            <w:shd w:val="clear" w:color="auto" w:fill="FFFFFF"/>
            <w:vAlign w:val="center"/>
          </w:tcPr>
          <w:p w14:paraId="750AB8D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★CPU主频</w:t>
            </w:r>
          </w:p>
        </w:tc>
        <w:tc>
          <w:tcPr>
            <w:tcW w:w="3960" w:type="dxa"/>
            <w:shd w:val="clear" w:color="auto" w:fill="FFFFFF"/>
            <w:vAlign w:val="center"/>
          </w:tcPr>
          <w:p w14:paraId="7723DC0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≥2.2GHz</w:t>
            </w:r>
          </w:p>
        </w:tc>
        <w:tc>
          <w:tcPr>
            <w:tcW w:w="1302" w:type="dxa"/>
            <w:shd w:val="clear" w:color="auto" w:fill="FFFFFF"/>
            <w:vAlign w:val="center"/>
          </w:tcPr>
          <w:p w14:paraId="05D67C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CA52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1CEFEF4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103</w:t>
            </w:r>
          </w:p>
        </w:tc>
        <w:tc>
          <w:tcPr>
            <w:tcW w:w="981" w:type="dxa"/>
            <w:shd w:val="clear" w:color="auto" w:fill="FFFFFF"/>
            <w:vAlign w:val="center"/>
          </w:tcPr>
          <w:p w14:paraId="41E1889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continue"/>
            <w:shd w:val="clear" w:color="auto" w:fill="FFFFFF"/>
            <w:vAlign w:val="center"/>
          </w:tcPr>
          <w:p w14:paraId="16268391">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69DEF14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★单CPU核数</w:t>
            </w:r>
          </w:p>
        </w:tc>
        <w:tc>
          <w:tcPr>
            <w:tcW w:w="3960" w:type="dxa"/>
            <w:shd w:val="clear" w:color="auto" w:fill="FFFFFF"/>
            <w:vAlign w:val="center"/>
          </w:tcPr>
          <w:p w14:paraId="5586348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≥24核；</w:t>
            </w:r>
            <w:r>
              <w:rPr>
                <w:rFonts w:hint="eastAsia" w:asciiTheme="minorEastAsia" w:hAnsiTheme="minorEastAsia" w:eastAsiaTheme="minorEastAsia" w:cstheme="minorEastAsia"/>
                <w:sz w:val="24"/>
              </w:rPr>
              <w:t>≥2颗</w:t>
            </w:r>
          </w:p>
        </w:tc>
        <w:tc>
          <w:tcPr>
            <w:tcW w:w="1302" w:type="dxa"/>
            <w:shd w:val="clear" w:color="auto" w:fill="FFFFFF"/>
            <w:vAlign w:val="center"/>
          </w:tcPr>
          <w:p w14:paraId="066F783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9141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2B7A620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104</w:t>
            </w:r>
          </w:p>
        </w:tc>
        <w:tc>
          <w:tcPr>
            <w:tcW w:w="981" w:type="dxa"/>
            <w:shd w:val="clear" w:color="auto" w:fill="FFFFFF"/>
            <w:vAlign w:val="center"/>
          </w:tcPr>
          <w:p w14:paraId="17CF96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continue"/>
            <w:shd w:val="clear" w:color="auto" w:fill="FFFFFF"/>
            <w:vAlign w:val="center"/>
          </w:tcPr>
          <w:p w14:paraId="346AEFDD">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07F66D4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★单CPU末级缓存容量</w:t>
            </w:r>
          </w:p>
        </w:tc>
        <w:tc>
          <w:tcPr>
            <w:tcW w:w="3960" w:type="dxa"/>
            <w:shd w:val="clear" w:color="auto" w:fill="FFFFFF"/>
            <w:vAlign w:val="center"/>
          </w:tcPr>
          <w:p w14:paraId="11220B2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≥8MB</w:t>
            </w:r>
          </w:p>
        </w:tc>
        <w:tc>
          <w:tcPr>
            <w:tcW w:w="1302" w:type="dxa"/>
            <w:shd w:val="clear" w:color="auto" w:fill="FFFFFF"/>
            <w:vAlign w:val="center"/>
          </w:tcPr>
          <w:p w14:paraId="4592691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FDA5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735" w:type="dxa"/>
            <w:shd w:val="clear" w:color="auto" w:fill="FFFFFF"/>
            <w:vAlign w:val="center"/>
          </w:tcPr>
          <w:p w14:paraId="0488449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105</w:t>
            </w:r>
          </w:p>
        </w:tc>
        <w:tc>
          <w:tcPr>
            <w:tcW w:w="981" w:type="dxa"/>
            <w:shd w:val="clear" w:color="auto" w:fill="FFFFFF"/>
            <w:vAlign w:val="center"/>
          </w:tcPr>
          <w:p w14:paraId="72B948B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restart"/>
            <w:shd w:val="clear" w:color="auto" w:fill="FFFFFF"/>
            <w:vAlign w:val="center"/>
          </w:tcPr>
          <w:p w14:paraId="327BB10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内存性能</w:t>
            </w:r>
          </w:p>
        </w:tc>
        <w:tc>
          <w:tcPr>
            <w:tcW w:w="1713" w:type="dxa"/>
            <w:shd w:val="clear" w:color="auto" w:fill="FFFFFF"/>
            <w:vAlign w:val="center"/>
          </w:tcPr>
          <w:p w14:paraId="01436AB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★单内存模块容量</w:t>
            </w:r>
          </w:p>
        </w:tc>
        <w:tc>
          <w:tcPr>
            <w:tcW w:w="3960" w:type="dxa"/>
            <w:shd w:val="clear" w:color="auto" w:fill="FFFFFF"/>
            <w:vAlign w:val="center"/>
          </w:tcPr>
          <w:p w14:paraId="6651724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≥32GB；</w:t>
            </w:r>
          </w:p>
        </w:tc>
        <w:tc>
          <w:tcPr>
            <w:tcW w:w="1302" w:type="dxa"/>
            <w:shd w:val="clear" w:color="auto" w:fill="FFFFFF"/>
            <w:vAlign w:val="center"/>
          </w:tcPr>
          <w:p w14:paraId="4563951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AC8D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35" w:type="dxa"/>
            <w:shd w:val="clear" w:color="auto" w:fill="FFFFFF"/>
            <w:vAlign w:val="center"/>
          </w:tcPr>
          <w:p w14:paraId="6833D14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106</w:t>
            </w:r>
          </w:p>
        </w:tc>
        <w:tc>
          <w:tcPr>
            <w:tcW w:w="981" w:type="dxa"/>
            <w:shd w:val="clear" w:color="auto" w:fill="FFFFFF"/>
            <w:vAlign w:val="center"/>
          </w:tcPr>
          <w:p w14:paraId="72FF7C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continue"/>
            <w:shd w:val="clear" w:color="auto" w:fill="FFFFFF"/>
            <w:vAlign w:val="center"/>
          </w:tcPr>
          <w:p w14:paraId="76CA2431">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4EE7814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★内存速率</w:t>
            </w:r>
          </w:p>
        </w:tc>
        <w:tc>
          <w:tcPr>
            <w:tcW w:w="3960" w:type="dxa"/>
            <w:shd w:val="clear" w:color="auto" w:fill="FFFFFF"/>
            <w:vAlign w:val="center"/>
          </w:tcPr>
          <w:p w14:paraId="7A8DD2D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≥3200MT/s</w:t>
            </w:r>
          </w:p>
        </w:tc>
        <w:tc>
          <w:tcPr>
            <w:tcW w:w="1302" w:type="dxa"/>
            <w:shd w:val="clear" w:color="auto" w:fill="FFFFFF"/>
            <w:vAlign w:val="center"/>
          </w:tcPr>
          <w:p w14:paraId="5EE95C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C7C3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35" w:type="dxa"/>
            <w:shd w:val="clear" w:color="auto" w:fill="FFFFFF"/>
            <w:vAlign w:val="center"/>
          </w:tcPr>
          <w:p w14:paraId="57ED344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107</w:t>
            </w:r>
          </w:p>
        </w:tc>
        <w:tc>
          <w:tcPr>
            <w:tcW w:w="981" w:type="dxa"/>
            <w:shd w:val="clear" w:color="auto" w:fill="FFFFFF"/>
            <w:vAlign w:val="center"/>
          </w:tcPr>
          <w:p w14:paraId="7002C1A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shd w:val="clear" w:color="auto" w:fill="FFFFFF"/>
            <w:vAlign w:val="center"/>
          </w:tcPr>
          <w:p w14:paraId="4ACBCF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存储性能</w:t>
            </w:r>
          </w:p>
        </w:tc>
        <w:tc>
          <w:tcPr>
            <w:tcW w:w="1713" w:type="dxa"/>
            <w:shd w:val="clear" w:color="auto" w:fill="FFFFFF"/>
            <w:vAlign w:val="center"/>
          </w:tcPr>
          <w:p w14:paraId="7208E5A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硬盘转速</w:t>
            </w:r>
          </w:p>
        </w:tc>
        <w:tc>
          <w:tcPr>
            <w:tcW w:w="3960" w:type="dxa"/>
            <w:shd w:val="clear" w:color="auto" w:fill="FFFFFF"/>
            <w:vAlign w:val="center"/>
          </w:tcPr>
          <w:p w14:paraId="6B57CFF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安装的硬磁盘转速不小于7200rpm</w:t>
            </w:r>
          </w:p>
        </w:tc>
        <w:tc>
          <w:tcPr>
            <w:tcW w:w="1302" w:type="dxa"/>
            <w:shd w:val="clear" w:color="auto" w:fill="FFFFFF"/>
            <w:vAlign w:val="center"/>
          </w:tcPr>
          <w:p w14:paraId="5B8F3E2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55A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2FB9025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108</w:t>
            </w:r>
          </w:p>
        </w:tc>
        <w:tc>
          <w:tcPr>
            <w:tcW w:w="981" w:type="dxa"/>
            <w:shd w:val="clear" w:color="auto" w:fill="FFFFFF"/>
            <w:vAlign w:val="center"/>
          </w:tcPr>
          <w:p w14:paraId="27ADD7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shd w:val="clear" w:color="auto" w:fill="FFFFFF"/>
            <w:vAlign w:val="center"/>
          </w:tcPr>
          <w:p w14:paraId="204B034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RAID卡性能</w:t>
            </w:r>
          </w:p>
        </w:tc>
        <w:tc>
          <w:tcPr>
            <w:tcW w:w="1713" w:type="dxa"/>
            <w:shd w:val="clear" w:color="auto" w:fill="FFFFFF"/>
            <w:vAlign w:val="center"/>
          </w:tcPr>
          <w:p w14:paraId="3F1AA6E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RAID卡缓存容量大小</w:t>
            </w:r>
          </w:p>
        </w:tc>
        <w:tc>
          <w:tcPr>
            <w:tcW w:w="3960" w:type="dxa"/>
            <w:shd w:val="clear" w:color="auto" w:fill="FFFFFF"/>
            <w:vAlign w:val="center"/>
          </w:tcPr>
          <w:p w14:paraId="357FFFA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≥2GB</w:t>
            </w:r>
          </w:p>
        </w:tc>
        <w:tc>
          <w:tcPr>
            <w:tcW w:w="1302" w:type="dxa"/>
            <w:shd w:val="clear" w:color="auto" w:fill="FFFFFF"/>
            <w:vAlign w:val="center"/>
          </w:tcPr>
          <w:p w14:paraId="76951D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4C07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35" w:type="dxa"/>
            <w:shd w:val="clear" w:color="auto" w:fill="FFFFFF"/>
            <w:vAlign w:val="center"/>
          </w:tcPr>
          <w:p w14:paraId="4B37D2F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109</w:t>
            </w:r>
          </w:p>
        </w:tc>
        <w:tc>
          <w:tcPr>
            <w:tcW w:w="981" w:type="dxa"/>
            <w:shd w:val="clear" w:color="auto" w:fill="FFFFFF"/>
            <w:vAlign w:val="center"/>
          </w:tcPr>
          <w:p w14:paraId="2DC7499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shd w:val="clear" w:color="auto" w:fill="FFFFFF"/>
            <w:vAlign w:val="center"/>
          </w:tcPr>
          <w:p w14:paraId="3DD674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FCHBA卡性能</w:t>
            </w:r>
          </w:p>
        </w:tc>
        <w:tc>
          <w:tcPr>
            <w:tcW w:w="1713" w:type="dxa"/>
            <w:shd w:val="clear" w:color="auto" w:fill="FFFFFF"/>
            <w:vAlign w:val="center"/>
          </w:tcPr>
          <w:p w14:paraId="7E268FD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FCHBA卡速率</w:t>
            </w:r>
          </w:p>
        </w:tc>
        <w:tc>
          <w:tcPr>
            <w:tcW w:w="3960" w:type="dxa"/>
            <w:shd w:val="clear" w:color="auto" w:fill="FFFFFF"/>
            <w:vAlign w:val="center"/>
          </w:tcPr>
          <w:p w14:paraId="1B8386B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若配备FCHBA卡，单端口最大的连接速率≥8Gb/s（不涉及）</w:t>
            </w:r>
          </w:p>
        </w:tc>
        <w:tc>
          <w:tcPr>
            <w:tcW w:w="1302" w:type="dxa"/>
            <w:shd w:val="clear" w:color="auto" w:fill="FFFFFF"/>
            <w:vAlign w:val="center"/>
          </w:tcPr>
          <w:p w14:paraId="2BEB69A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D264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35" w:type="dxa"/>
            <w:shd w:val="clear" w:color="auto" w:fill="FFFFFF"/>
            <w:vAlign w:val="center"/>
          </w:tcPr>
          <w:p w14:paraId="751AAE9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110</w:t>
            </w:r>
          </w:p>
        </w:tc>
        <w:tc>
          <w:tcPr>
            <w:tcW w:w="981" w:type="dxa"/>
            <w:shd w:val="clear" w:color="auto" w:fill="FFFFFF"/>
            <w:vAlign w:val="center"/>
          </w:tcPr>
          <w:p w14:paraId="191E23A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restart"/>
            <w:shd w:val="clear" w:color="auto" w:fill="FFFFFF"/>
            <w:vAlign w:val="center"/>
          </w:tcPr>
          <w:p w14:paraId="3475385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网络性能</w:t>
            </w:r>
          </w:p>
        </w:tc>
        <w:tc>
          <w:tcPr>
            <w:tcW w:w="1713" w:type="dxa"/>
            <w:shd w:val="clear" w:color="auto" w:fill="FFFFFF"/>
            <w:vAlign w:val="center"/>
          </w:tcPr>
          <w:p w14:paraId="3E7303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独立网卡速率</w:t>
            </w:r>
          </w:p>
        </w:tc>
        <w:tc>
          <w:tcPr>
            <w:tcW w:w="3960" w:type="dxa"/>
            <w:shd w:val="clear" w:color="auto" w:fill="FFFFFF"/>
            <w:vAlign w:val="center"/>
          </w:tcPr>
          <w:p w14:paraId="0A3BDF3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端口速率≥10GE</w:t>
            </w:r>
          </w:p>
        </w:tc>
        <w:tc>
          <w:tcPr>
            <w:tcW w:w="1302" w:type="dxa"/>
            <w:shd w:val="clear" w:color="auto" w:fill="FFFFFF"/>
            <w:vAlign w:val="center"/>
          </w:tcPr>
          <w:p w14:paraId="2F0A049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C333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34DDF88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111</w:t>
            </w:r>
          </w:p>
        </w:tc>
        <w:tc>
          <w:tcPr>
            <w:tcW w:w="981" w:type="dxa"/>
            <w:shd w:val="clear" w:color="auto" w:fill="FFFFFF"/>
            <w:vAlign w:val="center"/>
          </w:tcPr>
          <w:p w14:paraId="7159A8D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continue"/>
            <w:shd w:val="clear" w:color="auto" w:fill="FFFFFF"/>
            <w:vAlign w:val="center"/>
          </w:tcPr>
          <w:p w14:paraId="1055E01F">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4648D9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板载网卡速率</w:t>
            </w:r>
          </w:p>
        </w:tc>
        <w:tc>
          <w:tcPr>
            <w:tcW w:w="3960" w:type="dxa"/>
            <w:shd w:val="clear" w:color="auto" w:fill="FFFFFF"/>
            <w:vAlign w:val="center"/>
          </w:tcPr>
          <w:p w14:paraId="74E7718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端口速率≥1GE</w:t>
            </w:r>
          </w:p>
        </w:tc>
        <w:tc>
          <w:tcPr>
            <w:tcW w:w="1302" w:type="dxa"/>
            <w:shd w:val="clear" w:color="auto" w:fill="FFFFFF"/>
            <w:vAlign w:val="center"/>
          </w:tcPr>
          <w:p w14:paraId="36573F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E2D7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35" w:type="dxa"/>
            <w:shd w:val="clear" w:color="auto" w:fill="FFFFFF"/>
            <w:vAlign w:val="center"/>
          </w:tcPr>
          <w:p w14:paraId="022F591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112</w:t>
            </w:r>
          </w:p>
        </w:tc>
        <w:tc>
          <w:tcPr>
            <w:tcW w:w="981" w:type="dxa"/>
            <w:shd w:val="clear" w:color="auto" w:fill="FFFFFF"/>
            <w:vAlign w:val="center"/>
          </w:tcPr>
          <w:p w14:paraId="023ADAC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shd w:val="clear" w:color="auto" w:fill="FFFFFF"/>
            <w:vAlign w:val="center"/>
          </w:tcPr>
          <w:p w14:paraId="5454B56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电源能耗</w:t>
            </w:r>
          </w:p>
        </w:tc>
        <w:tc>
          <w:tcPr>
            <w:tcW w:w="1713" w:type="dxa"/>
            <w:shd w:val="clear" w:color="auto" w:fill="FFFFFF"/>
            <w:vAlign w:val="center"/>
          </w:tcPr>
          <w:p w14:paraId="604403F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★电源能耗</w:t>
            </w:r>
          </w:p>
        </w:tc>
        <w:tc>
          <w:tcPr>
            <w:tcW w:w="3960" w:type="dxa"/>
            <w:shd w:val="clear" w:color="auto" w:fill="FFFFFF"/>
            <w:vAlign w:val="center"/>
          </w:tcPr>
          <w:p w14:paraId="34A9821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符合GB/T9813.3的有关规定</w:t>
            </w:r>
          </w:p>
        </w:tc>
        <w:tc>
          <w:tcPr>
            <w:tcW w:w="1302" w:type="dxa"/>
            <w:shd w:val="clear" w:color="auto" w:fill="FFFFFF"/>
            <w:vAlign w:val="center"/>
          </w:tcPr>
          <w:p w14:paraId="2DB9BCA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208E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17C27AD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113</w:t>
            </w:r>
          </w:p>
        </w:tc>
        <w:tc>
          <w:tcPr>
            <w:tcW w:w="981" w:type="dxa"/>
            <w:shd w:val="clear" w:color="auto" w:fill="FFFFFF"/>
            <w:vAlign w:val="center"/>
          </w:tcPr>
          <w:p w14:paraId="3D8B688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restart"/>
            <w:shd w:val="clear" w:color="auto" w:fill="FFFFFF"/>
            <w:vAlign w:val="center"/>
          </w:tcPr>
          <w:p w14:paraId="5CB2F4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部件兼容性要求</w:t>
            </w:r>
          </w:p>
        </w:tc>
        <w:tc>
          <w:tcPr>
            <w:tcW w:w="1713" w:type="dxa"/>
            <w:shd w:val="clear" w:color="auto" w:fill="FFFFFF"/>
            <w:noWrap/>
            <w:vAlign w:val="center"/>
          </w:tcPr>
          <w:p w14:paraId="78D8F4C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内存兼容性</w:t>
            </w:r>
          </w:p>
        </w:tc>
        <w:tc>
          <w:tcPr>
            <w:tcW w:w="3960" w:type="dxa"/>
            <w:shd w:val="clear" w:color="auto" w:fill="FFFFFF"/>
            <w:vAlign w:val="center"/>
          </w:tcPr>
          <w:p w14:paraId="5CBC8C7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适配3种及以上厂商的内存产品，且均不低于产品支持的内存规格</w:t>
            </w:r>
          </w:p>
        </w:tc>
        <w:tc>
          <w:tcPr>
            <w:tcW w:w="1302" w:type="dxa"/>
            <w:shd w:val="clear" w:color="auto" w:fill="FFFFFF"/>
            <w:vAlign w:val="center"/>
          </w:tcPr>
          <w:p w14:paraId="6368F8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929E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6B41F0F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114</w:t>
            </w:r>
          </w:p>
        </w:tc>
        <w:tc>
          <w:tcPr>
            <w:tcW w:w="981" w:type="dxa"/>
            <w:shd w:val="clear" w:color="auto" w:fill="FFFFFF"/>
            <w:vAlign w:val="center"/>
          </w:tcPr>
          <w:p w14:paraId="0682CA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681B0B7E">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3D0359D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★固态存储兼容性</w:t>
            </w:r>
          </w:p>
        </w:tc>
        <w:tc>
          <w:tcPr>
            <w:tcW w:w="3960" w:type="dxa"/>
            <w:shd w:val="clear" w:color="auto" w:fill="FFFFFF"/>
            <w:vAlign w:val="center"/>
          </w:tcPr>
          <w:p w14:paraId="1CC5C08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适配3种或以上厂商的固态存储产品，且均不低于产品支持的固态存储设备规格</w:t>
            </w:r>
          </w:p>
        </w:tc>
        <w:tc>
          <w:tcPr>
            <w:tcW w:w="1302" w:type="dxa"/>
            <w:shd w:val="clear" w:color="auto" w:fill="FFFFFF"/>
            <w:vAlign w:val="center"/>
          </w:tcPr>
          <w:p w14:paraId="12B406B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A3C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1D2406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115</w:t>
            </w:r>
          </w:p>
        </w:tc>
        <w:tc>
          <w:tcPr>
            <w:tcW w:w="981" w:type="dxa"/>
            <w:shd w:val="clear" w:color="auto" w:fill="FFFFFF"/>
            <w:vAlign w:val="center"/>
          </w:tcPr>
          <w:p w14:paraId="258F8D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098D98F6">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41D5A89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FCHBA卡兼容性</w:t>
            </w:r>
          </w:p>
        </w:tc>
        <w:tc>
          <w:tcPr>
            <w:tcW w:w="3960" w:type="dxa"/>
            <w:shd w:val="clear" w:color="auto" w:fill="FFFFFF"/>
            <w:vAlign w:val="center"/>
          </w:tcPr>
          <w:p w14:paraId="3F3A760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FCHBA应适配两种或以上厂商产品</w:t>
            </w:r>
          </w:p>
        </w:tc>
        <w:tc>
          <w:tcPr>
            <w:tcW w:w="1302" w:type="dxa"/>
            <w:shd w:val="clear" w:color="auto" w:fill="FFFFFF"/>
            <w:vAlign w:val="center"/>
          </w:tcPr>
          <w:p w14:paraId="508D09D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A243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54E1B06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116</w:t>
            </w:r>
          </w:p>
        </w:tc>
        <w:tc>
          <w:tcPr>
            <w:tcW w:w="981" w:type="dxa"/>
            <w:shd w:val="clear" w:color="auto" w:fill="FFFFFF"/>
            <w:vAlign w:val="center"/>
          </w:tcPr>
          <w:p w14:paraId="41A5188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3DD5684A">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3274BD4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RAID卡兼容性</w:t>
            </w:r>
          </w:p>
        </w:tc>
        <w:tc>
          <w:tcPr>
            <w:tcW w:w="3960" w:type="dxa"/>
            <w:shd w:val="clear" w:color="auto" w:fill="FFFFFF"/>
            <w:vAlign w:val="center"/>
          </w:tcPr>
          <w:p w14:paraId="3F320BB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RAID卡应适配两种或以上厂商产品</w:t>
            </w:r>
          </w:p>
        </w:tc>
        <w:tc>
          <w:tcPr>
            <w:tcW w:w="1302" w:type="dxa"/>
            <w:shd w:val="clear" w:color="auto" w:fill="FFFFFF"/>
            <w:vAlign w:val="center"/>
          </w:tcPr>
          <w:p w14:paraId="7F7AEC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483D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35" w:type="dxa"/>
            <w:shd w:val="clear" w:color="auto" w:fill="FFFFFF"/>
            <w:vAlign w:val="center"/>
          </w:tcPr>
          <w:p w14:paraId="38266E5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117</w:t>
            </w:r>
          </w:p>
        </w:tc>
        <w:tc>
          <w:tcPr>
            <w:tcW w:w="981" w:type="dxa"/>
            <w:shd w:val="clear" w:color="auto" w:fill="FFFFFF"/>
            <w:vAlign w:val="center"/>
          </w:tcPr>
          <w:p w14:paraId="5219571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restart"/>
            <w:shd w:val="clear" w:color="auto" w:fill="FFFFFF"/>
            <w:vAlign w:val="center"/>
          </w:tcPr>
          <w:p w14:paraId="45D0204B">
            <w:pPr>
              <w:widowControl/>
              <w:jc w:val="center"/>
              <w:rPr>
                <w:rFonts w:asciiTheme="minorEastAsia" w:hAnsiTheme="minorEastAsia" w:eastAsiaTheme="minorEastAsia" w:cstheme="minorEastAsia"/>
                <w:kern w:val="0"/>
                <w:sz w:val="24"/>
              </w:rPr>
            </w:pPr>
          </w:p>
        </w:tc>
        <w:tc>
          <w:tcPr>
            <w:tcW w:w="1713" w:type="dxa"/>
            <w:shd w:val="clear" w:color="auto" w:fill="FFFFFF"/>
            <w:vAlign w:val="center"/>
          </w:tcPr>
          <w:p w14:paraId="0E08865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★网卡兼容性</w:t>
            </w:r>
          </w:p>
        </w:tc>
        <w:tc>
          <w:tcPr>
            <w:tcW w:w="3960" w:type="dxa"/>
            <w:shd w:val="clear" w:color="auto" w:fill="FFFFFF"/>
            <w:vAlign w:val="center"/>
          </w:tcPr>
          <w:p w14:paraId="04A57D0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网卡应适配两种或以上厂商产品</w:t>
            </w:r>
          </w:p>
        </w:tc>
        <w:tc>
          <w:tcPr>
            <w:tcW w:w="1302" w:type="dxa"/>
            <w:shd w:val="clear" w:color="auto" w:fill="FFFFFF"/>
            <w:vAlign w:val="center"/>
          </w:tcPr>
          <w:p w14:paraId="779FEA2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C6E6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3205A23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118</w:t>
            </w:r>
          </w:p>
        </w:tc>
        <w:tc>
          <w:tcPr>
            <w:tcW w:w="981" w:type="dxa"/>
            <w:shd w:val="clear" w:color="auto" w:fill="FFFFFF"/>
            <w:vAlign w:val="center"/>
          </w:tcPr>
          <w:p w14:paraId="40C2269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214C43D1">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24C7145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★功能卡兼容性</w:t>
            </w:r>
          </w:p>
        </w:tc>
        <w:tc>
          <w:tcPr>
            <w:tcW w:w="3960" w:type="dxa"/>
            <w:shd w:val="clear" w:color="auto" w:fill="FFFFFF"/>
            <w:vAlign w:val="center"/>
          </w:tcPr>
          <w:p w14:paraId="1ED1EA1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内置或适配符合PCIe的功能卡，如：网络功能卡、存储功能卡及图形显示功能卡</w:t>
            </w:r>
          </w:p>
        </w:tc>
        <w:tc>
          <w:tcPr>
            <w:tcW w:w="1302" w:type="dxa"/>
            <w:shd w:val="clear" w:color="auto" w:fill="FFFFFF"/>
            <w:vAlign w:val="center"/>
          </w:tcPr>
          <w:p w14:paraId="4955A7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E235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35" w:type="dxa"/>
            <w:shd w:val="clear" w:color="auto" w:fill="FFFFFF"/>
            <w:vAlign w:val="center"/>
          </w:tcPr>
          <w:p w14:paraId="3772A09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119</w:t>
            </w:r>
          </w:p>
        </w:tc>
        <w:tc>
          <w:tcPr>
            <w:tcW w:w="981" w:type="dxa"/>
            <w:shd w:val="clear" w:color="auto" w:fill="FFFFFF"/>
            <w:vAlign w:val="center"/>
          </w:tcPr>
          <w:p w14:paraId="6A97BEB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shd w:val="clear" w:color="auto" w:fill="FFFFFF"/>
            <w:vAlign w:val="center"/>
          </w:tcPr>
          <w:p w14:paraId="509A67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外设兼容性</w:t>
            </w:r>
          </w:p>
        </w:tc>
        <w:tc>
          <w:tcPr>
            <w:tcW w:w="1713" w:type="dxa"/>
            <w:shd w:val="clear" w:color="auto" w:fill="FFFFFF"/>
            <w:vAlign w:val="center"/>
          </w:tcPr>
          <w:p w14:paraId="1BF8EF1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★外设兼容性</w:t>
            </w:r>
          </w:p>
        </w:tc>
        <w:tc>
          <w:tcPr>
            <w:tcW w:w="3960" w:type="dxa"/>
            <w:shd w:val="clear" w:color="auto" w:fill="FFFFFF"/>
            <w:vAlign w:val="center"/>
          </w:tcPr>
          <w:p w14:paraId="42FF408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兼容多种主流生产商的外部设备，包括显示器、键盘、鼠标、闪存盘、移动硬盘、USB光驱及KVM等，要求使用不同厂商的外部设备时，系统均能正常识别和安装驱动</w:t>
            </w:r>
          </w:p>
        </w:tc>
        <w:tc>
          <w:tcPr>
            <w:tcW w:w="1302" w:type="dxa"/>
            <w:shd w:val="clear" w:color="auto" w:fill="FFFFFF"/>
            <w:vAlign w:val="center"/>
          </w:tcPr>
          <w:p w14:paraId="78954D3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B1B9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35" w:type="dxa"/>
            <w:shd w:val="clear" w:color="auto" w:fill="FFFFFF"/>
            <w:vAlign w:val="center"/>
          </w:tcPr>
          <w:p w14:paraId="4FDDD4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120</w:t>
            </w:r>
          </w:p>
        </w:tc>
        <w:tc>
          <w:tcPr>
            <w:tcW w:w="981" w:type="dxa"/>
            <w:shd w:val="clear" w:color="auto" w:fill="FFFFFF"/>
            <w:vAlign w:val="center"/>
          </w:tcPr>
          <w:p w14:paraId="6CDDD35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restart"/>
            <w:shd w:val="clear" w:color="auto" w:fill="FFFFFF"/>
            <w:vAlign w:val="center"/>
          </w:tcPr>
          <w:p w14:paraId="1CBFCA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软件兼容性</w:t>
            </w:r>
          </w:p>
        </w:tc>
        <w:tc>
          <w:tcPr>
            <w:tcW w:w="1713" w:type="dxa"/>
            <w:shd w:val="clear" w:color="auto" w:fill="FFFFFF"/>
            <w:vAlign w:val="center"/>
          </w:tcPr>
          <w:p w14:paraId="140B841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★数据库兼容</w:t>
            </w:r>
          </w:p>
        </w:tc>
        <w:tc>
          <w:tcPr>
            <w:tcW w:w="3960" w:type="dxa"/>
            <w:shd w:val="clear" w:color="auto" w:fill="FFFFFF"/>
            <w:vAlign w:val="center"/>
          </w:tcPr>
          <w:p w14:paraId="09C7494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兼容3个及以上厂商的数据库产品</w:t>
            </w:r>
          </w:p>
        </w:tc>
        <w:tc>
          <w:tcPr>
            <w:tcW w:w="1302" w:type="dxa"/>
            <w:shd w:val="clear" w:color="auto" w:fill="FFFFFF"/>
            <w:vAlign w:val="center"/>
          </w:tcPr>
          <w:p w14:paraId="72D27D3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DFFC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32AF5C3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121</w:t>
            </w:r>
          </w:p>
        </w:tc>
        <w:tc>
          <w:tcPr>
            <w:tcW w:w="981" w:type="dxa"/>
            <w:shd w:val="clear" w:color="auto" w:fill="FFFFFF"/>
            <w:vAlign w:val="center"/>
          </w:tcPr>
          <w:p w14:paraId="5AA0510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10B1C09B">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68621EF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★中间件兼容</w:t>
            </w:r>
          </w:p>
        </w:tc>
        <w:tc>
          <w:tcPr>
            <w:tcW w:w="3960" w:type="dxa"/>
            <w:shd w:val="clear" w:color="auto" w:fill="FFFFFF"/>
            <w:vAlign w:val="center"/>
          </w:tcPr>
          <w:p w14:paraId="7FA0A88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兼容3个及以上厂商的中间件产品</w:t>
            </w:r>
          </w:p>
        </w:tc>
        <w:tc>
          <w:tcPr>
            <w:tcW w:w="1302" w:type="dxa"/>
            <w:shd w:val="clear" w:color="auto" w:fill="FFFFFF"/>
            <w:vAlign w:val="center"/>
          </w:tcPr>
          <w:p w14:paraId="4D86F24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4414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35" w:type="dxa"/>
            <w:shd w:val="clear" w:color="auto" w:fill="FFFFFF"/>
            <w:vAlign w:val="center"/>
          </w:tcPr>
          <w:p w14:paraId="38496F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122</w:t>
            </w:r>
          </w:p>
        </w:tc>
        <w:tc>
          <w:tcPr>
            <w:tcW w:w="981" w:type="dxa"/>
            <w:shd w:val="clear" w:color="auto" w:fill="FFFFFF"/>
            <w:vAlign w:val="center"/>
          </w:tcPr>
          <w:p w14:paraId="12D0005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39175E0E">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582E65A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★平台软件兼容</w:t>
            </w:r>
          </w:p>
        </w:tc>
        <w:tc>
          <w:tcPr>
            <w:tcW w:w="3960" w:type="dxa"/>
            <w:shd w:val="clear" w:color="auto" w:fill="FFFFFF"/>
            <w:vAlign w:val="center"/>
          </w:tcPr>
          <w:p w14:paraId="389094F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兼容3个及以上厂商的大数据平台</w:t>
            </w:r>
          </w:p>
        </w:tc>
        <w:tc>
          <w:tcPr>
            <w:tcW w:w="1302" w:type="dxa"/>
            <w:shd w:val="clear" w:color="auto" w:fill="FFFFFF"/>
            <w:vAlign w:val="center"/>
          </w:tcPr>
          <w:p w14:paraId="55581E4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F7E6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06B765A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123</w:t>
            </w:r>
          </w:p>
        </w:tc>
        <w:tc>
          <w:tcPr>
            <w:tcW w:w="981" w:type="dxa"/>
            <w:shd w:val="clear" w:color="auto" w:fill="FFFFFF"/>
            <w:vAlign w:val="center"/>
          </w:tcPr>
          <w:p w14:paraId="33433BB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23185D06">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49B9606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虚拟化软件兼容</w:t>
            </w:r>
          </w:p>
        </w:tc>
        <w:tc>
          <w:tcPr>
            <w:tcW w:w="3960" w:type="dxa"/>
            <w:shd w:val="clear" w:color="auto" w:fill="FFFFFF"/>
            <w:vAlign w:val="center"/>
          </w:tcPr>
          <w:p w14:paraId="3B20C90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兼容2款及以上虚拟化软件</w:t>
            </w:r>
          </w:p>
        </w:tc>
        <w:tc>
          <w:tcPr>
            <w:tcW w:w="1302" w:type="dxa"/>
            <w:shd w:val="clear" w:color="auto" w:fill="FFFFFF"/>
            <w:vAlign w:val="center"/>
          </w:tcPr>
          <w:p w14:paraId="74F2AE9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E5CD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315CD0A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124</w:t>
            </w:r>
          </w:p>
        </w:tc>
        <w:tc>
          <w:tcPr>
            <w:tcW w:w="981" w:type="dxa"/>
            <w:shd w:val="clear" w:color="auto" w:fill="FFFFFF"/>
            <w:vAlign w:val="center"/>
          </w:tcPr>
          <w:p w14:paraId="3F511EF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81" w:type="dxa"/>
            <w:shd w:val="clear" w:color="auto" w:fill="FFFFFF"/>
            <w:vAlign w:val="center"/>
          </w:tcPr>
          <w:p w14:paraId="12675CA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存储可靠性要求</w:t>
            </w:r>
          </w:p>
        </w:tc>
        <w:tc>
          <w:tcPr>
            <w:tcW w:w="1713" w:type="dxa"/>
            <w:shd w:val="clear" w:color="auto" w:fill="FFFFFF"/>
            <w:vAlign w:val="center"/>
          </w:tcPr>
          <w:p w14:paraId="26321A1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SATASSD可靠性</w:t>
            </w:r>
          </w:p>
        </w:tc>
        <w:tc>
          <w:tcPr>
            <w:tcW w:w="3960" w:type="dxa"/>
            <w:shd w:val="clear" w:color="auto" w:fill="FFFFFF"/>
            <w:vAlign w:val="center"/>
          </w:tcPr>
          <w:p w14:paraId="54C4AFE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SSD的m1值（MTBF的不可接受值）不低于200000h</w:t>
            </w:r>
          </w:p>
        </w:tc>
        <w:tc>
          <w:tcPr>
            <w:tcW w:w="1302" w:type="dxa"/>
            <w:shd w:val="clear" w:color="auto" w:fill="FFFFFF"/>
            <w:vAlign w:val="center"/>
          </w:tcPr>
          <w:p w14:paraId="5AEADC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6140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02C29F9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125</w:t>
            </w:r>
          </w:p>
        </w:tc>
        <w:tc>
          <w:tcPr>
            <w:tcW w:w="981" w:type="dxa"/>
            <w:shd w:val="clear" w:color="auto" w:fill="FFFFFF"/>
            <w:vAlign w:val="center"/>
          </w:tcPr>
          <w:p w14:paraId="728F01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81" w:type="dxa"/>
            <w:vMerge w:val="restart"/>
            <w:shd w:val="clear" w:color="auto" w:fill="FFFFFF"/>
            <w:vAlign w:val="center"/>
          </w:tcPr>
          <w:p w14:paraId="110F5B7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整机可靠性要求</w:t>
            </w:r>
          </w:p>
        </w:tc>
        <w:tc>
          <w:tcPr>
            <w:tcW w:w="1713" w:type="dxa"/>
            <w:shd w:val="clear" w:color="auto" w:fill="FFFFFF"/>
            <w:vAlign w:val="center"/>
          </w:tcPr>
          <w:p w14:paraId="764E068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★整机可靠性</w:t>
            </w:r>
          </w:p>
        </w:tc>
        <w:tc>
          <w:tcPr>
            <w:tcW w:w="3960" w:type="dxa"/>
            <w:shd w:val="clear" w:color="auto" w:fill="FFFFFF"/>
            <w:vAlign w:val="center"/>
          </w:tcPr>
          <w:p w14:paraId="6139429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m1值（MTBF的不可接受值）不得低于30000h</w:t>
            </w:r>
          </w:p>
        </w:tc>
        <w:tc>
          <w:tcPr>
            <w:tcW w:w="1302" w:type="dxa"/>
            <w:shd w:val="clear" w:color="auto" w:fill="FFFFFF"/>
            <w:vAlign w:val="center"/>
          </w:tcPr>
          <w:p w14:paraId="686182C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9C39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35" w:type="dxa"/>
            <w:shd w:val="clear" w:color="auto" w:fill="FFFFFF"/>
            <w:vAlign w:val="center"/>
          </w:tcPr>
          <w:p w14:paraId="045A996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126</w:t>
            </w:r>
          </w:p>
        </w:tc>
        <w:tc>
          <w:tcPr>
            <w:tcW w:w="981" w:type="dxa"/>
            <w:shd w:val="clear" w:color="auto" w:fill="FFFFFF"/>
            <w:vAlign w:val="center"/>
          </w:tcPr>
          <w:p w14:paraId="42264C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81" w:type="dxa"/>
            <w:vMerge w:val="continue"/>
            <w:shd w:val="clear" w:color="auto" w:fill="FFFFFF"/>
            <w:vAlign w:val="center"/>
          </w:tcPr>
          <w:p w14:paraId="0617E8C3">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5AB4FA9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★风扇可靠性</w:t>
            </w:r>
          </w:p>
        </w:tc>
        <w:tc>
          <w:tcPr>
            <w:tcW w:w="3960" w:type="dxa"/>
            <w:shd w:val="clear" w:color="auto" w:fill="FFFFFF"/>
            <w:vAlign w:val="center"/>
          </w:tcPr>
          <w:p w14:paraId="06DA0A6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风扇寿命应不低于40000h</w:t>
            </w:r>
          </w:p>
        </w:tc>
        <w:tc>
          <w:tcPr>
            <w:tcW w:w="1302" w:type="dxa"/>
            <w:shd w:val="clear" w:color="auto" w:fill="FFFFFF"/>
            <w:vAlign w:val="center"/>
          </w:tcPr>
          <w:p w14:paraId="745335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0FF6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06D791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127</w:t>
            </w:r>
          </w:p>
        </w:tc>
        <w:tc>
          <w:tcPr>
            <w:tcW w:w="981" w:type="dxa"/>
            <w:shd w:val="clear" w:color="auto" w:fill="FFFFFF"/>
            <w:vAlign w:val="center"/>
          </w:tcPr>
          <w:p w14:paraId="677FB34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81" w:type="dxa"/>
            <w:vMerge w:val="continue"/>
            <w:shd w:val="clear" w:color="auto" w:fill="FFFFFF"/>
            <w:vAlign w:val="center"/>
          </w:tcPr>
          <w:p w14:paraId="4BA500C3">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0F498AA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★部件可靠性</w:t>
            </w:r>
          </w:p>
        </w:tc>
        <w:tc>
          <w:tcPr>
            <w:tcW w:w="3960" w:type="dxa"/>
            <w:shd w:val="clear" w:color="auto" w:fill="FFFFFF"/>
            <w:vAlign w:val="center"/>
          </w:tcPr>
          <w:p w14:paraId="231C7DB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支持硬盘、电源、风扇热插拔（内置风扇除外）</w:t>
            </w:r>
          </w:p>
        </w:tc>
        <w:tc>
          <w:tcPr>
            <w:tcW w:w="1302" w:type="dxa"/>
            <w:shd w:val="clear" w:color="auto" w:fill="FFFFFF"/>
            <w:vAlign w:val="center"/>
          </w:tcPr>
          <w:p w14:paraId="1003C34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E774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68118C5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128</w:t>
            </w:r>
          </w:p>
        </w:tc>
        <w:tc>
          <w:tcPr>
            <w:tcW w:w="981" w:type="dxa"/>
            <w:shd w:val="clear" w:color="auto" w:fill="FFFFFF"/>
            <w:vAlign w:val="center"/>
          </w:tcPr>
          <w:p w14:paraId="7A2F472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包装及运输要求</w:t>
            </w:r>
          </w:p>
        </w:tc>
        <w:tc>
          <w:tcPr>
            <w:tcW w:w="981" w:type="dxa"/>
            <w:shd w:val="clear" w:color="auto" w:fill="FFFFFF"/>
            <w:vAlign w:val="center"/>
          </w:tcPr>
          <w:p w14:paraId="3F0CD80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包装及运输要求</w:t>
            </w:r>
          </w:p>
        </w:tc>
        <w:tc>
          <w:tcPr>
            <w:tcW w:w="1713" w:type="dxa"/>
            <w:shd w:val="clear" w:color="auto" w:fill="FFFFFF"/>
            <w:vAlign w:val="center"/>
          </w:tcPr>
          <w:p w14:paraId="0095E0E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★标志、包装、运输和贮存</w:t>
            </w:r>
          </w:p>
        </w:tc>
        <w:tc>
          <w:tcPr>
            <w:tcW w:w="3960" w:type="dxa"/>
            <w:shd w:val="clear" w:color="auto" w:fill="FFFFFF"/>
            <w:vAlign w:val="center"/>
          </w:tcPr>
          <w:p w14:paraId="55075D1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符合GB/T9813.3和商品包装政府采购需求标准的相关规定</w:t>
            </w:r>
          </w:p>
        </w:tc>
        <w:tc>
          <w:tcPr>
            <w:tcW w:w="1302" w:type="dxa"/>
            <w:shd w:val="clear" w:color="auto" w:fill="FFFFFF"/>
            <w:vAlign w:val="center"/>
          </w:tcPr>
          <w:p w14:paraId="20E09E0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1DC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735" w:type="dxa"/>
            <w:shd w:val="clear" w:color="auto" w:fill="FFFFFF"/>
            <w:vAlign w:val="center"/>
          </w:tcPr>
          <w:p w14:paraId="7647F43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129</w:t>
            </w:r>
          </w:p>
        </w:tc>
        <w:tc>
          <w:tcPr>
            <w:tcW w:w="981" w:type="dxa"/>
            <w:shd w:val="clear" w:color="auto" w:fill="FFFFFF"/>
            <w:vAlign w:val="center"/>
          </w:tcPr>
          <w:p w14:paraId="03590A4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restart"/>
            <w:shd w:val="clear" w:color="auto" w:fill="FFFFFF"/>
            <w:vAlign w:val="center"/>
          </w:tcPr>
          <w:p w14:paraId="6E39F35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服务响应</w:t>
            </w:r>
          </w:p>
        </w:tc>
        <w:tc>
          <w:tcPr>
            <w:tcW w:w="1713" w:type="dxa"/>
            <w:shd w:val="clear" w:color="auto" w:fill="FFFFFF"/>
            <w:vAlign w:val="center"/>
          </w:tcPr>
          <w:p w14:paraId="0A4DDDF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★服务响应</w:t>
            </w:r>
          </w:p>
        </w:tc>
        <w:tc>
          <w:tcPr>
            <w:tcW w:w="3960" w:type="dxa"/>
            <w:shd w:val="clear" w:color="auto" w:fill="FFFFFF"/>
            <w:vAlign w:val="center"/>
          </w:tcPr>
          <w:p w14:paraId="5558D80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提供电话、电子邮件、远程连接等多种形式服务；b）提供同城4h、异地12h技术响应服务，2个工作日解决问题，对于未能解决的问题和故障应提供可行的升级方案，并提供周转设备；c）建立全国技术服务体系和服务团体，符合专业服务体系标准要求，提供原厂中文服务；d）服务周期内提供产品的维修、换件和升级服务</w:t>
            </w:r>
          </w:p>
        </w:tc>
        <w:tc>
          <w:tcPr>
            <w:tcW w:w="1302" w:type="dxa"/>
            <w:shd w:val="clear" w:color="auto" w:fill="FFFFFF"/>
            <w:vAlign w:val="center"/>
          </w:tcPr>
          <w:p w14:paraId="5F5717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9216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680778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130</w:t>
            </w:r>
          </w:p>
        </w:tc>
        <w:tc>
          <w:tcPr>
            <w:tcW w:w="981" w:type="dxa"/>
            <w:shd w:val="clear" w:color="auto" w:fill="FFFFFF"/>
            <w:vAlign w:val="center"/>
          </w:tcPr>
          <w:p w14:paraId="1A807C2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235210FD">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4F9D7E7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★培训服务</w:t>
            </w:r>
          </w:p>
        </w:tc>
        <w:tc>
          <w:tcPr>
            <w:tcW w:w="3960" w:type="dxa"/>
            <w:shd w:val="clear" w:color="auto" w:fill="FFFFFF"/>
            <w:vAlign w:val="center"/>
          </w:tcPr>
          <w:p w14:paraId="027462D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供应商提供培训材料、产品手册、培训视频等培训相关内容</w:t>
            </w:r>
          </w:p>
        </w:tc>
        <w:tc>
          <w:tcPr>
            <w:tcW w:w="1302" w:type="dxa"/>
            <w:shd w:val="clear" w:color="auto" w:fill="FFFFFF"/>
            <w:vAlign w:val="center"/>
          </w:tcPr>
          <w:p w14:paraId="428107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79E5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735" w:type="dxa"/>
            <w:shd w:val="clear" w:color="auto" w:fill="FFFFFF"/>
            <w:vAlign w:val="center"/>
          </w:tcPr>
          <w:p w14:paraId="6247776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131</w:t>
            </w:r>
          </w:p>
        </w:tc>
        <w:tc>
          <w:tcPr>
            <w:tcW w:w="981" w:type="dxa"/>
            <w:shd w:val="clear" w:color="auto" w:fill="FFFFFF"/>
            <w:vAlign w:val="center"/>
          </w:tcPr>
          <w:p w14:paraId="1E55502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shd w:val="clear" w:color="auto" w:fill="FFFFFF"/>
            <w:vAlign w:val="center"/>
          </w:tcPr>
          <w:p w14:paraId="45EA019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服务周期</w:t>
            </w:r>
          </w:p>
        </w:tc>
        <w:tc>
          <w:tcPr>
            <w:tcW w:w="1713" w:type="dxa"/>
            <w:shd w:val="clear" w:color="auto" w:fill="FFFFFF"/>
            <w:vAlign w:val="center"/>
          </w:tcPr>
          <w:p w14:paraId="66C3861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★服务周期</w:t>
            </w:r>
          </w:p>
        </w:tc>
        <w:tc>
          <w:tcPr>
            <w:tcW w:w="3960" w:type="dxa"/>
            <w:shd w:val="clear" w:color="auto" w:fill="FFFFFF"/>
            <w:vAlign w:val="center"/>
          </w:tcPr>
          <w:p w14:paraId="336F0BA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产品免费服务周期（含换件和维修）应不小于6年；b）设备停产后继续提供质量保障服务（含备品备件），服务终止时间与最后一批设备交付时间间隔不低于6年；c）产品停止服务时间应提前1年告知客户；d）产品发布日期需在技术文件或者技术白皮书中明确</w:t>
            </w:r>
          </w:p>
        </w:tc>
        <w:tc>
          <w:tcPr>
            <w:tcW w:w="1302" w:type="dxa"/>
            <w:shd w:val="clear" w:color="auto" w:fill="FFFFFF"/>
            <w:vAlign w:val="center"/>
          </w:tcPr>
          <w:p w14:paraId="6D64B4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A477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345735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132</w:t>
            </w:r>
          </w:p>
        </w:tc>
        <w:tc>
          <w:tcPr>
            <w:tcW w:w="981" w:type="dxa"/>
            <w:shd w:val="clear" w:color="auto" w:fill="FFFFFF"/>
            <w:vAlign w:val="center"/>
          </w:tcPr>
          <w:p w14:paraId="2A83246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restart"/>
            <w:shd w:val="clear" w:color="auto" w:fill="FFFFFF"/>
            <w:vAlign w:val="center"/>
          </w:tcPr>
          <w:p w14:paraId="7ECE652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服务工具要求</w:t>
            </w:r>
          </w:p>
        </w:tc>
        <w:tc>
          <w:tcPr>
            <w:tcW w:w="1713" w:type="dxa"/>
            <w:shd w:val="clear" w:color="auto" w:fill="FFFFFF"/>
            <w:vAlign w:val="center"/>
          </w:tcPr>
          <w:p w14:paraId="51161F0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★工具要求</w:t>
            </w:r>
          </w:p>
        </w:tc>
        <w:tc>
          <w:tcPr>
            <w:tcW w:w="3960" w:type="dxa"/>
            <w:shd w:val="clear" w:color="auto" w:fill="FFFFFF"/>
            <w:vAlign w:val="center"/>
          </w:tcPr>
          <w:p w14:paraId="7D39734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供应商提供设置服务器硬件、辅助操作系统安装等功能的辅助工具和管理软件。且随附软件应具有合法授权或版权</w:t>
            </w:r>
          </w:p>
        </w:tc>
        <w:tc>
          <w:tcPr>
            <w:tcW w:w="1302" w:type="dxa"/>
            <w:shd w:val="clear" w:color="auto" w:fill="FFFFFF"/>
            <w:vAlign w:val="center"/>
          </w:tcPr>
          <w:p w14:paraId="16F6D4A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71C8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35" w:type="dxa"/>
            <w:shd w:val="clear" w:color="auto" w:fill="FFFFFF"/>
            <w:vAlign w:val="center"/>
          </w:tcPr>
          <w:p w14:paraId="26730B7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133</w:t>
            </w:r>
          </w:p>
        </w:tc>
        <w:tc>
          <w:tcPr>
            <w:tcW w:w="981" w:type="dxa"/>
            <w:shd w:val="clear" w:color="auto" w:fill="FFFFFF"/>
            <w:vAlign w:val="center"/>
          </w:tcPr>
          <w:p w14:paraId="7983A6D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2BFF91D5">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66A7717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辅助工具</w:t>
            </w:r>
          </w:p>
        </w:tc>
        <w:tc>
          <w:tcPr>
            <w:tcW w:w="3960" w:type="dxa"/>
            <w:shd w:val="clear" w:color="auto" w:fill="FFFFFF"/>
            <w:vAlign w:val="center"/>
          </w:tcPr>
          <w:p w14:paraId="151DC7A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支持如下功能a）本地的数据备份和还原功能；b）网络的数据备份和还原功能；c）通用服务器操作系统的自动安装功能；d）服务器所配硬件需要的驱动程序和系统补丁</w:t>
            </w:r>
          </w:p>
        </w:tc>
        <w:tc>
          <w:tcPr>
            <w:tcW w:w="1302" w:type="dxa"/>
            <w:shd w:val="clear" w:color="auto" w:fill="FFFFFF"/>
            <w:vAlign w:val="center"/>
          </w:tcPr>
          <w:p w14:paraId="138A7FB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9298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70E00C5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134</w:t>
            </w:r>
          </w:p>
        </w:tc>
        <w:tc>
          <w:tcPr>
            <w:tcW w:w="981" w:type="dxa"/>
            <w:shd w:val="clear" w:color="auto" w:fill="FFFFFF"/>
            <w:vAlign w:val="center"/>
          </w:tcPr>
          <w:p w14:paraId="21B841B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7404FABF">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4FCE54D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★驱动安装升级指引</w:t>
            </w:r>
          </w:p>
        </w:tc>
        <w:tc>
          <w:tcPr>
            <w:tcW w:w="3960" w:type="dxa"/>
            <w:shd w:val="clear" w:color="auto" w:fill="FFFFFF"/>
            <w:vAlign w:val="center"/>
          </w:tcPr>
          <w:p w14:paraId="123E9B6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供应商提供出厂安装的配件所需的驱动程序，形式包括但不限于驱动光盘、驱动下载链接等。其他配件应提供指引</w:t>
            </w:r>
          </w:p>
        </w:tc>
        <w:tc>
          <w:tcPr>
            <w:tcW w:w="1302" w:type="dxa"/>
            <w:shd w:val="clear" w:color="auto" w:fill="FFFFFF"/>
            <w:vAlign w:val="center"/>
          </w:tcPr>
          <w:p w14:paraId="1AAF2EE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ECBA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182FA6C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135</w:t>
            </w:r>
          </w:p>
        </w:tc>
        <w:tc>
          <w:tcPr>
            <w:tcW w:w="981" w:type="dxa"/>
            <w:shd w:val="clear" w:color="auto" w:fill="FFFFFF"/>
            <w:vAlign w:val="center"/>
          </w:tcPr>
          <w:p w14:paraId="49B02DA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33F061C9">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421A154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随机附开盖工具</w:t>
            </w:r>
          </w:p>
        </w:tc>
        <w:tc>
          <w:tcPr>
            <w:tcW w:w="3960" w:type="dxa"/>
            <w:shd w:val="clear" w:color="auto" w:fill="FFFFFF"/>
            <w:vAlign w:val="center"/>
          </w:tcPr>
          <w:p w14:paraId="2A22612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随服务器打包提供开机箱工具</w:t>
            </w:r>
          </w:p>
        </w:tc>
        <w:tc>
          <w:tcPr>
            <w:tcW w:w="1302" w:type="dxa"/>
            <w:shd w:val="clear" w:color="auto" w:fill="FFFFFF"/>
            <w:vAlign w:val="center"/>
          </w:tcPr>
          <w:p w14:paraId="368DE1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AE58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735" w:type="dxa"/>
            <w:shd w:val="clear" w:color="auto" w:fill="FFFFFF"/>
            <w:vAlign w:val="center"/>
          </w:tcPr>
          <w:p w14:paraId="4C535BD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136</w:t>
            </w:r>
          </w:p>
        </w:tc>
        <w:tc>
          <w:tcPr>
            <w:tcW w:w="981" w:type="dxa"/>
            <w:shd w:val="clear" w:color="auto" w:fill="FFFFFF"/>
            <w:vAlign w:val="center"/>
          </w:tcPr>
          <w:p w14:paraId="5A554A1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56AB9B0C">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616E386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代码迁移工具</w:t>
            </w:r>
          </w:p>
        </w:tc>
        <w:tc>
          <w:tcPr>
            <w:tcW w:w="3960" w:type="dxa"/>
            <w:shd w:val="clear" w:color="auto" w:fill="FFFFFF"/>
            <w:vAlign w:val="center"/>
          </w:tcPr>
          <w:p w14:paraId="74A881D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从其他CPU架构到当前服务器CPU架构的软件迁移工具产品，支持软件包迁移评估，对满足产品重构要求的软件包，能重构为当前服务器CPU架构的软件包。提供源码迁移功能，检查分析C/C++/Fortran/Go/解释型语言/汇编等源码文件，基于产品功能给出迁移指导</w:t>
            </w:r>
          </w:p>
        </w:tc>
        <w:tc>
          <w:tcPr>
            <w:tcW w:w="1302" w:type="dxa"/>
            <w:shd w:val="clear" w:color="auto" w:fill="FFFFFF"/>
            <w:vAlign w:val="center"/>
          </w:tcPr>
          <w:p w14:paraId="506BF01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8ECC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35" w:type="dxa"/>
            <w:shd w:val="clear" w:color="auto" w:fill="FFFFFF"/>
            <w:vAlign w:val="center"/>
          </w:tcPr>
          <w:p w14:paraId="54BAC3C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137</w:t>
            </w:r>
          </w:p>
        </w:tc>
        <w:tc>
          <w:tcPr>
            <w:tcW w:w="981" w:type="dxa"/>
            <w:shd w:val="clear" w:color="auto" w:fill="FFFFFF"/>
            <w:vAlign w:val="center"/>
          </w:tcPr>
          <w:p w14:paraId="73BD387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0A3B05E0">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70CCE4E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性能分析工具</w:t>
            </w:r>
          </w:p>
        </w:tc>
        <w:tc>
          <w:tcPr>
            <w:tcW w:w="3960" w:type="dxa"/>
            <w:shd w:val="clear" w:color="auto" w:fill="FFFFFF"/>
            <w:vAlign w:val="center"/>
          </w:tcPr>
          <w:p w14:paraId="67F1F0D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供应商提供支持当前服务器CPU架构的性能分析工具产品，支持系统性能分析、Java性能分析和系统诊断，可分析系统或应用在CPU、内存、IO、网络等方面的性能，并给出优化建议</w:t>
            </w:r>
          </w:p>
        </w:tc>
        <w:tc>
          <w:tcPr>
            <w:tcW w:w="1302" w:type="dxa"/>
            <w:shd w:val="clear" w:color="auto" w:fill="FFFFFF"/>
            <w:vAlign w:val="center"/>
          </w:tcPr>
          <w:p w14:paraId="55DC1F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C054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26E8D25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138</w:t>
            </w:r>
          </w:p>
        </w:tc>
        <w:tc>
          <w:tcPr>
            <w:tcW w:w="981" w:type="dxa"/>
            <w:shd w:val="clear" w:color="auto" w:fill="FFFFFF"/>
            <w:vAlign w:val="center"/>
          </w:tcPr>
          <w:p w14:paraId="7DB700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5A93087B">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7DC6941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跨架构平台应用兼容</w:t>
            </w:r>
          </w:p>
        </w:tc>
        <w:tc>
          <w:tcPr>
            <w:tcW w:w="3960" w:type="dxa"/>
            <w:shd w:val="clear" w:color="auto" w:fill="FFFFFF"/>
            <w:vAlign w:val="center"/>
          </w:tcPr>
          <w:p w14:paraId="30227C6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跨CPU架构平台应用兼容工具，可兼容一种或者一种以上不同架构平台的应用</w:t>
            </w:r>
          </w:p>
        </w:tc>
        <w:tc>
          <w:tcPr>
            <w:tcW w:w="1302" w:type="dxa"/>
            <w:shd w:val="clear" w:color="auto" w:fill="FFFFFF"/>
            <w:vAlign w:val="center"/>
          </w:tcPr>
          <w:p w14:paraId="03F5131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6A72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10C59F9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139</w:t>
            </w:r>
          </w:p>
        </w:tc>
        <w:tc>
          <w:tcPr>
            <w:tcW w:w="981" w:type="dxa"/>
            <w:shd w:val="clear" w:color="auto" w:fill="FFFFFF"/>
            <w:vAlign w:val="center"/>
          </w:tcPr>
          <w:p w14:paraId="2842A3D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55FD4795">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203E587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★管理软件</w:t>
            </w:r>
          </w:p>
        </w:tc>
        <w:tc>
          <w:tcPr>
            <w:tcW w:w="3960" w:type="dxa"/>
            <w:shd w:val="clear" w:color="auto" w:fill="FFFFFF"/>
            <w:vAlign w:val="center"/>
          </w:tcPr>
          <w:p w14:paraId="0E3D2ED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具备资源管理、系统管理、性能监控、健康监控、基于网络控制、报警设置功能</w:t>
            </w:r>
          </w:p>
        </w:tc>
        <w:tc>
          <w:tcPr>
            <w:tcW w:w="1302" w:type="dxa"/>
            <w:shd w:val="clear" w:color="auto" w:fill="FFFFFF"/>
            <w:vAlign w:val="center"/>
          </w:tcPr>
          <w:p w14:paraId="525A284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901D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20C3580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140</w:t>
            </w:r>
          </w:p>
        </w:tc>
        <w:tc>
          <w:tcPr>
            <w:tcW w:w="981" w:type="dxa"/>
            <w:shd w:val="clear" w:color="auto" w:fill="FFFFFF"/>
            <w:vAlign w:val="center"/>
          </w:tcPr>
          <w:p w14:paraId="21B420F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restart"/>
            <w:shd w:val="clear" w:color="auto" w:fill="FFFFFF"/>
            <w:vAlign w:val="center"/>
          </w:tcPr>
          <w:p w14:paraId="15ABB4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增值服务</w:t>
            </w:r>
          </w:p>
        </w:tc>
        <w:tc>
          <w:tcPr>
            <w:tcW w:w="1713" w:type="dxa"/>
            <w:shd w:val="clear" w:color="auto" w:fill="FFFFFF"/>
            <w:vAlign w:val="center"/>
          </w:tcPr>
          <w:p w14:paraId="5812F27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★厂家升级产品软件与扩容服务</w:t>
            </w:r>
          </w:p>
        </w:tc>
        <w:tc>
          <w:tcPr>
            <w:tcW w:w="3960" w:type="dxa"/>
            <w:shd w:val="clear" w:color="auto" w:fill="FFFFFF"/>
            <w:vAlign w:val="center"/>
          </w:tcPr>
          <w:p w14:paraId="7B5C736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供应商提供原厂级的部件/软件产品升级和扩容能力</w:t>
            </w:r>
          </w:p>
        </w:tc>
        <w:tc>
          <w:tcPr>
            <w:tcW w:w="1302" w:type="dxa"/>
            <w:shd w:val="clear" w:color="auto" w:fill="FFFFFF"/>
            <w:vAlign w:val="center"/>
          </w:tcPr>
          <w:p w14:paraId="2A50C9B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1634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283DD9C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141</w:t>
            </w:r>
          </w:p>
        </w:tc>
        <w:tc>
          <w:tcPr>
            <w:tcW w:w="981" w:type="dxa"/>
            <w:shd w:val="clear" w:color="auto" w:fill="FFFFFF"/>
            <w:vAlign w:val="center"/>
          </w:tcPr>
          <w:p w14:paraId="2436BD7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78852D2C">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7590CED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服务保障升级</w:t>
            </w:r>
          </w:p>
        </w:tc>
        <w:tc>
          <w:tcPr>
            <w:tcW w:w="3960" w:type="dxa"/>
            <w:shd w:val="clear" w:color="auto" w:fill="FFFFFF"/>
            <w:vAlign w:val="center"/>
          </w:tcPr>
          <w:p w14:paraId="3523171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供应商有偿提供远程技术支持、软件授权服务、备件更换服务、现场支撑服务</w:t>
            </w:r>
          </w:p>
        </w:tc>
        <w:tc>
          <w:tcPr>
            <w:tcW w:w="1302" w:type="dxa"/>
            <w:shd w:val="clear" w:color="auto" w:fill="FFFFFF"/>
            <w:vAlign w:val="center"/>
          </w:tcPr>
          <w:p w14:paraId="792A113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C602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5" w:type="dxa"/>
            <w:shd w:val="clear" w:color="auto" w:fill="FFFFFF"/>
            <w:vAlign w:val="center"/>
          </w:tcPr>
          <w:p w14:paraId="07EF34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142</w:t>
            </w:r>
          </w:p>
        </w:tc>
        <w:tc>
          <w:tcPr>
            <w:tcW w:w="981" w:type="dxa"/>
            <w:shd w:val="clear" w:color="auto" w:fill="FFFFFF"/>
            <w:vAlign w:val="center"/>
          </w:tcPr>
          <w:p w14:paraId="206545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634933DE">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631C728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★提供上门服务</w:t>
            </w:r>
          </w:p>
        </w:tc>
        <w:tc>
          <w:tcPr>
            <w:tcW w:w="3960" w:type="dxa"/>
            <w:shd w:val="clear" w:color="auto" w:fill="FFFFFF"/>
            <w:vAlign w:val="center"/>
          </w:tcPr>
          <w:p w14:paraId="190DB28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供应商具备提供上门服务的能力</w:t>
            </w:r>
          </w:p>
        </w:tc>
        <w:tc>
          <w:tcPr>
            <w:tcW w:w="1302" w:type="dxa"/>
            <w:shd w:val="clear" w:color="auto" w:fill="FFFFFF"/>
            <w:vAlign w:val="center"/>
          </w:tcPr>
          <w:p w14:paraId="77DCF7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FC44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735" w:type="dxa"/>
            <w:shd w:val="clear" w:color="auto" w:fill="FFFFFF"/>
            <w:vAlign w:val="center"/>
          </w:tcPr>
          <w:p w14:paraId="4761CEC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143</w:t>
            </w:r>
          </w:p>
        </w:tc>
        <w:tc>
          <w:tcPr>
            <w:tcW w:w="981" w:type="dxa"/>
            <w:shd w:val="clear" w:color="auto" w:fill="FFFFFF"/>
            <w:vAlign w:val="center"/>
          </w:tcPr>
          <w:p w14:paraId="31C02E6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085A6CFD">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0C1C98E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业务场景性能优化服务及整体架构升级服务</w:t>
            </w:r>
          </w:p>
        </w:tc>
        <w:tc>
          <w:tcPr>
            <w:tcW w:w="3960" w:type="dxa"/>
            <w:shd w:val="clear" w:color="auto" w:fill="FFFFFF"/>
            <w:vAlign w:val="center"/>
          </w:tcPr>
          <w:p w14:paraId="4EA3517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供应商提供针对特定业务场景性能优化服务及整体架构升级服务</w:t>
            </w:r>
          </w:p>
        </w:tc>
        <w:tc>
          <w:tcPr>
            <w:tcW w:w="1302" w:type="dxa"/>
            <w:shd w:val="clear" w:color="auto" w:fill="FFFFFF"/>
            <w:vAlign w:val="center"/>
          </w:tcPr>
          <w:p w14:paraId="40AD0BA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5880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1082939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144</w:t>
            </w:r>
          </w:p>
        </w:tc>
        <w:tc>
          <w:tcPr>
            <w:tcW w:w="981" w:type="dxa"/>
            <w:shd w:val="clear" w:color="auto" w:fill="FFFFFF"/>
            <w:vAlign w:val="center"/>
          </w:tcPr>
          <w:p w14:paraId="200D4E5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供保要求</w:t>
            </w:r>
          </w:p>
        </w:tc>
        <w:tc>
          <w:tcPr>
            <w:tcW w:w="981" w:type="dxa"/>
            <w:vMerge w:val="restart"/>
            <w:shd w:val="clear" w:color="auto" w:fill="FFFFFF"/>
            <w:vAlign w:val="center"/>
          </w:tcPr>
          <w:p w14:paraId="2187410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供应链质量</w:t>
            </w:r>
          </w:p>
        </w:tc>
        <w:tc>
          <w:tcPr>
            <w:tcW w:w="1713" w:type="dxa"/>
            <w:shd w:val="clear" w:color="auto" w:fill="FFFFFF"/>
            <w:vAlign w:val="center"/>
          </w:tcPr>
          <w:p w14:paraId="276E0AE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★抗干扰性</w:t>
            </w:r>
          </w:p>
        </w:tc>
        <w:tc>
          <w:tcPr>
            <w:tcW w:w="3960" w:type="dxa"/>
            <w:shd w:val="clear" w:color="auto" w:fill="FFFFFF"/>
            <w:vAlign w:val="center"/>
          </w:tcPr>
          <w:p w14:paraId="3312B54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当产品部件出现供应风险时，应通知客户并提供风险应对方案确保产品的服务保障，必要时应停止相关受影响产品的销售</w:t>
            </w:r>
          </w:p>
        </w:tc>
        <w:tc>
          <w:tcPr>
            <w:tcW w:w="1302" w:type="dxa"/>
            <w:shd w:val="clear" w:color="auto" w:fill="FFFFFF"/>
            <w:vAlign w:val="center"/>
          </w:tcPr>
          <w:p w14:paraId="58905DF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4845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35" w:type="dxa"/>
            <w:shd w:val="clear" w:color="auto" w:fill="FFFFFF"/>
            <w:vAlign w:val="center"/>
          </w:tcPr>
          <w:p w14:paraId="4AF50BB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145</w:t>
            </w:r>
          </w:p>
        </w:tc>
        <w:tc>
          <w:tcPr>
            <w:tcW w:w="981" w:type="dxa"/>
            <w:shd w:val="clear" w:color="auto" w:fill="FFFFFF"/>
            <w:vAlign w:val="center"/>
          </w:tcPr>
          <w:p w14:paraId="4DC28AF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供保要求</w:t>
            </w:r>
          </w:p>
        </w:tc>
        <w:tc>
          <w:tcPr>
            <w:tcW w:w="981" w:type="dxa"/>
            <w:vMerge w:val="continue"/>
            <w:shd w:val="clear" w:color="auto" w:fill="FFFFFF"/>
            <w:vAlign w:val="center"/>
          </w:tcPr>
          <w:p w14:paraId="057BB33F">
            <w:pPr>
              <w:widowControl/>
              <w:jc w:val="left"/>
              <w:rPr>
                <w:rFonts w:asciiTheme="minorEastAsia" w:hAnsiTheme="minorEastAsia" w:eastAsiaTheme="minorEastAsia" w:cstheme="minorEastAsia"/>
                <w:kern w:val="0"/>
                <w:sz w:val="24"/>
              </w:rPr>
            </w:pPr>
          </w:p>
        </w:tc>
        <w:tc>
          <w:tcPr>
            <w:tcW w:w="1713" w:type="dxa"/>
            <w:shd w:val="clear" w:color="auto" w:fill="FFFFFF"/>
            <w:vAlign w:val="center"/>
          </w:tcPr>
          <w:p w14:paraId="494783F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★供应能力证明</w:t>
            </w:r>
          </w:p>
        </w:tc>
        <w:tc>
          <w:tcPr>
            <w:tcW w:w="3960" w:type="dxa"/>
            <w:shd w:val="clear" w:color="auto" w:fill="FFFFFF"/>
            <w:vAlign w:val="center"/>
          </w:tcPr>
          <w:p w14:paraId="121342E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b/>
                <w:bCs/>
                <w:kern w:val="0"/>
                <w:sz w:val="24"/>
              </w:rPr>
              <w:t>供应商提供供应链稳定承诺书，确保产品的部件在产品服务周期内稳定供货（需提供加盖投标人公章的承诺书，否则作无效投标处理）</w:t>
            </w:r>
          </w:p>
        </w:tc>
        <w:tc>
          <w:tcPr>
            <w:tcW w:w="1302" w:type="dxa"/>
            <w:shd w:val="clear" w:color="auto" w:fill="FFFFFF"/>
            <w:vAlign w:val="center"/>
          </w:tcPr>
          <w:p w14:paraId="0FF9B850">
            <w:pPr>
              <w:widowControl/>
              <w:jc w:val="center"/>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kern w:val="0"/>
                <w:sz w:val="24"/>
              </w:rPr>
              <w:t>是</w:t>
            </w:r>
          </w:p>
        </w:tc>
      </w:tr>
      <w:tr w14:paraId="5E985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6F1ED50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146</w:t>
            </w:r>
          </w:p>
        </w:tc>
        <w:tc>
          <w:tcPr>
            <w:tcW w:w="981" w:type="dxa"/>
            <w:shd w:val="clear" w:color="auto" w:fill="FFFFFF"/>
            <w:noWrap/>
            <w:vAlign w:val="center"/>
          </w:tcPr>
          <w:p w14:paraId="12D4CAD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4E5209F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713" w:type="dxa"/>
            <w:shd w:val="clear" w:color="auto" w:fill="FFFFFF"/>
            <w:vAlign w:val="center"/>
          </w:tcPr>
          <w:p w14:paraId="7659C27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★授权</w:t>
            </w:r>
          </w:p>
        </w:tc>
        <w:tc>
          <w:tcPr>
            <w:tcW w:w="3960" w:type="dxa"/>
            <w:shd w:val="clear" w:color="auto" w:fill="FFFFFF"/>
            <w:vAlign w:val="center"/>
          </w:tcPr>
          <w:p w14:paraId="513B519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配置软件授权（包含≥2颗物理CPU或≥1台物理服务器授权），具备计算虚拟化、存储虚拟化、网络虚拟化功能；</w:t>
            </w:r>
          </w:p>
        </w:tc>
        <w:tc>
          <w:tcPr>
            <w:tcW w:w="1302" w:type="dxa"/>
            <w:shd w:val="clear" w:color="auto" w:fill="FFFFFF"/>
            <w:vAlign w:val="center"/>
          </w:tcPr>
          <w:p w14:paraId="3C74095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E47D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3A67242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147</w:t>
            </w:r>
          </w:p>
        </w:tc>
        <w:tc>
          <w:tcPr>
            <w:tcW w:w="981" w:type="dxa"/>
            <w:shd w:val="clear" w:color="auto" w:fill="FFFFFF"/>
            <w:noWrap/>
            <w:vAlign w:val="center"/>
          </w:tcPr>
          <w:p w14:paraId="39B585F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24AD377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中央处理器</w:t>
            </w:r>
          </w:p>
        </w:tc>
        <w:tc>
          <w:tcPr>
            <w:tcW w:w="1713" w:type="dxa"/>
            <w:shd w:val="clear" w:color="auto" w:fill="FFFFFF"/>
            <w:vAlign w:val="center"/>
          </w:tcPr>
          <w:p w14:paraId="017F0E2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 加解密功能</w:t>
            </w:r>
          </w:p>
        </w:tc>
        <w:tc>
          <w:tcPr>
            <w:tcW w:w="3960" w:type="dxa"/>
            <w:shd w:val="clear" w:color="auto" w:fill="FFFFFF"/>
            <w:vAlign w:val="center"/>
          </w:tcPr>
          <w:p w14:paraId="3360604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投标产品所配备的CPU（中央处理器）支持TEE可信执行环境，实现虚拟机在内存读写时的自动加解密功能。</w:t>
            </w:r>
            <w:r>
              <w:rPr>
                <w:rFonts w:hint="eastAsia" w:asciiTheme="minorEastAsia" w:hAnsiTheme="minorEastAsia" w:eastAsiaTheme="minorEastAsia" w:cstheme="minorEastAsia"/>
                <w:kern w:val="0"/>
                <w:sz w:val="24"/>
                <w:lang w:val="en-US" w:eastAsia="zh-CN"/>
              </w:rPr>
              <w:t>需</w:t>
            </w:r>
            <w:r>
              <w:rPr>
                <w:rFonts w:hint="eastAsia" w:asciiTheme="minorEastAsia" w:hAnsiTheme="minorEastAsia" w:eastAsiaTheme="minorEastAsia" w:cstheme="minorEastAsia"/>
                <w:kern w:val="0"/>
                <w:sz w:val="24"/>
              </w:rPr>
              <w:t>提供投标产品所配备的CPU（中央处理器）具有上述密码技术特性的证明材料</w:t>
            </w:r>
          </w:p>
        </w:tc>
        <w:tc>
          <w:tcPr>
            <w:tcW w:w="1302" w:type="dxa"/>
            <w:shd w:val="clear" w:color="auto" w:fill="FFFFFF"/>
            <w:vAlign w:val="center"/>
          </w:tcPr>
          <w:p w14:paraId="30A1B34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7D527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42FEAFD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148</w:t>
            </w:r>
          </w:p>
        </w:tc>
        <w:tc>
          <w:tcPr>
            <w:tcW w:w="981" w:type="dxa"/>
            <w:shd w:val="clear" w:color="auto" w:fill="FFFFFF"/>
            <w:noWrap/>
            <w:vAlign w:val="center"/>
          </w:tcPr>
          <w:p w14:paraId="422C10A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4763DE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中央处理器</w:t>
            </w:r>
          </w:p>
        </w:tc>
        <w:tc>
          <w:tcPr>
            <w:tcW w:w="1713" w:type="dxa"/>
            <w:shd w:val="clear" w:color="auto" w:fill="FFFFFF"/>
            <w:vAlign w:val="center"/>
          </w:tcPr>
          <w:p w14:paraId="72BEDED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#超线程技术</w:t>
            </w:r>
          </w:p>
        </w:tc>
        <w:tc>
          <w:tcPr>
            <w:tcW w:w="3960" w:type="dxa"/>
            <w:shd w:val="clear" w:color="auto" w:fill="FFFFFF"/>
            <w:vAlign w:val="center"/>
          </w:tcPr>
          <w:p w14:paraId="5274561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产品所配备的CPU（中央处理器）需支持且配置超线程技术</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w:t>
            </w:r>
            <w:r>
              <w:rPr>
                <w:rFonts w:hint="eastAsia" w:asciiTheme="minorEastAsia" w:hAnsiTheme="minorEastAsia" w:eastAsiaTheme="minorEastAsia" w:cstheme="minorEastAsia"/>
                <w:kern w:val="0"/>
                <w:sz w:val="24"/>
              </w:rPr>
              <w:t>提供投标产品所配备的CPU（中央处理器）具有上述技术特性的证明材料；</w:t>
            </w:r>
          </w:p>
        </w:tc>
        <w:tc>
          <w:tcPr>
            <w:tcW w:w="1302" w:type="dxa"/>
            <w:shd w:val="clear" w:color="auto" w:fill="FFFFFF"/>
            <w:vAlign w:val="center"/>
          </w:tcPr>
          <w:p w14:paraId="2922AF9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13309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35" w:type="dxa"/>
            <w:shd w:val="clear" w:color="auto" w:fill="FFFFFF"/>
            <w:vAlign w:val="center"/>
          </w:tcPr>
          <w:p w14:paraId="06E775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149</w:t>
            </w:r>
          </w:p>
        </w:tc>
        <w:tc>
          <w:tcPr>
            <w:tcW w:w="981" w:type="dxa"/>
            <w:shd w:val="clear" w:color="auto" w:fill="FFFFFF"/>
            <w:noWrap/>
            <w:vAlign w:val="center"/>
          </w:tcPr>
          <w:p w14:paraId="7FB8698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1D01CD0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713" w:type="dxa"/>
            <w:shd w:val="clear" w:color="auto" w:fill="FFFFFF"/>
            <w:vAlign w:val="center"/>
          </w:tcPr>
          <w:p w14:paraId="1A238E5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60" w:type="dxa"/>
            <w:shd w:val="clear" w:color="auto" w:fill="FFFFFF"/>
            <w:vAlign w:val="center"/>
          </w:tcPr>
          <w:p w14:paraId="7F53A8C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软件的代码自主率大于99%（按行数和文件数统计均不低于99%），同时为保证检测产品的代码完整性，要求代码检测量在100万以上；</w:t>
            </w:r>
          </w:p>
        </w:tc>
        <w:tc>
          <w:tcPr>
            <w:tcW w:w="1302" w:type="dxa"/>
            <w:shd w:val="clear" w:color="auto" w:fill="FFFFFF"/>
            <w:vAlign w:val="center"/>
          </w:tcPr>
          <w:p w14:paraId="58EEA917">
            <w:pPr>
              <w:widowControl/>
              <w:jc w:val="center"/>
              <w:rPr>
                <w:rFonts w:hint="eastAsia" w:asciiTheme="minorEastAsia" w:hAnsiTheme="minorEastAsia" w:eastAsiaTheme="minorEastAsia" w:cstheme="minorEastAsia"/>
                <w:kern w:val="0"/>
                <w:sz w:val="24"/>
                <w:lang w:eastAsia="zh-CN"/>
              </w:rPr>
            </w:pPr>
            <w:r>
              <w:rPr>
                <w:rFonts w:hint="eastAsia" w:asciiTheme="minorEastAsia" w:hAnsiTheme="minorEastAsia" w:eastAsiaTheme="minorEastAsia" w:cstheme="minorEastAsia"/>
                <w:kern w:val="0"/>
                <w:sz w:val="24"/>
                <w:highlight w:val="yellow"/>
                <w:lang w:val="en-US" w:eastAsia="zh-CN"/>
              </w:rPr>
              <w:t>否</w:t>
            </w:r>
          </w:p>
        </w:tc>
      </w:tr>
      <w:tr w14:paraId="64CB0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215296B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150</w:t>
            </w:r>
          </w:p>
        </w:tc>
        <w:tc>
          <w:tcPr>
            <w:tcW w:w="981" w:type="dxa"/>
            <w:shd w:val="clear" w:color="auto" w:fill="FFFFFF"/>
            <w:noWrap/>
            <w:vAlign w:val="center"/>
          </w:tcPr>
          <w:p w14:paraId="308C349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40E7CDB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713" w:type="dxa"/>
            <w:shd w:val="clear" w:color="auto" w:fill="FFFFFF"/>
            <w:vAlign w:val="center"/>
          </w:tcPr>
          <w:p w14:paraId="79969E8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60" w:type="dxa"/>
            <w:shd w:val="clear" w:color="auto" w:fill="FFFFFF"/>
            <w:vAlign w:val="center"/>
          </w:tcPr>
          <w:p w14:paraId="0763D71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为提升平台虚拟机的部署密度，有效降低硬件部署成本，超融合平台应支持对集群主机内存的分层设置，基于冷热分层实现内存超分，最大超分比≥10倍；虚拟机可按需一键开启或关闭内存超分</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02" w:type="dxa"/>
            <w:shd w:val="clear" w:color="auto" w:fill="FFFFFF"/>
            <w:vAlign w:val="center"/>
          </w:tcPr>
          <w:p w14:paraId="7DC1B56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5D54F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0475D6C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151</w:t>
            </w:r>
          </w:p>
        </w:tc>
        <w:tc>
          <w:tcPr>
            <w:tcW w:w="981" w:type="dxa"/>
            <w:shd w:val="clear" w:color="auto" w:fill="FFFFFF"/>
            <w:noWrap/>
            <w:vAlign w:val="center"/>
          </w:tcPr>
          <w:p w14:paraId="7F440CA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77F82F9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713" w:type="dxa"/>
            <w:shd w:val="clear" w:color="auto" w:fill="FFFFFF"/>
            <w:vAlign w:val="center"/>
          </w:tcPr>
          <w:p w14:paraId="4881450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60" w:type="dxa"/>
            <w:shd w:val="clear" w:color="auto" w:fill="FFFFFF"/>
            <w:vAlign w:val="center"/>
          </w:tcPr>
          <w:p w14:paraId="058C799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支持物理机的全部功能。如：具有自己的资源（CPU，内存，网卡，存储、软驱、光驱、显卡等），可以指定单独的IP地址、MAC地址等；</w:t>
            </w:r>
          </w:p>
        </w:tc>
        <w:tc>
          <w:tcPr>
            <w:tcW w:w="1302" w:type="dxa"/>
            <w:shd w:val="clear" w:color="auto" w:fill="FFFFFF"/>
            <w:vAlign w:val="center"/>
          </w:tcPr>
          <w:p w14:paraId="30D37C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1666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51F5A47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152</w:t>
            </w:r>
          </w:p>
        </w:tc>
        <w:tc>
          <w:tcPr>
            <w:tcW w:w="981" w:type="dxa"/>
            <w:shd w:val="clear" w:color="auto" w:fill="FFFFFF"/>
            <w:noWrap/>
            <w:vAlign w:val="center"/>
          </w:tcPr>
          <w:p w14:paraId="7A48C59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2C6DBF0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713" w:type="dxa"/>
            <w:shd w:val="clear" w:color="auto" w:fill="FFFFFF"/>
            <w:vAlign w:val="center"/>
          </w:tcPr>
          <w:p w14:paraId="3E20D24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60" w:type="dxa"/>
            <w:shd w:val="clear" w:color="auto" w:fill="FFFFFF"/>
            <w:vAlign w:val="center"/>
          </w:tcPr>
          <w:p w14:paraId="55B8B7B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提供B/S和C/S两种虚拟机控制台使用方式，C/S客户端无任何授权限制，支持本地文件托拉拽到虚拟机内部且支持和本地共享粘贴板；</w:t>
            </w:r>
          </w:p>
        </w:tc>
        <w:tc>
          <w:tcPr>
            <w:tcW w:w="1302" w:type="dxa"/>
            <w:shd w:val="clear" w:color="auto" w:fill="FFFFFF"/>
            <w:vAlign w:val="center"/>
          </w:tcPr>
          <w:p w14:paraId="7565451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A7F8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35" w:type="dxa"/>
            <w:shd w:val="clear" w:color="auto" w:fill="FFFFFF"/>
            <w:vAlign w:val="center"/>
          </w:tcPr>
          <w:p w14:paraId="5FFF89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153</w:t>
            </w:r>
          </w:p>
        </w:tc>
        <w:tc>
          <w:tcPr>
            <w:tcW w:w="981" w:type="dxa"/>
            <w:shd w:val="clear" w:color="auto" w:fill="FFFFFF"/>
            <w:noWrap/>
            <w:vAlign w:val="center"/>
          </w:tcPr>
          <w:p w14:paraId="35C173B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6652A9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713" w:type="dxa"/>
            <w:shd w:val="clear" w:color="auto" w:fill="FFFFFF"/>
            <w:vAlign w:val="center"/>
          </w:tcPr>
          <w:p w14:paraId="42454B8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60" w:type="dxa"/>
            <w:shd w:val="clear" w:color="auto" w:fill="FFFFFF"/>
            <w:vAlign w:val="center"/>
          </w:tcPr>
          <w:p w14:paraId="4FEF62F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虚拟机和裸金属服务器统一管理，支持对裸金属服务器远程电源管理、挂载安装ISO镜像等操作，可将虚拟机镜像部署为裸金属服务器操作系统，可查看裸金属服务器电源状态、CPU、内存、硬盘等硬件信息，支持打开裸金属服务器控制台进行运维操作；</w:t>
            </w:r>
          </w:p>
        </w:tc>
        <w:tc>
          <w:tcPr>
            <w:tcW w:w="1302" w:type="dxa"/>
            <w:shd w:val="clear" w:color="auto" w:fill="FFFFFF"/>
            <w:vAlign w:val="center"/>
          </w:tcPr>
          <w:p w14:paraId="5718F99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DBB8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35" w:type="dxa"/>
            <w:shd w:val="clear" w:color="auto" w:fill="FFFFFF"/>
            <w:vAlign w:val="center"/>
          </w:tcPr>
          <w:p w14:paraId="572AF2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154</w:t>
            </w:r>
          </w:p>
        </w:tc>
        <w:tc>
          <w:tcPr>
            <w:tcW w:w="981" w:type="dxa"/>
            <w:shd w:val="clear" w:color="auto" w:fill="FFFFFF"/>
            <w:noWrap/>
            <w:vAlign w:val="center"/>
          </w:tcPr>
          <w:p w14:paraId="420FCE1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4450F67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713" w:type="dxa"/>
            <w:shd w:val="clear" w:color="auto" w:fill="FFFFFF"/>
            <w:vAlign w:val="center"/>
          </w:tcPr>
          <w:p w14:paraId="0F06438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60" w:type="dxa"/>
            <w:shd w:val="clear" w:color="auto" w:fill="FFFFFF"/>
            <w:vAlign w:val="center"/>
          </w:tcPr>
          <w:p w14:paraId="1E2080A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支持在线跨云迁移功能，在管理界面内将其它站点虚拟机不中断的迁移到超融合平台内，跨云迁移的站点包括但不限于vSphere、投标品牌虚拟化平台等，迁移过程无需手动关机和重启操作；</w:t>
            </w:r>
          </w:p>
        </w:tc>
        <w:tc>
          <w:tcPr>
            <w:tcW w:w="1302" w:type="dxa"/>
            <w:shd w:val="clear" w:color="auto" w:fill="FFFFFF"/>
            <w:vAlign w:val="center"/>
          </w:tcPr>
          <w:p w14:paraId="6B3270D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64B4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18AB66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155</w:t>
            </w:r>
          </w:p>
        </w:tc>
        <w:tc>
          <w:tcPr>
            <w:tcW w:w="981" w:type="dxa"/>
            <w:shd w:val="clear" w:color="auto" w:fill="FFFFFF"/>
            <w:noWrap/>
            <w:vAlign w:val="center"/>
          </w:tcPr>
          <w:p w14:paraId="6FF57DF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492B4BA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713" w:type="dxa"/>
            <w:shd w:val="clear" w:color="auto" w:fill="FFFFFF"/>
            <w:vAlign w:val="center"/>
          </w:tcPr>
          <w:p w14:paraId="0EB2F5F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60" w:type="dxa"/>
            <w:shd w:val="clear" w:color="auto" w:fill="FFFFFF"/>
            <w:vAlign w:val="center"/>
          </w:tcPr>
          <w:p w14:paraId="3802355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提供云边协同管理功能，支持中心站点分发应用至各个边缘站点，可一键将中心站点已部署配置完毕的应用虚拟机迁移至各边缘站点，支持基于GIS技术的全局站点展示视图，实时查看各站点资源状态；</w:t>
            </w:r>
          </w:p>
        </w:tc>
        <w:tc>
          <w:tcPr>
            <w:tcW w:w="1302" w:type="dxa"/>
            <w:shd w:val="clear" w:color="auto" w:fill="FFFFFF"/>
            <w:vAlign w:val="center"/>
          </w:tcPr>
          <w:p w14:paraId="462913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DEAC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478D0CB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156</w:t>
            </w:r>
          </w:p>
        </w:tc>
        <w:tc>
          <w:tcPr>
            <w:tcW w:w="981" w:type="dxa"/>
            <w:shd w:val="clear" w:color="auto" w:fill="FFFFFF"/>
            <w:noWrap/>
            <w:vAlign w:val="center"/>
          </w:tcPr>
          <w:p w14:paraId="20BCE8D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781EE0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713" w:type="dxa"/>
            <w:shd w:val="clear" w:color="auto" w:fill="FFFFFF"/>
            <w:vAlign w:val="center"/>
          </w:tcPr>
          <w:p w14:paraId="60A04DD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60" w:type="dxa"/>
            <w:shd w:val="clear" w:color="auto" w:fill="FFFFFF"/>
            <w:vAlign w:val="center"/>
          </w:tcPr>
          <w:p w14:paraId="64F543E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提供无授权限制的备份功能，支持虚拟机CBT模式备份，支持周期性备份和批量备份功能，备份策略可细化到分钟级，支持恢复过程中对虚拟机进行配置；</w:t>
            </w:r>
          </w:p>
        </w:tc>
        <w:tc>
          <w:tcPr>
            <w:tcW w:w="1302" w:type="dxa"/>
            <w:shd w:val="clear" w:color="auto" w:fill="FFFFFF"/>
            <w:vAlign w:val="center"/>
          </w:tcPr>
          <w:p w14:paraId="706DDB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B2D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35" w:type="dxa"/>
            <w:shd w:val="clear" w:color="auto" w:fill="FFFFFF"/>
            <w:vAlign w:val="center"/>
          </w:tcPr>
          <w:p w14:paraId="636828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157</w:t>
            </w:r>
          </w:p>
        </w:tc>
        <w:tc>
          <w:tcPr>
            <w:tcW w:w="981" w:type="dxa"/>
            <w:shd w:val="clear" w:color="auto" w:fill="FFFFFF"/>
            <w:noWrap/>
            <w:vAlign w:val="center"/>
          </w:tcPr>
          <w:p w14:paraId="1C22994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3917AE5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713" w:type="dxa"/>
            <w:shd w:val="clear" w:color="auto" w:fill="FFFFFF"/>
            <w:vAlign w:val="center"/>
          </w:tcPr>
          <w:p w14:paraId="1803F30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总体要求</w:t>
            </w:r>
          </w:p>
        </w:tc>
        <w:tc>
          <w:tcPr>
            <w:tcW w:w="3960" w:type="dxa"/>
            <w:shd w:val="clear" w:color="auto" w:fill="FFFFFF"/>
            <w:vAlign w:val="center"/>
          </w:tcPr>
          <w:p w14:paraId="483E0F2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常见的虚拟资源和物理资源报警，包括但不限于CPU、内存、网卡和硬盘等资源；平台支持不同类型的报警级别，不同级别的报警需要发出对应级别的报警消息；支持邮件、短信、微信、钉钉、Teams及webhook等工具接收告警消息；</w:t>
            </w:r>
          </w:p>
        </w:tc>
        <w:tc>
          <w:tcPr>
            <w:tcW w:w="1302" w:type="dxa"/>
            <w:shd w:val="clear" w:color="auto" w:fill="FFFFFF"/>
            <w:vAlign w:val="center"/>
          </w:tcPr>
          <w:p w14:paraId="38B07F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7314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0AAEEF8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158</w:t>
            </w:r>
          </w:p>
        </w:tc>
        <w:tc>
          <w:tcPr>
            <w:tcW w:w="981" w:type="dxa"/>
            <w:shd w:val="clear" w:color="auto" w:fill="FFFFFF"/>
            <w:noWrap/>
            <w:vAlign w:val="center"/>
          </w:tcPr>
          <w:p w14:paraId="5C4C0E3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0306F1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713" w:type="dxa"/>
            <w:shd w:val="clear" w:color="auto" w:fill="FFFFFF"/>
            <w:vAlign w:val="center"/>
          </w:tcPr>
          <w:p w14:paraId="4FDC953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3960" w:type="dxa"/>
            <w:shd w:val="clear" w:color="auto" w:fill="FFFFFF"/>
            <w:vAlign w:val="center"/>
          </w:tcPr>
          <w:p w14:paraId="2A455AE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支持虚拟机启动、重置密码、暂停、恢复、重启、关闭、快速克隆、迁移、备份、模板导入导出、快照等功能，支持嵌套虚拟化</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02" w:type="dxa"/>
            <w:shd w:val="clear" w:color="auto" w:fill="FFFFFF"/>
            <w:vAlign w:val="center"/>
          </w:tcPr>
          <w:p w14:paraId="691FA30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4C0C2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5872C44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159</w:t>
            </w:r>
          </w:p>
        </w:tc>
        <w:tc>
          <w:tcPr>
            <w:tcW w:w="981" w:type="dxa"/>
            <w:shd w:val="clear" w:color="auto" w:fill="FFFFFF"/>
            <w:noWrap/>
            <w:vAlign w:val="center"/>
          </w:tcPr>
          <w:p w14:paraId="2D76294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3FCBED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713" w:type="dxa"/>
            <w:shd w:val="clear" w:color="auto" w:fill="FFFFFF"/>
            <w:vAlign w:val="center"/>
          </w:tcPr>
          <w:p w14:paraId="5142709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3960" w:type="dxa"/>
            <w:shd w:val="clear" w:color="auto" w:fill="FFFFFF"/>
            <w:vAlign w:val="center"/>
          </w:tcPr>
          <w:p w14:paraId="351CC52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支持虚拟机故障HA功能，可配置HA接入控制策略，HA最大尝试次数，且支持HA故障切换主机设置，达到故障隔离的效果，并支持配置虚拟机自启动策略和启动优先级；</w:t>
            </w:r>
          </w:p>
        </w:tc>
        <w:tc>
          <w:tcPr>
            <w:tcW w:w="1302" w:type="dxa"/>
            <w:shd w:val="clear" w:color="auto" w:fill="FFFFFF"/>
            <w:vAlign w:val="center"/>
          </w:tcPr>
          <w:p w14:paraId="010D77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661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1D6DA2A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160</w:t>
            </w:r>
          </w:p>
        </w:tc>
        <w:tc>
          <w:tcPr>
            <w:tcW w:w="981" w:type="dxa"/>
            <w:shd w:val="clear" w:color="auto" w:fill="FFFFFF"/>
            <w:noWrap/>
            <w:vAlign w:val="center"/>
          </w:tcPr>
          <w:p w14:paraId="6E24FD9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1336587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713" w:type="dxa"/>
            <w:shd w:val="clear" w:color="auto" w:fill="FFFFFF"/>
            <w:vAlign w:val="center"/>
          </w:tcPr>
          <w:p w14:paraId="0B87BBE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3960" w:type="dxa"/>
            <w:shd w:val="clear" w:color="auto" w:fill="FFFFFF"/>
            <w:vAlign w:val="center"/>
          </w:tcPr>
          <w:p w14:paraId="6281AEF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 xml:space="preserve">虚拟机支持添加串口、双显卡、USB、看门狗、FPGA、自定义PCI等设备以适配丰富的应用需求，虚拟机添加串口设备支持以telnet、网络客户端、网络服务端等模式登录并支持指定telnet端口号； </w:t>
            </w:r>
          </w:p>
        </w:tc>
        <w:tc>
          <w:tcPr>
            <w:tcW w:w="1302" w:type="dxa"/>
            <w:shd w:val="clear" w:color="auto" w:fill="FFFFFF"/>
            <w:vAlign w:val="center"/>
          </w:tcPr>
          <w:p w14:paraId="600144C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2453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143EA2A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161</w:t>
            </w:r>
          </w:p>
        </w:tc>
        <w:tc>
          <w:tcPr>
            <w:tcW w:w="981" w:type="dxa"/>
            <w:shd w:val="clear" w:color="auto" w:fill="FFFFFF"/>
            <w:noWrap/>
            <w:vAlign w:val="center"/>
          </w:tcPr>
          <w:p w14:paraId="58D28C1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7408BFA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713" w:type="dxa"/>
            <w:shd w:val="clear" w:color="auto" w:fill="FFFFFF"/>
            <w:vAlign w:val="center"/>
          </w:tcPr>
          <w:p w14:paraId="62ED1ED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3960" w:type="dxa"/>
            <w:shd w:val="clear" w:color="auto" w:fill="FFFFFF"/>
            <w:vAlign w:val="center"/>
          </w:tcPr>
          <w:p w14:paraId="674684B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支持精细化的虚拟机迁移控制，可配置虚拟机迁移速度和虚拟机迁移带宽百分比，通过设置虚拟机迁移带宽百分比可调整虚拟机迁移时所占用的管理网带宽，保障用户业务正常运行；</w:t>
            </w:r>
          </w:p>
        </w:tc>
        <w:tc>
          <w:tcPr>
            <w:tcW w:w="1302" w:type="dxa"/>
            <w:shd w:val="clear" w:color="auto" w:fill="FFFFFF"/>
            <w:vAlign w:val="center"/>
          </w:tcPr>
          <w:p w14:paraId="1894E0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051D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35" w:type="dxa"/>
            <w:shd w:val="clear" w:color="auto" w:fill="FFFFFF"/>
            <w:vAlign w:val="center"/>
          </w:tcPr>
          <w:p w14:paraId="1CC09AD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162</w:t>
            </w:r>
          </w:p>
        </w:tc>
        <w:tc>
          <w:tcPr>
            <w:tcW w:w="981" w:type="dxa"/>
            <w:shd w:val="clear" w:color="auto" w:fill="FFFFFF"/>
            <w:noWrap/>
            <w:vAlign w:val="center"/>
          </w:tcPr>
          <w:p w14:paraId="50E9EA3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0FE0FE5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713" w:type="dxa"/>
            <w:shd w:val="clear" w:color="auto" w:fill="FFFFFF"/>
            <w:vAlign w:val="center"/>
          </w:tcPr>
          <w:p w14:paraId="74F0F2A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3960" w:type="dxa"/>
            <w:shd w:val="clear" w:color="auto" w:fill="FFFFFF"/>
            <w:vAlign w:val="center"/>
          </w:tcPr>
          <w:p w14:paraId="60B7A5F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支持vAPP功能，可配置若干台虚拟机组成的应用组，可设置虚拟机启动顺序和启动间隔时间，可批量修改虚拟机组的参数；</w:t>
            </w:r>
          </w:p>
        </w:tc>
        <w:tc>
          <w:tcPr>
            <w:tcW w:w="1302" w:type="dxa"/>
            <w:shd w:val="clear" w:color="auto" w:fill="FFFFFF"/>
            <w:vAlign w:val="center"/>
          </w:tcPr>
          <w:p w14:paraId="29DC9A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94D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77452DA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163</w:t>
            </w:r>
          </w:p>
        </w:tc>
        <w:tc>
          <w:tcPr>
            <w:tcW w:w="981" w:type="dxa"/>
            <w:shd w:val="clear" w:color="auto" w:fill="FFFFFF"/>
            <w:noWrap/>
            <w:vAlign w:val="center"/>
          </w:tcPr>
          <w:p w14:paraId="29F4DA4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0816927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713" w:type="dxa"/>
            <w:shd w:val="clear" w:color="auto" w:fill="FFFFFF"/>
            <w:vAlign w:val="center"/>
          </w:tcPr>
          <w:p w14:paraId="70D1B8E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计算虚拟化</w:t>
            </w:r>
          </w:p>
        </w:tc>
        <w:tc>
          <w:tcPr>
            <w:tcW w:w="3960" w:type="dxa"/>
            <w:shd w:val="clear" w:color="auto" w:fill="FFFFFF"/>
            <w:vAlign w:val="center"/>
          </w:tcPr>
          <w:p w14:paraId="31A818F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支持一键开启和关闭数据中心内、集群内的所有虚拟机，并设置虚拟机跟随主机启动策略以及虚拟机启动优先级策略，方便机房搬迁或关电运维场景使用；</w:t>
            </w:r>
          </w:p>
        </w:tc>
        <w:tc>
          <w:tcPr>
            <w:tcW w:w="1302" w:type="dxa"/>
            <w:shd w:val="clear" w:color="auto" w:fill="FFFFFF"/>
            <w:vAlign w:val="center"/>
          </w:tcPr>
          <w:p w14:paraId="062C265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891E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1DD392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164</w:t>
            </w:r>
          </w:p>
        </w:tc>
        <w:tc>
          <w:tcPr>
            <w:tcW w:w="981" w:type="dxa"/>
            <w:shd w:val="clear" w:color="auto" w:fill="FFFFFF"/>
            <w:noWrap/>
            <w:vAlign w:val="center"/>
          </w:tcPr>
          <w:p w14:paraId="4957BD0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78F9C2A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713" w:type="dxa"/>
            <w:shd w:val="clear" w:color="auto" w:fill="FFFFFF"/>
            <w:vAlign w:val="center"/>
          </w:tcPr>
          <w:p w14:paraId="6B3B65E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存储虚拟化</w:t>
            </w:r>
          </w:p>
        </w:tc>
        <w:tc>
          <w:tcPr>
            <w:tcW w:w="3960" w:type="dxa"/>
            <w:shd w:val="clear" w:color="auto" w:fill="FFFFFF"/>
            <w:vAlign w:val="center"/>
          </w:tcPr>
          <w:p w14:paraId="3ABEC8D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支持自定义存储策略，包括存储精简配置、存储白名单、自定义条带大小和条带数等。存储策略的颗粒度可以具体到存储卷（LUN）、虚拟机磁盘等，支持单虚拟机可配置不同副本和置备策略的虚拟磁盘；</w:t>
            </w:r>
          </w:p>
        </w:tc>
        <w:tc>
          <w:tcPr>
            <w:tcW w:w="1302" w:type="dxa"/>
            <w:shd w:val="clear" w:color="auto" w:fill="FFFFFF"/>
            <w:vAlign w:val="center"/>
          </w:tcPr>
          <w:p w14:paraId="12019C6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D1B3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35" w:type="dxa"/>
            <w:shd w:val="clear" w:color="auto" w:fill="FFFFFF"/>
            <w:vAlign w:val="center"/>
          </w:tcPr>
          <w:p w14:paraId="5EF989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165</w:t>
            </w:r>
          </w:p>
        </w:tc>
        <w:tc>
          <w:tcPr>
            <w:tcW w:w="981" w:type="dxa"/>
            <w:shd w:val="clear" w:color="auto" w:fill="FFFFFF"/>
            <w:noWrap/>
            <w:vAlign w:val="center"/>
          </w:tcPr>
          <w:p w14:paraId="27FE8E3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01DC0E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713" w:type="dxa"/>
            <w:shd w:val="clear" w:color="auto" w:fill="FFFFFF"/>
            <w:vAlign w:val="center"/>
          </w:tcPr>
          <w:p w14:paraId="6824D1A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#存储虚拟化</w:t>
            </w:r>
          </w:p>
        </w:tc>
        <w:tc>
          <w:tcPr>
            <w:tcW w:w="3960" w:type="dxa"/>
            <w:shd w:val="clear" w:color="auto" w:fill="FFFFFF"/>
            <w:vAlign w:val="center"/>
          </w:tcPr>
          <w:p w14:paraId="136E0D0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机架感知，可提供基于服务器机架拓扑的存储副本智能分布功能，在超融合平台可以灵活编辑机架和主机拓扑，分布式存储根据拓扑结构自动调整数据副本分布策略，保证数据智能、均衡存储，避免出现由于单一机架的电源或网络故障造成的存储不可用和业务中断</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02" w:type="dxa"/>
            <w:shd w:val="clear" w:color="auto" w:fill="FFFFFF"/>
            <w:vAlign w:val="center"/>
          </w:tcPr>
          <w:p w14:paraId="0264BB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342F4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1A0F033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166</w:t>
            </w:r>
          </w:p>
        </w:tc>
        <w:tc>
          <w:tcPr>
            <w:tcW w:w="981" w:type="dxa"/>
            <w:shd w:val="clear" w:color="auto" w:fill="FFFFFF"/>
            <w:noWrap/>
            <w:vAlign w:val="center"/>
          </w:tcPr>
          <w:p w14:paraId="6453BCE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042F629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713" w:type="dxa"/>
            <w:shd w:val="clear" w:color="auto" w:fill="FFFFFF"/>
            <w:vAlign w:val="center"/>
          </w:tcPr>
          <w:p w14:paraId="6EC0491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#存储虚拟化</w:t>
            </w:r>
          </w:p>
        </w:tc>
        <w:tc>
          <w:tcPr>
            <w:tcW w:w="3960" w:type="dxa"/>
            <w:shd w:val="clear" w:color="auto" w:fill="FFFFFF"/>
            <w:vAlign w:val="center"/>
          </w:tcPr>
          <w:p w14:paraId="029EB3C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支持存储清理功能，可批量或单个扫描存储池，一键清理垃圾数据，节省物理资源</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02" w:type="dxa"/>
            <w:shd w:val="clear" w:color="auto" w:fill="FFFFFF"/>
            <w:vAlign w:val="center"/>
          </w:tcPr>
          <w:p w14:paraId="6E504A3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2DD32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35" w:type="dxa"/>
            <w:shd w:val="clear" w:color="auto" w:fill="FFFFFF"/>
            <w:vAlign w:val="center"/>
          </w:tcPr>
          <w:p w14:paraId="0D2ADDA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167</w:t>
            </w:r>
          </w:p>
        </w:tc>
        <w:tc>
          <w:tcPr>
            <w:tcW w:w="981" w:type="dxa"/>
            <w:shd w:val="clear" w:color="auto" w:fill="FFFFFF"/>
            <w:noWrap/>
            <w:vAlign w:val="center"/>
          </w:tcPr>
          <w:p w14:paraId="65747A2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1737B17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713" w:type="dxa"/>
            <w:shd w:val="clear" w:color="auto" w:fill="FFFFFF"/>
            <w:vAlign w:val="center"/>
          </w:tcPr>
          <w:p w14:paraId="25BBEDF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#网络虚拟化</w:t>
            </w:r>
          </w:p>
        </w:tc>
        <w:tc>
          <w:tcPr>
            <w:tcW w:w="3960" w:type="dxa"/>
            <w:shd w:val="clear" w:color="auto" w:fill="FFFFFF"/>
            <w:vAlign w:val="center"/>
          </w:tcPr>
          <w:p w14:paraId="0C5B5DE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提供全局分布式SDN功能，以避免SDN控制节点故障，提供分布式SDN硬件加速能力，可提供更高转发性能，SDN支持VLAN/VXLAN模式</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02" w:type="dxa"/>
            <w:shd w:val="clear" w:color="auto" w:fill="FFFFFF"/>
            <w:vAlign w:val="center"/>
          </w:tcPr>
          <w:p w14:paraId="5AD2158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11AB6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0487A11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168</w:t>
            </w:r>
          </w:p>
        </w:tc>
        <w:tc>
          <w:tcPr>
            <w:tcW w:w="981" w:type="dxa"/>
            <w:shd w:val="clear" w:color="auto" w:fill="FFFFFF"/>
            <w:noWrap/>
            <w:vAlign w:val="center"/>
          </w:tcPr>
          <w:p w14:paraId="5DD03A8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1A3E82C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713" w:type="dxa"/>
            <w:shd w:val="clear" w:color="auto" w:fill="FFFFFF"/>
            <w:vAlign w:val="center"/>
          </w:tcPr>
          <w:p w14:paraId="65ADEF2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网络虚拟化</w:t>
            </w:r>
          </w:p>
        </w:tc>
        <w:tc>
          <w:tcPr>
            <w:tcW w:w="3960" w:type="dxa"/>
            <w:shd w:val="clear" w:color="auto" w:fill="FFFFFF"/>
            <w:vAlign w:val="center"/>
          </w:tcPr>
          <w:p w14:paraId="5375C22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支持全局分布式SDN智能加速，卸载分布式SDN网络的数据平面到硬件网卡，通过对东西向Overlay网络流量和南北向流量卸载，大幅提高网络转发性能并节省主机资源；</w:t>
            </w:r>
          </w:p>
        </w:tc>
        <w:tc>
          <w:tcPr>
            <w:tcW w:w="1302" w:type="dxa"/>
            <w:shd w:val="clear" w:color="auto" w:fill="FFFFFF"/>
            <w:vAlign w:val="center"/>
          </w:tcPr>
          <w:p w14:paraId="320E392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76F7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5" w:type="dxa"/>
            <w:shd w:val="clear" w:color="auto" w:fill="FFFFFF"/>
            <w:vAlign w:val="center"/>
          </w:tcPr>
          <w:p w14:paraId="085B678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169</w:t>
            </w:r>
          </w:p>
        </w:tc>
        <w:tc>
          <w:tcPr>
            <w:tcW w:w="981" w:type="dxa"/>
            <w:shd w:val="clear" w:color="auto" w:fill="FFFFFF"/>
            <w:noWrap/>
            <w:vAlign w:val="center"/>
          </w:tcPr>
          <w:p w14:paraId="3D033EE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4B4EA75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713" w:type="dxa"/>
            <w:shd w:val="clear" w:color="auto" w:fill="FFFFFF"/>
            <w:vAlign w:val="center"/>
          </w:tcPr>
          <w:p w14:paraId="3AA00BA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网络虚拟化</w:t>
            </w:r>
          </w:p>
        </w:tc>
        <w:tc>
          <w:tcPr>
            <w:tcW w:w="3960" w:type="dxa"/>
            <w:shd w:val="clear" w:color="auto" w:fill="FFFFFF"/>
            <w:vAlign w:val="center"/>
          </w:tcPr>
          <w:p w14:paraId="047B6F2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支持网络图形化编排，编辑网络拓扑及拖拽网元即可完成网络拓扑的创建、变更、属性编辑；</w:t>
            </w:r>
          </w:p>
        </w:tc>
        <w:tc>
          <w:tcPr>
            <w:tcW w:w="1302" w:type="dxa"/>
            <w:shd w:val="clear" w:color="auto" w:fill="FFFFFF"/>
            <w:vAlign w:val="center"/>
          </w:tcPr>
          <w:p w14:paraId="16A8BA9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CA71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35" w:type="dxa"/>
            <w:shd w:val="clear" w:color="auto" w:fill="FFFFFF"/>
            <w:vAlign w:val="center"/>
          </w:tcPr>
          <w:p w14:paraId="58C9364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170</w:t>
            </w:r>
          </w:p>
        </w:tc>
        <w:tc>
          <w:tcPr>
            <w:tcW w:w="981" w:type="dxa"/>
            <w:shd w:val="clear" w:color="auto" w:fill="FFFFFF"/>
            <w:noWrap/>
            <w:vAlign w:val="center"/>
          </w:tcPr>
          <w:p w14:paraId="5F0165B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noWrap/>
            <w:vAlign w:val="center"/>
          </w:tcPr>
          <w:p w14:paraId="4B99C9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软件要求</w:t>
            </w:r>
          </w:p>
        </w:tc>
        <w:tc>
          <w:tcPr>
            <w:tcW w:w="1713" w:type="dxa"/>
            <w:shd w:val="clear" w:color="auto" w:fill="FFFFFF"/>
            <w:vAlign w:val="center"/>
          </w:tcPr>
          <w:p w14:paraId="37C14D1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#网络虚拟化</w:t>
            </w:r>
          </w:p>
        </w:tc>
        <w:tc>
          <w:tcPr>
            <w:tcW w:w="3960" w:type="dxa"/>
            <w:shd w:val="clear" w:color="auto" w:fill="FFFFFF"/>
            <w:vAlign w:val="center"/>
          </w:tcPr>
          <w:p w14:paraId="4E5F516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支持物理网卡定位功能，可在平台发现网卡故障后，在管理界面直接点亮损坏网卡，方便运维人员到机房快速发现故障网卡设备</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需提供功能截图</w:t>
            </w:r>
            <w:r>
              <w:rPr>
                <w:rFonts w:hint="eastAsia" w:asciiTheme="minorEastAsia" w:hAnsiTheme="minorEastAsia" w:eastAsiaTheme="minorEastAsia" w:cstheme="minorEastAsia"/>
                <w:kern w:val="0"/>
                <w:sz w:val="24"/>
              </w:rPr>
              <w:t>；</w:t>
            </w:r>
          </w:p>
        </w:tc>
        <w:tc>
          <w:tcPr>
            <w:tcW w:w="1302" w:type="dxa"/>
            <w:shd w:val="clear" w:color="auto" w:fill="FFFFFF"/>
            <w:vAlign w:val="center"/>
          </w:tcPr>
          <w:p w14:paraId="212343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bl>
    <w:p w14:paraId="73DF564B">
      <w:pPr>
        <w:pStyle w:val="14"/>
        <w:ind w:left="0" w:leftChars="0" w:firstLine="0" w:firstLineChars="0"/>
        <w:rPr>
          <w:rFonts w:asciiTheme="minorEastAsia" w:hAnsiTheme="minorEastAsia" w:eastAsiaTheme="minorEastAsia" w:cstheme="minorEastAsia"/>
          <w:szCs w:val="24"/>
        </w:rPr>
      </w:pPr>
    </w:p>
    <w:p w14:paraId="7D3E30AE">
      <w:pPr>
        <w:pStyle w:val="2"/>
        <w:numPr>
          <w:ilvl w:val="0"/>
          <w:numId w:val="2"/>
        </w:numPr>
        <w:shd w:val="clear" w:color="auto" w:fill="FFFFFF"/>
        <w:ind w:left="442" w:hanging="442"/>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应用负载均衡</w:t>
      </w:r>
    </w:p>
    <w:tbl>
      <w:tblPr>
        <w:tblStyle w:val="16"/>
        <w:tblW w:w="9591" w:type="dxa"/>
        <w:tblInd w:w="-6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108" w:type="dxa"/>
          <w:bottom w:w="0" w:type="dxa"/>
          <w:right w:w="108" w:type="dxa"/>
        </w:tblCellMar>
      </w:tblPr>
      <w:tblGrid>
        <w:gridCol w:w="846"/>
        <w:gridCol w:w="992"/>
        <w:gridCol w:w="1816"/>
        <w:gridCol w:w="4626"/>
        <w:gridCol w:w="1311"/>
      </w:tblGrid>
      <w:tr w14:paraId="59097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4EC5204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序号</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3A2DF41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重要性</w:t>
            </w: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1EE9CE2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指标项</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1DA9CE0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技术要求</w:t>
            </w:r>
          </w:p>
        </w:tc>
        <w:tc>
          <w:tcPr>
            <w:tcW w:w="1311" w:type="dxa"/>
            <w:tcBorders>
              <w:top w:val="single" w:color="auto" w:sz="4" w:space="0"/>
              <w:left w:val="single" w:color="auto" w:sz="4" w:space="0"/>
              <w:bottom w:val="single" w:color="auto" w:sz="4" w:space="0"/>
              <w:right w:val="single" w:color="auto" w:sz="4" w:space="0"/>
            </w:tcBorders>
            <w:shd w:val="clear" w:color="auto" w:fill="FFFFFF"/>
          </w:tcPr>
          <w:p w14:paraId="0C5EDEF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是否提供证明材料</w:t>
            </w:r>
          </w:p>
        </w:tc>
      </w:tr>
      <w:tr w14:paraId="11CAA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1F6C77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0F4E34F4">
            <w:pPr>
              <w:widowControl/>
              <w:jc w:val="center"/>
              <w:rPr>
                <w:rFonts w:asciiTheme="minorEastAsia" w:hAnsiTheme="minorEastAsia" w:eastAsiaTheme="minorEastAsia" w:cstheme="minorEastAsia"/>
                <w:kern w:val="0"/>
                <w:sz w:val="24"/>
              </w:rPr>
            </w:pP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0D21D1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CPU</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1C58AAD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CPU≥</w:t>
            </w:r>
            <w:r>
              <w:rPr>
                <w:rFonts w:hint="eastAsia" w:asciiTheme="minorEastAsia" w:hAnsiTheme="minorEastAsia" w:eastAsiaTheme="minorEastAsia" w:cstheme="minorEastAsia"/>
                <w:sz w:val="24"/>
                <w:lang w:eastAsia="zh-Hans"/>
              </w:rPr>
              <w:t>4核</w:t>
            </w:r>
            <w:r>
              <w:rPr>
                <w:rFonts w:hint="eastAsia" w:asciiTheme="minorEastAsia" w:hAnsiTheme="minorEastAsia" w:eastAsiaTheme="minorEastAsia" w:cstheme="minorEastAsia"/>
                <w:sz w:val="24"/>
              </w:rPr>
              <w:t>，8线程多核CPU并行处理技术</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79F82F69">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4D60C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1D3290A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07B38283">
            <w:pPr>
              <w:widowControl/>
              <w:jc w:val="center"/>
              <w:rPr>
                <w:rFonts w:asciiTheme="minorEastAsia" w:hAnsiTheme="minorEastAsia" w:eastAsiaTheme="minorEastAsia" w:cstheme="minorEastAsia"/>
                <w:kern w:val="0"/>
                <w:sz w:val="24"/>
              </w:rPr>
            </w:pP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7B34EC9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内存</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7762ED2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≥32GB</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5CACB179">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0A4EB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0A6AE9A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44A8F5FB">
            <w:pPr>
              <w:widowControl/>
              <w:jc w:val="center"/>
              <w:rPr>
                <w:rFonts w:asciiTheme="minorEastAsia" w:hAnsiTheme="minorEastAsia" w:eastAsiaTheme="minorEastAsia" w:cstheme="minorEastAsia"/>
                <w:kern w:val="0"/>
                <w:sz w:val="24"/>
              </w:rPr>
            </w:pP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6DC3660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存储介质</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1F6BE1C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硬盘≥ 1T GB</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7B3CD51A">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1F17B1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4A76D39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256ECEBC">
            <w:pPr>
              <w:widowControl/>
              <w:jc w:val="center"/>
              <w:rPr>
                <w:rFonts w:asciiTheme="minorEastAsia" w:hAnsiTheme="minorEastAsia" w:eastAsiaTheme="minorEastAsia" w:cstheme="minorEastAsia"/>
                <w:kern w:val="0"/>
                <w:sz w:val="24"/>
              </w:rPr>
            </w:pP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4CF8014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网络接口</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6BBDB7F1">
            <w:pPr>
              <w:widowControl/>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千兆业务光口≥8个，包含千兆 SFP 短波模块≥2 个；</w:t>
            </w:r>
          </w:p>
          <w:p w14:paraId="7648AF3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10G业务光口≥4 个， 包含10GESFP+短波模块≥2 个；</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39BE372F">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73417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6F6CE8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35DF589C">
            <w:pPr>
              <w:widowControl/>
              <w:jc w:val="center"/>
              <w:rPr>
                <w:rFonts w:asciiTheme="minorEastAsia" w:hAnsiTheme="minorEastAsia" w:eastAsiaTheme="minorEastAsia" w:cstheme="minorEastAsia"/>
                <w:kern w:val="0"/>
                <w:sz w:val="24"/>
              </w:rPr>
            </w:pP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0862971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冗余设计</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5BEB054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关键部件冗余设计，支持热插拔冗余电源</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0BB8C046">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4DCD3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1EE6C8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77145E2C">
            <w:pPr>
              <w:widowControl/>
              <w:jc w:val="center"/>
              <w:rPr>
                <w:rFonts w:asciiTheme="minorEastAsia" w:hAnsiTheme="minorEastAsia" w:eastAsiaTheme="minorEastAsia" w:cstheme="minorEastAsia"/>
                <w:kern w:val="0"/>
                <w:sz w:val="24"/>
              </w:rPr>
            </w:pP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5326FCF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吞吐量</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1ECBB45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≥20Gbps</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17D95722">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30D849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0983E44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3C3A0756">
            <w:pPr>
              <w:widowControl/>
              <w:jc w:val="center"/>
              <w:rPr>
                <w:rFonts w:asciiTheme="minorEastAsia" w:hAnsiTheme="minorEastAsia" w:eastAsiaTheme="minorEastAsia" w:cstheme="minorEastAsia"/>
                <w:kern w:val="0"/>
                <w:sz w:val="24"/>
              </w:rPr>
            </w:pP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5FBD7B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最大并发连接</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5482BBF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≥28,000,000</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76EEC186">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359BF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2D7D502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7C0E6433">
            <w:pPr>
              <w:widowControl/>
              <w:jc w:val="center"/>
              <w:rPr>
                <w:rFonts w:asciiTheme="minorEastAsia" w:hAnsiTheme="minorEastAsia" w:eastAsiaTheme="minorEastAsia" w:cstheme="minorEastAsia"/>
                <w:kern w:val="0"/>
                <w:sz w:val="24"/>
              </w:rPr>
            </w:pP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0DE8D8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四层处理能力</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3350B67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≥250,000 CPS</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39648E3E">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7A6CB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10B7AD1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66508D4C">
            <w:pPr>
              <w:widowControl/>
              <w:jc w:val="center"/>
              <w:rPr>
                <w:rFonts w:asciiTheme="minorEastAsia" w:hAnsiTheme="minorEastAsia" w:eastAsiaTheme="minorEastAsia" w:cstheme="minorEastAsia"/>
                <w:kern w:val="0"/>
                <w:sz w:val="24"/>
              </w:rPr>
            </w:pP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769A71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七层处理能力</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10C309A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≥6500,000 RPS</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7612276E">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5224D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1EA0175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2247FA09">
            <w:pPr>
              <w:widowControl/>
              <w:jc w:val="center"/>
              <w:rPr>
                <w:rFonts w:asciiTheme="minorEastAsia" w:hAnsiTheme="minorEastAsia" w:eastAsiaTheme="minorEastAsia" w:cstheme="minorEastAsia"/>
                <w:kern w:val="0"/>
                <w:sz w:val="24"/>
              </w:rPr>
            </w:pP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120FEDA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流量压缩</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6C04ACD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6Gbps</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3C9ACCA4">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765FF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324652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09FA70A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w:t>
            </w: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4E60D2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扩展支持</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5ACF0D9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支持</w:t>
            </w:r>
            <w:r>
              <w:rPr>
                <w:rFonts w:hint="eastAsia" w:asciiTheme="minorEastAsia" w:hAnsiTheme="minorEastAsia" w:eastAsiaTheme="minorEastAsia" w:cstheme="minorEastAsia"/>
                <w:sz w:val="24"/>
                <w:lang w:eastAsia="zh-Hans"/>
              </w:rPr>
              <w:t>在不更换硬件的情况下，</w:t>
            </w:r>
            <w:r>
              <w:rPr>
                <w:rFonts w:hint="eastAsia" w:asciiTheme="minorEastAsia" w:hAnsiTheme="minorEastAsia" w:eastAsiaTheme="minorEastAsia" w:cstheme="minorEastAsia"/>
                <w:sz w:val="24"/>
              </w:rPr>
              <w:t>通过license扩展</w:t>
            </w:r>
            <w:r>
              <w:rPr>
                <w:rFonts w:hint="eastAsia" w:asciiTheme="minorEastAsia" w:hAnsiTheme="minorEastAsia" w:eastAsiaTheme="minorEastAsia" w:cstheme="minorEastAsia"/>
                <w:sz w:val="24"/>
                <w:lang w:eastAsia="zh-Hans"/>
              </w:rPr>
              <w:t>设备性能</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需提供官方产品彩页或用户手册</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4C9A1182">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4C7730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62901CD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1DF118A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w:t>
            </w: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6B527D88">
            <w:pPr>
              <w:adjustRightInd w:val="0"/>
              <w:snapToGrid w:val="0"/>
              <w:spacing w:before="62" w:beforeLines="20" w:after="62" w:afterLines="20"/>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架构体系</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1D92B11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设备采用机架式设计，标准1U设备（投标文件中需提供官方配置截图或者官方彩页）</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5783EA4E">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5AFFE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5777AB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2A3869A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w:t>
            </w: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356BEE4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系统冗余</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1E2E91D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支持≥32台设备基于同一网段和不同网段的N+M集群方式；支持同一集群中的设备支持不同平台，包括硬件平台和虚拟化平台；支持连接信息、会话保持信息和SNAT信息的镜像；支持Active，Standby任意组合冗余方式，如Active-Active-Standby，Active-Active-Active-Standby等，并可以指定设备冗余切换顺序（需提供官方配置截图或者官方彩页）。</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6E6DC45B">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02CDB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0B3B5D6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2A5583E9">
            <w:pPr>
              <w:widowControl/>
              <w:jc w:val="center"/>
              <w:rPr>
                <w:rFonts w:asciiTheme="minorEastAsia" w:hAnsiTheme="minorEastAsia" w:eastAsiaTheme="minorEastAsia" w:cstheme="minorEastAsia"/>
                <w:kern w:val="0"/>
                <w:sz w:val="24"/>
              </w:rPr>
            </w:pP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16C25B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可编程流量管理</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6ECF4AE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管理界面提供基于某种编程语言（如TCL语言）自定义的流量控制方法，支持负载均衡、DNS处理、用户认证、NAT、路由转发、会话保持等功能的可编程控制。支持独立发起旁路（sideband）请求为应用提供应用层流量复制、查询和认证等服务。</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2FA95523">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20D6F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4038D8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41FD83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w:t>
            </w: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2284CE0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API接口</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6AC1189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同时支持工业标准的SOAP和REST API的全功能接口，实现与第三方管理软件的无缝集成；提供主流编程语言Perl,PHP,Python,Java,Ruby的编程示范代码</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需提供官网配置界面截图并附链接）</w:t>
            </w:r>
            <w:r>
              <w:rPr>
                <w:rFonts w:hint="eastAsia" w:asciiTheme="minorEastAsia" w:hAnsiTheme="minorEastAsia" w:eastAsiaTheme="minorEastAsia" w:cstheme="minorEastAsia"/>
                <w:sz w:val="24"/>
              </w:rPr>
              <w:t xml:space="preserve">。 </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515DE18F">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60A7E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75749E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458BF009">
            <w:pPr>
              <w:widowControl/>
              <w:jc w:val="center"/>
              <w:rPr>
                <w:rFonts w:asciiTheme="minorEastAsia" w:hAnsiTheme="minorEastAsia" w:eastAsiaTheme="minorEastAsia" w:cstheme="minorEastAsia"/>
                <w:kern w:val="0"/>
                <w:sz w:val="24"/>
              </w:rPr>
            </w:pP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2DA4F33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智能故障信息处理系统</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696AA7E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提供基于设备运行事件的可编程自动运维系统，如后台服务器异常时自动收集当前网络数据，设备运行配置，日志等关键排错信息，支持将收集数据自动FTP上传或发送告警邮件。并支持自动登录后台服务器重启进程或关闭设备等运维动作。</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5021CCF0">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7EFC4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2755054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17</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2AB85EEB">
            <w:pPr>
              <w:widowControl/>
              <w:jc w:val="center"/>
              <w:rPr>
                <w:rFonts w:asciiTheme="minorEastAsia" w:hAnsiTheme="minorEastAsia" w:eastAsiaTheme="minorEastAsia" w:cstheme="minorEastAsia"/>
                <w:kern w:val="0"/>
                <w:sz w:val="24"/>
              </w:rPr>
            </w:pP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0312824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健康检测</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27E0F13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支持ICMP的健康检测，支持TCP端口的健康检测，支持UDP端口的健康检测，支持自定义应用协议的健康检测，支持半开连接的健康检测；</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66063401">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0704E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 w:hRule="atLeast"/>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35FA01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18</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7E01D0C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w:t>
            </w: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76ADEA2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lang w:eastAsia="zh-Hans"/>
              </w:rPr>
              <w:t>SSL VPN远程管理</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33F602C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支持SSL VPN功能用于远程管理，提供≥10个并发用户许可（需提供配置</w:t>
            </w:r>
            <w:r>
              <w:rPr>
                <w:rFonts w:hint="eastAsia" w:asciiTheme="minorEastAsia" w:hAnsiTheme="minorEastAsia" w:eastAsiaTheme="minorEastAsia" w:cstheme="minorEastAsia"/>
                <w:sz w:val="24"/>
                <w:lang w:val="en-US" w:eastAsia="zh-CN"/>
              </w:rPr>
              <w:t>界面</w:t>
            </w:r>
            <w:r>
              <w:rPr>
                <w:rFonts w:hint="eastAsia" w:asciiTheme="minorEastAsia" w:hAnsiTheme="minorEastAsia" w:eastAsiaTheme="minorEastAsia" w:cstheme="minorEastAsia"/>
                <w:sz w:val="24"/>
              </w:rPr>
              <w:t>截图）</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0CB22E40">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159F3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73D920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19</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656994E4">
            <w:pPr>
              <w:widowControl/>
              <w:jc w:val="center"/>
              <w:rPr>
                <w:rFonts w:asciiTheme="minorEastAsia" w:hAnsiTheme="minorEastAsia" w:eastAsiaTheme="minorEastAsia" w:cstheme="minorEastAsia"/>
                <w:kern w:val="0"/>
                <w:sz w:val="24"/>
              </w:rPr>
            </w:pP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28090B0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可编程官方支持</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1C2BC8E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提供可编程开发工具的使用指南，命令解释，使用案例，内容涵盖可编程API接口，可编程流量控制工具，私有云、公有云集成工具，容器环境集成工具，可编程攻击对抗工具等。</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7C5AE16C">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62C58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6E663E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20</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5F1522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w:t>
            </w: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5FD8C4E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基于Node.js环境的可编程控制</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6943DC4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设备自带支持Node.js环境的可编程控制功能，支持Javascript语法。支持如连接Mysql进行数据库查询等功能（请详述实现方式并提供配置截图及代码样例）</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12B203E4">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6555C0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2D5D000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21</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1E9F9A81">
            <w:pPr>
              <w:widowControl/>
              <w:jc w:val="center"/>
              <w:rPr>
                <w:rFonts w:asciiTheme="minorEastAsia" w:hAnsiTheme="minorEastAsia" w:eastAsiaTheme="minorEastAsia" w:cstheme="minorEastAsia"/>
                <w:kern w:val="0"/>
                <w:sz w:val="24"/>
              </w:rPr>
            </w:pP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7096E7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Devops自动化运维</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7D33855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可通过主流的自动化运维工具例如Ansible自动实现日常运维配置；必须支持自动化网络配置、NTP服务、SNMP服务等初始化参数；必须支持自动化创建、修改和删除虚拟服务器、真实服务器等应用交付对象。</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54DE4C19">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7C67D6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091D7C4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22</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7A06239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w:t>
            </w: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5A22CA5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多重引导</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647C0B3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支持四个以上不同软件版本的多重引导，可任意指定启动版本，便于软件版本升级与回退（需提供配置</w:t>
            </w:r>
            <w:r>
              <w:rPr>
                <w:rFonts w:hint="eastAsia" w:asciiTheme="minorEastAsia" w:hAnsiTheme="minorEastAsia" w:eastAsiaTheme="minorEastAsia" w:cstheme="minorEastAsia"/>
                <w:sz w:val="24"/>
                <w:lang w:val="en-US" w:eastAsia="zh-CN"/>
              </w:rPr>
              <w:t>界面</w:t>
            </w:r>
            <w:r>
              <w:rPr>
                <w:rFonts w:hint="eastAsia" w:asciiTheme="minorEastAsia" w:hAnsiTheme="minorEastAsia" w:eastAsiaTheme="minorEastAsia" w:cstheme="minorEastAsia"/>
                <w:sz w:val="24"/>
              </w:rPr>
              <w:t>截图）</w:t>
            </w:r>
            <w:r>
              <w:rPr>
                <w:rFonts w:hint="eastAsia" w:asciiTheme="minorEastAsia" w:hAnsiTheme="minorEastAsia" w:eastAsiaTheme="minorEastAsia" w:cstheme="minorEastAsia"/>
                <w:sz w:val="24"/>
                <w:lang w:eastAsia="zh-Hans"/>
              </w:rPr>
              <w:t>。</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3AE82EA8">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001DF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634038D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23</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5C9B8CDA">
            <w:pPr>
              <w:widowControl/>
              <w:jc w:val="center"/>
              <w:rPr>
                <w:rFonts w:asciiTheme="minorEastAsia" w:hAnsiTheme="minorEastAsia" w:eastAsiaTheme="minorEastAsia" w:cstheme="minorEastAsia"/>
                <w:kern w:val="0"/>
                <w:sz w:val="24"/>
              </w:rPr>
            </w:pP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790342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优化功能</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12D9EC0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标配压缩，缓存，多连接复用，SSL卸载等优化加速功能。</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4F440926">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153AD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019102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24</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1A76C8CF">
            <w:pPr>
              <w:widowControl/>
              <w:jc w:val="center"/>
              <w:rPr>
                <w:rFonts w:asciiTheme="minorEastAsia" w:hAnsiTheme="minorEastAsia" w:eastAsiaTheme="minorEastAsia" w:cstheme="minorEastAsia"/>
                <w:kern w:val="0"/>
                <w:sz w:val="24"/>
              </w:rPr>
            </w:pP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12F54BB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智能压缩</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213B262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使用工业标准的GZIP和Deflate压缩算法来压缩HTTP流量，缺省提供最大压缩处理能力。</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3F54B879">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2C47C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5E6DD6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25</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6A80A33B">
            <w:pPr>
              <w:widowControl/>
              <w:jc w:val="center"/>
              <w:rPr>
                <w:rFonts w:asciiTheme="minorEastAsia" w:hAnsiTheme="minorEastAsia" w:eastAsiaTheme="minorEastAsia" w:cstheme="minorEastAsia"/>
                <w:kern w:val="0"/>
                <w:sz w:val="24"/>
              </w:rPr>
            </w:pP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07CAFD0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HTTP/2和SPDY协议网关</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7195AC6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支持HTTP/2和SPDY网关部署，在不改变web服务器的情况下将对外服务协议从HTTP1.1/1.0升级至SPDY /(HTTP2.0/)，提升终端用户使用体验和业务安全性。</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67773F97">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58FAD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23321A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26</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18F83D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w:t>
            </w: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0E2A66E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支持HTTP3协议网关</w:t>
            </w:r>
          </w:p>
        </w:tc>
        <w:tc>
          <w:tcPr>
            <w:tcW w:w="4626" w:type="dxa"/>
            <w:tcBorders>
              <w:top w:val="single" w:color="auto" w:sz="4" w:space="0"/>
              <w:left w:val="single" w:color="auto" w:sz="4" w:space="0"/>
              <w:bottom w:val="single" w:color="auto" w:sz="4" w:space="0"/>
              <w:right w:val="single" w:color="auto" w:sz="4" w:space="0"/>
            </w:tcBorders>
            <w:shd w:val="clear" w:color="auto" w:fill="FFFFFF"/>
            <w:vAlign w:val="bottom"/>
          </w:tcPr>
          <w:p w14:paraId="56348DA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支持负载均衡作为客户端侧的HTTP3协议网关，发布内部的HTTP业务系统（需提供官方</w:t>
            </w:r>
            <w:r>
              <w:rPr>
                <w:rFonts w:hint="eastAsia" w:asciiTheme="minorEastAsia" w:hAnsiTheme="minorEastAsia" w:eastAsiaTheme="minorEastAsia" w:cstheme="minorEastAsia"/>
                <w:sz w:val="24"/>
                <w:lang w:val="en-US" w:eastAsia="zh-CN"/>
              </w:rPr>
              <w:t>功能</w:t>
            </w:r>
            <w:r>
              <w:rPr>
                <w:rFonts w:hint="eastAsia" w:asciiTheme="minorEastAsia" w:hAnsiTheme="minorEastAsia" w:eastAsiaTheme="minorEastAsia" w:cstheme="minorEastAsia"/>
                <w:sz w:val="24"/>
              </w:rPr>
              <w:t>截图证明）</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32578DA3">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075C1D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114037A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27</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3D447E63">
            <w:pPr>
              <w:widowControl/>
              <w:jc w:val="center"/>
              <w:rPr>
                <w:rFonts w:asciiTheme="minorEastAsia" w:hAnsiTheme="minorEastAsia" w:eastAsiaTheme="minorEastAsia" w:cstheme="minorEastAsia"/>
                <w:kern w:val="0"/>
                <w:sz w:val="24"/>
              </w:rPr>
            </w:pP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45038A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四/七层带宽管理和流量整形(Qos)</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26C5AB6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通过优先级，队列，以及设定基于应用的带宽限制和带宽容许，确保关键应用能够按时交付。</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33873C67">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1F63C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4B732D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28</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640A30B7">
            <w:pPr>
              <w:widowControl/>
              <w:jc w:val="center"/>
              <w:rPr>
                <w:rFonts w:asciiTheme="minorEastAsia" w:hAnsiTheme="minorEastAsia" w:eastAsiaTheme="minorEastAsia" w:cstheme="minorEastAsia"/>
                <w:kern w:val="0"/>
                <w:sz w:val="24"/>
              </w:rPr>
            </w:pP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523FEFF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服务器负载均衡</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095F710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完善的第四/七层交换功能，支持可定制的基于应用层的健康检查方式，支持基于IP地址、Cookie等信息的会话保持，并可根据特定信息定制会话保持方式。</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78F698F7">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023E4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6721982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29</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01A990B6">
            <w:pPr>
              <w:widowControl/>
              <w:jc w:val="center"/>
              <w:rPr>
                <w:rFonts w:asciiTheme="minorEastAsia" w:hAnsiTheme="minorEastAsia" w:eastAsiaTheme="minorEastAsia" w:cstheme="minorEastAsia"/>
                <w:kern w:val="0"/>
                <w:sz w:val="24"/>
              </w:rPr>
            </w:pP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7BC20CD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会话保持功能</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0714705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提供基于源IP、URL、SIP、SSL ID、HASH、插入cookie以及自定义字段等多种方式多种场景下的会话保持功能，实现在一段时间内将同一个用户的请求发送给同一台应用服务器。要求提供定制化字段的会话保持，定制化会话保持时长≥10小时；</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6AD7C1D6">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48B94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51E81C7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30</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10770444">
            <w:pPr>
              <w:widowControl/>
              <w:jc w:val="center"/>
              <w:rPr>
                <w:rFonts w:asciiTheme="minorEastAsia" w:hAnsiTheme="minorEastAsia" w:eastAsiaTheme="minorEastAsia" w:cstheme="minorEastAsia"/>
                <w:kern w:val="0"/>
                <w:sz w:val="24"/>
              </w:rPr>
            </w:pP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1FF1D84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基于消息的负载均衡(MBLB)</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7866A49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支持基于消息的负载均衡方式。对于某些应用服务，尤其是外联业务中的长连接服务，可以将连接拆包，识别每个消息后，基于消息分发请求。从而解决前置应用一对一连接的的单点问题，可提供脚本</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0F21B116">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6076D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4A5FAA8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31</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023DCB12">
            <w:pPr>
              <w:widowControl/>
              <w:jc w:val="center"/>
              <w:rPr>
                <w:rFonts w:asciiTheme="minorEastAsia" w:hAnsiTheme="minorEastAsia" w:eastAsiaTheme="minorEastAsia" w:cstheme="minorEastAsia"/>
                <w:kern w:val="0"/>
                <w:sz w:val="24"/>
              </w:rPr>
            </w:pP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4AC917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IPv6地址解析支持</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3990421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同时支持IPv6和IPv4解析，支持IPv6到IPv4的地址转换</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0DACB183">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6989AB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340E115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30E0EEEA">
            <w:pPr>
              <w:widowControl/>
              <w:jc w:val="center"/>
              <w:rPr>
                <w:rFonts w:asciiTheme="minorEastAsia" w:hAnsiTheme="minorEastAsia" w:eastAsiaTheme="minorEastAsia" w:cstheme="minorEastAsia"/>
                <w:kern w:val="0"/>
                <w:sz w:val="24"/>
              </w:rPr>
            </w:pP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1EFD852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内置全球地址库</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65E6204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内置全球 IPv4/IPv6全球地址数据库，官方维护全球地址库定期更新，并支持自定义ISP地址数据库。</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3C769DFE">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4F943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415466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33</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37F1B90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w:t>
            </w: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1A0AB2D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扩展安全防护能力</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45BD209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可通过license扩展安全防护能力：包括检测和拦截互联网挂号平台等业务的恶意bot，防止其占用服务器资源和网络带宽，有效防止恶意bot造成的流量洪峰，避免服务器过载，保证正常互联网用户的访问体验。同时，扩展后具备避免由于绕过外网安全防护体系而导致的内网HIS等系统被攻破，结合防止数据爬取、账户暴力破解等风险，保护用户隐私和重要数据的安全。（需提供配置</w:t>
            </w:r>
            <w:r>
              <w:rPr>
                <w:rFonts w:hint="eastAsia" w:asciiTheme="minorEastAsia" w:hAnsiTheme="minorEastAsia" w:eastAsiaTheme="minorEastAsia" w:cstheme="minorEastAsia"/>
                <w:sz w:val="24"/>
                <w:lang w:val="en-US" w:eastAsia="zh-CN"/>
              </w:rPr>
              <w:t>界面</w:t>
            </w:r>
            <w:r>
              <w:rPr>
                <w:rFonts w:hint="eastAsia" w:asciiTheme="minorEastAsia" w:hAnsiTheme="minorEastAsia" w:eastAsiaTheme="minorEastAsia" w:cstheme="minorEastAsia"/>
                <w:sz w:val="24"/>
              </w:rPr>
              <w:t>截图）</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6BA0AB67">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4F520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51CC10C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34</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2199A52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w:t>
            </w: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0AD7368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支持Multi-path TCP技术</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653BF47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支持在多重网络环境下可以通过多种网络环境（WIFI、3G、4G）同时发起请求的Multipath TCP连接方式（</w:t>
            </w:r>
            <w:r>
              <w:rPr>
                <w:rFonts w:hint="eastAsia" w:asciiTheme="minorEastAsia" w:hAnsiTheme="minorEastAsia" w:eastAsiaTheme="minorEastAsia" w:cstheme="minorEastAsia"/>
                <w:sz w:val="24"/>
                <w:lang w:val="en-US" w:eastAsia="zh-CN"/>
              </w:rPr>
              <w:t>需提供</w:t>
            </w:r>
            <w:r>
              <w:rPr>
                <w:rFonts w:hint="eastAsia" w:asciiTheme="minorEastAsia" w:hAnsiTheme="minorEastAsia" w:eastAsiaTheme="minorEastAsia" w:cstheme="minorEastAsia"/>
                <w:sz w:val="24"/>
              </w:rPr>
              <w:t>配置界面截图）。</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03BB6E79">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5C0BF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04F192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35</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0F03EEC5">
            <w:pPr>
              <w:widowControl/>
              <w:jc w:val="center"/>
              <w:rPr>
                <w:rFonts w:asciiTheme="minorEastAsia" w:hAnsiTheme="minorEastAsia" w:eastAsiaTheme="minorEastAsia" w:cstheme="minorEastAsia"/>
                <w:kern w:val="0"/>
                <w:sz w:val="24"/>
              </w:rPr>
            </w:pP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3808518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基于用户位置的负载均衡</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148CE1B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支持访问客户端IP所在的地理位置、运营商等信息，对应用流量实现智能负载均衡。并可按用户要求生成相关访问日志，发送到指定的日志服务器，供用户统计分析。</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2C2E1FEF">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17BBD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2407B6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36</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2D4FD8A5">
            <w:pPr>
              <w:widowControl/>
              <w:jc w:val="center"/>
              <w:rPr>
                <w:rFonts w:asciiTheme="minorEastAsia" w:hAnsiTheme="minorEastAsia" w:eastAsiaTheme="minorEastAsia" w:cstheme="minorEastAsia"/>
                <w:kern w:val="0"/>
                <w:sz w:val="24"/>
              </w:rPr>
            </w:pP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383A866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部署模式</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13787F4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支持旁路部署，支持三角传输模式。</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0CA37FE2">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24CE2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4DFDA86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37</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53838862">
            <w:pPr>
              <w:widowControl/>
              <w:jc w:val="center"/>
              <w:rPr>
                <w:rFonts w:asciiTheme="minorEastAsia" w:hAnsiTheme="minorEastAsia" w:eastAsiaTheme="minorEastAsia" w:cstheme="minorEastAsia"/>
                <w:kern w:val="0"/>
                <w:sz w:val="24"/>
              </w:rPr>
            </w:pP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1A860FC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超时时间</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1A53D79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支持自定义客户端空闲超时间，时间≥10小时。</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6E970A2A">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114A4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2F66E44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38</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75677955">
            <w:pPr>
              <w:widowControl/>
              <w:jc w:val="center"/>
              <w:rPr>
                <w:rFonts w:asciiTheme="minorEastAsia" w:hAnsiTheme="minorEastAsia" w:eastAsiaTheme="minorEastAsia" w:cstheme="minorEastAsia"/>
                <w:kern w:val="0"/>
                <w:sz w:val="24"/>
              </w:rPr>
            </w:pP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2C17A0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TCP应用NAT后的源地址传递功能</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5C5E7BE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支持TCP应用经过设备SNAT之后能将用户的真实地址插入到TCP包中，以便后台服务器获取客户端源地址。</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286FDE63">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45A68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4F48367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39</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1D46C2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w:t>
            </w: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429F68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支持MQTT协议</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0256C88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WEB界面支持查看MQTT协议的协议解析与统计，能查看MQTT协议的发布消息，报文订阅等协议成统计信息（</w:t>
            </w:r>
            <w:r>
              <w:rPr>
                <w:rFonts w:hint="eastAsia" w:asciiTheme="minorEastAsia" w:hAnsiTheme="minorEastAsia" w:eastAsiaTheme="minorEastAsia" w:cstheme="minorEastAsia"/>
                <w:sz w:val="24"/>
                <w:lang w:val="en-US" w:eastAsia="zh-CN"/>
              </w:rPr>
              <w:t>需提供</w:t>
            </w:r>
            <w:r>
              <w:rPr>
                <w:rFonts w:hint="eastAsia" w:asciiTheme="minorEastAsia" w:hAnsiTheme="minorEastAsia" w:eastAsiaTheme="minorEastAsia" w:cstheme="minorEastAsia"/>
                <w:sz w:val="24"/>
              </w:rPr>
              <w:t>配置界面截图）</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1A7E4ADE">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71444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09C53F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40</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321F808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w:t>
            </w: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6E24054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支持PQC后量子加密</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18E8840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支持后量子加密（Post-Quantum Cryptography, PQC）密码套件,保障加密数据的长期安全性（需提供官网截图或配置</w:t>
            </w:r>
            <w:r>
              <w:rPr>
                <w:rFonts w:hint="eastAsia" w:asciiTheme="minorEastAsia" w:hAnsiTheme="minorEastAsia" w:eastAsiaTheme="minorEastAsia" w:cstheme="minorEastAsia"/>
                <w:sz w:val="24"/>
                <w:lang w:val="en-US" w:eastAsia="zh-CN"/>
              </w:rPr>
              <w:t>界面</w:t>
            </w:r>
            <w:r>
              <w:rPr>
                <w:rFonts w:hint="eastAsia" w:asciiTheme="minorEastAsia" w:hAnsiTheme="minorEastAsia" w:eastAsiaTheme="minorEastAsia" w:cstheme="minorEastAsia"/>
                <w:sz w:val="24"/>
              </w:rPr>
              <w:t>截图）</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2E8D658C">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39656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534153D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41</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5F71514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w:t>
            </w: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025211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提供产品的MCP Server，并且支持MCP Profile，实现AI智能运维</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0F755F9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提供产品的MCP Server，可以通过大模型+产品的MCP Server来实现智能运维。可以利用大模型来配置、查看、修改产品。可以实现智能运维和智能巡检</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需</w:t>
            </w:r>
            <w:r>
              <w:rPr>
                <w:rFonts w:hint="eastAsia" w:asciiTheme="minorEastAsia" w:hAnsiTheme="minorEastAsia" w:eastAsiaTheme="minorEastAsia" w:cstheme="minorEastAsia"/>
                <w:sz w:val="24"/>
              </w:rPr>
              <w:t>提供MCP Server的运行代码或者下载用例</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6CA5CE27">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6371E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423CF9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42</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5F1844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w:t>
            </w: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64E5C5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支持基于AI的Token Based 负载均衡算法</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1435C4D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可以实时了解token对于后台GPU的压力变化，动态调整负裁均衡策略，实现TTFT（Time To First Token），TPOT（Time Per Output Token）的优化（需提供官网截图或配置</w:t>
            </w:r>
            <w:r>
              <w:rPr>
                <w:rFonts w:hint="eastAsia" w:asciiTheme="minorEastAsia" w:hAnsiTheme="minorEastAsia" w:eastAsiaTheme="minorEastAsia" w:cstheme="minorEastAsia"/>
                <w:sz w:val="24"/>
                <w:lang w:val="en-US" w:eastAsia="zh-CN"/>
              </w:rPr>
              <w:t>界面</w:t>
            </w:r>
            <w:r>
              <w:rPr>
                <w:rFonts w:hint="eastAsia" w:asciiTheme="minorEastAsia" w:hAnsiTheme="minorEastAsia" w:eastAsiaTheme="minorEastAsia" w:cstheme="minorEastAsia"/>
                <w:sz w:val="24"/>
              </w:rPr>
              <w:t>截图）</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2B82BEC0">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50FEB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56A8A6C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43</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2DC9B2AC">
            <w:pPr>
              <w:widowControl/>
              <w:jc w:val="center"/>
              <w:rPr>
                <w:rFonts w:asciiTheme="minorEastAsia" w:hAnsiTheme="minorEastAsia" w:eastAsiaTheme="minorEastAsia" w:cstheme="minorEastAsia"/>
                <w:kern w:val="0"/>
                <w:sz w:val="24"/>
              </w:rPr>
            </w:pP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5D6EE4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自助巡检</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04EE554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提供免费的在线自助巡检系统，可以随时对设备的运行状态、日志记录、异常报警、设备配置、性能图表、软件版本等进行检测和分析，生成状态诊断和分析报告。</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5182445D">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672E09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1628" w:hRule="atLeast"/>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7E8B5EF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44</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27C28D6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w:t>
            </w: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19CBB28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lang w:eastAsia="zh-Hans"/>
              </w:rPr>
              <w:t>液晶面板管理</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7599044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lang w:eastAsia="zh-Hans"/>
              </w:rPr>
              <w:t>提供彩色触摸液晶面板进行管理，支持配置带外管理地址、查看告警、清除告警和显示设备工作状态等功能，便于机房管理人员巡检（提供所投产品的液晶面板照片）。</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2ED4FDC9">
            <w:pPr>
              <w:widowControl/>
              <w:jc w:val="center"/>
              <w:rPr>
                <w:rFonts w:asciiTheme="minorEastAsia" w:hAnsiTheme="minorEastAsia" w:eastAsiaTheme="minorEastAsia" w:cstheme="minorEastAsia"/>
                <w:sz w:val="24"/>
                <w:lang w:eastAsia="zh-Hans"/>
              </w:rPr>
            </w:pPr>
            <w:r>
              <w:rPr>
                <w:rFonts w:hint="eastAsia" w:asciiTheme="minorEastAsia" w:hAnsiTheme="minorEastAsia" w:eastAsiaTheme="minorEastAsia" w:cstheme="minorEastAsia"/>
                <w:kern w:val="0"/>
                <w:sz w:val="24"/>
              </w:rPr>
              <w:t>是</w:t>
            </w:r>
          </w:p>
        </w:tc>
      </w:tr>
      <w:tr w14:paraId="158A1B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57" w:hRule="atLeast"/>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74D562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45</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7EF27EA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w:t>
            </w: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16EEB1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lang w:eastAsia="zh-Hans"/>
              </w:rPr>
              <w:t>基于 OpenTelemetry 的可视化平台</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0B54F91C">
            <w:pPr>
              <w:widowControl/>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lang w:eastAsia="zh-Hans"/>
              </w:rPr>
              <w:t>提供免费的OpenTelemetry 遥测、数据存储、</w:t>
            </w:r>
            <w:r>
              <w:rPr>
                <w:rFonts w:hint="eastAsia" w:asciiTheme="minorEastAsia" w:hAnsiTheme="minorEastAsia" w:eastAsiaTheme="minorEastAsia" w:cstheme="minorEastAsia"/>
                <w:sz w:val="24"/>
              </w:rPr>
              <w:t>业务请求</w:t>
            </w:r>
            <w:r>
              <w:rPr>
                <w:rFonts w:hint="eastAsia" w:asciiTheme="minorEastAsia" w:hAnsiTheme="minorEastAsia" w:eastAsiaTheme="minorEastAsia" w:cstheme="minorEastAsia"/>
                <w:sz w:val="24"/>
                <w:lang w:eastAsia="zh-Hans"/>
              </w:rPr>
              <w:t>可视化展示平台。支持通过Telemetry遥测实现监控指标的收集，</w:t>
            </w:r>
            <w:r>
              <w:rPr>
                <w:rFonts w:hint="eastAsia" w:asciiTheme="minorEastAsia" w:hAnsiTheme="minorEastAsia" w:eastAsiaTheme="minorEastAsia" w:cstheme="minorEastAsia"/>
                <w:sz w:val="24"/>
              </w:rPr>
              <w:t>监控指标包括：</w:t>
            </w:r>
          </w:p>
          <w:p w14:paraId="7D0EB2A2">
            <w:pPr>
              <w:widowControl/>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1、业务分析展示平台可直观显示ADC设备运行各系统关键进程的资源消耗，包括但不限于CPU占比、内存等占用情况</w:t>
            </w:r>
          </w:p>
          <w:p w14:paraId="1BE9C8CA">
            <w:pPr>
              <w:widowControl/>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2、业务分析展示平台可直观显示每个虚拟服务（每个应用）的当前和历史CPU占用、吞吐量、并发连接、新建连接、7层请求（例如http）速率等信息</w:t>
            </w:r>
          </w:p>
          <w:p w14:paraId="72D852E6">
            <w:pPr>
              <w:widowControl/>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3、业务分析展示平台可直观显示各服务端资源当前和历史的可用性比例、服务器群组中各成员的并发连接、请求率和吞吐量等信息</w:t>
            </w:r>
          </w:p>
          <w:p w14:paraId="159DCB80">
            <w:pPr>
              <w:widowControl/>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4、业务分析展示平台可直观显示每个开启SSL加速功能的数字证书资产的类型和有效期</w:t>
            </w:r>
          </w:p>
          <w:p w14:paraId="5D365E67">
            <w:pPr>
              <w:widowControl/>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（需提供配置</w:t>
            </w:r>
            <w:r>
              <w:rPr>
                <w:rFonts w:hint="eastAsia" w:asciiTheme="minorEastAsia" w:hAnsiTheme="minorEastAsia" w:eastAsiaTheme="minorEastAsia" w:cstheme="minorEastAsia"/>
                <w:sz w:val="24"/>
                <w:lang w:val="en-US" w:eastAsia="zh-CN"/>
              </w:rPr>
              <w:t>界面</w:t>
            </w:r>
            <w:r>
              <w:rPr>
                <w:rFonts w:hint="eastAsia" w:asciiTheme="minorEastAsia" w:hAnsiTheme="minorEastAsia" w:eastAsiaTheme="minorEastAsia" w:cstheme="minorEastAsia"/>
                <w:sz w:val="24"/>
              </w:rPr>
              <w:t>截图）</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3B2668D2">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1AFE5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14:paraId="136E762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46</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62091628">
            <w:pPr>
              <w:widowControl/>
              <w:jc w:val="center"/>
              <w:rPr>
                <w:rFonts w:asciiTheme="minorEastAsia" w:hAnsiTheme="minorEastAsia" w:eastAsiaTheme="minorEastAsia" w:cstheme="minorEastAsia"/>
                <w:kern w:val="0"/>
                <w:sz w:val="24"/>
              </w:rPr>
            </w:pPr>
          </w:p>
        </w:tc>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3FAAD7B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抓包工具</w:t>
            </w:r>
          </w:p>
        </w:tc>
        <w:tc>
          <w:tcPr>
            <w:tcW w:w="4626" w:type="dxa"/>
            <w:tcBorders>
              <w:top w:val="single" w:color="auto" w:sz="4" w:space="0"/>
              <w:left w:val="single" w:color="auto" w:sz="4" w:space="0"/>
              <w:bottom w:val="single" w:color="auto" w:sz="4" w:space="0"/>
              <w:right w:val="single" w:color="auto" w:sz="4" w:space="0"/>
            </w:tcBorders>
            <w:shd w:val="clear" w:color="auto" w:fill="FFFFFF"/>
          </w:tcPr>
          <w:p w14:paraId="444CB1C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无需利用端口镜像功能，系统自身提供的类似tcpdump的实时抓包工具，可以对通过自身设备的数据包进行抓包分析，可以产生三个以上抓包文件。</w:t>
            </w:r>
          </w:p>
        </w:tc>
        <w:tc>
          <w:tcPr>
            <w:tcW w:w="1311" w:type="dxa"/>
            <w:tcBorders>
              <w:top w:val="single" w:color="auto" w:sz="4" w:space="0"/>
              <w:left w:val="single" w:color="auto" w:sz="4" w:space="0"/>
              <w:bottom w:val="single" w:color="auto" w:sz="4" w:space="0"/>
              <w:right w:val="single" w:color="auto" w:sz="4" w:space="0"/>
            </w:tcBorders>
            <w:shd w:val="clear" w:color="auto" w:fill="FFFFFF"/>
            <w:vAlign w:val="center"/>
          </w:tcPr>
          <w:p w14:paraId="358ED79B">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bl>
    <w:p w14:paraId="078DA8C4">
      <w:pPr>
        <w:pStyle w:val="14"/>
        <w:ind w:left="0" w:leftChars="0" w:firstLine="0" w:firstLineChars="0"/>
        <w:rPr>
          <w:rFonts w:asciiTheme="minorEastAsia" w:hAnsiTheme="minorEastAsia" w:eastAsiaTheme="minorEastAsia" w:cstheme="minorEastAsia"/>
          <w:szCs w:val="24"/>
        </w:rPr>
      </w:pPr>
    </w:p>
    <w:p w14:paraId="628629DD">
      <w:pPr>
        <w:pStyle w:val="2"/>
        <w:numPr>
          <w:ilvl w:val="0"/>
          <w:numId w:val="2"/>
        </w:numPr>
        <w:ind w:left="442" w:hanging="442"/>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存储管理服务器</w:t>
      </w:r>
    </w:p>
    <w:tbl>
      <w:tblPr>
        <w:tblStyle w:val="15"/>
        <w:tblW w:w="9525" w:type="dxa"/>
        <w:tblInd w:w="-5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774"/>
        <w:gridCol w:w="981"/>
        <w:gridCol w:w="981"/>
        <w:gridCol w:w="1206"/>
        <w:gridCol w:w="4287"/>
        <w:gridCol w:w="1296"/>
      </w:tblGrid>
      <w:tr w14:paraId="05E1B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85" w:hRule="atLeast"/>
        </w:trPr>
        <w:tc>
          <w:tcPr>
            <w:tcW w:w="774" w:type="dxa"/>
            <w:shd w:val="clear" w:color="auto" w:fill="FFFFFF"/>
            <w:vAlign w:val="center"/>
          </w:tcPr>
          <w:p w14:paraId="3BF7747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序号</w:t>
            </w:r>
          </w:p>
        </w:tc>
        <w:tc>
          <w:tcPr>
            <w:tcW w:w="981" w:type="dxa"/>
            <w:shd w:val="clear" w:color="auto" w:fill="FFFFFF"/>
            <w:vAlign w:val="center"/>
          </w:tcPr>
          <w:p w14:paraId="44544DF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指标分类</w:t>
            </w:r>
          </w:p>
        </w:tc>
        <w:tc>
          <w:tcPr>
            <w:tcW w:w="981" w:type="dxa"/>
            <w:shd w:val="clear" w:color="auto" w:fill="FFFFFF"/>
            <w:vAlign w:val="center"/>
          </w:tcPr>
          <w:p w14:paraId="5FC83F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一级指标</w:t>
            </w:r>
          </w:p>
        </w:tc>
        <w:tc>
          <w:tcPr>
            <w:tcW w:w="1206" w:type="dxa"/>
            <w:shd w:val="clear" w:color="auto" w:fill="FFFFFF"/>
            <w:vAlign w:val="center"/>
          </w:tcPr>
          <w:p w14:paraId="2A0394C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二级指标</w:t>
            </w:r>
          </w:p>
        </w:tc>
        <w:tc>
          <w:tcPr>
            <w:tcW w:w="4287" w:type="dxa"/>
            <w:shd w:val="clear" w:color="auto" w:fill="FFFFFF"/>
            <w:vAlign w:val="center"/>
          </w:tcPr>
          <w:p w14:paraId="476E6F7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指标要求</w:t>
            </w:r>
          </w:p>
        </w:tc>
        <w:tc>
          <w:tcPr>
            <w:tcW w:w="1296" w:type="dxa"/>
            <w:shd w:val="clear" w:color="auto" w:fill="FFFFFF"/>
            <w:vAlign w:val="center"/>
          </w:tcPr>
          <w:p w14:paraId="327E12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是否提供证明材料</w:t>
            </w:r>
          </w:p>
        </w:tc>
      </w:tr>
      <w:tr w14:paraId="79E5D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74" w:type="dxa"/>
            <w:shd w:val="clear" w:color="auto" w:fill="FFFFFF"/>
            <w:vAlign w:val="center"/>
          </w:tcPr>
          <w:p w14:paraId="6EEA3C6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w:t>
            </w:r>
          </w:p>
        </w:tc>
        <w:tc>
          <w:tcPr>
            <w:tcW w:w="981" w:type="dxa"/>
            <w:shd w:val="clear" w:color="auto" w:fill="FFFFFF"/>
            <w:vAlign w:val="center"/>
          </w:tcPr>
          <w:p w14:paraId="3912C5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shd w:val="clear" w:color="auto" w:fill="FFFFFF"/>
            <w:vAlign w:val="center"/>
          </w:tcPr>
          <w:p w14:paraId="7E261E3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CPU规格</w:t>
            </w:r>
          </w:p>
        </w:tc>
        <w:tc>
          <w:tcPr>
            <w:tcW w:w="1206" w:type="dxa"/>
            <w:shd w:val="clear" w:color="auto" w:fill="FFFFFF"/>
            <w:vAlign w:val="center"/>
          </w:tcPr>
          <w:p w14:paraId="27B711F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★CPU信息</w:t>
            </w:r>
          </w:p>
        </w:tc>
        <w:tc>
          <w:tcPr>
            <w:tcW w:w="4287" w:type="dxa"/>
            <w:shd w:val="clear" w:color="auto" w:fill="FFFFFF"/>
            <w:vAlign w:val="center"/>
          </w:tcPr>
          <w:p w14:paraId="09874D3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供应商应给出CPU信息，包含CPU型号、物理核心数、主频、末级缓存容量、线程数、热设计功耗及支持内存的最高速率、通道数和位宽</w:t>
            </w:r>
          </w:p>
        </w:tc>
        <w:tc>
          <w:tcPr>
            <w:tcW w:w="1296" w:type="dxa"/>
            <w:shd w:val="clear" w:color="auto" w:fill="FFFFFF"/>
            <w:vAlign w:val="center"/>
          </w:tcPr>
          <w:p w14:paraId="67D7C1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546D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74" w:type="dxa"/>
            <w:shd w:val="clear" w:color="auto" w:fill="FFFFFF"/>
            <w:vAlign w:val="center"/>
          </w:tcPr>
          <w:p w14:paraId="46AEB72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981" w:type="dxa"/>
            <w:shd w:val="clear" w:color="auto" w:fill="FFFFFF"/>
            <w:vAlign w:val="center"/>
          </w:tcPr>
          <w:p w14:paraId="00D9F90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250C718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主板规格</w:t>
            </w:r>
          </w:p>
        </w:tc>
        <w:tc>
          <w:tcPr>
            <w:tcW w:w="1206" w:type="dxa"/>
            <w:shd w:val="clear" w:color="auto" w:fill="FFFFFF"/>
            <w:vAlign w:val="center"/>
          </w:tcPr>
          <w:p w14:paraId="775CB31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★主板支持的CPU和内存情况</w:t>
            </w:r>
          </w:p>
        </w:tc>
        <w:tc>
          <w:tcPr>
            <w:tcW w:w="4287" w:type="dxa"/>
            <w:shd w:val="clear" w:color="auto" w:fill="FFFFFF"/>
            <w:vAlign w:val="center"/>
          </w:tcPr>
          <w:p w14:paraId="1B69811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供应商给出主板支持的CPU和内存的型号数量</w:t>
            </w:r>
          </w:p>
        </w:tc>
        <w:tc>
          <w:tcPr>
            <w:tcW w:w="1296" w:type="dxa"/>
            <w:shd w:val="clear" w:color="auto" w:fill="FFFFFF"/>
            <w:vAlign w:val="center"/>
          </w:tcPr>
          <w:p w14:paraId="7850669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D8EC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490BADE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w:t>
            </w:r>
          </w:p>
        </w:tc>
        <w:tc>
          <w:tcPr>
            <w:tcW w:w="981" w:type="dxa"/>
            <w:shd w:val="clear" w:color="auto" w:fill="FFFFFF"/>
            <w:vAlign w:val="center"/>
          </w:tcPr>
          <w:p w14:paraId="41854A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15A68D11">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9A9B6B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★主板内存槽数量</w:t>
            </w:r>
          </w:p>
        </w:tc>
        <w:tc>
          <w:tcPr>
            <w:tcW w:w="4287" w:type="dxa"/>
            <w:shd w:val="clear" w:color="auto" w:fill="FFFFFF"/>
            <w:vAlign w:val="center"/>
          </w:tcPr>
          <w:p w14:paraId="7AE9BD0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非板载内存的可扩展插槽数量应≥4个</w:t>
            </w:r>
          </w:p>
        </w:tc>
        <w:tc>
          <w:tcPr>
            <w:tcW w:w="1296" w:type="dxa"/>
            <w:shd w:val="clear" w:color="auto" w:fill="FFFFFF"/>
            <w:vAlign w:val="center"/>
          </w:tcPr>
          <w:p w14:paraId="750576A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F783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74" w:type="dxa"/>
            <w:shd w:val="clear" w:color="auto" w:fill="FFFFFF"/>
            <w:vAlign w:val="center"/>
          </w:tcPr>
          <w:p w14:paraId="5456A9E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w:t>
            </w:r>
          </w:p>
        </w:tc>
        <w:tc>
          <w:tcPr>
            <w:tcW w:w="981" w:type="dxa"/>
            <w:shd w:val="clear" w:color="auto" w:fill="FFFFFF"/>
            <w:vAlign w:val="center"/>
          </w:tcPr>
          <w:p w14:paraId="384D85E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1535A10">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A543CA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★主板存储接口</w:t>
            </w:r>
          </w:p>
        </w:tc>
        <w:tc>
          <w:tcPr>
            <w:tcW w:w="4287" w:type="dxa"/>
            <w:shd w:val="clear" w:color="auto" w:fill="FFFFFF"/>
            <w:vAlign w:val="center"/>
          </w:tcPr>
          <w:p w14:paraId="20EA1BC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至少支持SATA、SAS、M.2、U.2等存储接口中的1种</w:t>
            </w:r>
          </w:p>
        </w:tc>
        <w:tc>
          <w:tcPr>
            <w:tcW w:w="1296" w:type="dxa"/>
            <w:shd w:val="clear" w:color="auto" w:fill="FFFFFF"/>
            <w:vAlign w:val="center"/>
          </w:tcPr>
          <w:p w14:paraId="51F172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D567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382C143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w:t>
            </w:r>
          </w:p>
        </w:tc>
        <w:tc>
          <w:tcPr>
            <w:tcW w:w="981" w:type="dxa"/>
            <w:shd w:val="clear" w:color="auto" w:fill="FFFFFF"/>
            <w:vAlign w:val="center"/>
          </w:tcPr>
          <w:p w14:paraId="4D6AA7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6A49E450">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F28556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★PCIe插槽接口</w:t>
            </w:r>
          </w:p>
        </w:tc>
        <w:tc>
          <w:tcPr>
            <w:tcW w:w="4287" w:type="dxa"/>
            <w:shd w:val="clear" w:color="auto" w:fill="FFFFFF"/>
            <w:vAlign w:val="center"/>
          </w:tcPr>
          <w:p w14:paraId="64C6B6E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符合PCIe3.0或以上的高速串行计算机扩展总线标准，PCIe的接口速率与位宽需保证向下兼容</w:t>
            </w:r>
          </w:p>
        </w:tc>
        <w:tc>
          <w:tcPr>
            <w:tcW w:w="1296" w:type="dxa"/>
            <w:shd w:val="clear" w:color="auto" w:fill="FFFFFF"/>
            <w:vAlign w:val="center"/>
          </w:tcPr>
          <w:p w14:paraId="48F14C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7666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74" w:type="dxa"/>
            <w:shd w:val="clear" w:color="auto" w:fill="FFFFFF"/>
            <w:vAlign w:val="center"/>
          </w:tcPr>
          <w:p w14:paraId="45C23E9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w:t>
            </w:r>
          </w:p>
        </w:tc>
        <w:tc>
          <w:tcPr>
            <w:tcW w:w="981" w:type="dxa"/>
            <w:shd w:val="clear" w:color="auto" w:fill="FFFFFF"/>
            <w:vAlign w:val="center"/>
          </w:tcPr>
          <w:p w14:paraId="276F4A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28FEC713">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C3128E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★主板PCIe插槽数量及规格</w:t>
            </w:r>
          </w:p>
        </w:tc>
        <w:tc>
          <w:tcPr>
            <w:tcW w:w="4287" w:type="dxa"/>
            <w:shd w:val="clear" w:color="auto" w:fill="FFFFFF"/>
            <w:vAlign w:val="center"/>
          </w:tcPr>
          <w:p w14:paraId="50ED16F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a）高度大于44.45mm双路或以上服务器PCIe插槽或接口应≥5个；</w:t>
            </w:r>
          </w:p>
          <w:p w14:paraId="5B8EB34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b）单路服务器PCIe插槽或接口应≥4个，可通过扩展卡进行插槽扩展</w:t>
            </w:r>
          </w:p>
        </w:tc>
        <w:tc>
          <w:tcPr>
            <w:tcW w:w="1296" w:type="dxa"/>
            <w:shd w:val="clear" w:color="auto" w:fill="FFFFFF"/>
            <w:vAlign w:val="center"/>
          </w:tcPr>
          <w:p w14:paraId="6C9706A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9B9D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728" w:hRule="atLeast"/>
        </w:trPr>
        <w:tc>
          <w:tcPr>
            <w:tcW w:w="774" w:type="dxa"/>
            <w:shd w:val="clear" w:color="auto" w:fill="FFFFFF"/>
            <w:vAlign w:val="center"/>
          </w:tcPr>
          <w:p w14:paraId="7D9B9D0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w:t>
            </w:r>
          </w:p>
        </w:tc>
        <w:tc>
          <w:tcPr>
            <w:tcW w:w="981" w:type="dxa"/>
            <w:shd w:val="clear" w:color="auto" w:fill="FFFFFF"/>
            <w:vAlign w:val="center"/>
          </w:tcPr>
          <w:p w14:paraId="48F4230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50251B51">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F7AD94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特殊孔位及接口</w:t>
            </w:r>
          </w:p>
        </w:tc>
        <w:tc>
          <w:tcPr>
            <w:tcW w:w="4287" w:type="dxa"/>
            <w:shd w:val="clear" w:color="auto" w:fill="FFFFFF"/>
            <w:vAlign w:val="center"/>
          </w:tcPr>
          <w:p w14:paraId="175B49E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服务器机箱内主板可根据用户实际使用需求支持安装多功能导入装置板卡，机箱内需预留多功能导入装置板卡安装位置，容量不小于55mm×45mm×15mm（长×宽×高，单位毫米）；b）服务器主板可根据用户实际使用需求预留满足USB2.0或USB3.0数据传输规范的接口，工作电压5V，采用USB2.0时，最大过电流应不小于0.5A，采用USB3.0时，最大过电流应不小于1A</w:t>
            </w:r>
          </w:p>
        </w:tc>
        <w:tc>
          <w:tcPr>
            <w:tcW w:w="1296" w:type="dxa"/>
            <w:shd w:val="clear" w:color="auto" w:fill="FFFFFF"/>
            <w:vAlign w:val="center"/>
          </w:tcPr>
          <w:p w14:paraId="3C9742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23FB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2FE84A4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981" w:type="dxa"/>
            <w:shd w:val="clear" w:color="auto" w:fill="FFFFFF"/>
            <w:vAlign w:val="center"/>
          </w:tcPr>
          <w:p w14:paraId="36A0BBC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24FDE4F">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46827E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板载网络接口</w:t>
            </w:r>
          </w:p>
        </w:tc>
        <w:tc>
          <w:tcPr>
            <w:tcW w:w="4287" w:type="dxa"/>
            <w:shd w:val="clear" w:color="auto" w:fill="FFFFFF"/>
            <w:vAlign w:val="center"/>
          </w:tcPr>
          <w:p w14:paraId="0895D2F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若支持板载网络接口应≥2个1GE网口</w:t>
            </w:r>
          </w:p>
        </w:tc>
        <w:tc>
          <w:tcPr>
            <w:tcW w:w="1296" w:type="dxa"/>
            <w:shd w:val="clear" w:color="auto" w:fill="FFFFFF"/>
            <w:vAlign w:val="center"/>
          </w:tcPr>
          <w:p w14:paraId="600B950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1A75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42A0F6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w:t>
            </w:r>
          </w:p>
        </w:tc>
        <w:tc>
          <w:tcPr>
            <w:tcW w:w="981" w:type="dxa"/>
            <w:shd w:val="clear" w:color="auto" w:fill="FFFFFF"/>
            <w:vAlign w:val="center"/>
          </w:tcPr>
          <w:p w14:paraId="2C615E1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2F9D4562">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71FF4F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主板OCP插槽数量</w:t>
            </w:r>
          </w:p>
        </w:tc>
        <w:tc>
          <w:tcPr>
            <w:tcW w:w="4287" w:type="dxa"/>
            <w:shd w:val="clear" w:color="auto" w:fill="FFFFFF"/>
            <w:vAlign w:val="center"/>
          </w:tcPr>
          <w:p w14:paraId="1E069B9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支持OCP2.0及以上插槽的数量≥1个</w:t>
            </w:r>
          </w:p>
        </w:tc>
        <w:tc>
          <w:tcPr>
            <w:tcW w:w="1296" w:type="dxa"/>
            <w:shd w:val="clear" w:color="auto" w:fill="FFFFFF"/>
            <w:vAlign w:val="center"/>
          </w:tcPr>
          <w:p w14:paraId="2D0537E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8A8F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74" w:type="dxa"/>
            <w:shd w:val="clear" w:color="auto" w:fill="FFFFFF"/>
            <w:vAlign w:val="center"/>
          </w:tcPr>
          <w:p w14:paraId="233F24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w:t>
            </w:r>
          </w:p>
        </w:tc>
        <w:tc>
          <w:tcPr>
            <w:tcW w:w="981" w:type="dxa"/>
            <w:shd w:val="clear" w:color="auto" w:fill="FFFFFF"/>
            <w:vAlign w:val="center"/>
          </w:tcPr>
          <w:p w14:paraId="1E98504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5CE66E5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内存规格</w:t>
            </w:r>
          </w:p>
        </w:tc>
        <w:tc>
          <w:tcPr>
            <w:tcW w:w="1206" w:type="dxa"/>
            <w:shd w:val="clear" w:color="auto" w:fill="FFFFFF"/>
            <w:vAlign w:val="center"/>
          </w:tcPr>
          <w:p w14:paraId="2327930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★内存数量</w:t>
            </w:r>
          </w:p>
        </w:tc>
        <w:tc>
          <w:tcPr>
            <w:tcW w:w="4287" w:type="dxa"/>
            <w:shd w:val="clear" w:color="auto" w:fill="FFFFFF"/>
            <w:vAlign w:val="center"/>
          </w:tcPr>
          <w:p w14:paraId="258414A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w:t>
            </w:r>
          </w:p>
        </w:tc>
        <w:tc>
          <w:tcPr>
            <w:tcW w:w="1296" w:type="dxa"/>
            <w:shd w:val="clear" w:color="auto" w:fill="FFFFFF"/>
            <w:vAlign w:val="center"/>
          </w:tcPr>
          <w:p w14:paraId="3E74488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221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74" w:type="dxa"/>
            <w:shd w:val="clear" w:color="auto" w:fill="FFFFFF"/>
            <w:vAlign w:val="center"/>
          </w:tcPr>
          <w:p w14:paraId="24812B0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w:t>
            </w:r>
          </w:p>
        </w:tc>
        <w:tc>
          <w:tcPr>
            <w:tcW w:w="981" w:type="dxa"/>
            <w:shd w:val="clear" w:color="auto" w:fill="FFFFFF"/>
            <w:vAlign w:val="center"/>
          </w:tcPr>
          <w:p w14:paraId="277C6FC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E32EA3B">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C53418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★内存规格</w:t>
            </w:r>
          </w:p>
        </w:tc>
        <w:tc>
          <w:tcPr>
            <w:tcW w:w="4287" w:type="dxa"/>
            <w:shd w:val="clear" w:color="auto" w:fill="FFFFFF"/>
            <w:vAlign w:val="center"/>
          </w:tcPr>
          <w:p w14:paraId="028C256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≥DDR4</w:t>
            </w:r>
          </w:p>
        </w:tc>
        <w:tc>
          <w:tcPr>
            <w:tcW w:w="1296" w:type="dxa"/>
            <w:shd w:val="clear" w:color="auto" w:fill="FFFFFF"/>
            <w:vAlign w:val="center"/>
          </w:tcPr>
          <w:p w14:paraId="1FA730E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6E58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trPr>
        <w:tc>
          <w:tcPr>
            <w:tcW w:w="774" w:type="dxa"/>
            <w:shd w:val="clear" w:color="auto" w:fill="FFFFFF"/>
            <w:vAlign w:val="center"/>
          </w:tcPr>
          <w:p w14:paraId="4E53D5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w:t>
            </w:r>
          </w:p>
        </w:tc>
        <w:tc>
          <w:tcPr>
            <w:tcW w:w="981" w:type="dxa"/>
            <w:shd w:val="clear" w:color="auto" w:fill="FFFFFF"/>
            <w:vAlign w:val="center"/>
          </w:tcPr>
          <w:p w14:paraId="271306F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EFB75DB">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D2923F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★内存通道</w:t>
            </w:r>
          </w:p>
        </w:tc>
        <w:tc>
          <w:tcPr>
            <w:tcW w:w="4287" w:type="dxa"/>
            <w:shd w:val="clear" w:color="auto" w:fill="FFFFFF"/>
            <w:vAlign w:val="center"/>
          </w:tcPr>
          <w:p w14:paraId="3EC4D39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支持多个内存接口通道，每个通道可支持1DPC或2DPC，当支持2DPC时，印制电路板上应具备插槽的序号标识，具体通道数应在随机文件中明确</w:t>
            </w:r>
          </w:p>
        </w:tc>
        <w:tc>
          <w:tcPr>
            <w:tcW w:w="1296" w:type="dxa"/>
            <w:shd w:val="clear" w:color="auto" w:fill="FFFFFF"/>
            <w:vAlign w:val="center"/>
          </w:tcPr>
          <w:p w14:paraId="0623E1A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0C93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1238730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w:t>
            </w:r>
          </w:p>
        </w:tc>
        <w:tc>
          <w:tcPr>
            <w:tcW w:w="981" w:type="dxa"/>
            <w:shd w:val="clear" w:color="auto" w:fill="FFFFFF"/>
            <w:vAlign w:val="center"/>
          </w:tcPr>
          <w:p w14:paraId="1A10F05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191DF8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存储规格</w:t>
            </w:r>
          </w:p>
        </w:tc>
        <w:tc>
          <w:tcPr>
            <w:tcW w:w="1206" w:type="dxa"/>
            <w:shd w:val="clear" w:color="auto" w:fill="FFFFFF"/>
            <w:vAlign w:val="center"/>
          </w:tcPr>
          <w:p w14:paraId="7DEF7F2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硬盘类型</w:t>
            </w:r>
          </w:p>
        </w:tc>
        <w:tc>
          <w:tcPr>
            <w:tcW w:w="4287" w:type="dxa"/>
            <w:shd w:val="clear" w:color="auto" w:fill="FFFFFF"/>
            <w:vAlign w:val="center"/>
          </w:tcPr>
          <w:p w14:paraId="0FD9F04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供应商给出服务器支持硬磁盘和固态盘类型及规格</w:t>
            </w:r>
          </w:p>
        </w:tc>
        <w:tc>
          <w:tcPr>
            <w:tcW w:w="1296" w:type="dxa"/>
            <w:shd w:val="clear" w:color="auto" w:fill="FFFFFF"/>
            <w:vAlign w:val="center"/>
          </w:tcPr>
          <w:p w14:paraId="1448BF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105E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10C672A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w:t>
            </w:r>
          </w:p>
        </w:tc>
        <w:tc>
          <w:tcPr>
            <w:tcW w:w="981" w:type="dxa"/>
            <w:shd w:val="clear" w:color="auto" w:fill="FFFFFF"/>
            <w:vAlign w:val="center"/>
          </w:tcPr>
          <w:p w14:paraId="6F221E7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E8EC3E1">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F01DA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★硬磁盘实配容量</w:t>
            </w:r>
          </w:p>
        </w:tc>
        <w:tc>
          <w:tcPr>
            <w:tcW w:w="4287" w:type="dxa"/>
            <w:shd w:val="clear" w:color="auto" w:fill="FFFFFF"/>
            <w:vAlign w:val="center"/>
          </w:tcPr>
          <w:p w14:paraId="0E31578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硬盘1：≥1.92T SATA SSD</w:t>
            </w:r>
          </w:p>
        </w:tc>
        <w:tc>
          <w:tcPr>
            <w:tcW w:w="1296" w:type="dxa"/>
            <w:shd w:val="clear" w:color="auto" w:fill="FFFFFF"/>
            <w:vAlign w:val="center"/>
          </w:tcPr>
          <w:p w14:paraId="1B772DF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940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74" w:type="dxa"/>
            <w:shd w:val="clear" w:color="auto" w:fill="FFFFFF"/>
            <w:vAlign w:val="center"/>
          </w:tcPr>
          <w:p w14:paraId="0D1A44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w:t>
            </w:r>
          </w:p>
        </w:tc>
        <w:tc>
          <w:tcPr>
            <w:tcW w:w="981" w:type="dxa"/>
            <w:shd w:val="clear" w:color="auto" w:fill="FFFFFF"/>
            <w:vAlign w:val="center"/>
          </w:tcPr>
          <w:p w14:paraId="278C274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16B36B77">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E4695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硬盘接口类型</w:t>
            </w:r>
          </w:p>
        </w:tc>
        <w:tc>
          <w:tcPr>
            <w:tcW w:w="4287" w:type="dxa"/>
            <w:shd w:val="clear" w:color="auto" w:fill="FFFFFF"/>
            <w:vAlign w:val="center"/>
          </w:tcPr>
          <w:p w14:paraId="06F0E2A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a）若配备硬磁盘，应提供SAS3.0或SATA3.0及以上接口；b）若配备固态盘，应提供至少1种类型固态盘接口，如UFS、SATA、PCIe等</w:t>
            </w:r>
          </w:p>
        </w:tc>
        <w:tc>
          <w:tcPr>
            <w:tcW w:w="1296" w:type="dxa"/>
            <w:shd w:val="clear" w:color="auto" w:fill="FFFFFF"/>
            <w:vAlign w:val="center"/>
          </w:tcPr>
          <w:p w14:paraId="241973D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812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203C3B3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w:t>
            </w:r>
          </w:p>
        </w:tc>
        <w:tc>
          <w:tcPr>
            <w:tcW w:w="981" w:type="dxa"/>
            <w:shd w:val="clear" w:color="auto" w:fill="FFFFFF"/>
            <w:vAlign w:val="center"/>
          </w:tcPr>
          <w:p w14:paraId="660FB5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48D4A8C">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FDC5C0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★硬盘实配数量</w:t>
            </w:r>
          </w:p>
        </w:tc>
        <w:tc>
          <w:tcPr>
            <w:tcW w:w="4287" w:type="dxa"/>
            <w:shd w:val="clear" w:color="auto" w:fill="FFFFFF"/>
            <w:vAlign w:val="center"/>
          </w:tcPr>
          <w:p w14:paraId="6ED7BAF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硬盘1：≥2块1.92T SATA SSD</w:t>
            </w:r>
          </w:p>
        </w:tc>
        <w:tc>
          <w:tcPr>
            <w:tcW w:w="1296" w:type="dxa"/>
            <w:shd w:val="clear" w:color="auto" w:fill="FFFFFF"/>
            <w:vAlign w:val="center"/>
          </w:tcPr>
          <w:p w14:paraId="49402D6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567E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774" w:type="dxa"/>
            <w:shd w:val="clear" w:color="auto" w:fill="FFFFFF"/>
            <w:vAlign w:val="center"/>
          </w:tcPr>
          <w:p w14:paraId="57C1BD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17</w:t>
            </w:r>
          </w:p>
        </w:tc>
        <w:tc>
          <w:tcPr>
            <w:tcW w:w="981" w:type="dxa"/>
            <w:shd w:val="clear" w:color="auto" w:fill="FFFFFF"/>
            <w:vAlign w:val="center"/>
          </w:tcPr>
          <w:p w14:paraId="1907FD1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1F07DF12">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5A5C0B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★硬盘插槽数量及规格</w:t>
            </w:r>
          </w:p>
        </w:tc>
        <w:tc>
          <w:tcPr>
            <w:tcW w:w="4287" w:type="dxa"/>
            <w:shd w:val="clear" w:color="auto" w:fill="FFFFFF"/>
            <w:vAlign w:val="center"/>
          </w:tcPr>
          <w:p w14:paraId="7348296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供应商应给出配置的硬盘尺寸，如2.5英寸、3.5英寸硬磁盘；b）机箱高度为88.9mm的服务器可支持的硬盘数量应≥8块，机箱高度为44.45mm的服务器可支持的硬盘数量应≥4块。c）存储型服务器可支持硬盘数量应≥24块</w:t>
            </w:r>
          </w:p>
        </w:tc>
        <w:tc>
          <w:tcPr>
            <w:tcW w:w="1296" w:type="dxa"/>
            <w:shd w:val="clear" w:color="auto" w:fill="FFFFFF"/>
            <w:vAlign w:val="center"/>
          </w:tcPr>
          <w:p w14:paraId="220CCD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E121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74" w:type="dxa"/>
            <w:shd w:val="clear" w:color="auto" w:fill="FFFFFF"/>
            <w:vAlign w:val="center"/>
          </w:tcPr>
          <w:p w14:paraId="7648ECA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18</w:t>
            </w:r>
          </w:p>
        </w:tc>
        <w:tc>
          <w:tcPr>
            <w:tcW w:w="981" w:type="dxa"/>
            <w:shd w:val="clear" w:color="auto" w:fill="FFFFFF"/>
            <w:vAlign w:val="center"/>
          </w:tcPr>
          <w:p w14:paraId="2310E4F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6F0E4853">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36C84D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硬盘其他参数要求</w:t>
            </w:r>
          </w:p>
        </w:tc>
        <w:tc>
          <w:tcPr>
            <w:tcW w:w="4287" w:type="dxa"/>
            <w:shd w:val="clear" w:color="auto" w:fill="FFFFFF"/>
            <w:vAlign w:val="center"/>
          </w:tcPr>
          <w:p w14:paraId="478B838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drawing>
                <wp:anchor distT="0" distB="0" distL="114300" distR="114300" simplePos="0" relativeHeight="251665408" behindDoc="0" locked="0" layoutInCell="1" allowOverlap="1">
                  <wp:simplePos x="0" y="0"/>
                  <wp:positionH relativeFrom="column">
                    <wp:posOffset>9525</wp:posOffset>
                  </wp:positionH>
                  <wp:positionV relativeFrom="paragraph">
                    <wp:posOffset>471170</wp:posOffset>
                  </wp:positionV>
                  <wp:extent cx="76200" cy="47625"/>
                  <wp:effectExtent l="0" t="0" r="0" b="0"/>
                  <wp:wrapNone/>
                  <wp:docPr id="7" name="图片 7"/>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5"/>
                          <a:stretch>
                            <a:fillRect/>
                          </a:stretch>
                        </pic:blipFill>
                        <pic:spPr>
                          <a:xfrm>
                            <a:off x="0" y="0"/>
                            <a:ext cx="76200" cy="47625"/>
                          </a:xfrm>
                          <a:prstGeom prst="rect">
                            <a:avLst/>
                          </a:prstGeom>
                          <a:noFill/>
                          <a:ln>
                            <a:noFill/>
                          </a:ln>
                        </pic:spPr>
                      </pic:pic>
                    </a:graphicData>
                  </a:graphic>
                </wp:anchor>
              </w:drawing>
            </w:r>
            <w:r>
              <w:rPr>
                <w:rFonts w:hint="eastAsia" w:asciiTheme="minorEastAsia" w:hAnsiTheme="minorEastAsia" w:eastAsiaTheme="minorEastAsia" w:cstheme="minorEastAsia"/>
                <w:kern w:val="0"/>
                <w:sz w:val="24"/>
              </w:rPr>
              <w:t>a）机械硬盘准备时间应≤30s；侧面固定螺丝孔数量可为4孔或6孔；工作状态环境温度应满足5℃55℃,其他参数应符合GB/T12628的相关规定；b）若服务器支持固态盘，固态盘符合SJ/T11654相关规定</w:t>
            </w:r>
          </w:p>
        </w:tc>
        <w:tc>
          <w:tcPr>
            <w:tcW w:w="1296" w:type="dxa"/>
            <w:shd w:val="clear" w:color="auto" w:fill="FFFFFF"/>
            <w:vAlign w:val="center"/>
          </w:tcPr>
          <w:p w14:paraId="38BACA9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8614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74" w:type="dxa"/>
            <w:shd w:val="clear" w:color="auto" w:fill="FFFFFF"/>
            <w:vAlign w:val="center"/>
          </w:tcPr>
          <w:p w14:paraId="31C4B20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19</w:t>
            </w:r>
          </w:p>
        </w:tc>
        <w:tc>
          <w:tcPr>
            <w:tcW w:w="981" w:type="dxa"/>
            <w:shd w:val="clear" w:color="auto" w:fill="FFFFFF"/>
            <w:vAlign w:val="center"/>
          </w:tcPr>
          <w:p w14:paraId="3411CE5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shd w:val="clear" w:color="auto" w:fill="FFFFFF"/>
            <w:vAlign w:val="center"/>
          </w:tcPr>
          <w:p w14:paraId="7E8EEFE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RAID卡规格（若支持RAID卡）</w:t>
            </w:r>
          </w:p>
        </w:tc>
        <w:tc>
          <w:tcPr>
            <w:tcW w:w="1206" w:type="dxa"/>
            <w:shd w:val="clear" w:color="auto" w:fill="FFFFFF"/>
            <w:vAlign w:val="center"/>
          </w:tcPr>
          <w:p w14:paraId="01A2ADB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RAID卡支持的SAS接口数</w:t>
            </w:r>
          </w:p>
        </w:tc>
        <w:tc>
          <w:tcPr>
            <w:tcW w:w="4287" w:type="dxa"/>
            <w:shd w:val="clear" w:color="auto" w:fill="FFFFFF"/>
            <w:vAlign w:val="center"/>
          </w:tcPr>
          <w:p w14:paraId="25226B9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1296" w:type="dxa"/>
            <w:shd w:val="clear" w:color="auto" w:fill="FFFFFF"/>
            <w:vAlign w:val="center"/>
          </w:tcPr>
          <w:p w14:paraId="7058472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06DB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74" w:type="dxa"/>
            <w:shd w:val="clear" w:color="auto" w:fill="FFFFFF"/>
            <w:vAlign w:val="center"/>
          </w:tcPr>
          <w:p w14:paraId="3ED0CA5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20</w:t>
            </w:r>
          </w:p>
        </w:tc>
        <w:tc>
          <w:tcPr>
            <w:tcW w:w="981" w:type="dxa"/>
            <w:shd w:val="clear" w:color="auto" w:fill="FFFFFF"/>
            <w:vAlign w:val="center"/>
          </w:tcPr>
          <w:p w14:paraId="672C557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shd w:val="clear" w:color="auto" w:fill="FFFFFF"/>
            <w:vAlign w:val="center"/>
          </w:tcPr>
          <w:p w14:paraId="4511DA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SAS直通卡规格（若支持SAS直通卡）</w:t>
            </w:r>
          </w:p>
        </w:tc>
        <w:tc>
          <w:tcPr>
            <w:tcW w:w="1206" w:type="dxa"/>
            <w:shd w:val="clear" w:color="auto" w:fill="FFFFFF"/>
            <w:vAlign w:val="center"/>
          </w:tcPr>
          <w:p w14:paraId="5026037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SAS直通卡SAS接口数量</w:t>
            </w:r>
          </w:p>
        </w:tc>
        <w:tc>
          <w:tcPr>
            <w:tcW w:w="4287" w:type="dxa"/>
            <w:shd w:val="clear" w:color="auto" w:fill="FFFFFF"/>
            <w:vAlign w:val="center"/>
          </w:tcPr>
          <w:p w14:paraId="13B2E50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≥0</w:t>
            </w:r>
          </w:p>
        </w:tc>
        <w:tc>
          <w:tcPr>
            <w:tcW w:w="1296" w:type="dxa"/>
            <w:shd w:val="clear" w:color="auto" w:fill="FFFFFF"/>
            <w:vAlign w:val="center"/>
          </w:tcPr>
          <w:p w14:paraId="34EAC5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2A72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74" w:type="dxa"/>
            <w:shd w:val="clear" w:color="auto" w:fill="FFFFFF"/>
            <w:vAlign w:val="center"/>
          </w:tcPr>
          <w:p w14:paraId="64D05F2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21</w:t>
            </w:r>
          </w:p>
        </w:tc>
        <w:tc>
          <w:tcPr>
            <w:tcW w:w="981" w:type="dxa"/>
            <w:shd w:val="clear" w:color="auto" w:fill="FFFFFF"/>
            <w:vAlign w:val="center"/>
          </w:tcPr>
          <w:p w14:paraId="73061E4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shd w:val="clear" w:color="auto" w:fill="FFFFFF"/>
            <w:vAlign w:val="center"/>
          </w:tcPr>
          <w:p w14:paraId="1E548DF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HBA卡规格（若支HBA直通卡）</w:t>
            </w:r>
          </w:p>
        </w:tc>
        <w:tc>
          <w:tcPr>
            <w:tcW w:w="1206" w:type="dxa"/>
            <w:shd w:val="clear" w:color="auto" w:fill="FFFFFF"/>
            <w:vAlign w:val="center"/>
          </w:tcPr>
          <w:p w14:paraId="2F9A71F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HBA卡端口数量</w:t>
            </w:r>
          </w:p>
        </w:tc>
        <w:tc>
          <w:tcPr>
            <w:tcW w:w="4287" w:type="dxa"/>
            <w:shd w:val="clear" w:color="auto" w:fill="FFFFFF"/>
            <w:vAlign w:val="center"/>
          </w:tcPr>
          <w:p w14:paraId="6D696A8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≥2个双口</w:t>
            </w:r>
          </w:p>
        </w:tc>
        <w:tc>
          <w:tcPr>
            <w:tcW w:w="1296" w:type="dxa"/>
            <w:shd w:val="clear" w:color="auto" w:fill="FFFFFF"/>
            <w:vAlign w:val="center"/>
          </w:tcPr>
          <w:p w14:paraId="7605BA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7AFD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19955EE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22</w:t>
            </w:r>
          </w:p>
        </w:tc>
        <w:tc>
          <w:tcPr>
            <w:tcW w:w="981" w:type="dxa"/>
            <w:shd w:val="clear" w:color="auto" w:fill="FFFFFF"/>
            <w:vAlign w:val="center"/>
          </w:tcPr>
          <w:p w14:paraId="3954040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630FC5F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网络规格</w:t>
            </w:r>
          </w:p>
        </w:tc>
        <w:tc>
          <w:tcPr>
            <w:tcW w:w="1206" w:type="dxa"/>
            <w:shd w:val="clear" w:color="auto" w:fill="FFFFFF"/>
            <w:vAlign w:val="center"/>
          </w:tcPr>
          <w:p w14:paraId="3B51950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★网口速率和数量</w:t>
            </w:r>
          </w:p>
        </w:tc>
        <w:tc>
          <w:tcPr>
            <w:tcW w:w="4287" w:type="dxa"/>
            <w:shd w:val="clear" w:color="auto" w:fill="FFFFFF"/>
            <w:vAlign w:val="center"/>
          </w:tcPr>
          <w:p w14:paraId="1404ACD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配置10GE光口≥4个（满配10GE多模光模块）</w:t>
            </w:r>
          </w:p>
          <w:p w14:paraId="2E246FF5">
            <w:pPr>
              <w:widowControl/>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配置1GE电口≥2个</w:t>
            </w:r>
          </w:p>
        </w:tc>
        <w:tc>
          <w:tcPr>
            <w:tcW w:w="1296" w:type="dxa"/>
            <w:shd w:val="clear" w:color="auto" w:fill="FFFFFF"/>
            <w:vAlign w:val="center"/>
          </w:tcPr>
          <w:p w14:paraId="5E26A4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2782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74" w:type="dxa"/>
            <w:shd w:val="clear" w:color="auto" w:fill="FFFFFF"/>
            <w:vAlign w:val="center"/>
          </w:tcPr>
          <w:p w14:paraId="414B52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23</w:t>
            </w:r>
          </w:p>
        </w:tc>
        <w:tc>
          <w:tcPr>
            <w:tcW w:w="981" w:type="dxa"/>
            <w:shd w:val="clear" w:color="auto" w:fill="FFFFFF"/>
            <w:vAlign w:val="center"/>
          </w:tcPr>
          <w:p w14:paraId="08CD22F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06BA7CE">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4A7F34D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存储型服务器网口速率和数量</w:t>
            </w:r>
          </w:p>
        </w:tc>
        <w:tc>
          <w:tcPr>
            <w:tcW w:w="4287" w:type="dxa"/>
            <w:shd w:val="clear" w:color="auto" w:fill="FFFFFF"/>
            <w:vAlign w:val="center"/>
          </w:tcPr>
          <w:p w14:paraId="391B478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存储型服务器1GE 网口数量≥2 个，10GE 以上网口数量≥2个（不涉及）</w:t>
            </w:r>
          </w:p>
        </w:tc>
        <w:tc>
          <w:tcPr>
            <w:tcW w:w="1296" w:type="dxa"/>
            <w:shd w:val="clear" w:color="auto" w:fill="FFFFFF"/>
            <w:vAlign w:val="center"/>
          </w:tcPr>
          <w:p w14:paraId="165F8D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BB5F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74" w:type="dxa"/>
            <w:shd w:val="clear" w:color="auto" w:fill="FFFFFF"/>
            <w:vAlign w:val="center"/>
          </w:tcPr>
          <w:p w14:paraId="75AF7BC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24</w:t>
            </w:r>
          </w:p>
        </w:tc>
        <w:tc>
          <w:tcPr>
            <w:tcW w:w="981" w:type="dxa"/>
            <w:shd w:val="clear" w:color="auto" w:fill="FFFFFF"/>
            <w:vAlign w:val="center"/>
          </w:tcPr>
          <w:p w14:paraId="0DA57E7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4E255E6">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923905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独立网卡网口数量</w:t>
            </w:r>
          </w:p>
        </w:tc>
        <w:tc>
          <w:tcPr>
            <w:tcW w:w="4287" w:type="dxa"/>
            <w:shd w:val="clear" w:color="auto" w:fill="FFFFFF"/>
            <w:vAlign w:val="center"/>
          </w:tcPr>
          <w:p w14:paraId="6DC5964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配备10GE独立网卡，独立网卡网口数量≥2</w:t>
            </w:r>
          </w:p>
        </w:tc>
        <w:tc>
          <w:tcPr>
            <w:tcW w:w="1296" w:type="dxa"/>
            <w:shd w:val="clear" w:color="auto" w:fill="FFFFFF"/>
            <w:vAlign w:val="center"/>
          </w:tcPr>
          <w:p w14:paraId="0A01DD4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AB42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7DB8E25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25</w:t>
            </w:r>
          </w:p>
        </w:tc>
        <w:tc>
          <w:tcPr>
            <w:tcW w:w="981" w:type="dxa"/>
            <w:shd w:val="clear" w:color="auto" w:fill="FFFFFF"/>
            <w:vAlign w:val="center"/>
          </w:tcPr>
          <w:p w14:paraId="67F1769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D467DC7">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68EB9C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独立网卡接口类型</w:t>
            </w:r>
          </w:p>
        </w:tc>
        <w:tc>
          <w:tcPr>
            <w:tcW w:w="4287" w:type="dxa"/>
            <w:shd w:val="clear" w:color="auto" w:fill="FFFFFF"/>
            <w:vAlign w:val="center"/>
          </w:tcPr>
          <w:p w14:paraId="06124E4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支持RJ45/QSFP/SFP等</w:t>
            </w:r>
          </w:p>
        </w:tc>
        <w:tc>
          <w:tcPr>
            <w:tcW w:w="1296" w:type="dxa"/>
            <w:shd w:val="clear" w:color="auto" w:fill="FFFFFF"/>
            <w:vAlign w:val="center"/>
          </w:tcPr>
          <w:p w14:paraId="0F25E3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39B6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30FE77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26</w:t>
            </w:r>
          </w:p>
        </w:tc>
        <w:tc>
          <w:tcPr>
            <w:tcW w:w="981" w:type="dxa"/>
            <w:shd w:val="clear" w:color="auto" w:fill="FFFFFF"/>
            <w:vAlign w:val="center"/>
          </w:tcPr>
          <w:p w14:paraId="57AEE06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61427618">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3A5D0B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板载网卡接口类型</w:t>
            </w:r>
          </w:p>
        </w:tc>
        <w:tc>
          <w:tcPr>
            <w:tcW w:w="4287" w:type="dxa"/>
            <w:shd w:val="clear" w:color="auto" w:fill="FFFFFF"/>
            <w:vAlign w:val="center"/>
          </w:tcPr>
          <w:p w14:paraId="6EADFC9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支持RJ45/QSFP/SFP等</w:t>
            </w:r>
          </w:p>
        </w:tc>
        <w:tc>
          <w:tcPr>
            <w:tcW w:w="1296" w:type="dxa"/>
            <w:shd w:val="clear" w:color="auto" w:fill="FFFFFF"/>
            <w:vAlign w:val="center"/>
          </w:tcPr>
          <w:p w14:paraId="00E9F5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5AF8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19C8BB7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27</w:t>
            </w:r>
          </w:p>
        </w:tc>
        <w:tc>
          <w:tcPr>
            <w:tcW w:w="981" w:type="dxa"/>
            <w:shd w:val="clear" w:color="auto" w:fill="FFFFFF"/>
            <w:vAlign w:val="center"/>
          </w:tcPr>
          <w:p w14:paraId="4157A6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167BE72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外部接口规格</w:t>
            </w:r>
          </w:p>
        </w:tc>
        <w:tc>
          <w:tcPr>
            <w:tcW w:w="1206" w:type="dxa"/>
            <w:shd w:val="clear" w:color="auto" w:fill="FFFFFF"/>
            <w:vAlign w:val="center"/>
          </w:tcPr>
          <w:p w14:paraId="058F3C3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★显示接口</w:t>
            </w:r>
          </w:p>
        </w:tc>
        <w:tc>
          <w:tcPr>
            <w:tcW w:w="4287" w:type="dxa"/>
            <w:shd w:val="clear" w:color="auto" w:fill="FFFFFF"/>
            <w:vAlign w:val="center"/>
          </w:tcPr>
          <w:p w14:paraId="5E81279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显示接口类型应≥1种，如：VGA、DP、HDMI等</w:t>
            </w:r>
          </w:p>
        </w:tc>
        <w:tc>
          <w:tcPr>
            <w:tcW w:w="1296" w:type="dxa"/>
            <w:shd w:val="clear" w:color="auto" w:fill="FFFFFF"/>
            <w:vAlign w:val="center"/>
          </w:tcPr>
          <w:p w14:paraId="673F0DE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2A4F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74" w:type="dxa"/>
            <w:shd w:val="clear" w:color="auto" w:fill="FFFFFF"/>
            <w:vAlign w:val="center"/>
          </w:tcPr>
          <w:p w14:paraId="1BDDBC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28</w:t>
            </w:r>
          </w:p>
        </w:tc>
        <w:tc>
          <w:tcPr>
            <w:tcW w:w="981" w:type="dxa"/>
            <w:shd w:val="clear" w:color="auto" w:fill="FFFFFF"/>
            <w:vAlign w:val="center"/>
          </w:tcPr>
          <w:p w14:paraId="20F7CB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5F75C8B2">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C311F1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★USB接口</w:t>
            </w:r>
          </w:p>
        </w:tc>
        <w:tc>
          <w:tcPr>
            <w:tcW w:w="4287" w:type="dxa"/>
            <w:shd w:val="clear" w:color="auto" w:fill="FFFFFF"/>
            <w:vAlign w:val="center"/>
          </w:tcPr>
          <w:p w14:paraId="0CB66B0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配备USB接口，如USB2.0、USB3.0等</w:t>
            </w:r>
          </w:p>
        </w:tc>
        <w:tc>
          <w:tcPr>
            <w:tcW w:w="1296" w:type="dxa"/>
            <w:shd w:val="clear" w:color="auto" w:fill="FFFFFF"/>
            <w:vAlign w:val="center"/>
          </w:tcPr>
          <w:p w14:paraId="55AE5CD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192B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2E675FB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29</w:t>
            </w:r>
          </w:p>
        </w:tc>
        <w:tc>
          <w:tcPr>
            <w:tcW w:w="981" w:type="dxa"/>
            <w:shd w:val="clear" w:color="auto" w:fill="FFFFFF"/>
            <w:vAlign w:val="center"/>
          </w:tcPr>
          <w:p w14:paraId="7B022E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C3B1A5D">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4C82F3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特殊接口及孔位</w:t>
            </w:r>
          </w:p>
        </w:tc>
        <w:tc>
          <w:tcPr>
            <w:tcW w:w="4287" w:type="dxa"/>
            <w:shd w:val="clear" w:color="auto" w:fill="FFFFFF"/>
            <w:vAlign w:val="center"/>
          </w:tcPr>
          <w:p w14:paraId="4CFC9FD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前面板预留1个专用USB母座接口孔位</w:t>
            </w:r>
          </w:p>
        </w:tc>
        <w:tc>
          <w:tcPr>
            <w:tcW w:w="1296" w:type="dxa"/>
            <w:shd w:val="clear" w:color="auto" w:fill="FFFFFF"/>
            <w:vAlign w:val="center"/>
          </w:tcPr>
          <w:p w14:paraId="1A86B3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23F3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774" w:type="dxa"/>
            <w:shd w:val="clear" w:color="auto" w:fill="FFFFFF"/>
            <w:vAlign w:val="center"/>
          </w:tcPr>
          <w:p w14:paraId="24E45B6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30</w:t>
            </w:r>
          </w:p>
        </w:tc>
        <w:tc>
          <w:tcPr>
            <w:tcW w:w="981" w:type="dxa"/>
            <w:shd w:val="clear" w:color="auto" w:fill="FFFFFF"/>
            <w:vAlign w:val="center"/>
          </w:tcPr>
          <w:p w14:paraId="2073F77D">
            <w:pPr>
              <w:widowControl/>
              <w:jc w:val="center"/>
              <w:rPr>
                <w:rFonts w:asciiTheme="minorEastAsia" w:hAnsiTheme="minorEastAsia" w:eastAsiaTheme="minorEastAsia" w:cstheme="minorEastAsia"/>
                <w:kern w:val="0"/>
                <w:sz w:val="24"/>
              </w:rPr>
            </w:pPr>
          </w:p>
        </w:tc>
        <w:tc>
          <w:tcPr>
            <w:tcW w:w="981" w:type="dxa"/>
            <w:vMerge w:val="continue"/>
            <w:shd w:val="clear" w:color="auto" w:fill="FFFFFF"/>
            <w:vAlign w:val="center"/>
          </w:tcPr>
          <w:p w14:paraId="0D471632">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A3E120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其他接口</w:t>
            </w:r>
          </w:p>
        </w:tc>
        <w:tc>
          <w:tcPr>
            <w:tcW w:w="4287" w:type="dxa"/>
            <w:shd w:val="clear" w:color="auto" w:fill="FFFFFF"/>
            <w:vAlign w:val="center"/>
          </w:tcPr>
          <w:p w14:paraId="0311874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a）串口数量≥1个，并可实现GB/T6107或GB/T26803.2的相关功能；b）服务器主机前面板可根据用户实际使用需求预留1个专用USB母座接口孔位</w:t>
            </w:r>
          </w:p>
        </w:tc>
        <w:tc>
          <w:tcPr>
            <w:tcW w:w="1296" w:type="dxa"/>
            <w:shd w:val="clear" w:color="auto" w:fill="FFFFFF"/>
            <w:vAlign w:val="center"/>
          </w:tcPr>
          <w:p w14:paraId="493C8B4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69A8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64B37AF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31</w:t>
            </w:r>
          </w:p>
        </w:tc>
        <w:tc>
          <w:tcPr>
            <w:tcW w:w="981" w:type="dxa"/>
            <w:shd w:val="clear" w:color="auto" w:fill="FFFFFF"/>
            <w:vAlign w:val="center"/>
          </w:tcPr>
          <w:p w14:paraId="5A6B96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65AFEEE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电源规格</w:t>
            </w:r>
          </w:p>
        </w:tc>
        <w:tc>
          <w:tcPr>
            <w:tcW w:w="1206" w:type="dxa"/>
            <w:shd w:val="clear" w:color="auto" w:fill="FFFFFF"/>
            <w:vAlign w:val="center"/>
          </w:tcPr>
          <w:p w14:paraId="7C0A055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电源冗余模式</w:t>
            </w:r>
          </w:p>
        </w:tc>
        <w:tc>
          <w:tcPr>
            <w:tcW w:w="4287" w:type="dxa"/>
            <w:shd w:val="clear" w:color="auto" w:fill="FFFFFF"/>
            <w:vAlign w:val="center"/>
          </w:tcPr>
          <w:p w14:paraId="6AC3C17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整机电源模块按1+1冗余或N+1冗余配置</w:t>
            </w:r>
          </w:p>
        </w:tc>
        <w:tc>
          <w:tcPr>
            <w:tcW w:w="1296" w:type="dxa"/>
            <w:shd w:val="clear" w:color="auto" w:fill="FFFFFF"/>
            <w:vAlign w:val="center"/>
          </w:tcPr>
          <w:p w14:paraId="0C8A9FA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BEA6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74" w:type="dxa"/>
            <w:shd w:val="clear" w:color="auto" w:fill="FFFFFF"/>
            <w:vAlign w:val="center"/>
          </w:tcPr>
          <w:p w14:paraId="22D236D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w:t>
            </w:r>
          </w:p>
        </w:tc>
        <w:tc>
          <w:tcPr>
            <w:tcW w:w="981" w:type="dxa"/>
            <w:shd w:val="clear" w:color="auto" w:fill="FFFFFF"/>
            <w:vAlign w:val="center"/>
          </w:tcPr>
          <w:p w14:paraId="1AB2096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766DED2">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1673DC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★电源模块数量</w:t>
            </w:r>
          </w:p>
        </w:tc>
        <w:tc>
          <w:tcPr>
            <w:tcW w:w="4287" w:type="dxa"/>
            <w:shd w:val="clear" w:color="auto" w:fill="FFFFFF"/>
            <w:vAlign w:val="center"/>
          </w:tcPr>
          <w:p w14:paraId="44BE902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1296" w:type="dxa"/>
            <w:shd w:val="clear" w:color="auto" w:fill="FFFFFF"/>
            <w:vAlign w:val="center"/>
          </w:tcPr>
          <w:p w14:paraId="234563D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8CA3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543E5BC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33</w:t>
            </w:r>
          </w:p>
        </w:tc>
        <w:tc>
          <w:tcPr>
            <w:tcW w:w="981" w:type="dxa"/>
            <w:shd w:val="clear" w:color="auto" w:fill="FFFFFF"/>
            <w:vAlign w:val="center"/>
          </w:tcPr>
          <w:p w14:paraId="3DC9559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545F2C76">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DF6C3D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★电源功率</w:t>
            </w:r>
          </w:p>
        </w:tc>
        <w:tc>
          <w:tcPr>
            <w:tcW w:w="4287" w:type="dxa"/>
            <w:shd w:val="clear" w:color="auto" w:fill="FFFFFF"/>
            <w:vAlign w:val="center"/>
          </w:tcPr>
          <w:p w14:paraId="7DBC513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电源模块功率应有一定冗余，满足处理器满载时的需求</w:t>
            </w:r>
          </w:p>
        </w:tc>
        <w:tc>
          <w:tcPr>
            <w:tcW w:w="1296" w:type="dxa"/>
            <w:shd w:val="clear" w:color="auto" w:fill="FFFFFF"/>
            <w:vAlign w:val="center"/>
          </w:tcPr>
          <w:p w14:paraId="472E7F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1A79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74" w:type="dxa"/>
            <w:shd w:val="clear" w:color="auto" w:fill="FFFFFF"/>
            <w:vAlign w:val="center"/>
          </w:tcPr>
          <w:p w14:paraId="416015E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34</w:t>
            </w:r>
          </w:p>
        </w:tc>
        <w:tc>
          <w:tcPr>
            <w:tcW w:w="981" w:type="dxa"/>
            <w:shd w:val="clear" w:color="auto" w:fill="FFFFFF"/>
            <w:vAlign w:val="center"/>
          </w:tcPr>
          <w:p w14:paraId="056666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367121F">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B9C3F9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电源指示灯</w:t>
            </w:r>
          </w:p>
        </w:tc>
        <w:tc>
          <w:tcPr>
            <w:tcW w:w="4287" w:type="dxa"/>
            <w:shd w:val="clear" w:color="auto" w:fill="FFFFFF"/>
            <w:vAlign w:val="center"/>
          </w:tcPr>
          <w:p w14:paraId="0AC4A74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配备电源指示灯，指示待机、工作异常等状态</w:t>
            </w:r>
          </w:p>
        </w:tc>
        <w:tc>
          <w:tcPr>
            <w:tcW w:w="1296" w:type="dxa"/>
            <w:shd w:val="clear" w:color="auto" w:fill="FFFFFF"/>
            <w:vAlign w:val="center"/>
          </w:tcPr>
          <w:p w14:paraId="31B3C1A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17BC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24" w:hRule="atLeast"/>
        </w:trPr>
        <w:tc>
          <w:tcPr>
            <w:tcW w:w="774" w:type="dxa"/>
            <w:shd w:val="clear" w:color="auto" w:fill="FFFFFF"/>
            <w:vAlign w:val="center"/>
          </w:tcPr>
          <w:p w14:paraId="12DF207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35</w:t>
            </w:r>
          </w:p>
        </w:tc>
        <w:tc>
          <w:tcPr>
            <w:tcW w:w="981" w:type="dxa"/>
            <w:shd w:val="clear" w:color="auto" w:fill="FFFFFF"/>
            <w:vAlign w:val="center"/>
          </w:tcPr>
          <w:p w14:paraId="60B605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58347A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整机规格</w:t>
            </w:r>
          </w:p>
        </w:tc>
        <w:tc>
          <w:tcPr>
            <w:tcW w:w="1206" w:type="dxa"/>
            <w:shd w:val="clear" w:color="auto" w:fill="FFFFFF"/>
            <w:vAlign w:val="center"/>
          </w:tcPr>
          <w:p w14:paraId="0DE60D0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★外观和结构</w:t>
            </w:r>
          </w:p>
        </w:tc>
        <w:tc>
          <w:tcPr>
            <w:tcW w:w="4287" w:type="dxa"/>
            <w:shd w:val="clear" w:color="auto" w:fill="FFFFFF"/>
            <w:vAlign w:val="center"/>
          </w:tcPr>
          <w:p w14:paraId="2F8882C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服务器的零部件应紧固无松动，可插拔部件应可靠连接，开关、按钮和其他控制部件应灵活可靠，布局应方便使用；b）产品表面不应有明显的凹痕、划伤、裂缝、变形和污染等。表面涂层均匀，不应起泡、龟裂、脱落和磨损，金属零部件无锈蚀及其它机械损伤；c）产品表面说明功能的文字、符号和标志应清晰、端正且牢固；d）应在服务器的显著位置提供运行状态的指示功能，并在技术文件或者技术白皮书中明确具体含义；e）机架、机箱的尺寸应符合通用机柜的安装要求，插入总线插座的电路板接口外形尺寸应符合有关总线标准的规定，将机箱固定在机柜上，机箱底面最大下垂变形不得干涉相邻机体；f）服务器尺寸具体要求在技术文件或者技术白皮书中明确</w:t>
            </w:r>
          </w:p>
        </w:tc>
        <w:tc>
          <w:tcPr>
            <w:tcW w:w="1296" w:type="dxa"/>
            <w:shd w:val="clear" w:color="auto" w:fill="FFFFFF"/>
            <w:vAlign w:val="center"/>
          </w:tcPr>
          <w:p w14:paraId="75F297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D5CA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74" w:type="dxa"/>
            <w:shd w:val="clear" w:color="auto" w:fill="FFFFFF"/>
            <w:vAlign w:val="center"/>
          </w:tcPr>
          <w:p w14:paraId="417302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36</w:t>
            </w:r>
          </w:p>
        </w:tc>
        <w:tc>
          <w:tcPr>
            <w:tcW w:w="981" w:type="dxa"/>
            <w:shd w:val="clear" w:color="auto" w:fill="FFFFFF"/>
            <w:vAlign w:val="center"/>
          </w:tcPr>
          <w:p w14:paraId="7C3BC1A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246691A">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85684F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★尺寸（高×宽×深）</w:t>
            </w:r>
          </w:p>
        </w:tc>
        <w:tc>
          <w:tcPr>
            <w:tcW w:w="4287" w:type="dxa"/>
            <w:shd w:val="clear" w:color="auto" w:fill="FFFFFF"/>
            <w:vAlign w:val="center"/>
          </w:tcPr>
          <w:p w14:paraId="60242E2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供应商给出产品尺寸；设计应遵循标准化、系列化的要求；机箱的内部结构符合通用部件的安装需要</w:t>
            </w:r>
          </w:p>
        </w:tc>
        <w:tc>
          <w:tcPr>
            <w:tcW w:w="1296" w:type="dxa"/>
            <w:shd w:val="clear" w:color="auto" w:fill="FFFFFF"/>
            <w:vAlign w:val="center"/>
          </w:tcPr>
          <w:p w14:paraId="6078D43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89A5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74" w:type="dxa"/>
            <w:shd w:val="clear" w:color="auto" w:fill="FFFFFF"/>
            <w:vAlign w:val="center"/>
          </w:tcPr>
          <w:p w14:paraId="43079E4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37</w:t>
            </w:r>
          </w:p>
        </w:tc>
        <w:tc>
          <w:tcPr>
            <w:tcW w:w="981" w:type="dxa"/>
            <w:shd w:val="clear" w:color="auto" w:fill="FFFFFF"/>
            <w:vAlign w:val="center"/>
          </w:tcPr>
          <w:p w14:paraId="415AA8A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C0DCD46">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493D015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服务器导轨</w:t>
            </w:r>
          </w:p>
        </w:tc>
        <w:tc>
          <w:tcPr>
            <w:tcW w:w="4287" w:type="dxa"/>
            <w:shd w:val="clear" w:color="auto" w:fill="FFFFFF"/>
            <w:vAlign w:val="center"/>
          </w:tcPr>
          <w:p w14:paraId="04226EF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供应商给出导轨尺寸、安装方式等信息</w:t>
            </w:r>
          </w:p>
        </w:tc>
        <w:tc>
          <w:tcPr>
            <w:tcW w:w="1296" w:type="dxa"/>
            <w:shd w:val="clear" w:color="auto" w:fill="FFFFFF"/>
            <w:vAlign w:val="center"/>
          </w:tcPr>
          <w:p w14:paraId="74AB748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8629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74" w:type="dxa"/>
            <w:shd w:val="clear" w:color="auto" w:fill="FFFFFF"/>
            <w:vAlign w:val="center"/>
          </w:tcPr>
          <w:p w14:paraId="62C000B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38</w:t>
            </w:r>
          </w:p>
        </w:tc>
        <w:tc>
          <w:tcPr>
            <w:tcW w:w="981" w:type="dxa"/>
            <w:shd w:val="clear" w:color="auto" w:fill="FFFFFF"/>
            <w:vAlign w:val="center"/>
          </w:tcPr>
          <w:p w14:paraId="3F3320C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C93AEDB">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4625864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CPU个数与机柜高度单位（U）比</w:t>
            </w:r>
          </w:p>
        </w:tc>
        <w:tc>
          <w:tcPr>
            <w:tcW w:w="4287" w:type="dxa"/>
            <w:shd w:val="clear" w:color="auto" w:fill="FFFFFF"/>
            <w:vAlign w:val="center"/>
          </w:tcPr>
          <w:p w14:paraId="44AE836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供应商给出CPU个数与机柜高度</w:t>
            </w:r>
          </w:p>
        </w:tc>
        <w:tc>
          <w:tcPr>
            <w:tcW w:w="1296" w:type="dxa"/>
            <w:shd w:val="clear" w:color="auto" w:fill="FFFFFF"/>
            <w:vAlign w:val="center"/>
          </w:tcPr>
          <w:p w14:paraId="53619F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EF49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774" w:type="dxa"/>
            <w:shd w:val="clear" w:color="auto" w:fill="FFFFFF"/>
            <w:vAlign w:val="center"/>
          </w:tcPr>
          <w:p w14:paraId="065B1D2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39</w:t>
            </w:r>
          </w:p>
        </w:tc>
        <w:tc>
          <w:tcPr>
            <w:tcW w:w="981" w:type="dxa"/>
            <w:shd w:val="clear" w:color="auto" w:fill="FFFFFF"/>
            <w:vAlign w:val="center"/>
          </w:tcPr>
          <w:p w14:paraId="0BAEAAE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920D5B1">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4A7DBE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★环境适应性</w:t>
            </w:r>
          </w:p>
        </w:tc>
        <w:tc>
          <w:tcPr>
            <w:tcW w:w="4287" w:type="dxa"/>
            <w:shd w:val="clear" w:color="auto" w:fill="FFFFFF"/>
            <w:vAlign w:val="center"/>
          </w:tcPr>
          <w:p w14:paraId="6536773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气候环境适应性应符合GB/T9813.3的有关规定，工作温度10~35℃,贮存运输温度-40～55℃;工作相对湿度35%～80%，贮存运输相对湿度20％～93%（40℃）;大气压86～106kPa</w:t>
            </w:r>
          </w:p>
        </w:tc>
        <w:tc>
          <w:tcPr>
            <w:tcW w:w="1296" w:type="dxa"/>
            <w:shd w:val="clear" w:color="auto" w:fill="FFFFFF"/>
            <w:vAlign w:val="center"/>
          </w:tcPr>
          <w:p w14:paraId="092FC34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5DDA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trPr>
        <w:tc>
          <w:tcPr>
            <w:tcW w:w="774" w:type="dxa"/>
            <w:shd w:val="clear" w:color="auto" w:fill="FFFFFF"/>
            <w:vAlign w:val="center"/>
          </w:tcPr>
          <w:p w14:paraId="5CF431E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40</w:t>
            </w:r>
          </w:p>
        </w:tc>
        <w:tc>
          <w:tcPr>
            <w:tcW w:w="981" w:type="dxa"/>
            <w:shd w:val="clear" w:color="auto" w:fill="FFFFFF"/>
            <w:vAlign w:val="center"/>
          </w:tcPr>
          <w:p w14:paraId="5B29A1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83AF07B">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2C084E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特殊机型环境适应性</w:t>
            </w:r>
          </w:p>
        </w:tc>
        <w:tc>
          <w:tcPr>
            <w:tcW w:w="4287" w:type="dxa"/>
            <w:shd w:val="clear" w:color="auto" w:fill="FFFFFF"/>
            <w:vAlign w:val="center"/>
          </w:tcPr>
          <w:p w14:paraId="20425A7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边缘应用服务器，工作环境温度宜为0～45℃,短期工作可承受环境温度宜为-5～55℃,液冷服务器贮存运输温度宜为-30～55℃</w:t>
            </w:r>
          </w:p>
        </w:tc>
        <w:tc>
          <w:tcPr>
            <w:tcW w:w="1296" w:type="dxa"/>
            <w:shd w:val="clear" w:color="auto" w:fill="FFFFFF"/>
            <w:vAlign w:val="center"/>
          </w:tcPr>
          <w:p w14:paraId="078940C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E276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4CF5742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41</w:t>
            </w:r>
          </w:p>
        </w:tc>
        <w:tc>
          <w:tcPr>
            <w:tcW w:w="981" w:type="dxa"/>
            <w:shd w:val="clear" w:color="auto" w:fill="FFFFFF"/>
            <w:vAlign w:val="center"/>
          </w:tcPr>
          <w:p w14:paraId="6CCD57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6C0506E">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164AEB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★机械环境适应性</w:t>
            </w:r>
          </w:p>
        </w:tc>
        <w:tc>
          <w:tcPr>
            <w:tcW w:w="4287" w:type="dxa"/>
            <w:shd w:val="clear" w:color="auto" w:fill="FFFFFF"/>
            <w:vAlign w:val="center"/>
          </w:tcPr>
          <w:p w14:paraId="602AA5E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机械环境适应性应符合GB/T9813.3的有关规定</w:t>
            </w:r>
          </w:p>
        </w:tc>
        <w:tc>
          <w:tcPr>
            <w:tcW w:w="1296" w:type="dxa"/>
            <w:shd w:val="clear" w:color="auto" w:fill="FFFFFF"/>
            <w:vAlign w:val="center"/>
          </w:tcPr>
          <w:p w14:paraId="43A0B2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ED1A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74" w:type="dxa"/>
            <w:shd w:val="clear" w:color="auto" w:fill="FFFFFF"/>
            <w:vAlign w:val="center"/>
          </w:tcPr>
          <w:p w14:paraId="30F42C2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42</w:t>
            </w:r>
          </w:p>
        </w:tc>
        <w:tc>
          <w:tcPr>
            <w:tcW w:w="981" w:type="dxa"/>
            <w:shd w:val="clear" w:color="auto" w:fill="FFFFFF"/>
            <w:vAlign w:val="center"/>
          </w:tcPr>
          <w:p w14:paraId="606B127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F83CC61">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3D6A2F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★噪声</w:t>
            </w:r>
          </w:p>
        </w:tc>
        <w:tc>
          <w:tcPr>
            <w:tcW w:w="4287" w:type="dxa"/>
            <w:shd w:val="clear" w:color="auto" w:fill="FFFFFF"/>
            <w:vAlign w:val="center"/>
          </w:tcPr>
          <w:p w14:paraId="03A8403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符合GB/T9813.3的有关规定，在产品说明中给出具体测试值塔式服务器噪声在空闲状态下≤50dB</w:t>
            </w:r>
          </w:p>
        </w:tc>
        <w:tc>
          <w:tcPr>
            <w:tcW w:w="1296" w:type="dxa"/>
            <w:shd w:val="clear" w:color="auto" w:fill="FFFFFF"/>
            <w:vAlign w:val="center"/>
          </w:tcPr>
          <w:p w14:paraId="335614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7234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512" w:hRule="atLeast"/>
        </w:trPr>
        <w:tc>
          <w:tcPr>
            <w:tcW w:w="774" w:type="dxa"/>
            <w:shd w:val="clear" w:color="auto" w:fill="FFFFFF"/>
            <w:vAlign w:val="center"/>
          </w:tcPr>
          <w:p w14:paraId="5EA225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43</w:t>
            </w:r>
          </w:p>
        </w:tc>
        <w:tc>
          <w:tcPr>
            <w:tcW w:w="981" w:type="dxa"/>
            <w:shd w:val="clear" w:color="auto" w:fill="FFFFFF"/>
            <w:vAlign w:val="center"/>
          </w:tcPr>
          <w:p w14:paraId="2F47544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412D944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AI计算单元规格</w:t>
            </w:r>
          </w:p>
        </w:tc>
        <w:tc>
          <w:tcPr>
            <w:tcW w:w="1206" w:type="dxa"/>
            <w:shd w:val="clear" w:color="auto" w:fill="FFFFFF"/>
            <w:vAlign w:val="center"/>
          </w:tcPr>
          <w:p w14:paraId="31FFF5A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AI计算单元</w:t>
            </w:r>
          </w:p>
        </w:tc>
        <w:tc>
          <w:tcPr>
            <w:tcW w:w="4287" w:type="dxa"/>
            <w:shd w:val="clear" w:color="auto" w:fill="FFFFFF"/>
            <w:vAlign w:val="center"/>
          </w:tcPr>
          <w:p w14:paraId="0F9221F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AI计算单元应符合如下要求：a）具备人工智能加速处理器，计算精度至少支持FP16、BF16、FP32、FP64、INT8和INT16等中的1种；b）单推理卡或模块，具备视频解析、文本识别、语音分析等推理能力；在视觉场景下配备可直接调用的接口实现视觉计算加速，路数不小于64（1080P30FPS）</w:t>
            </w:r>
          </w:p>
        </w:tc>
        <w:tc>
          <w:tcPr>
            <w:tcW w:w="1296" w:type="dxa"/>
            <w:shd w:val="clear" w:color="auto" w:fill="FFFFFF"/>
            <w:vAlign w:val="center"/>
          </w:tcPr>
          <w:p w14:paraId="254905C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F4F9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09524EE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44</w:t>
            </w:r>
          </w:p>
        </w:tc>
        <w:tc>
          <w:tcPr>
            <w:tcW w:w="981" w:type="dxa"/>
            <w:shd w:val="clear" w:color="auto" w:fill="FFFFFF"/>
            <w:vAlign w:val="center"/>
          </w:tcPr>
          <w:p w14:paraId="1DD0D3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77FC152">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EEB10E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一键式迁移</w:t>
            </w:r>
          </w:p>
        </w:tc>
        <w:tc>
          <w:tcPr>
            <w:tcW w:w="4287" w:type="dxa"/>
            <w:shd w:val="clear" w:color="auto" w:fill="FFFFFF"/>
            <w:vAlign w:val="center"/>
          </w:tcPr>
          <w:p w14:paraId="3192665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若服务器配备AI计算单元，提供训练脚本迁移工具</w:t>
            </w:r>
          </w:p>
        </w:tc>
        <w:tc>
          <w:tcPr>
            <w:tcW w:w="1296" w:type="dxa"/>
            <w:shd w:val="clear" w:color="auto" w:fill="FFFFFF"/>
            <w:vAlign w:val="center"/>
          </w:tcPr>
          <w:p w14:paraId="4EF96CB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9814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74" w:type="dxa"/>
            <w:shd w:val="clear" w:color="auto" w:fill="FFFFFF"/>
            <w:vAlign w:val="center"/>
          </w:tcPr>
          <w:p w14:paraId="57EA810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45</w:t>
            </w:r>
          </w:p>
        </w:tc>
        <w:tc>
          <w:tcPr>
            <w:tcW w:w="981" w:type="dxa"/>
            <w:shd w:val="clear" w:color="auto" w:fill="FFFFFF"/>
            <w:vAlign w:val="center"/>
          </w:tcPr>
          <w:p w14:paraId="1E4BB9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4545D57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机柜规格</w:t>
            </w:r>
          </w:p>
        </w:tc>
        <w:tc>
          <w:tcPr>
            <w:tcW w:w="1206" w:type="dxa"/>
            <w:shd w:val="clear" w:color="auto" w:fill="FFFFFF"/>
            <w:vAlign w:val="center"/>
          </w:tcPr>
          <w:p w14:paraId="36C8BC2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★机柜尺寸</w:t>
            </w:r>
          </w:p>
        </w:tc>
        <w:tc>
          <w:tcPr>
            <w:tcW w:w="4287" w:type="dxa"/>
            <w:shd w:val="clear" w:color="auto" w:fill="FFFFFF"/>
            <w:vAlign w:val="center"/>
          </w:tcPr>
          <w:p w14:paraId="6D7309D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供应商给出长度、高度和深度</w:t>
            </w:r>
          </w:p>
        </w:tc>
        <w:tc>
          <w:tcPr>
            <w:tcW w:w="1296" w:type="dxa"/>
            <w:shd w:val="clear" w:color="auto" w:fill="FFFFFF"/>
            <w:vAlign w:val="center"/>
          </w:tcPr>
          <w:p w14:paraId="142443F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54D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774" w:type="dxa"/>
            <w:shd w:val="clear" w:color="auto" w:fill="FFFFFF"/>
            <w:vAlign w:val="center"/>
          </w:tcPr>
          <w:p w14:paraId="0F9859D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46</w:t>
            </w:r>
          </w:p>
        </w:tc>
        <w:tc>
          <w:tcPr>
            <w:tcW w:w="981" w:type="dxa"/>
            <w:shd w:val="clear" w:color="auto" w:fill="FFFFFF"/>
            <w:vAlign w:val="center"/>
          </w:tcPr>
          <w:p w14:paraId="7D1BF6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213081CA">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0CCBBF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机柜管理板</w:t>
            </w:r>
          </w:p>
        </w:tc>
        <w:tc>
          <w:tcPr>
            <w:tcW w:w="4287" w:type="dxa"/>
            <w:shd w:val="clear" w:color="auto" w:fill="FFFFFF"/>
            <w:vAlign w:val="center"/>
          </w:tcPr>
          <w:p w14:paraId="1AFE10D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配备机柜管理板</w:t>
            </w:r>
          </w:p>
        </w:tc>
        <w:tc>
          <w:tcPr>
            <w:tcW w:w="1296" w:type="dxa"/>
            <w:shd w:val="clear" w:color="auto" w:fill="FFFFFF"/>
            <w:vAlign w:val="center"/>
          </w:tcPr>
          <w:p w14:paraId="0CD2312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996B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74" w:type="dxa"/>
            <w:shd w:val="clear" w:color="auto" w:fill="FFFFFF"/>
            <w:vAlign w:val="center"/>
          </w:tcPr>
          <w:p w14:paraId="7492AFE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47</w:t>
            </w:r>
          </w:p>
        </w:tc>
        <w:tc>
          <w:tcPr>
            <w:tcW w:w="981" w:type="dxa"/>
            <w:shd w:val="clear" w:color="auto" w:fill="FFFFFF"/>
            <w:vAlign w:val="center"/>
          </w:tcPr>
          <w:p w14:paraId="1FFC5D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A34DA9C">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F4C3FF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机柜电源规格</w:t>
            </w:r>
          </w:p>
        </w:tc>
        <w:tc>
          <w:tcPr>
            <w:tcW w:w="4287" w:type="dxa"/>
            <w:shd w:val="clear" w:color="auto" w:fill="FFFFFF"/>
            <w:vAlign w:val="center"/>
          </w:tcPr>
          <w:p w14:paraId="60E5B33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a）机柜电源支持集中供电，电源输入≥2路且支持自动切换；b）机柜电源模块支持N+1冗余配置，电源模块可独立更换</w:t>
            </w:r>
          </w:p>
        </w:tc>
        <w:tc>
          <w:tcPr>
            <w:tcW w:w="1296" w:type="dxa"/>
            <w:shd w:val="clear" w:color="auto" w:fill="FFFFFF"/>
            <w:vAlign w:val="center"/>
          </w:tcPr>
          <w:p w14:paraId="309B012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75F4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71B9A8A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48</w:t>
            </w:r>
          </w:p>
        </w:tc>
        <w:tc>
          <w:tcPr>
            <w:tcW w:w="981" w:type="dxa"/>
            <w:shd w:val="clear" w:color="auto" w:fill="FFFFFF"/>
            <w:vAlign w:val="center"/>
          </w:tcPr>
          <w:p w14:paraId="63FFE45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0713E65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主板功能</w:t>
            </w:r>
          </w:p>
        </w:tc>
        <w:tc>
          <w:tcPr>
            <w:tcW w:w="1206" w:type="dxa"/>
            <w:shd w:val="clear" w:color="auto" w:fill="FFFFFF"/>
            <w:vAlign w:val="center"/>
          </w:tcPr>
          <w:p w14:paraId="54EB47D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★主板外部接口种类</w:t>
            </w:r>
          </w:p>
        </w:tc>
        <w:tc>
          <w:tcPr>
            <w:tcW w:w="4287" w:type="dxa"/>
            <w:shd w:val="clear" w:color="auto" w:fill="FFFFFF"/>
            <w:vAlign w:val="center"/>
          </w:tcPr>
          <w:p w14:paraId="328B9E2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支持USB、显示、管理等接口，如：VGA、DP、HDMI、USB3.0、PS/2接口、BMC管理端口</w:t>
            </w:r>
          </w:p>
        </w:tc>
        <w:tc>
          <w:tcPr>
            <w:tcW w:w="1296" w:type="dxa"/>
            <w:shd w:val="clear" w:color="auto" w:fill="FFFFFF"/>
            <w:vAlign w:val="center"/>
          </w:tcPr>
          <w:p w14:paraId="787892C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B142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766A7A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49</w:t>
            </w:r>
          </w:p>
        </w:tc>
        <w:tc>
          <w:tcPr>
            <w:tcW w:w="981" w:type="dxa"/>
            <w:shd w:val="clear" w:color="auto" w:fill="FFFFFF"/>
            <w:vAlign w:val="center"/>
          </w:tcPr>
          <w:p w14:paraId="2F22E7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5FBCC2B4">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A4B7BD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主板防烧板设计</w:t>
            </w:r>
          </w:p>
        </w:tc>
        <w:tc>
          <w:tcPr>
            <w:tcW w:w="4287" w:type="dxa"/>
            <w:shd w:val="clear" w:color="auto" w:fill="FFFFFF"/>
            <w:vAlign w:val="center"/>
          </w:tcPr>
          <w:p w14:paraId="25E742D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支持主板防烧板设计，保证电源故障后不扩散</w:t>
            </w:r>
          </w:p>
        </w:tc>
        <w:tc>
          <w:tcPr>
            <w:tcW w:w="1296" w:type="dxa"/>
            <w:shd w:val="clear" w:color="auto" w:fill="FFFFFF"/>
            <w:vAlign w:val="center"/>
          </w:tcPr>
          <w:p w14:paraId="7F1E27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4804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628A749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50</w:t>
            </w:r>
          </w:p>
        </w:tc>
        <w:tc>
          <w:tcPr>
            <w:tcW w:w="981" w:type="dxa"/>
            <w:shd w:val="clear" w:color="auto" w:fill="FFFFFF"/>
            <w:vAlign w:val="center"/>
          </w:tcPr>
          <w:p w14:paraId="46FA594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7A9DB164">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2A6DFA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扩展功能</w:t>
            </w:r>
          </w:p>
        </w:tc>
        <w:tc>
          <w:tcPr>
            <w:tcW w:w="4287" w:type="dxa"/>
            <w:shd w:val="clear" w:color="auto" w:fill="FFFFFF"/>
            <w:vAlign w:val="center"/>
          </w:tcPr>
          <w:p w14:paraId="61C246A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实现至少一种扩展功能，如存储功能卡、显示功能卡、运算加速功能卡及网络功能卡等扩展功能</w:t>
            </w:r>
          </w:p>
        </w:tc>
        <w:tc>
          <w:tcPr>
            <w:tcW w:w="1296" w:type="dxa"/>
            <w:shd w:val="clear" w:color="auto" w:fill="FFFFFF"/>
            <w:vAlign w:val="center"/>
          </w:tcPr>
          <w:p w14:paraId="0A8F4C1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8036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7F52C0A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51</w:t>
            </w:r>
          </w:p>
        </w:tc>
        <w:tc>
          <w:tcPr>
            <w:tcW w:w="981" w:type="dxa"/>
            <w:shd w:val="clear" w:color="auto" w:fill="FFFFFF"/>
            <w:vAlign w:val="center"/>
          </w:tcPr>
          <w:p w14:paraId="2FD399E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shd w:val="clear" w:color="auto" w:fill="FFFFFF"/>
            <w:vAlign w:val="center"/>
          </w:tcPr>
          <w:p w14:paraId="26605F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网络功能</w:t>
            </w:r>
          </w:p>
        </w:tc>
        <w:tc>
          <w:tcPr>
            <w:tcW w:w="1206" w:type="dxa"/>
            <w:shd w:val="clear" w:color="auto" w:fill="FFFFFF"/>
            <w:vAlign w:val="center"/>
          </w:tcPr>
          <w:p w14:paraId="1C7ACEC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★网络功能</w:t>
            </w:r>
          </w:p>
        </w:tc>
        <w:tc>
          <w:tcPr>
            <w:tcW w:w="4287" w:type="dxa"/>
            <w:shd w:val="clear" w:color="auto" w:fill="FFFFFF"/>
            <w:vAlign w:val="center"/>
          </w:tcPr>
          <w:p w14:paraId="44CFB44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支持网络连接、网络访问、数据交换和网络管控功能</w:t>
            </w:r>
          </w:p>
        </w:tc>
        <w:tc>
          <w:tcPr>
            <w:tcW w:w="1296" w:type="dxa"/>
            <w:shd w:val="clear" w:color="auto" w:fill="FFFFFF"/>
            <w:vAlign w:val="center"/>
          </w:tcPr>
          <w:p w14:paraId="46A289A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2E9B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74" w:type="dxa"/>
            <w:shd w:val="clear" w:color="auto" w:fill="FFFFFF"/>
            <w:vAlign w:val="center"/>
          </w:tcPr>
          <w:p w14:paraId="5E3C87A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52</w:t>
            </w:r>
          </w:p>
        </w:tc>
        <w:tc>
          <w:tcPr>
            <w:tcW w:w="981" w:type="dxa"/>
            <w:shd w:val="clear" w:color="auto" w:fill="FFFFFF"/>
            <w:vAlign w:val="center"/>
          </w:tcPr>
          <w:p w14:paraId="00EE716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6967353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CPU功能</w:t>
            </w:r>
          </w:p>
        </w:tc>
        <w:tc>
          <w:tcPr>
            <w:tcW w:w="1206" w:type="dxa"/>
            <w:shd w:val="clear" w:color="auto" w:fill="FFFFFF"/>
            <w:vAlign w:val="center"/>
          </w:tcPr>
          <w:p w14:paraId="1AE5CF7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★计算处理</w:t>
            </w:r>
          </w:p>
        </w:tc>
        <w:tc>
          <w:tcPr>
            <w:tcW w:w="4287" w:type="dxa"/>
            <w:shd w:val="clear" w:color="auto" w:fill="FFFFFF"/>
            <w:vAlign w:val="center"/>
          </w:tcPr>
          <w:p w14:paraId="3015CB1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支持通用计算及虚拟化功能。处理器需集成整型计算单元、浮点计算单元、内存控制器、I/O模块等，处理器与存储部件、网络部件、I/O部件等组成计算系统，提供数据处理、网络接入等计算相关功能</w:t>
            </w:r>
          </w:p>
        </w:tc>
        <w:tc>
          <w:tcPr>
            <w:tcW w:w="1296" w:type="dxa"/>
            <w:shd w:val="clear" w:color="auto" w:fill="FFFFFF"/>
            <w:vAlign w:val="center"/>
          </w:tcPr>
          <w:p w14:paraId="3382B28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DFF6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0EEACB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53</w:t>
            </w:r>
          </w:p>
        </w:tc>
        <w:tc>
          <w:tcPr>
            <w:tcW w:w="981" w:type="dxa"/>
            <w:shd w:val="clear" w:color="auto" w:fill="FFFFFF"/>
            <w:vAlign w:val="center"/>
          </w:tcPr>
          <w:p w14:paraId="212A20B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1EDC52F6">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4FC43D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★密码算法实现</w:t>
            </w:r>
          </w:p>
        </w:tc>
        <w:tc>
          <w:tcPr>
            <w:tcW w:w="4287" w:type="dxa"/>
            <w:shd w:val="clear" w:color="auto" w:fill="FFFFFF"/>
            <w:vAlign w:val="center"/>
          </w:tcPr>
          <w:p w14:paraId="03A5336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CPU芯片应符合GM/T0008的相关规定，或芯片密码模块应符合GB/T37092或GM/T0028的相关规定</w:t>
            </w:r>
          </w:p>
        </w:tc>
        <w:tc>
          <w:tcPr>
            <w:tcW w:w="1296" w:type="dxa"/>
            <w:shd w:val="clear" w:color="auto" w:fill="FFFFFF"/>
            <w:vAlign w:val="center"/>
          </w:tcPr>
          <w:p w14:paraId="102484B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EDD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74" w:type="dxa"/>
            <w:shd w:val="clear" w:color="auto" w:fill="FFFFFF"/>
            <w:vAlign w:val="center"/>
          </w:tcPr>
          <w:p w14:paraId="603B0B8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54</w:t>
            </w:r>
          </w:p>
        </w:tc>
        <w:tc>
          <w:tcPr>
            <w:tcW w:w="981" w:type="dxa"/>
            <w:shd w:val="clear" w:color="auto" w:fill="FFFFFF"/>
            <w:vAlign w:val="center"/>
          </w:tcPr>
          <w:p w14:paraId="6CA2BA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72D94C4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存储功能</w:t>
            </w:r>
          </w:p>
        </w:tc>
        <w:tc>
          <w:tcPr>
            <w:tcW w:w="1206" w:type="dxa"/>
            <w:shd w:val="clear" w:color="auto" w:fill="FFFFFF"/>
            <w:vAlign w:val="center"/>
          </w:tcPr>
          <w:p w14:paraId="37C7A8C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内存校验</w:t>
            </w:r>
          </w:p>
        </w:tc>
        <w:tc>
          <w:tcPr>
            <w:tcW w:w="4287" w:type="dxa"/>
            <w:shd w:val="clear" w:color="auto" w:fill="FFFFFF"/>
            <w:vAlign w:val="center"/>
          </w:tcPr>
          <w:p w14:paraId="373CB96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支持内存校验或内存增强型纠错功能</w:t>
            </w:r>
          </w:p>
        </w:tc>
        <w:tc>
          <w:tcPr>
            <w:tcW w:w="1296" w:type="dxa"/>
            <w:shd w:val="clear" w:color="auto" w:fill="FFFFFF"/>
            <w:vAlign w:val="center"/>
          </w:tcPr>
          <w:p w14:paraId="31601B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A3BE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74" w:type="dxa"/>
            <w:shd w:val="clear" w:color="auto" w:fill="FFFFFF"/>
            <w:vAlign w:val="center"/>
          </w:tcPr>
          <w:p w14:paraId="18A8EB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55</w:t>
            </w:r>
          </w:p>
        </w:tc>
        <w:tc>
          <w:tcPr>
            <w:tcW w:w="981" w:type="dxa"/>
            <w:shd w:val="clear" w:color="auto" w:fill="FFFFFF"/>
            <w:vAlign w:val="center"/>
          </w:tcPr>
          <w:p w14:paraId="6E02B9C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5CF02F0C">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4156ABB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SATASSDNAND健康状态上报</w:t>
            </w:r>
          </w:p>
        </w:tc>
        <w:tc>
          <w:tcPr>
            <w:tcW w:w="4287" w:type="dxa"/>
            <w:shd w:val="clear" w:color="auto" w:fill="FFFFFF"/>
            <w:vAlign w:val="center"/>
          </w:tcPr>
          <w:p w14:paraId="6953759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支持关键外部存储器（硬磁盘、SSD等）的健康状态上报并进行故障诊断</w:t>
            </w:r>
          </w:p>
        </w:tc>
        <w:tc>
          <w:tcPr>
            <w:tcW w:w="1296" w:type="dxa"/>
            <w:shd w:val="clear" w:color="auto" w:fill="FFFFFF"/>
            <w:vAlign w:val="center"/>
          </w:tcPr>
          <w:p w14:paraId="2EC2C8D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B613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74" w:type="dxa"/>
            <w:shd w:val="clear" w:color="auto" w:fill="FFFFFF"/>
            <w:vAlign w:val="center"/>
          </w:tcPr>
          <w:p w14:paraId="704E4B4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56</w:t>
            </w:r>
          </w:p>
        </w:tc>
        <w:tc>
          <w:tcPr>
            <w:tcW w:w="981" w:type="dxa"/>
            <w:shd w:val="clear" w:color="auto" w:fill="FFFFFF"/>
            <w:vAlign w:val="center"/>
          </w:tcPr>
          <w:p w14:paraId="0087E69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421CF603">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25EA5A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SATASSD单die故障隔离</w:t>
            </w:r>
          </w:p>
        </w:tc>
        <w:tc>
          <w:tcPr>
            <w:tcW w:w="4287" w:type="dxa"/>
            <w:shd w:val="clear" w:color="auto" w:fill="FFFFFF"/>
            <w:vAlign w:val="center"/>
          </w:tcPr>
          <w:p w14:paraId="33BA3E0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支持SSD关键外部存储器中单存储晶元故障隔离</w:t>
            </w:r>
          </w:p>
        </w:tc>
        <w:tc>
          <w:tcPr>
            <w:tcW w:w="1296" w:type="dxa"/>
            <w:shd w:val="clear" w:color="auto" w:fill="FFFFFF"/>
            <w:vAlign w:val="center"/>
          </w:tcPr>
          <w:p w14:paraId="3B5D3C3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065E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74" w:type="dxa"/>
            <w:shd w:val="clear" w:color="auto" w:fill="FFFFFF"/>
            <w:vAlign w:val="center"/>
          </w:tcPr>
          <w:p w14:paraId="12B4D2A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57</w:t>
            </w:r>
          </w:p>
        </w:tc>
        <w:tc>
          <w:tcPr>
            <w:tcW w:w="981" w:type="dxa"/>
            <w:shd w:val="clear" w:color="auto" w:fill="FFFFFF"/>
            <w:vAlign w:val="center"/>
          </w:tcPr>
          <w:p w14:paraId="1F669FD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75A6BA7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RAID卡功能</w:t>
            </w:r>
          </w:p>
        </w:tc>
        <w:tc>
          <w:tcPr>
            <w:tcW w:w="1206" w:type="dxa"/>
            <w:shd w:val="clear" w:color="auto" w:fill="FFFFFF"/>
            <w:vAlign w:val="center"/>
          </w:tcPr>
          <w:p w14:paraId="7C2E7BF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RAID卡配置及RAID级别支持</w:t>
            </w:r>
          </w:p>
        </w:tc>
        <w:tc>
          <w:tcPr>
            <w:tcW w:w="4287" w:type="dxa"/>
            <w:shd w:val="clear" w:color="auto" w:fill="FFFFFF"/>
            <w:vAlign w:val="center"/>
          </w:tcPr>
          <w:p w14:paraId="7A2117C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RAID模式支持RAID0/1/10/5；</w:t>
            </w:r>
          </w:p>
        </w:tc>
        <w:tc>
          <w:tcPr>
            <w:tcW w:w="1296" w:type="dxa"/>
            <w:shd w:val="clear" w:color="auto" w:fill="FFFFFF"/>
            <w:vAlign w:val="center"/>
          </w:tcPr>
          <w:p w14:paraId="2DBD0E5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9EF6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3067AD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58</w:t>
            </w:r>
          </w:p>
        </w:tc>
        <w:tc>
          <w:tcPr>
            <w:tcW w:w="981" w:type="dxa"/>
            <w:shd w:val="clear" w:color="auto" w:fill="FFFFFF"/>
            <w:vAlign w:val="center"/>
          </w:tcPr>
          <w:p w14:paraId="282C1D3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1B9CC6E9">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2A2765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RAID卡BBU单元</w:t>
            </w:r>
          </w:p>
        </w:tc>
        <w:tc>
          <w:tcPr>
            <w:tcW w:w="4287" w:type="dxa"/>
            <w:shd w:val="clear" w:color="auto" w:fill="FFFFFF"/>
            <w:vAlign w:val="center"/>
          </w:tcPr>
          <w:p w14:paraId="516C613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RAID卡支持电池或电容备份单元</w:t>
            </w:r>
          </w:p>
        </w:tc>
        <w:tc>
          <w:tcPr>
            <w:tcW w:w="1296" w:type="dxa"/>
            <w:shd w:val="clear" w:color="auto" w:fill="FFFFFF"/>
            <w:vAlign w:val="center"/>
          </w:tcPr>
          <w:p w14:paraId="375630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F83A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080" w:hRule="atLeast"/>
        </w:trPr>
        <w:tc>
          <w:tcPr>
            <w:tcW w:w="774" w:type="dxa"/>
            <w:shd w:val="clear" w:color="auto" w:fill="FFFFFF"/>
            <w:vAlign w:val="center"/>
          </w:tcPr>
          <w:p w14:paraId="154B1F2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59</w:t>
            </w:r>
          </w:p>
        </w:tc>
        <w:tc>
          <w:tcPr>
            <w:tcW w:w="981" w:type="dxa"/>
            <w:shd w:val="clear" w:color="auto" w:fill="FFFFFF"/>
            <w:vAlign w:val="center"/>
          </w:tcPr>
          <w:p w14:paraId="7CBBB38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shd w:val="clear" w:color="auto" w:fill="FFFFFF"/>
            <w:vAlign w:val="center"/>
          </w:tcPr>
          <w:p w14:paraId="5D690D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光驱功能</w:t>
            </w:r>
          </w:p>
        </w:tc>
        <w:tc>
          <w:tcPr>
            <w:tcW w:w="1206" w:type="dxa"/>
            <w:shd w:val="clear" w:color="auto" w:fill="FFFFFF"/>
            <w:vAlign w:val="center"/>
          </w:tcPr>
          <w:p w14:paraId="7E66CF3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光驱类型（是否支持RW，以及光盘类型CD/DVD）</w:t>
            </w:r>
          </w:p>
        </w:tc>
        <w:tc>
          <w:tcPr>
            <w:tcW w:w="4287" w:type="dxa"/>
            <w:shd w:val="clear" w:color="auto" w:fill="FFFFFF"/>
            <w:vAlign w:val="center"/>
          </w:tcPr>
          <w:p w14:paraId="7604CAC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若配备光驱，应提供光驱的安装形式（如内置、外置）、光驱读写类型（如只读、可刻录等）、光盘类型的兼容列表（如CD-ROM、CD-RW、DVD±RW等）</w:t>
            </w:r>
          </w:p>
        </w:tc>
        <w:tc>
          <w:tcPr>
            <w:tcW w:w="1296" w:type="dxa"/>
            <w:shd w:val="clear" w:color="auto" w:fill="FFFFFF"/>
            <w:vAlign w:val="center"/>
          </w:tcPr>
          <w:p w14:paraId="58EE365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D6A6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0E259FA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60</w:t>
            </w:r>
          </w:p>
        </w:tc>
        <w:tc>
          <w:tcPr>
            <w:tcW w:w="981" w:type="dxa"/>
            <w:shd w:val="clear" w:color="auto" w:fill="FFFFFF"/>
            <w:vAlign w:val="center"/>
          </w:tcPr>
          <w:p w14:paraId="0786FC3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123EC20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电源功能</w:t>
            </w:r>
          </w:p>
        </w:tc>
        <w:tc>
          <w:tcPr>
            <w:tcW w:w="1206" w:type="dxa"/>
            <w:shd w:val="clear" w:color="auto" w:fill="FFFFFF"/>
            <w:vAlign w:val="center"/>
          </w:tcPr>
          <w:p w14:paraId="5093B12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★电源热插拔</w:t>
            </w:r>
          </w:p>
        </w:tc>
        <w:tc>
          <w:tcPr>
            <w:tcW w:w="4287" w:type="dxa"/>
            <w:shd w:val="clear" w:color="auto" w:fill="FFFFFF"/>
            <w:vAlign w:val="center"/>
          </w:tcPr>
          <w:p w14:paraId="4C326CC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整机电源模块应具备热插拔功能</w:t>
            </w:r>
          </w:p>
        </w:tc>
        <w:tc>
          <w:tcPr>
            <w:tcW w:w="1296" w:type="dxa"/>
            <w:shd w:val="clear" w:color="auto" w:fill="FFFFFF"/>
            <w:vAlign w:val="center"/>
          </w:tcPr>
          <w:p w14:paraId="1C31988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35BD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5E15A10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61</w:t>
            </w:r>
          </w:p>
        </w:tc>
        <w:tc>
          <w:tcPr>
            <w:tcW w:w="981" w:type="dxa"/>
            <w:shd w:val="clear" w:color="auto" w:fill="FFFFFF"/>
            <w:vAlign w:val="center"/>
          </w:tcPr>
          <w:p w14:paraId="54AAAE5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422C08E6">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6E0912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★电源过流保护</w:t>
            </w:r>
          </w:p>
        </w:tc>
        <w:tc>
          <w:tcPr>
            <w:tcW w:w="4287" w:type="dxa"/>
            <w:shd w:val="clear" w:color="auto" w:fill="FFFFFF"/>
            <w:vAlign w:val="center"/>
          </w:tcPr>
          <w:p w14:paraId="460D179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支持过流及短路保护的功能</w:t>
            </w:r>
          </w:p>
        </w:tc>
        <w:tc>
          <w:tcPr>
            <w:tcW w:w="1296" w:type="dxa"/>
            <w:shd w:val="clear" w:color="auto" w:fill="FFFFFF"/>
            <w:vAlign w:val="center"/>
          </w:tcPr>
          <w:p w14:paraId="6EEC29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04B7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774" w:type="dxa"/>
            <w:shd w:val="clear" w:color="auto" w:fill="FFFFFF"/>
            <w:vAlign w:val="center"/>
          </w:tcPr>
          <w:p w14:paraId="6C94205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62</w:t>
            </w:r>
          </w:p>
        </w:tc>
        <w:tc>
          <w:tcPr>
            <w:tcW w:w="981" w:type="dxa"/>
            <w:shd w:val="clear" w:color="auto" w:fill="FFFFFF"/>
            <w:vAlign w:val="center"/>
          </w:tcPr>
          <w:p w14:paraId="610E2E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06FAA3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整机功能</w:t>
            </w:r>
          </w:p>
        </w:tc>
        <w:tc>
          <w:tcPr>
            <w:tcW w:w="1206" w:type="dxa"/>
            <w:shd w:val="clear" w:color="auto" w:fill="FFFFFF"/>
            <w:vAlign w:val="center"/>
          </w:tcPr>
          <w:p w14:paraId="600FED0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★散热方式</w:t>
            </w:r>
          </w:p>
        </w:tc>
        <w:tc>
          <w:tcPr>
            <w:tcW w:w="4287" w:type="dxa"/>
            <w:shd w:val="clear" w:color="auto" w:fill="FFFFFF"/>
            <w:vAlign w:val="center"/>
          </w:tcPr>
          <w:p w14:paraId="1E8EB72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支持风冷或液冷等散热方式</w:t>
            </w:r>
          </w:p>
        </w:tc>
        <w:tc>
          <w:tcPr>
            <w:tcW w:w="1296" w:type="dxa"/>
            <w:shd w:val="clear" w:color="auto" w:fill="FFFFFF"/>
            <w:vAlign w:val="center"/>
          </w:tcPr>
          <w:p w14:paraId="5029766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E404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74" w:type="dxa"/>
            <w:shd w:val="clear" w:color="auto" w:fill="FFFFFF"/>
            <w:vAlign w:val="center"/>
          </w:tcPr>
          <w:p w14:paraId="356C317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63</w:t>
            </w:r>
          </w:p>
        </w:tc>
        <w:tc>
          <w:tcPr>
            <w:tcW w:w="981" w:type="dxa"/>
            <w:shd w:val="clear" w:color="auto" w:fill="FFFFFF"/>
            <w:vAlign w:val="center"/>
          </w:tcPr>
          <w:p w14:paraId="367313D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7B2181F9">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6AA7E6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其他功能</w:t>
            </w:r>
          </w:p>
        </w:tc>
        <w:tc>
          <w:tcPr>
            <w:tcW w:w="4287" w:type="dxa"/>
            <w:shd w:val="clear" w:color="auto" w:fill="FFFFFF"/>
            <w:vAlign w:val="center"/>
          </w:tcPr>
          <w:p w14:paraId="1A9B525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a）支持关键部件冗余（包括电源、风扇等）；b）支持熔断保护与恢复功能</w:t>
            </w:r>
          </w:p>
        </w:tc>
        <w:tc>
          <w:tcPr>
            <w:tcW w:w="1296" w:type="dxa"/>
            <w:shd w:val="clear" w:color="auto" w:fill="FFFFFF"/>
            <w:vAlign w:val="center"/>
          </w:tcPr>
          <w:p w14:paraId="15869AA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8028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774" w:type="dxa"/>
            <w:shd w:val="clear" w:color="auto" w:fill="FFFFFF"/>
            <w:vAlign w:val="center"/>
          </w:tcPr>
          <w:p w14:paraId="1DAEE54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64</w:t>
            </w:r>
          </w:p>
        </w:tc>
        <w:tc>
          <w:tcPr>
            <w:tcW w:w="981" w:type="dxa"/>
            <w:shd w:val="clear" w:color="auto" w:fill="FFFFFF"/>
            <w:vAlign w:val="center"/>
          </w:tcPr>
          <w:p w14:paraId="633D835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shd w:val="clear" w:color="auto" w:fill="FFFFFF"/>
            <w:vAlign w:val="center"/>
          </w:tcPr>
          <w:p w14:paraId="06E4B7B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管理系统功能</w:t>
            </w:r>
          </w:p>
        </w:tc>
        <w:tc>
          <w:tcPr>
            <w:tcW w:w="1206" w:type="dxa"/>
            <w:shd w:val="clear" w:color="auto" w:fill="FFFFFF"/>
            <w:vAlign w:val="center"/>
          </w:tcPr>
          <w:p w14:paraId="799419D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★BMC固件基础功能</w:t>
            </w:r>
          </w:p>
        </w:tc>
        <w:tc>
          <w:tcPr>
            <w:tcW w:w="4287" w:type="dxa"/>
            <w:shd w:val="clear" w:color="auto" w:fill="FFFFFF"/>
            <w:vAlign w:val="center"/>
          </w:tcPr>
          <w:p w14:paraId="57729EA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支持DHCP设置网络功能；2）支持静态IP设置网络功能；3）支持设备日志记录，包括但不限于登录日志、操作日志和报警日志等功能；4）支持日志信息导出和记录删除功能；5）支持通过管理接口向外输出准确的报警信息功能；6）设备的BMC管理软件应能够按报警的严重程度进行区分；7）支持IPMI2.0、SNMP或Redfish等接口功能；8）支持键盘、鼠标和视频的重定向、文本控制台的重定向、远程虚拟媒体、高可靠的硬件监控和管理功能；9）支持基于网络开启、关闭和重启设备的功能，并查询当前设备开机运行状态；10）支持故障提示功能，并可通过接口读取服务器故障信息；11）支持基于网络的固件更新功能，包括BMC和BIOS等；12）支持基于网络安装操作系统的功能，并可通过网络控制台访问设备；13）支持通过本地的硬盘或光驱等存储设备，基于网络完成设备的操作系统安装功能；14）支持通过浏览器打开管理界面并登录功能；15）支持设置口令策略功能；16）支持访问权限设置功能，并通过日志记录访问事件；17）支持对出厂默认的用户名及口令进行安全保护功能，并提供默认口令修改提示；18）支持读取设备主板的工作环境温度功能；19）支持读取服务器CPU等核心器件的温度功能；20）支持通过外部管理工具进行BMC参数设置的功能，并可基于网络通过外部管理工具对BMC进行管理；21）应支持固件版本查询、固件升级22）支持基于网络实现开关机和复位控制的功能；23)BMC启动时间应不超过180s，实现功能包括网络、IPMI、散热、传感器服务可用；24）支持BMC固件设置的恢复出厂功能</w:t>
            </w:r>
          </w:p>
        </w:tc>
        <w:tc>
          <w:tcPr>
            <w:tcW w:w="1296" w:type="dxa"/>
            <w:shd w:val="clear" w:color="auto" w:fill="FFFFFF"/>
            <w:vAlign w:val="center"/>
          </w:tcPr>
          <w:p w14:paraId="1E21CFD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CF8C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74" w:type="dxa"/>
            <w:shd w:val="clear" w:color="auto" w:fill="FFFFFF"/>
            <w:vAlign w:val="center"/>
          </w:tcPr>
          <w:p w14:paraId="50B3C85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65</w:t>
            </w:r>
          </w:p>
        </w:tc>
        <w:tc>
          <w:tcPr>
            <w:tcW w:w="981" w:type="dxa"/>
            <w:shd w:val="clear" w:color="auto" w:fill="FFFFFF"/>
            <w:vAlign w:val="center"/>
          </w:tcPr>
          <w:p w14:paraId="1FE69CF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73730E15">
            <w:pPr>
              <w:widowControl/>
              <w:jc w:val="center"/>
              <w:rPr>
                <w:rFonts w:asciiTheme="minorEastAsia" w:hAnsiTheme="minorEastAsia" w:eastAsiaTheme="minorEastAsia" w:cstheme="minorEastAsia"/>
                <w:kern w:val="0"/>
                <w:sz w:val="24"/>
              </w:rPr>
            </w:pPr>
          </w:p>
        </w:tc>
        <w:tc>
          <w:tcPr>
            <w:tcW w:w="1206" w:type="dxa"/>
            <w:shd w:val="clear" w:color="auto" w:fill="FFFFFF"/>
            <w:vAlign w:val="center"/>
          </w:tcPr>
          <w:p w14:paraId="37E499A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BMC固件增强功能</w:t>
            </w:r>
          </w:p>
        </w:tc>
        <w:tc>
          <w:tcPr>
            <w:tcW w:w="4287" w:type="dxa"/>
            <w:shd w:val="clear" w:color="auto" w:fill="FFFFFF"/>
            <w:vAlign w:val="center"/>
          </w:tcPr>
          <w:p w14:paraId="2950FBA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a）网络控制、安装提供图形访问界面网络；b）设备的BMC管理软件界面显示报警信息，且能够按报警的严重程度进行区分；c）WebGUI采用BMC端口直连，平均响应时间为≤1s</w:t>
            </w:r>
          </w:p>
        </w:tc>
        <w:tc>
          <w:tcPr>
            <w:tcW w:w="1296" w:type="dxa"/>
            <w:shd w:val="clear" w:color="auto" w:fill="FFFFFF"/>
            <w:vAlign w:val="center"/>
          </w:tcPr>
          <w:p w14:paraId="41DA83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D55B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465" w:hRule="atLeast"/>
        </w:trPr>
        <w:tc>
          <w:tcPr>
            <w:tcW w:w="774" w:type="dxa"/>
            <w:shd w:val="clear" w:color="auto" w:fill="FFFFFF"/>
            <w:vAlign w:val="center"/>
          </w:tcPr>
          <w:p w14:paraId="5172A46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66</w:t>
            </w:r>
          </w:p>
        </w:tc>
        <w:tc>
          <w:tcPr>
            <w:tcW w:w="981" w:type="dxa"/>
            <w:shd w:val="clear" w:color="auto" w:fill="FFFFFF"/>
            <w:vAlign w:val="center"/>
          </w:tcPr>
          <w:p w14:paraId="5D681FA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56FF70CA">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3DCD66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★BIOS固件基础功能</w:t>
            </w:r>
          </w:p>
        </w:tc>
        <w:tc>
          <w:tcPr>
            <w:tcW w:w="4287" w:type="dxa"/>
            <w:shd w:val="clear" w:color="auto" w:fill="FFFFFF"/>
            <w:vAlign w:val="center"/>
          </w:tcPr>
          <w:p w14:paraId="03E5F8C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查看固件版本、内存信息、主板信息、处理器信息和系统时间信息功能；b）支持上电初始化界面显示CPU信息、内存信息、固件版本和部分快捷键信息功能；c）支持设置界面中英文显示切换功能；d）支持查看PCIe设备信息，SATA设备信息功能；e）支持操作系统安装和引导功能，应并向操作系统提供计算机主板信息和服务接口；f）支持设置启动顺序，并按照设置的启动顺序启动功能；g）支持安全启动功能；h）支持设置口令、修改口令、验证口令功能；i）支持板载显示控制或独立显卡的显示控制功能；j）支持RAID识别和启动功能；k）支持串口重定向功能；l）支持固件更新功能；m）支持BIOS固件设置的恢复出厂功能；n）支持网络引导启用和关闭功能</w:t>
            </w:r>
          </w:p>
        </w:tc>
        <w:tc>
          <w:tcPr>
            <w:tcW w:w="1296" w:type="dxa"/>
            <w:shd w:val="clear" w:color="auto" w:fill="FFFFFF"/>
            <w:vAlign w:val="center"/>
          </w:tcPr>
          <w:p w14:paraId="6FCE53B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25BA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74" w:type="dxa"/>
            <w:shd w:val="clear" w:color="auto" w:fill="FFFFFF"/>
            <w:vAlign w:val="center"/>
          </w:tcPr>
          <w:p w14:paraId="6215E3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67</w:t>
            </w:r>
          </w:p>
        </w:tc>
        <w:tc>
          <w:tcPr>
            <w:tcW w:w="981" w:type="dxa"/>
            <w:shd w:val="clear" w:color="auto" w:fill="FFFFFF"/>
            <w:vAlign w:val="center"/>
          </w:tcPr>
          <w:p w14:paraId="64B1CC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3D068532">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CF7B13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★远程控制</w:t>
            </w:r>
          </w:p>
        </w:tc>
        <w:tc>
          <w:tcPr>
            <w:tcW w:w="4287" w:type="dxa"/>
            <w:shd w:val="clear" w:color="auto" w:fill="FFFFFF"/>
            <w:vAlign w:val="center"/>
          </w:tcPr>
          <w:p w14:paraId="40AACD6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支持远程关机和重新启动功能</w:t>
            </w:r>
          </w:p>
        </w:tc>
        <w:tc>
          <w:tcPr>
            <w:tcW w:w="1296" w:type="dxa"/>
            <w:shd w:val="clear" w:color="auto" w:fill="FFFFFF"/>
            <w:vAlign w:val="center"/>
          </w:tcPr>
          <w:p w14:paraId="3FA3E63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C75B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74" w:type="dxa"/>
            <w:shd w:val="clear" w:color="auto" w:fill="FFFFFF"/>
            <w:vAlign w:val="center"/>
          </w:tcPr>
          <w:p w14:paraId="3484009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68</w:t>
            </w:r>
          </w:p>
        </w:tc>
        <w:tc>
          <w:tcPr>
            <w:tcW w:w="981" w:type="dxa"/>
            <w:shd w:val="clear" w:color="auto" w:fill="FFFFFF"/>
            <w:vAlign w:val="center"/>
          </w:tcPr>
          <w:p w14:paraId="6D3617A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6DEBCD6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操作系统及驱动功能</w:t>
            </w:r>
          </w:p>
        </w:tc>
        <w:tc>
          <w:tcPr>
            <w:tcW w:w="1206" w:type="dxa"/>
            <w:shd w:val="clear" w:color="auto" w:fill="FFFFFF"/>
            <w:vAlign w:val="center"/>
          </w:tcPr>
          <w:p w14:paraId="1A1AE4C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★操作系统及驱动的升级</w:t>
            </w:r>
          </w:p>
        </w:tc>
        <w:tc>
          <w:tcPr>
            <w:tcW w:w="4287" w:type="dxa"/>
            <w:shd w:val="clear" w:color="auto" w:fill="FFFFFF"/>
            <w:vAlign w:val="center"/>
          </w:tcPr>
          <w:p w14:paraId="0D69F4C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支持通过网络、闪存盘对操作系统、驱动进行升级</w:t>
            </w:r>
          </w:p>
        </w:tc>
        <w:tc>
          <w:tcPr>
            <w:tcW w:w="1296" w:type="dxa"/>
            <w:shd w:val="clear" w:color="auto" w:fill="FFFFFF"/>
            <w:vAlign w:val="center"/>
          </w:tcPr>
          <w:p w14:paraId="0257FBD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ED7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74" w:type="dxa"/>
            <w:shd w:val="clear" w:color="auto" w:fill="FFFFFF"/>
            <w:vAlign w:val="center"/>
          </w:tcPr>
          <w:p w14:paraId="71927C7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69</w:t>
            </w:r>
          </w:p>
        </w:tc>
        <w:tc>
          <w:tcPr>
            <w:tcW w:w="981" w:type="dxa"/>
            <w:shd w:val="clear" w:color="auto" w:fill="FFFFFF"/>
            <w:vAlign w:val="center"/>
          </w:tcPr>
          <w:p w14:paraId="48236C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69CBBF0C">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4C4472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操作系统及驱动的备份还原</w:t>
            </w:r>
          </w:p>
        </w:tc>
        <w:tc>
          <w:tcPr>
            <w:tcW w:w="4287" w:type="dxa"/>
            <w:shd w:val="clear" w:color="auto" w:fill="FFFFFF"/>
            <w:vAlign w:val="center"/>
          </w:tcPr>
          <w:p w14:paraId="02486A1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支持操作系统备份及还原功能</w:t>
            </w:r>
          </w:p>
        </w:tc>
        <w:tc>
          <w:tcPr>
            <w:tcW w:w="1296" w:type="dxa"/>
            <w:shd w:val="clear" w:color="auto" w:fill="FFFFFF"/>
            <w:vAlign w:val="center"/>
          </w:tcPr>
          <w:p w14:paraId="26C916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4F0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74" w:type="dxa"/>
            <w:shd w:val="clear" w:color="auto" w:fill="FFFFFF"/>
            <w:vAlign w:val="center"/>
          </w:tcPr>
          <w:p w14:paraId="4BD3EAC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70</w:t>
            </w:r>
          </w:p>
        </w:tc>
        <w:tc>
          <w:tcPr>
            <w:tcW w:w="981" w:type="dxa"/>
            <w:shd w:val="clear" w:color="auto" w:fill="FFFFFF"/>
            <w:vAlign w:val="center"/>
          </w:tcPr>
          <w:p w14:paraId="4E189BE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6C91C668">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4513CCE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★操作系统功能</w:t>
            </w:r>
          </w:p>
        </w:tc>
        <w:tc>
          <w:tcPr>
            <w:tcW w:w="4287" w:type="dxa"/>
            <w:shd w:val="clear" w:color="auto" w:fill="FFFFFF"/>
            <w:vAlign w:val="center"/>
          </w:tcPr>
          <w:p w14:paraId="1C36B9A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a）支持访问控制、安全审计、网络接入鉴别等功能；b）操作系统其他功能应满足操作系统政府采购需求标准中加*的指标要求</w:t>
            </w:r>
          </w:p>
        </w:tc>
        <w:tc>
          <w:tcPr>
            <w:tcW w:w="1296" w:type="dxa"/>
            <w:shd w:val="clear" w:color="auto" w:fill="FFFFFF"/>
            <w:vAlign w:val="center"/>
          </w:tcPr>
          <w:p w14:paraId="26B59A7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601C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72DFE0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71</w:t>
            </w:r>
          </w:p>
        </w:tc>
        <w:tc>
          <w:tcPr>
            <w:tcW w:w="981" w:type="dxa"/>
            <w:shd w:val="clear" w:color="auto" w:fill="FFFFFF"/>
            <w:vAlign w:val="center"/>
          </w:tcPr>
          <w:p w14:paraId="325133C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shd w:val="clear" w:color="auto" w:fill="FFFFFF"/>
            <w:vAlign w:val="center"/>
          </w:tcPr>
          <w:p w14:paraId="3F274B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中文信息处理功能</w:t>
            </w:r>
          </w:p>
        </w:tc>
        <w:tc>
          <w:tcPr>
            <w:tcW w:w="1206" w:type="dxa"/>
            <w:shd w:val="clear" w:color="auto" w:fill="FFFFFF"/>
            <w:vAlign w:val="center"/>
          </w:tcPr>
          <w:p w14:paraId="3E1D681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★中文信息处理</w:t>
            </w:r>
          </w:p>
        </w:tc>
        <w:tc>
          <w:tcPr>
            <w:tcW w:w="4287" w:type="dxa"/>
            <w:shd w:val="clear" w:color="auto" w:fill="FFFFFF"/>
            <w:vAlign w:val="center"/>
          </w:tcPr>
          <w:p w14:paraId="63BA319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符合GB18030的有关规定</w:t>
            </w:r>
          </w:p>
        </w:tc>
        <w:tc>
          <w:tcPr>
            <w:tcW w:w="1296" w:type="dxa"/>
            <w:shd w:val="clear" w:color="auto" w:fill="FFFFFF"/>
            <w:vAlign w:val="center"/>
          </w:tcPr>
          <w:p w14:paraId="317F8F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70B8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36402B8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72</w:t>
            </w:r>
          </w:p>
        </w:tc>
        <w:tc>
          <w:tcPr>
            <w:tcW w:w="981" w:type="dxa"/>
            <w:shd w:val="clear" w:color="auto" w:fill="FFFFFF"/>
            <w:vAlign w:val="center"/>
          </w:tcPr>
          <w:p w14:paraId="4779E02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5A0A0B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机柜功能</w:t>
            </w:r>
          </w:p>
        </w:tc>
        <w:tc>
          <w:tcPr>
            <w:tcW w:w="1206" w:type="dxa"/>
            <w:shd w:val="clear" w:color="auto" w:fill="FFFFFF"/>
            <w:vAlign w:val="center"/>
          </w:tcPr>
          <w:p w14:paraId="749B4F6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机柜管理功能</w:t>
            </w:r>
          </w:p>
        </w:tc>
        <w:tc>
          <w:tcPr>
            <w:tcW w:w="4287" w:type="dxa"/>
            <w:shd w:val="clear" w:color="auto" w:fill="FFFFFF"/>
            <w:vAlign w:val="center"/>
          </w:tcPr>
          <w:p w14:paraId="5E5726F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机柜管理系统包括服务器节点BMC管理系统、机柜管理系统或交换节点管理系统</w:t>
            </w:r>
          </w:p>
        </w:tc>
        <w:tc>
          <w:tcPr>
            <w:tcW w:w="1296" w:type="dxa"/>
            <w:shd w:val="clear" w:color="auto" w:fill="FFFFFF"/>
            <w:vAlign w:val="center"/>
          </w:tcPr>
          <w:p w14:paraId="471C66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4BBD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601276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73</w:t>
            </w:r>
          </w:p>
        </w:tc>
        <w:tc>
          <w:tcPr>
            <w:tcW w:w="981" w:type="dxa"/>
            <w:shd w:val="clear" w:color="auto" w:fill="FFFFFF"/>
            <w:vAlign w:val="center"/>
          </w:tcPr>
          <w:p w14:paraId="2FF8CC6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1A324F78">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C1131A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机柜通信方式</w:t>
            </w:r>
          </w:p>
        </w:tc>
        <w:tc>
          <w:tcPr>
            <w:tcW w:w="4287" w:type="dxa"/>
            <w:shd w:val="clear" w:color="auto" w:fill="FFFFFF"/>
            <w:vAlign w:val="center"/>
          </w:tcPr>
          <w:p w14:paraId="130A69C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若配备机柜管理板可实现包括：资产管理、电源模块、功耗管理和液冷漏液检测等功能</w:t>
            </w:r>
          </w:p>
        </w:tc>
        <w:tc>
          <w:tcPr>
            <w:tcW w:w="1296" w:type="dxa"/>
            <w:shd w:val="clear" w:color="auto" w:fill="FFFFFF"/>
            <w:vAlign w:val="center"/>
          </w:tcPr>
          <w:p w14:paraId="341CE16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C946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74" w:type="dxa"/>
            <w:shd w:val="clear" w:color="auto" w:fill="FFFFFF"/>
            <w:vAlign w:val="center"/>
          </w:tcPr>
          <w:p w14:paraId="67093A2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74</w:t>
            </w:r>
          </w:p>
        </w:tc>
        <w:tc>
          <w:tcPr>
            <w:tcW w:w="981" w:type="dxa"/>
            <w:shd w:val="clear" w:color="auto" w:fill="FFFFFF"/>
            <w:vAlign w:val="center"/>
          </w:tcPr>
          <w:p w14:paraId="032F63C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376E3CDB">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7E7461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多集群作业管理</w:t>
            </w:r>
          </w:p>
        </w:tc>
        <w:tc>
          <w:tcPr>
            <w:tcW w:w="4287" w:type="dxa"/>
            <w:shd w:val="clear" w:color="auto" w:fill="FFFFFF"/>
            <w:vAlign w:val="center"/>
          </w:tcPr>
          <w:p w14:paraId="624EF17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支持多集群作业管理功能</w:t>
            </w:r>
          </w:p>
        </w:tc>
        <w:tc>
          <w:tcPr>
            <w:tcW w:w="1296" w:type="dxa"/>
            <w:shd w:val="clear" w:color="auto" w:fill="FFFFFF"/>
            <w:vAlign w:val="center"/>
          </w:tcPr>
          <w:p w14:paraId="454F0B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E84F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74" w:type="dxa"/>
            <w:shd w:val="clear" w:color="auto" w:fill="FFFFFF"/>
            <w:vAlign w:val="center"/>
          </w:tcPr>
          <w:p w14:paraId="0AE1660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75</w:t>
            </w:r>
          </w:p>
        </w:tc>
        <w:tc>
          <w:tcPr>
            <w:tcW w:w="981" w:type="dxa"/>
            <w:shd w:val="clear" w:color="auto" w:fill="FFFFFF"/>
            <w:vAlign w:val="center"/>
          </w:tcPr>
          <w:p w14:paraId="09EA869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shd w:val="clear" w:color="auto" w:fill="FFFFFF"/>
            <w:vAlign w:val="center"/>
          </w:tcPr>
          <w:p w14:paraId="623222D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关键部件安全要求</w:t>
            </w:r>
          </w:p>
        </w:tc>
        <w:tc>
          <w:tcPr>
            <w:tcW w:w="1206" w:type="dxa"/>
            <w:shd w:val="clear" w:color="auto" w:fill="FFFFFF"/>
            <w:vAlign w:val="center"/>
          </w:tcPr>
          <w:p w14:paraId="2746246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★关键部件安全要求</w:t>
            </w:r>
          </w:p>
        </w:tc>
        <w:tc>
          <w:tcPr>
            <w:tcW w:w="4287" w:type="dxa"/>
            <w:shd w:val="clear" w:color="auto" w:fill="FFFFFF"/>
            <w:vAlign w:val="center"/>
          </w:tcPr>
          <w:p w14:paraId="447A253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CPU和操作系统等关键部件应当符合安全可靠测评要求</w:t>
            </w:r>
          </w:p>
        </w:tc>
        <w:tc>
          <w:tcPr>
            <w:tcW w:w="1296" w:type="dxa"/>
            <w:shd w:val="clear" w:color="auto" w:fill="FFFFFF"/>
            <w:vAlign w:val="center"/>
          </w:tcPr>
          <w:p w14:paraId="6DF6917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5803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13F9082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76</w:t>
            </w:r>
          </w:p>
        </w:tc>
        <w:tc>
          <w:tcPr>
            <w:tcW w:w="981" w:type="dxa"/>
            <w:shd w:val="clear" w:color="auto" w:fill="FFFFFF"/>
            <w:vAlign w:val="center"/>
          </w:tcPr>
          <w:p w14:paraId="4FF27A9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restart"/>
            <w:shd w:val="clear" w:color="auto" w:fill="FFFFFF"/>
            <w:vAlign w:val="center"/>
          </w:tcPr>
          <w:p w14:paraId="29DC552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固件安全要求</w:t>
            </w:r>
          </w:p>
        </w:tc>
        <w:tc>
          <w:tcPr>
            <w:tcW w:w="1206" w:type="dxa"/>
            <w:shd w:val="clear" w:color="auto" w:fill="FFFFFF"/>
            <w:vAlign w:val="center"/>
          </w:tcPr>
          <w:p w14:paraId="73FA5B9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★故障检测</w:t>
            </w:r>
          </w:p>
        </w:tc>
        <w:tc>
          <w:tcPr>
            <w:tcW w:w="4287" w:type="dxa"/>
            <w:shd w:val="clear" w:color="auto" w:fill="FFFFFF"/>
            <w:vAlign w:val="center"/>
          </w:tcPr>
          <w:p w14:paraId="4662994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支持故障检测功能，可以检测到具体的FRU（内存、硬盘等）的故障并发出告警</w:t>
            </w:r>
          </w:p>
        </w:tc>
        <w:tc>
          <w:tcPr>
            <w:tcW w:w="1296" w:type="dxa"/>
            <w:shd w:val="clear" w:color="auto" w:fill="FFFFFF"/>
            <w:vAlign w:val="center"/>
          </w:tcPr>
          <w:p w14:paraId="016D068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0560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74" w:type="dxa"/>
            <w:shd w:val="clear" w:color="auto" w:fill="FFFFFF"/>
            <w:vAlign w:val="center"/>
          </w:tcPr>
          <w:p w14:paraId="1C754B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77</w:t>
            </w:r>
          </w:p>
        </w:tc>
        <w:tc>
          <w:tcPr>
            <w:tcW w:w="981" w:type="dxa"/>
            <w:shd w:val="clear" w:color="auto" w:fill="FFFFFF"/>
            <w:vAlign w:val="center"/>
          </w:tcPr>
          <w:p w14:paraId="44954D4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18A70ABD">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51BC08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内存故障智能预测和自愈修复</w:t>
            </w:r>
          </w:p>
        </w:tc>
        <w:tc>
          <w:tcPr>
            <w:tcW w:w="4287" w:type="dxa"/>
            <w:shd w:val="clear" w:color="auto" w:fill="FFFFFF"/>
            <w:vAlign w:val="center"/>
          </w:tcPr>
          <w:p w14:paraId="45068D6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支持内存故障智能预测和自愈修复，提前自动硬隔离，避免内存故障引起的非预期宕机以及内存寿命的降低</w:t>
            </w:r>
          </w:p>
        </w:tc>
        <w:tc>
          <w:tcPr>
            <w:tcW w:w="1296" w:type="dxa"/>
            <w:shd w:val="clear" w:color="auto" w:fill="FFFFFF"/>
            <w:vAlign w:val="center"/>
          </w:tcPr>
          <w:p w14:paraId="2FC4017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D628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74" w:type="dxa"/>
            <w:shd w:val="clear" w:color="auto" w:fill="FFFFFF"/>
            <w:vAlign w:val="center"/>
          </w:tcPr>
          <w:p w14:paraId="251477D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78</w:t>
            </w:r>
          </w:p>
        </w:tc>
        <w:tc>
          <w:tcPr>
            <w:tcW w:w="981" w:type="dxa"/>
            <w:shd w:val="clear" w:color="auto" w:fill="FFFFFF"/>
            <w:vAlign w:val="center"/>
          </w:tcPr>
          <w:p w14:paraId="54EAB43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7592F151">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589577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硬盘故障智能预测</w:t>
            </w:r>
          </w:p>
        </w:tc>
        <w:tc>
          <w:tcPr>
            <w:tcW w:w="4287" w:type="dxa"/>
            <w:shd w:val="clear" w:color="auto" w:fill="FFFFFF"/>
            <w:vAlign w:val="center"/>
          </w:tcPr>
          <w:p w14:paraId="13BB08A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支持硬盘故障智能预测，基于故障模型预测出硬盘的故障</w:t>
            </w:r>
          </w:p>
        </w:tc>
        <w:tc>
          <w:tcPr>
            <w:tcW w:w="1296" w:type="dxa"/>
            <w:shd w:val="clear" w:color="auto" w:fill="FFFFFF"/>
            <w:vAlign w:val="center"/>
          </w:tcPr>
          <w:p w14:paraId="001BB0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818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74" w:type="dxa"/>
            <w:shd w:val="clear" w:color="auto" w:fill="FFFFFF"/>
            <w:vAlign w:val="center"/>
          </w:tcPr>
          <w:p w14:paraId="32E0C4B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79</w:t>
            </w:r>
          </w:p>
        </w:tc>
        <w:tc>
          <w:tcPr>
            <w:tcW w:w="981" w:type="dxa"/>
            <w:shd w:val="clear" w:color="auto" w:fill="FFFFFF"/>
            <w:vAlign w:val="center"/>
          </w:tcPr>
          <w:p w14:paraId="594EB40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6E68CA15">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493760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PCIe链路故障智能诊断</w:t>
            </w:r>
          </w:p>
        </w:tc>
        <w:tc>
          <w:tcPr>
            <w:tcW w:w="4287" w:type="dxa"/>
            <w:shd w:val="clear" w:color="auto" w:fill="FFFFFF"/>
            <w:vAlign w:val="center"/>
          </w:tcPr>
          <w:p w14:paraId="04156EB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支持PCIe链路故障智能诊断，判断出现故障的PCIe链路</w:t>
            </w:r>
          </w:p>
        </w:tc>
        <w:tc>
          <w:tcPr>
            <w:tcW w:w="1296" w:type="dxa"/>
            <w:shd w:val="clear" w:color="auto" w:fill="FFFFFF"/>
            <w:vAlign w:val="center"/>
          </w:tcPr>
          <w:p w14:paraId="7AC271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7A78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74" w:type="dxa"/>
            <w:shd w:val="clear" w:color="auto" w:fill="FFFFFF"/>
            <w:vAlign w:val="center"/>
          </w:tcPr>
          <w:p w14:paraId="6978BA5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80</w:t>
            </w:r>
          </w:p>
        </w:tc>
        <w:tc>
          <w:tcPr>
            <w:tcW w:w="981" w:type="dxa"/>
            <w:shd w:val="clear" w:color="auto" w:fill="FFFFFF"/>
            <w:vAlign w:val="center"/>
          </w:tcPr>
          <w:p w14:paraId="548CCC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0C1294C7">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06B6A1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内存故障隔离</w:t>
            </w:r>
          </w:p>
        </w:tc>
        <w:tc>
          <w:tcPr>
            <w:tcW w:w="4287" w:type="dxa"/>
            <w:shd w:val="clear" w:color="auto" w:fill="FFFFFF"/>
            <w:vAlign w:val="center"/>
          </w:tcPr>
          <w:p w14:paraId="69F3D21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支持内存故障隔离，在内存产生CE故障时，内存地址被隔离成功，服务器正常运行，业务系统不中断</w:t>
            </w:r>
          </w:p>
        </w:tc>
        <w:tc>
          <w:tcPr>
            <w:tcW w:w="1296" w:type="dxa"/>
            <w:shd w:val="clear" w:color="auto" w:fill="FFFFFF"/>
            <w:vAlign w:val="center"/>
          </w:tcPr>
          <w:p w14:paraId="18D54B2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4E25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774" w:type="dxa"/>
            <w:shd w:val="clear" w:color="auto" w:fill="FFFFFF"/>
            <w:vAlign w:val="center"/>
          </w:tcPr>
          <w:p w14:paraId="7A9B487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81</w:t>
            </w:r>
          </w:p>
        </w:tc>
        <w:tc>
          <w:tcPr>
            <w:tcW w:w="981" w:type="dxa"/>
            <w:shd w:val="clear" w:color="auto" w:fill="FFFFFF"/>
            <w:vAlign w:val="center"/>
          </w:tcPr>
          <w:p w14:paraId="5CA89DA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4507E65B">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4F7ABF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内存、PCIe卡的故障精准告警功能</w:t>
            </w:r>
          </w:p>
        </w:tc>
        <w:tc>
          <w:tcPr>
            <w:tcW w:w="4287" w:type="dxa"/>
            <w:shd w:val="clear" w:color="auto" w:fill="FFFFFF"/>
            <w:vAlign w:val="center"/>
          </w:tcPr>
          <w:p w14:paraId="404CB26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支持内存、PCIe卡的故障精准告警功能，触发告警并明确指示具体的故障位置</w:t>
            </w:r>
          </w:p>
        </w:tc>
        <w:tc>
          <w:tcPr>
            <w:tcW w:w="1296" w:type="dxa"/>
            <w:shd w:val="clear" w:color="auto" w:fill="FFFFFF"/>
            <w:vAlign w:val="center"/>
          </w:tcPr>
          <w:p w14:paraId="0BBEC6D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D41A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20DCAF6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82</w:t>
            </w:r>
          </w:p>
        </w:tc>
        <w:tc>
          <w:tcPr>
            <w:tcW w:w="981" w:type="dxa"/>
            <w:shd w:val="clear" w:color="auto" w:fill="FFFFFF"/>
            <w:vAlign w:val="center"/>
          </w:tcPr>
          <w:p w14:paraId="537CB2A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770775D2">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847644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异常下电关键数据保护</w:t>
            </w:r>
          </w:p>
        </w:tc>
        <w:tc>
          <w:tcPr>
            <w:tcW w:w="4287" w:type="dxa"/>
            <w:shd w:val="clear" w:color="auto" w:fill="FFFFFF"/>
            <w:vAlign w:val="center"/>
          </w:tcPr>
          <w:p w14:paraId="5E2EC5E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支持异常掉电关键数据保护，支持数据备份恢复机制，防止系统异常掉电导致的数据文件丢失</w:t>
            </w:r>
          </w:p>
        </w:tc>
        <w:tc>
          <w:tcPr>
            <w:tcW w:w="1296" w:type="dxa"/>
            <w:shd w:val="clear" w:color="auto" w:fill="FFFFFF"/>
            <w:vAlign w:val="center"/>
          </w:tcPr>
          <w:p w14:paraId="09DD57F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91B9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74" w:type="dxa"/>
            <w:shd w:val="clear" w:color="auto" w:fill="FFFFFF"/>
            <w:vAlign w:val="center"/>
          </w:tcPr>
          <w:p w14:paraId="37E9D24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83</w:t>
            </w:r>
          </w:p>
        </w:tc>
        <w:tc>
          <w:tcPr>
            <w:tcW w:w="981" w:type="dxa"/>
            <w:shd w:val="clear" w:color="auto" w:fill="FFFFFF"/>
            <w:vAlign w:val="center"/>
          </w:tcPr>
          <w:p w14:paraId="63DDFE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4D021F37">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E52C51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BMC/BIOS固件双镜像保护</w:t>
            </w:r>
          </w:p>
        </w:tc>
        <w:tc>
          <w:tcPr>
            <w:tcW w:w="4287" w:type="dxa"/>
            <w:shd w:val="clear" w:color="auto" w:fill="FFFFFF"/>
            <w:vAlign w:val="center"/>
          </w:tcPr>
          <w:p w14:paraId="2C3203F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支持BMC/BIOS固件双镜像保护，运行异常时自动切换到备份镜像运行，提升系统稳定性</w:t>
            </w:r>
          </w:p>
        </w:tc>
        <w:tc>
          <w:tcPr>
            <w:tcW w:w="1296" w:type="dxa"/>
            <w:shd w:val="clear" w:color="auto" w:fill="FFFFFF"/>
            <w:vAlign w:val="center"/>
          </w:tcPr>
          <w:p w14:paraId="2C25233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798F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74" w:type="dxa"/>
            <w:shd w:val="clear" w:color="auto" w:fill="FFFFFF"/>
            <w:vAlign w:val="center"/>
          </w:tcPr>
          <w:p w14:paraId="660076E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84</w:t>
            </w:r>
          </w:p>
        </w:tc>
        <w:tc>
          <w:tcPr>
            <w:tcW w:w="981" w:type="dxa"/>
            <w:shd w:val="clear" w:color="auto" w:fill="FFFFFF"/>
            <w:vAlign w:val="center"/>
          </w:tcPr>
          <w:p w14:paraId="3E96785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41CD7611">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DD74C1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CPU核重启隔离</w:t>
            </w:r>
          </w:p>
        </w:tc>
        <w:tc>
          <w:tcPr>
            <w:tcW w:w="4287" w:type="dxa"/>
            <w:shd w:val="clear" w:color="auto" w:fill="FFFFFF"/>
            <w:vAlign w:val="center"/>
          </w:tcPr>
          <w:p w14:paraId="13D134A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支持CPU核发生不可纠正故障后，重启后由BIOS隔离该故障核，OS不可见，防止OS再次使用导致系统异常，核0除外</w:t>
            </w:r>
          </w:p>
        </w:tc>
        <w:tc>
          <w:tcPr>
            <w:tcW w:w="1296" w:type="dxa"/>
            <w:shd w:val="clear" w:color="auto" w:fill="FFFFFF"/>
            <w:vAlign w:val="center"/>
          </w:tcPr>
          <w:p w14:paraId="7037E7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E295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74" w:type="dxa"/>
            <w:shd w:val="clear" w:color="auto" w:fill="FFFFFF"/>
            <w:vAlign w:val="center"/>
          </w:tcPr>
          <w:p w14:paraId="424FDE4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85</w:t>
            </w:r>
          </w:p>
        </w:tc>
        <w:tc>
          <w:tcPr>
            <w:tcW w:w="981" w:type="dxa"/>
            <w:shd w:val="clear" w:color="auto" w:fill="FFFFFF"/>
            <w:vAlign w:val="center"/>
          </w:tcPr>
          <w:p w14:paraId="6A9E71A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4EE084F7">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9289C7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内存地址隔离</w:t>
            </w:r>
          </w:p>
        </w:tc>
        <w:tc>
          <w:tcPr>
            <w:tcW w:w="4287" w:type="dxa"/>
            <w:shd w:val="clear" w:color="auto" w:fill="FFFFFF"/>
            <w:vAlign w:val="center"/>
          </w:tcPr>
          <w:p w14:paraId="0DF766B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在硬件支持的情况下，支持故障内存地址重启后隔离</w:t>
            </w:r>
          </w:p>
        </w:tc>
        <w:tc>
          <w:tcPr>
            <w:tcW w:w="1296" w:type="dxa"/>
            <w:shd w:val="clear" w:color="auto" w:fill="FFFFFF"/>
            <w:vAlign w:val="center"/>
          </w:tcPr>
          <w:p w14:paraId="4E10FF4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289B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74" w:type="dxa"/>
            <w:shd w:val="clear" w:color="auto" w:fill="FFFFFF"/>
            <w:vAlign w:val="center"/>
          </w:tcPr>
          <w:p w14:paraId="6B2B1D8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86</w:t>
            </w:r>
          </w:p>
        </w:tc>
        <w:tc>
          <w:tcPr>
            <w:tcW w:w="981" w:type="dxa"/>
            <w:shd w:val="clear" w:color="auto" w:fill="FFFFFF"/>
            <w:vAlign w:val="center"/>
          </w:tcPr>
          <w:p w14:paraId="6788839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1B99871E">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8FA616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内存存储阵列替换</w:t>
            </w:r>
          </w:p>
        </w:tc>
        <w:tc>
          <w:tcPr>
            <w:tcW w:w="4287" w:type="dxa"/>
            <w:shd w:val="clear" w:color="auto" w:fill="FFFFFF"/>
            <w:vAlign w:val="center"/>
          </w:tcPr>
          <w:p w14:paraId="47EE32E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在硬件支持的情况下，支持故障内存存储阵列替换</w:t>
            </w:r>
          </w:p>
        </w:tc>
        <w:tc>
          <w:tcPr>
            <w:tcW w:w="1296" w:type="dxa"/>
            <w:shd w:val="clear" w:color="auto" w:fill="FFFFFF"/>
            <w:vAlign w:val="center"/>
          </w:tcPr>
          <w:p w14:paraId="58BA3E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6018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002CDAB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87</w:t>
            </w:r>
          </w:p>
        </w:tc>
        <w:tc>
          <w:tcPr>
            <w:tcW w:w="981" w:type="dxa"/>
            <w:shd w:val="clear" w:color="auto" w:fill="FFFFFF"/>
            <w:vAlign w:val="center"/>
          </w:tcPr>
          <w:p w14:paraId="213625D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3E2BB244">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EF0697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安全启动</w:t>
            </w:r>
          </w:p>
        </w:tc>
        <w:tc>
          <w:tcPr>
            <w:tcW w:w="4287" w:type="dxa"/>
            <w:shd w:val="clear" w:color="auto" w:fill="FFFFFF"/>
            <w:vAlign w:val="center"/>
          </w:tcPr>
          <w:p w14:paraId="360ABD3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支持执行环境要求在整个系统启动的过程中，系统应提供一个机制来保护平台的完整性</w:t>
            </w:r>
          </w:p>
        </w:tc>
        <w:tc>
          <w:tcPr>
            <w:tcW w:w="1296" w:type="dxa"/>
            <w:shd w:val="clear" w:color="auto" w:fill="FFFFFF"/>
            <w:vAlign w:val="center"/>
          </w:tcPr>
          <w:p w14:paraId="33BA91B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74F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47CDA6C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88</w:t>
            </w:r>
          </w:p>
        </w:tc>
        <w:tc>
          <w:tcPr>
            <w:tcW w:w="981" w:type="dxa"/>
            <w:shd w:val="clear" w:color="auto" w:fill="FFFFFF"/>
            <w:vAlign w:val="center"/>
          </w:tcPr>
          <w:p w14:paraId="05D0A99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restart"/>
            <w:shd w:val="clear" w:color="auto" w:fill="FFFFFF"/>
            <w:vAlign w:val="center"/>
          </w:tcPr>
          <w:p w14:paraId="732A347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系统安全要求</w:t>
            </w:r>
          </w:p>
        </w:tc>
        <w:tc>
          <w:tcPr>
            <w:tcW w:w="1206" w:type="dxa"/>
            <w:shd w:val="clear" w:color="auto" w:fill="FFFFFF"/>
            <w:vAlign w:val="center"/>
          </w:tcPr>
          <w:p w14:paraId="486F416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syslog双向鉴别</w:t>
            </w:r>
          </w:p>
        </w:tc>
        <w:tc>
          <w:tcPr>
            <w:tcW w:w="4287" w:type="dxa"/>
            <w:shd w:val="clear" w:color="auto" w:fill="FFFFFF"/>
            <w:vAlign w:val="center"/>
          </w:tcPr>
          <w:p w14:paraId="2242A40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支持系统日志双向鉴别，对服务器根证书和客户端根证书进行鉴别</w:t>
            </w:r>
          </w:p>
        </w:tc>
        <w:tc>
          <w:tcPr>
            <w:tcW w:w="1296" w:type="dxa"/>
            <w:shd w:val="clear" w:color="auto" w:fill="FFFFFF"/>
            <w:vAlign w:val="center"/>
          </w:tcPr>
          <w:p w14:paraId="545DDF3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7B89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34F2CCF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89</w:t>
            </w:r>
          </w:p>
        </w:tc>
        <w:tc>
          <w:tcPr>
            <w:tcW w:w="981" w:type="dxa"/>
            <w:shd w:val="clear" w:color="auto" w:fill="FFFFFF"/>
            <w:vAlign w:val="center"/>
          </w:tcPr>
          <w:p w14:paraId="5D38CE2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5AB8086D">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52081D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★弱口令字典检查</w:t>
            </w:r>
          </w:p>
        </w:tc>
        <w:tc>
          <w:tcPr>
            <w:tcW w:w="4287" w:type="dxa"/>
            <w:shd w:val="clear" w:color="auto" w:fill="FFFFFF"/>
            <w:vAlign w:val="center"/>
          </w:tcPr>
          <w:p w14:paraId="42014FD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支持弱口令字典检查功能，出现在弱口令字典中的字符串不能被设置为用户口令</w:t>
            </w:r>
          </w:p>
        </w:tc>
        <w:tc>
          <w:tcPr>
            <w:tcW w:w="1296" w:type="dxa"/>
            <w:shd w:val="clear" w:color="auto" w:fill="FFFFFF"/>
            <w:vAlign w:val="center"/>
          </w:tcPr>
          <w:p w14:paraId="7850A37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C641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74" w:type="dxa"/>
            <w:shd w:val="clear" w:color="auto" w:fill="FFFFFF"/>
            <w:vAlign w:val="center"/>
          </w:tcPr>
          <w:p w14:paraId="327876A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90</w:t>
            </w:r>
          </w:p>
        </w:tc>
        <w:tc>
          <w:tcPr>
            <w:tcW w:w="981" w:type="dxa"/>
            <w:shd w:val="clear" w:color="auto" w:fill="FFFFFF"/>
            <w:vAlign w:val="center"/>
          </w:tcPr>
          <w:p w14:paraId="135D345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0F18E25D">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0778CE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★白名单访问控制</w:t>
            </w:r>
          </w:p>
        </w:tc>
        <w:tc>
          <w:tcPr>
            <w:tcW w:w="4287" w:type="dxa"/>
            <w:shd w:val="clear" w:color="auto" w:fill="FFFFFF"/>
            <w:vAlign w:val="center"/>
          </w:tcPr>
          <w:p w14:paraId="4AC88F5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支持基于时间、IP或MAC白名单访问控制</w:t>
            </w:r>
          </w:p>
        </w:tc>
        <w:tc>
          <w:tcPr>
            <w:tcW w:w="1296" w:type="dxa"/>
            <w:shd w:val="clear" w:color="auto" w:fill="FFFFFF"/>
            <w:vAlign w:val="center"/>
          </w:tcPr>
          <w:p w14:paraId="55BA91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2E5A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74" w:type="dxa"/>
            <w:shd w:val="clear" w:color="auto" w:fill="FFFFFF"/>
            <w:vAlign w:val="center"/>
          </w:tcPr>
          <w:p w14:paraId="5102A4E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91</w:t>
            </w:r>
          </w:p>
        </w:tc>
        <w:tc>
          <w:tcPr>
            <w:tcW w:w="981" w:type="dxa"/>
            <w:shd w:val="clear" w:color="auto" w:fill="FFFFFF"/>
            <w:vAlign w:val="center"/>
          </w:tcPr>
          <w:p w14:paraId="66EF207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41B78D56">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DF0400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双因素鉴别</w:t>
            </w:r>
          </w:p>
        </w:tc>
        <w:tc>
          <w:tcPr>
            <w:tcW w:w="4287" w:type="dxa"/>
            <w:shd w:val="clear" w:color="auto" w:fill="FFFFFF"/>
            <w:vAlign w:val="center"/>
          </w:tcPr>
          <w:p w14:paraId="7602FCB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支持使用客户端证书和证书密码的双因素鉴别方式登录管理系统</w:t>
            </w:r>
          </w:p>
        </w:tc>
        <w:tc>
          <w:tcPr>
            <w:tcW w:w="1296" w:type="dxa"/>
            <w:shd w:val="clear" w:color="auto" w:fill="FFFFFF"/>
            <w:vAlign w:val="center"/>
          </w:tcPr>
          <w:p w14:paraId="302B99C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145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74" w:type="dxa"/>
            <w:shd w:val="clear" w:color="auto" w:fill="FFFFFF"/>
            <w:vAlign w:val="center"/>
          </w:tcPr>
          <w:p w14:paraId="3E6BCD8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92</w:t>
            </w:r>
          </w:p>
        </w:tc>
        <w:tc>
          <w:tcPr>
            <w:tcW w:w="981" w:type="dxa"/>
            <w:shd w:val="clear" w:color="auto" w:fill="FFFFFF"/>
            <w:vAlign w:val="center"/>
          </w:tcPr>
          <w:p w14:paraId="21D9106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3BCE6452">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CA8019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★二次鉴别</w:t>
            </w:r>
          </w:p>
        </w:tc>
        <w:tc>
          <w:tcPr>
            <w:tcW w:w="4287" w:type="dxa"/>
            <w:shd w:val="clear" w:color="auto" w:fill="FFFFFF"/>
            <w:vAlign w:val="center"/>
          </w:tcPr>
          <w:p w14:paraId="343DAC4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支持二次鉴别功能。对于用户配置、权限配置、公钥导入等重要的管理操作，已登录用户应通过二次鉴别后，才能执行操作</w:t>
            </w:r>
          </w:p>
        </w:tc>
        <w:tc>
          <w:tcPr>
            <w:tcW w:w="1296" w:type="dxa"/>
            <w:shd w:val="clear" w:color="auto" w:fill="FFFFFF"/>
            <w:vAlign w:val="center"/>
          </w:tcPr>
          <w:p w14:paraId="02792AE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3711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74" w:type="dxa"/>
            <w:shd w:val="clear" w:color="auto" w:fill="FFFFFF"/>
            <w:vAlign w:val="center"/>
          </w:tcPr>
          <w:p w14:paraId="62C6B75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93</w:t>
            </w:r>
          </w:p>
        </w:tc>
        <w:tc>
          <w:tcPr>
            <w:tcW w:w="981" w:type="dxa"/>
            <w:shd w:val="clear" w:color="auto" w:fill="FFFFFF"/>
            <w:vAlign w:val="center"/>
          </w:tcPr>
          <w:p w14:paraId="24595C2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7A64F1C7">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1576C5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匿名化用户告警接收邮箱</w:t>
            </w:r>
          </w:p>
        </w:tc>
        <w:tc>
          <w:tcPr>
            <w:tcW w:w="4287" w:type="dxa"/>
            <w:shd w:val="clear" w:color="auto" w:fill="FFFFFF"/>
            <w:vAlign w:val="center"/>
          </w:tcPr>
          <w:p w14:paraId="7673F95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支持带外管理系统中的用户告警接收邮箱进行匿名化处理</w:t>
            </w:r>
          </w:p>
        </w:tc>
        <w:tc>
          <w:tcPr>
            <w:tcW w:w="1296" w:type="dxa"/>
            <w:shd w:val="clear" w:color="auto" w:fill="FFFFFF"/>
            <w:vAlign w:val="center"/>
          </w:tcPr>
          <w:p w14:paraId="620332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C7F1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74" w:type="dxa"/>
            <w:shd w:val="clear" w:color="auto" w:fill="FFFFFF"/>
            <w:vAlign w:val="center"/>
          </w:tcPr>
          <w:p w14:paraId="1F37758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94</w:t>
            </w:r>
          </w:p>
        </w:tc>
        <w:tc>
          <w:tcPr>
            <w:tcW w:w="981" w:type="dxa"/>
            <w:shd w:val="clear" w:color="auto" w:fill="FFFFFF"/>
            <w:vAlign w:val="center"/>
          </w:tcPr>
          <w:p w14:paraId="6588A9A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664661E9">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07DCA9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★密码证书安全加密存储</w:t>
            </w:r>
          </w:p>
        </w:tc>
        <w:tc>
          <w:tcPr>
            <w:tcW w:w="4287" w:type="dxa"/>
            <w:shd w:val="clear" w:color="auto" w:fill="FFFFFF"/>
            <w:vAlign w:val="center"/>
          </w:tcPr>
          <w:p w14:paraId="4CECADA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支持对带外管理系统中的用户口令和证书等敏感信息进行加密存储，禁止使用私有的和业界已知不安全的密码算法</w:t>
            </w:r>
          </w:p>
        </w:tc>
        <w:tc>
          <w:tcPr>
            <w:tcW w:w="1296" w:type="dxa"/>
            <w:shd w:val="clear" w:color="auto" w:fill="FFFFFF"/>
            <w:vAlign w:val="center"/>
          </w:tcPr>
          <w:p w14:paraId="3D0714C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A86B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74" w:type="dxa"/>
            <w:shd w:val="clear" w:color="auto" w:fill="FFFFFF"/>
            <w:vAlign w:val="center"/>
          </w:tcPr>
          <w:p w14:paraId="6C86BF1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95</w:t>
            </w:r>
          </w:p>
        </w:tc>
        <w:tc>
          <w:tcPr>
            <w:tcW w:w="981" w:type="dxa"/>
            <w:shd w:val="clear" w:color="auto" w:fill="FFFFFF"/>
            <w:vAlign w:val="center"/>
          </w:tcPr>
          <w:p w14:paraId="4EC2573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5A0D42EA">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421EB23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★敏感信息安全加密传输</w:t>
            </w:r>
          </w:p>
        </w:tc>
        <w:tc>
          <w:tcPr>
            <w:tcW w:w="4287" w:type="dxa"/>
            <w:shd w:val="clear" w:color="auto" w:fill="FFFFFF"/>
            <w:vAlign w:val="center"/>
          </w:tcPr>
          <w:p w14:paraId="48E4FF6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支持使用安全的传输加密协议（如SSH或HTTPS等）传输用户的敏感信息</w:t>
            </w:r>
          </w:p>
        </w:tc>
        <w:tc>
          <w:tcPr>
            <w:tcW w:w="1296" w:type="dxa"/>
            <w:shd w:val="clear" w:color="auto" w:fill="FFFFFF"/>
            <w:vAlign w:val="center"/>
          </w:tcPr>
          <w:p w14:paraId="5F6E7E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9804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74" w:type="dxa"/>
            <w:shd w:val="clear" w:color="auto" w:fill="FFFFFF"/>
            <w:vAlign w:val="center"/>
          </w:tcPr>
          <w:p w14:paraId="7ADC0B0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96</w:t>
            </w:r>
          </w:p>
        </w:tc>
        <w:tc>
          <w:tcPr>
            <w:tcW w:w="981" w:type="dxa"/>
            <w:shd w:val="clear" w:color="auto" w:fill="FFFFFF"/>
            <w:vAlign w:val="center"/>
          </w:tcPr>
          <w:p w14:paraId="04E0C56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restart"/>
            <w:shd w:val="clear" w:color="auto" w:fill="FFFFFF"/>
            <w:vAlign w:val="center"/>
          </w:tcPr>
          <w:p w14:paraId="6E7432E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信息安全要求</w:t>
            </w:r>
          </w:p>
        </w:tc>
        <w:tc>
          <w:tcPr>
            <w:tcW w:w="1206" w:type="dxa"/>
            <w:shd w:val="clear" w:color="auto" w:fill="FFFFFF"/>
            <w:vAlign w:val="center"/>
          </w:tcPr>
          <w:p w14:paraId="06FC278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★研发过程安全</w:t>
            </w:r>
          </w:p>
        </w:tc>
        <w:tc>
          <w:tcPr>
            <w:tcW w:w="4287" w:type="dxa"/>
            <w:shd w:val="clear" w:color="auto" w:fill="FFFFFF"/>
            <w:vAlign w:val="center"/>
          </w:tcPr>
          <w:p w14:paraId="15C29F2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供应商承诺，生产商已建立从需求、设计、开发、测试、维护端到端的开发流程管理机制，输出和保存开发流程中每个阶段的产品需求清单、设计文档、开发文档、测试记录等材料，保证各个流程可追溯</w:t>
            </w:r>
            <w:r>
              <w:rPr>
                <w:rFonts w:hint="eastAsia"/>
                <w:b/>
                <w:bCs/>
              </w:rPr>
              <w:t>（需提供加盖投标人公章的承诺书</w:t>
            </w:r>
            <w:r>
              <w:rPr>
                <w:rFonts w:hint="eastAsia"/>
                <w:b/>
                <w:bCs/>
                <w:lang w:eastAsia="zh-CN"/>
              </w:rPr>
              <w:t>）</w:t>
            </w:r>
          </w:p>
        </w:tc>
        <w:tc>
          <w:tcPr>
            <w:tcW w:w="1296" w:type="dxa"/>
            <w:shd w:val="clear" w:color="auto" w:fill="FFFFFF"/>
            <w:vAlign w:val="center"/>
          </w:tcPr>
          <w:p w14:paraId="226AD56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1B6C4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74" w:type="dxa"/>
            <w:shd w:val="clear" w:color="auto" w:fill="FFFFFF"/>
            <w:vAlign w:val="center"/>
          </w:tcPr>
          <w:p w14:paraId="5176DC2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97</w:t>
            </w:r>
          </w:p>
        </w:tc>
        <w:tc>
          <w:tcPr>
            <w:tcW w:w="981" w:type="dxa"/>
            <w:shd w:val="clear" w:color="auto" w:fill="FFFFFF"/>
            <w:vAlign w:val="center"/>
          </w:tcPr>
          <w:p w14:paraId="2303C97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027D16B5">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58A7A3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漏洞管理</w:t>
            </w:r>
          </w:p>
        </w:tc>
        <w:tc>
          <w:tcPr>
            <w:tcW w:w="4287" w:type="dxa"/>
            <w:shd w:val="clear" w:color="auto" w:fill="FFFFFF"/>
            <w:vAlign w:val="center"/>
          </w:tcPr>
          <w:p w14:paraId="7863CC2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供应商承诺，生产商已建立漏洞全量视图，保证产品版本涉及到的所有漏洞（如驱动程序、BMC软件等）都可以查看</w:t>
            </w:r>
            <w:r>
              <w:rPr>
                <w:rFonts w:hint="eastAsia"/>
                <w:b/>
                <w:bCs/>
              </w:rPr>
              <w:t>（需提供加盖投标人公章的承诺书</w:t>
            </w:r>
            <w:r>
              <w:rPr>
                <w:rFonts w:hint="eastAsia"/>
                <w:b/>
                <w:bCs/>
                <w:lang w:eastAsia="zh-CN"/>
              </w:rPr>
              <w:t>）</w:t>
            </w:r>
          </w:p>
        </w:tc>
        <w:tc>
          <w:tcPr>
            <w:tcW w:w="1296" w:type="dxa"/>
            <w:shd w:val="clear" w:color="auto" w:fill="FFFFFF"/>
            <w:vAlign w:val="center"/>
          </w:tcPr>
          <w:p w14:paraId="4467A8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62EF6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74" w:type="dxa"/>
            <w:shd w:val="clear" w:color="auto" w:fill="FFFFFF"/>
            <w:vAlign w:val="center"/>
          </w:tcPr>
          <w:p w14:paraId="11A5E6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98</w:t>
            </w:r>
          </w:p>
        </w:tc>
        <w:tc>
          <w:tcPr>
            <w:tcW w:w="981" w:type="dxa"/>
            <w:shd w:val="clear" w:color="auto" w:fill="FFFFFF"/>
            <w:vAlign w:val="center"/>
          </w:tcPr>
          <w:p w14:paraId="581DC70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53A04098">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F81571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网络关键设备服务器要求</w:t>
            </w:r>
          </w:p>
        </w:tc>
        <w:tc>
          <w:tcPr>
            <w:tcW w:w="4287" w:type="dxa"/>
            <w:shd w:val="clear" w:color="auto" w:fill="FFFFFF"/>
            <w:vAlign w:val="center"/>
          </w:tcPr>
          <w:p w14:paraId="4833290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作为网络关键设备的服务器应符合GB40050的相关规定</w:t>
            </w:r>
          </w:p>
        </w:tc>
        <w:tc>
          <w:tcPr>
            <w:tcW w:w="1296" w:type="dxa"/>
            <w:shd w:val="clear" w:color="auto" w:fill="FFFFFF"/>
            <w:vAlign w:val="center"/>
          </w:tcPr>
          <w:p w14:paraId="47F32C3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881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6" w:hRule="atLeast"/>
        </w:trPr>
        <w:tc>
          <w:tcPr>
            <w:tcW w:w="774" w:type="dxa"/>
            <w:shd w:val="clear" w:color="auto" w:fill="FFFFFF"/>
            <w:vAlign w:val="center"/>
          </w:tcPr>
          <w:p w14:paraId="741BFC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99</w:t>
            </w:r>
          </w:p>
        </w:tc>
        <w:tc>
          <w:tcPr>
            <w:tcW w:w="981" w:type="dxa"/>
            <w:shd w:val="clear" w:color="auto" w:fill="FFFFFF"/>
            <w:vAlign w:val="center"/>
          </w:tcPr>
          <w:p w14:paraId="29EE852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50DF9444">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2465EE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增强要求</w:t>
            </w:r>
          </w:p>
        </w:tc>
        <w:tc>
          <w:tcPr>
            <w:tcW w:w="4287" w:type="dxa"/>
            <w:shd w:val="clear" w:color="auto" w:fill="FFFFFF"/>
            <w:vAlign w:val="center"/>
          </w:tcPr>
          <w:p w14:paraId="7A9A176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嵌入物理可信根，实现设备的信任链构建；b）支持可信平台控制模块（TPCM）；c）支持在固件系统（BMC、BIOS）启动前实现对固件度量的功能，支持物理可信根对BMC固件或BIOS固件进行完整性检测、更新和恢复；d）支持对CPU、网络控制器等关键处理器进行身份识别与度量的功能；e）支持基于处理器或可信计算模块度量的功能；f）所采用的可信密码模块接口应符合GM/T0012的相关规定；g）可信安全管理模块、处理器等硬件载体应通过国家相关部门的认证和许可</w:t>
            </w:r>
          </w:p>
        </w:tc>
        <w:tc>
          <w:tcPr>
            <w:tcW w:w="1296" w:type="dxa"/>
            <w:shd w:val="clear" w:color="auto" w:fill="FFFFFF"/>
            <w:vAlign w:val="center"/>
          </w:tcPr>
          <w:p w14:paraId="4F15216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4B53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774" w:type="dxa"/>
            <w:shd w:val="clear" w:color="auto" w:fill="FFFFFF"/>
            <w:vAlign w:val="center"/>
          </w:tcPr>
          <w:p w14:paraId="407E27A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100</w:t>
            </w:r>
          </w:p>
        </w:tc>
        <w:tc>
          <w:tcPr>
            <w:tcW w:w="981" w:type="dxa"/>
            <w:shd w:val="clear" w:color="auto" w:fill="FFFFFF"/>
            <w:vAlign w:val="center"/>
          </w:tcPr>
          <w:p w14:paraId="4BB5FD9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shd w:val="clear" w:color="auto" w:fill="FFFFFF"/>
            <w:vAlign w:val="center"/>
          </w:tcPr>
          <w:p w14:paraId="220B31C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物理安全</w:t>
            </w:r>
          </w:p>
        </w:tc>
        <w:tc>
          <w:tcPr>
            <w:tcW w:w="1206" w:type="dxa"/>
            <w:shd w:val="clear" w:color="auto" w:fill="FFFFFF"/>
            <w:vAlign w:val="center"/>
          </w:tcPr>
          <w:p w14:paraId="26638AF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★物理安全</w:t>
            </w:r>
          </w:p>
        </w:tc>
        <w:tc>
          <w:tcPr>
            <w:tcW w:w="4287" w:type="dxa"/>
            <w:shd w:val="clear" w:color="auto" w:fill="FFFFFF"/>
            <w:vAlign w:val="center"/>
          </w:tcPr>
          <w:p w14:paraId="5905AF9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安全要求应符合GB4943.1的规定</w:t>
            </w:r>
          </w:p>
        </w:tc>
        <w:tc>
          <w:tcPr>
            <w:tcW w:w="1296" w:type="dxa"/>
            <w:shd w:val="clear" w:color="auto" w:fill="FFFFFF"/>
            <w:vAlign w:val="center"/>
          </w:tcPr>
          <w:p w14:paraId="6CA2AB0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2C96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2C1A5D0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101</w:t>
            </w:r>
          </w:p>
        </w:tc>
        <w:tc>
          <w:tcPr>
            <w:tcW w:w="981" w:type="dxa"/>
            <w:shd w:val="clear" w:color="auto" w:fill="FFFFFF"/>
            <w:vAlign w:val="center"/>
          </w:tcPr>
          <w:p w14:paraId="4F01F1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shd w:val="clear" w:color="auto" w:fill="FFFFFF"/>
            <w:vAlign w:val="center"/>
          </w:tcPr>
          <w:p w14:paraId="407C7D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限用物质的限量要求</w:t>
            </w:r>
          </w:p>
        </w:tc>
        <w:tc>
          <w:tcPr>
            <w:tcW w:w="1206" w:type="dxa"/>
            <w:shd w:val="clear" w:color="auto" w:fill="FFFFFF"/>
            <w:vAlign w:val="center"/>
          </w:tcPr>
          <w:p w14:paraId="4A77206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★限用物质的限量要求</w:t>
            </w:r>
          </w:p>
        </w:tc>
        <w:tc>
          <w:tcPr>
            <w:tcW w:w="4287" w:type="dxa"/>
            <w:shd w:val="clear" w:color="auto" w:fill="FFFFFF"/>
            <w:vAlign w:val="center"/>
          </w:tcPr>
          <w:p w14:paraId="55C41A5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限用物质的限量应符合GB/T26572的要求</w:t>
            </w:r>
          </w:p>
        </w:tc>
        <w:tc>
          <w:tcPr>
            <w:tcW w:w="1296" w:type="dxa"/>
            <w:shd w:val="clear" w:color="auto" w:fill="FFFFFF"/>
            <w:vAlign w:val="center"/>
          </w:tcPr>
          <w:p w14:paraId="2340DDA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65D7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74" w:type="dxa"/>
            <w:shd w:val="clear" w:color="auto" w:fill="FFFFFF"/>
            <w:vAlign w:val="center"/>
          </w:tcPr>
          <w:p w14:paraId="556813D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102</w:t>
            </w:r>
          </w:p>
        </w:tc>
        <w:tc>
          <w:tcPr>
            <w:tcW w:w="981" w:type="dxa"/>
            <w:shd w:val="clear" w:color="auto" w:fill="FFFFFF"/>
            <w:vAlign w:val="center"/>
          </w:tcPr>
          <w:p w14:paraId="65DD112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restart"/>
            <w:shd w:val="clear" w:color="auto" w:fill="FFFFFF"/>
            <w:vAlign w:val="center"/>
          </w:tcPr>
          <w:p w14:paraId="600607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CPU性能</w:t>
            </w:r>
          </w:p>
        </w:tc>
        <w:tc>
          <w:tcPr>
            <w:tcW w:w="1206" w:type="dxa"/>
            <w:shd w:val="clear" w:color="auto" w:fill="FFFFFF"/>
            <w:vAlign w:val="center"/>
          </w:tcPr>
          <w:p w14:paraId="345F215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★CPU主频</w:t>
            </w:r>
          </w:p>
        </w:tc>
        <w:tc>
          <w:tcPr>
            <w:tcW w:w="4287" w:type="dxa"/>
            <w:shd w:val="clear" w:color="auto" w:fill="FFFFFF"/>
            <w:vAlign w:val="center"/>
          </w:tcPr>
          <w:p w14:paraId="08F029D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≥2.2GHz</w:t>
            </w:r>
          </w:p>
        </w:tc>
        <w:tc>
          <w:tcPr>
            <w:tcW w:w="1296" w:type="dxa"/>
            <w:shd w:val="clear" w:color="auto" w:fill="FFFFFF"/>
            <w:vAlign w:val="center"/>
          </w:tcPr>
          <w:p w14:paraId="27ADD10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8280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5836B6F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103</w:t>
            </w:r>
          </w:p>
        </w:tc>
        <w:tc>
          <w:tcPr>
            <w:tcW w:w="981" w:type="dxa"/>
            <w:shd w:val="clear" w:color="auto" w:fill="FFFFFF"/>
            <w:vAlign w:val="center"/>
          </w:tcPr>
          <w:p w14:paraId="151255A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continue"/>
            <w:shd w:val="clear" w:color="auto" w:fill="FFFFFF"/>
            <w:vAlign w:val="center"/>
          </w:tcPr>
          <w:p w14:paraId="6164DCDB">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A7FCE4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★单CPU核数</w:t>
            </w:r>
          </w:p>
        </w:tc>
        <w:tc>
          <w:tcPr>
            <w:tcW w:w="4287" w:type="dxa"/>
            <w:shd w:val="clear" w:color="auto" w:fill="FFFFFF"/>
            <w:vAlign w:val="center"/>
          </w:tcPr>
          <w:p w14:paraId="40E8AA0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≥24核；</w:t>
            </w:r>
            <w:r>
              <w:rPr>
                <w:rFonts w:hint="eastAsia" w:asciiTheme="minorEastAsia" w:hAnsiTheme="minorEastAsia" w:eastAsiaTheme="minorEastAsia" w:cstheme="minorEastAsia"/>
                <w:sz w:val="24"/>
              </w:rPr>
              <w:t>≥2颗</w:t>
            </w:r>
          </w:p>
        </w:tc>
        <w:tc>
          <w:tcPr>
            <w:tcW w:w="1296" w:type="dxa"/>
            <w:shd w:val="clear" w:color="auto" w:fill="FFFFFF"/>
            <w:vAlign w:val="center"/>
          </w:tcPr>
          <w:p w14:paraId="678C25F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F551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61F1039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104</w:t>
            </w:r>
          </w:p>
        </w:tc>
        <w:tc>
          <w:tcPr>
            <w:tcW w:w="981" w:type="dxa"/>
            <w:shd w:val="clear" w:color="auto" w:fill="FFFFFF"/>
            <w:vAlign w:val="center"/>
          </w:tcPr>
          <w:p w14:paraId="66E43F5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continue"/>
            <w:shd w:val="clear" w:color="auto" w:fill="FFFFFF"/>
            <w:vAlign w:val="center"/>
          </w:tcPr>
          <w:p w14:paraId="30F505EF">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9B70F2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★单CPU末级缓存容量</w:t>
            </w:r>
          </w:p>
        </w:tc>
        <w:tc>
          <w:tcPr>
            <w:tcW w:w="4287" w:type="dxa"/>
            <w:shd w:val="clear" w:color="auto" w:fill="FFFFFF"/>
            <w:vAlign w:val="center"/>
          </w:tcPr>
          <w:p w14:paraId="5DE7BA3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≥8MB</w:t>
            </w:r>
          </w:p>
        </w:tc>
        <w:tc>
          <w:tcPr>
            <w:tcW w:w="1296" w:type="dxa"/>
            <w:shd w:val="clear" w:color="auto" w:fill="FFFFFF"/>
            <w:vAlign w:val="center"/>
          </w:tcPr>
          <w:p w14:paraId="3BD1585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C9D7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03" w:hRule="atLeast"/>
        </w:trPr>
        <w:tc>
          <w:tcPr>
            <w:tcW w:w="774" w:type="dxa"/>
            <w:shd w:val="clear" w:color="auto" w:fill="FFFFFF"/>
            <w:vAlign w:val="center"/>
          </w:tcPr>
          <w:p w14:paraId="76B30C7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105</w:t>
            </w:r>
          </w:p>
        </w:tc>
        <w:tc>
          <w:tcPr>
            <w:tcW w:w="981" w:type="dxa"/>
            <w:shd w:val="clear" w:color="auto" w:fill="FFFFFF"/>
            <w:vAlign w:val="center"/>
          </w:tcPr>
          <w:p w14:paraId="7CC949B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restart"/>
            <w:shd w:val="clear" w:color="auto" w:fill="FFFFFF"/>
            <w:vAlign w:val="center"/>
          </w:tcPr>
          <w:p w14:paraId="2BC626F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内存性能</w:t>
            </w:r>
          </w:p>
        </w:tc>
        <w:tc>
          <w:tcPr>
            <w:tcW w:w="1206" w:type="dxa"/>
            <w:shd w:val="clear" w:color="auto" w:fill="FFFFFF"/>
            <w:vAlign w:val="center"/>
          </w:tcPr>
          <w:p w14:paraId="55262E7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★单内存模块容量</w:t>
            </w:r>
          </w:p>
        </w:tc>
        <w:tc>
          <w:tcPr>
            <w:tcW w:w="4287" w:type="dxa"/>
            <w:shd w:val="clear" w:color="auto" w:fill="FFFFFF"/>
            <w:vAlign w:val="center"/>
          </w:tcPr>
          <w:p w14:paraId="79B4EC7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≥32GB；</w:t>
            </w:r>
          </w:p>
        </w:tc>
        <w:tc>
          <w:tcPr>
            <w:tcW w:w="1296" w:type="dxa"/>
            <w:shd w:val="clear" w:color="auto" w:fill="FFFFFF"/>
            <w:vAlign w:val="center"/>
          </w:tcPr>
          <w:p w14:paraId="70D64C7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DDC7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74" w:type="dxa"/>
            <w:shd w:val="clear" w:color="auto" w:fill="FFFFFF"/>
            <w:vAlign w:val="center"/>
          </w:tcPr>
          <w:p w14:paraId="7BD54E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106</w:t>
            </w:r>
          </w:p>
        </w:tc>
        <w:tc>
          <w:tcPr>
            <w:tcW w:w="981" w:type="dxa"/>
            <w:shd w:val="clear" w:color="auto" w:fill="FFFFFF"/>
            <w:vAlign w:val="center"/>
          </w:tcPr>
          <w:p w14:paraId="1809083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continue"/>
            <w:shd w:val="clear" w:color="auto" w:fill="FFFFFF"/>
            <w:vAlign w:val="center"/>
          </w:tcPr>
          <w:p w14:paraId="38252259">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80D9EE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★内存速率</w:t>
            </w:r>
          </w:p>
        </w:tc>
        <w:tc>
          <w:tcPr>
            <w:tcW w:w="4287" w:type="dxa"/>
            <w:shd w:val="clear" w:color="auto" w:fill="FFFFFF"/>
            <w:vAlign w:val="center"/>
          </w:tcPr>
          <w:p w14:paraId="3E3070CE">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≥3200MT/s</w:t>
            </w:r>
          </w:p>
        </w:tc>
        <w:tc>
          <w:tcPr>
            <w:tcW w:w="1296" w:type="dxa"/>
            <w:shd w:val="clear" w:color="auto" w:fill="FFFFFF"/>
            <w:vAlign w:val="center"/>
          </w:tcPr>
          <w:p w14:paraId="67B1473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B2CF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74" w:type="dxa"/>
            <w:shd w:val="clear" w:color="auto" w:fill="FFFFFF"/>
            <w:vAlign w:val="center"/>
          </w:tcPr>
          <w:p w14:paraId="239C396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107</w:t>
            </w:r>
          </w:p>
        </w:tc>
        <w:tc>
          <w:tcPr>
            <w:tcW w:w="981" w:type="dxa"/>
            <w:shd w:val="clear" w:color="auto" w:fill="FFFFFF"/>
            <w:vAlign w:val="center"/>
          </w:tcPr>
          <w:p w14:paraId="7FF4C13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shd w:val="clear" w:color="auto" w:fill="FFFFFF"/>
            <w:vAlign w:val="center"/>
          </w:tcPr>
          <w:p w14:paraId="1BE4A3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存储性能</w:t>
            </w:r>
          </w:p>
        </w:tc>
        <w:tc>
          <w:tcPr>
            <w:tcW w:w="1206" w:type="dxa"/>
            <w:shd w:val="clear" w:color="auto" w:fill="FFFFFF"/>
            <w:vAlign w:val="center"/>
          </w:tcPr>
          <w:p w14:paraId="01C0DE0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硬盘转速</w:t>
            </w:r>
          </w:p>
        </w:tc>
        <w:tc>
          <w:tcPr>
            <w:tcW w:w="4287" w:type="dxa"/>
            <w:shd w:val="clear" w:color="auto" w:fill="FFFFFF"/>
            <w:vAlign w:val="center"/>
          </w:tcPr>
          <w:p w14:paraId="551AEE8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安装的硬磁盘转速不小于7200rpm</w:t>
            </w:r>
          </w:p>
        </w:tc>
        <w:tc>
          <w:tcPr>
            <w:tcW w:w="1296" w:type="dxa"/>
            <w:shd w:val="clear" w:color="auto" w:fill="FFFFFF"/>
            <w:vAlign w:val="center"/>
          </w:tcPr>
          <w:p w14:paraId="1FC2D91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056A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499A046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108</w:t>
            </w:r>
          </w:p>
        </w:tc>
        <w:tc>
          <w:tcPr>
            <w:tcW w:w="981" w:type="dxa"/>
            <w:shd w:val="clear" w:color="auto" w:fill="FFFFFF"/>
            <w:vAlign w:val="center"/>
          </w:tcPr>
          <w:p w14:paraId="732109A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shd w:val="clear" w:color="auto" w:fill="FFFFFF"/>
            <w:vAlign w:val="center"/>
          </w:tcPr>
          <w:p w14:paraId="3ECBBC4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RAID卡性能</w:t>
            </w:r>
          </w:p>
        </w:tc>
        <w:tc>
          <w:tcPr>
            <w:tcW w:w="1206" w:type="dxa"/>
            <w:shd w:val="clear" w:color="auto" w:fill="FFFFFF"/>
            <w:vAlign w:val="center"/>
          </w:tcPr>
          <w:p w14:paraId="30ED885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RAID卡缓存容量大小</w:t>
            </w:r>
          </w:p>
        </w:tc>
        <w:tc>
          <w:tcPr>
            <w:tcW w:w="4287" w:type="dxa"/>
            <w:shd w:val="clear" w:color="auto" w:fill="FFFFFF"/>
            <w:vAlign w:val="center"/>
          </w:tcPr>
          <w:p w14:paraId="47EA3B2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≥2GB</w:t>
            </w:r>
          </w:p>
        </w:tc>
        <w:tc>
          <w:tcPr>
            <w:tcW w:w="1296" w:type="dxa"/>
            <w:shd w:val="clear" w:color="auto" w:fill="FFFFFF"/>
            <w:vAlign w:val="center"/>
          </w:tcPr>
          <w:p w14:paraId="7A9EC60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743E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11EB671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109</w:t>
            </w:r>
          </w:p>
        </w:tc>
        <w:tc>
          <w:tcPr>
            <w:tcW w:w="981" w:type="dxa"/>
            <w:shd w:val="clear" w:color="auto" w:fill="FFFFFF"/>
            <w:vAlign w:val="center"/>
          </w:tcPr>
          <w:p w14:paraId="0672F86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shd w:val="clear" w:color="auto" w:fill="FFFFFF"/>
            <w:vAlign w:val="center"/>
          </w:tcPr>
          <w:p w14:paraId="1A7D24B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FCHBA卡性能</w:t>
            </w:r>
          </w:p>
        </w:tc>
        <w:tc>
          <w:tcPr>
            <w:tcW w:w="1206" w:type="dxa"/>
            <w:shd w:val="clear" w:color="auto" w:fill="FFFFFF"/>
            <w:vAlign w:val="center"/>
          </w:tcPr>
          <w:p w14:paraId="459DA9E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FCHBA卡速率</w:t>
            </w:r>
          </w:p>
        </w:tc>
        <w:tc>
          <w:tcPr>
            <w:tcW w:w="4287" w:type="dxa"/>
            <w:shd w:val="clear" w:color="auto" w:fill="FFFFFF"/>
            <w:vAlign w:val="center"/>
          </w:tcPr>
          <w:p w14:paraId="5A5699A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单端口最大的连接速率≥16Gb/s</w:t>
            </w:r>
          </w:p>
        </w:tc>
        <w:tc>
          <w:tcPr>
            <w:tcW w:w="1296" w:type="dxa"/>
            <w:shd w:val="clear" w:color="auto" w:fill="FFFFFF"/>
            <w:vAlign w:val="center"/>
          </w:tcPr>
          <w:p w14:paraId="4E04C68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5916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74" w:type="dxa"/>
            <w:shd w:val="clear" w:color="auto" w:fill="FFFFFF"/>
            <w:vAlign w:val="center"/>
          </w:tcPr>
          <w:p w14:paraId="380940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110</w:t>
            </w:r>
          </w:p>
        </w:tc>
        <w:tc>
          <w:tcPr>
            <w:tcW w:w="981" w:type="dxa"/>
            <w:shd w:val="clear" w:color="auto" w:fill="FFFFFF"/>
            <w:vAlign w:val="center"/>
          </w:tcPr>
          <w:p w14:paraId="182235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restart"/>
            <w:shd w:val="clear" w:color="auto" w:fill="FFFFFF"/>
            <w:vAlign w:val="center"/>
          </w:tcPr>
          <w:p w14:paraId="29FA598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网络性能</w:t>
            </w:r>
          </w:p>
        </w:tc>
        <w:tc>
          <w:tcPr>
            <w:tcW w:w="1206" w:type="dxa"/>
            <w:shd w:val="clear" w:color="auto" w:fill="FFFFFF"/>
            <w:vAlign w:val="center"/>
          </w:tcPr>
          <w:p w14:paraId="2CB19E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独立网卡速率</w:t>
            </w:r>
          </w:p>
        </w:tc>
        <w:tc>
          <w:tcPr>
            <w:tcW w:w="4287" w:type="dxa"/>
            <w:shd w:val="clear" w:color="auto" w:fill="FFFFFF"/>
            <w:vAlign w:val="center"/>
          </w:tcPr>
          <w:p w14:paraId="4E393F7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端口速率≥10GE</w:t>
            </w:r>
          </w:p>
        </w:tc>
        <w:tc>
          <w:tcPr>
            <w:tcW w:w="1296" w:type="dxa"/>
            <w:shd w:val="clear" w:color="auto" w:fill="FFFFFF"/>
            <w:vAlign w:val="center"/>
          </w:tcPr>
          <w:p w14:paraId="01AD3B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A624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22A3C49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111</w:t>
            </w:r>
          </w:p>
        </w:tc>
        <w:tc>
          <w:tcPr>
            <w:tcW w:w="981" w:type="dxa"/>
            <w:shd w:val="clear" w:color="auto" w:fill="FFFFFF"/>
            <w:vAlign w:val="center"/>
          </w:tcPr>
          <w:p w14:paraId="429C6D2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continue"/>
            <w:shd w:val="clear" w:color="auto" w:fill="FFFFFF"/>
            <w:vAlign w:val="center"/>
          </w:tcPr>
          <w:p w14:paraId="021EDD95">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562C2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板载网卡速率</w:t>
            </w:r>
          </w:p>
        </w:tc>
        <w:tc>
          <w:tcPr>
            <w:tcW w:w="4287" w:type="dxa"/>
            <w:shd w:val="clear" w:color="auto" w:fill="FFFFFF"/>
            <w:vAlign w:val="center"/>
          </w:tcPr>
          <w:p w14:paraId="277A849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端口速率≥1GE</w:t>
            </w:r>
          </w:p>
        </w:tc>
        <w:tc>
          <w:tcPr>
            <w:tcW w:w="1296" w:type="dxa"/>
            <w:shd w:val="clear" w:color="auto" w:fill="FFFFFF"/>
            <w:vAlign w:val="center"/>
          </w:tcPr>
          <w:p w14:paraId="3914120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9CFE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74" w:type="dxa"/>
            <w:shd w:val="clear" w:color="auto" w:fill="FFFFFF"/>
            <w:vAlign w:val="center"/>
          </w:tcPr>
          <w:p w14:paraId="385F8F7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112</w:t>
            </w:r>
          </w:p>
        </w:tc>
        <w:tc>
          <w:tcPr>
            <w:tcW w:w="981" w:type="dxa"/>
            <w:shd w:val="clear" w:color="auto" w:fill="FFFFFF"/>
            <w:vAlign w:val="center"/>
          </w:tcPr>
          <w:p w14:paraId="24A418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shd w:val="clear" w:color="auto" w:fill="FFFFFF"/>
            <w:vAlign w:val="center"/>
          </w:tcPr>
          <w:p w14:paraId="01AD18B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电源能耗</w:t>
            </w:r>
          </w:p>
        </w:tc>
        <w:tc>
          <w:tcPr>
            <w:tcW w:w="1206" w:type="dxa"/>
            <w:shd w:val="clear" w:color="auto" w:fill="FFFFFF"/>
            <w:vAlign w:val="center"/>
          </w:tcPr>
          <w:p w14:paraId="5B17EF7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★电源能耗</w:t>
            </w:r>
          </w:p>
        </w:tc>
        <w:tc>
          <w:tcPr>
            <w:tcW w:w="4287" w:type="dxa"/>
            <w:shd w:val="clear" w:color="auto" w:fill="FFFFFF"/>
            <w:vAlign w:val="center"/>
          </w:tcPr>
          <w:p w14:paraId="59AE416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符合GB/T9813.3的有关规定</w:t>
            </w:r>
          </w:p>
        </w:tc>
        <w:tc>
          <w:tcPr>
            <w:tcW w:w="1296" w:type="dxa"/>
            <w:shd w:val="clear" w:color="auto" w:fill="FFFFFF"/>
            <w:vAlign w:val="center"/>
          </w:tcPr>
          <w:p w14:paraId="20E322E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384C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3EFCE39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113</w:t>
            </w:r>
          </w:p>
        </w:tc>
        <w:tc>
          <w:tcPr>
            <w:tcW w:w="981" w:type="dxa"/>
            <w:shd w:val="clear" w:color="auto" w:fill="FFFFFF"/>
            <w:vAlign w:val="center"/>
          </w:tcPr>
          <w:p w14:paraId="5D94E8F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restart"/>
            <w:shd w:val="clear" w:color="auto" w:fill="FFFFFF"/>
            <w:vAlign w:val="center"/>
          </w:tcPr>
          <w:p w14:paraId="1D9EC63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部件兼容性要求</w:t>
            </w:r>
          </w:p>
        </w:tc>
        <w:tc>
          <w:tcPr>
            <w:tcW w:w="1206" w:type="dxa"/>
            <w:shd w:val="clear" w:color="auto" w:fill="FFFFFF"/>
            <w:noWrap/>
            <w:vAlign w:val="center"/>
          </w:tcPr>
          <w:p w14:paraId="1390BA0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内存兼容性</w:t>
            </w:r>
          </w:p>
        </w:tc>
        <w:tc>
          <w:tcPr>
            <w:tcW w:w="4287" w:type="dxa"/>
            <w:shd w:val="clear" w:color="auto" w:fill="FFFFFF"/>
            <w:vAlign w:val="center"/>
          </w:tcPr>
          <w:p w14:paraId="7741C20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适配3种及以上厂商的内存产品，且均不低于产品支持的内存规格</w:t>
            </w:r>
          </w:p>
        </w:tc>
        <w:tc>
          <w:tcPr>
            <w:tcW w:w="1296" w:type="dxa"/>
            <w:shd w:val="clear" w:color="auto" w:fill="FFFFFF"/>
            <w:vAlign w:val="center"/>
          </w:tcPr>
          <w:p w14:paraId="4343845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CF0E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110B56A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114</w:t>
            </w:r>
          </w:p>
        </w:tc>
        <w:tc>
          <w:tcPr>
            <w:tcW w:w="981" w:type="dxa"/>
            <w:shd w:val="clear" w:color="auto" w:fill="FFFFFF"/>
            <w:vAlign w:val="center"/>
          </w:tcPr>
          <w:p w14:paraId="3D8CAB2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62C1AE53">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3D159C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★固态存储兼容性</w:t>
            </w:r>
          </w:p>
        </w:tc>
        <w:tc>
          <w:tcPr>
            <w:tcW w:w="4287" w:type="dxa"/>
            <w:shd w:val="clear" w:color="auto" w:fill="FFFFFF"/>
            <w:vAlign w:val="center"/>
          </w:tcPr>
          <w:p w14:paraId="4D88C4B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适配3种或以上厂商的固态存储产品，且均不低于产品支持的固态存储设备规格</w:t>
            </w:r>
          </w:p>
        </w:tc>
        <w:tc>
          <w:tcPr>
            <w:tcW w:w="1296" w:type="dxa"/>
            <w:shd w:val="clear" w:color="auto" w:fill="FFFFFF"/>
            <w:vAlign w:val="center"/>
          </w:tcPr>
          <w:p w14:paraId="3A6D4B7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B45A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5258BC5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115</w:t>
            </w:r>
          </w:p>
        </w:tc>
        <w:tc>
          <w:tcPr>
            <w:tcW w:w="981" w:type="dxa"/>
            <w:shd w:val="clear" w:color="auto" w:fill="FFFFFF"/>
            <w:vAlign w:val="center"/>
          </w:tcPr>
          <w:p w14:paraId="31AD70F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1B2361AB">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EB94E4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FCHBA卡兼容性</w:t>
            </w:r>
          </w:p>
        </w:tc>
        <w:tc>
          <w:tcPr>
            <w:tcW w:w="4287" w:type="dxa"/>
            <w:shd w:val="clear" w:color="auto" w:fill="FFFFFF"/>
            <w:vAlign w:val="center"/>
          </w:tcPr>
          <w:p w14:paraId="6E76ACF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FCHBA应适配两种或以上厂商产品</w:t>
            </w:r>
          </w:p>
        </w:tc>
        <w:tc>
          <w:tcPr>
            <w:tcW w:w="1296" w:type="dxa"/>
            <w:shd w:val="clear" w:color="auto" w:fill="FFFFFF"/>
            <w:vAlign w:val="center"/>
          </w:tcPr>
          <w:p w14:paraId="0C5604F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DDC2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71D69AB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116</w:t>
            </w:r>
          </w:p>
        </w:tc>
        <w:tc>
          <w:tcPr>
            <w:tcW w:w="981" w:type="dxa"/>
            <w:shd w:val="clear" w:color="auto" w:fill="FFFFFF"/>
            <w:vAlign w:val="center"/>
          </w:tcPr>
          <w:p w14:paraId="335B76C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45C3D2CA">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3B8795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RAID卡兼容性</w:t>
            </w:r>
          </w:p>
        </w:tc>
        <w:tc>
          <w:tcPr>
            <w:tcW w:w="4287" w:type="dxa"/>
            <w:shd w:val="clear" w:color="auto" w:fill="FFFFFF"/>
            <w:vAlign w:val="center"/>
          </w:tcPr>
          <w:p w14:paraId="404A119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RAID卡应适配两种或以上厂商产品</w:t>
            </w:r>
          </w:p>
        </w:tc>
        <w:tc>
          <w:tcPr>
            <w:tcW w:w="1296" w:type="dxa"/>
            <w:shd w:val="clear" w:color="auto" w:fill="FFFFFF"/>
            <w:vAlign w:val="center"/>
          </w:tcPr>
          <w:p w14:paraId="7759B72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F223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64DBD9B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117</w:t>
            </w:r>
          </w:p>
        </w:tc>
        <w:tc>
          <w:tcPr>
            <w:tcW w:w="981" w:type="dxa"/>
            <w:shd w:val="clear" w:color="auto" w:fill="FFFFFF"/>
            <w:vAlign w:val="center"/>
          </w:tcPr>
          <w:p w14:paraId="7E6B2D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restart"/>
            <w:shd w:val="clear" w:color="auto" w:fill="FFFFFF"/>
            <w:vAlign w:val="center"/>
          </w:tcPr>
          <w:p w14:paraId="356DE094">
            <w:pPr>
              <w:widowControl/>
              <w:jc w:val="center"/>
              <w:rPr>
                <w:rFonts w:asciiTheme="minorEastAsia" w:hAnsiTheme="minorEastAsia" w:eastAsiaTheme="minorEastAsia" w:cstheme="minorEastAsia"/>
                <w:kern w:val="0"/>
                <w:sz w:val="24"/>
              </w:rPr>
            </w:pPr>
          </w:p>
        </w:tc>
        <w:tc>
          <w:tcPr>
            <w:tcW w:w="1206" w:type="dxa"/>
            <w:shd w:val="clear" w:color="auto" w:fill="FFFFFF"/>
            <w:vAlign w:val="center"/>
          </w:tcPr>
          <w:p w14:paraId="52B8844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★网卡兼容性</w:t>
            </w:r>
          </w:p>
        </w:tc>
        <w:tc>
          <w:tcPr>
            <w:tcW w:w="4287" w:type="dxa"/>
            <w:shd w:val="clear" w:color="auto" w:fill="FFFFFF"/>
            <w:vAlign w:val="center"/>
          </w:tcPr>
          <w:p w14:paraId="0AF44C5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网卡应适配两种或以上厂商产品</w:t>
            </w:r>
          </w:p>
        </w:tc>
        <w:tc>
          <w:tcPr>
            <w:tcW w:w="1296" w:type="dxa"/>
            <w:shd w:val="clear" w:color="auto" w:fill="FFFFFF"/>
            <w:vAlign w:val="center"/>
          </w:tcPr>
          <w:p w14:paraId="2FDFB8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FD37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74" w:type="dxa"/>
            <w:shd w:val="clear" w:color="auto" w:fill="FFFFFF"/>
            <w:vAlign w:val="center"/>
          </w:tcPr>
          <w:p w14:paraId="41ADA7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118</w:t>
            </w:r>
          </w:p>
        </w:tc>
        <w:tc>
          <w:tcPr>
            <w:tcW w:w="981" w:type="dxa"/>
            <w:shd w:val="clear" w:color="auto" w:fill="FFFFFF"/>
            <w:vAlign w:val="center"/>
          </w:tcPr>
          <w:p w14:paraId="06F8491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4044221C">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4C2139D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★功能卡兼容性</w:t>
            </w:r>
          </w:p>
        </w:tc>
        <w:tc>
          <w:tcPr>
            <w:tcW w:w="4287" w:type="dxa"/>
            <w:shd w:val="clear" w:color="auto" w:fill="FFFFFF"/>
            <w:vAlign w:val="center"/>
          </w:tcPr>
          <w:p w14:paraId="4E20A44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内置或适配符合PCIe的功能卡，如：网络功能卡、存储功能卡及图形显示功能卡</w:t>
            </w:r>
          </w:p>
        </w:tc>
        <w:tc>
          <w:tcPr>
            <w:tcW w:w="1296" w:type="dxa"/>
            <w:shd w:val="clear" w:color="auto" w:fill="FFFFFF"/>
            <w:vAlign w:val="center"/>
          </w:tcPr>
          <w:p w14:paraId="5BD4D35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0F2F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74" w:type="dxa"/>
            <w:shd w:val="clear" w:color="auto" w:fill="FFFFFF"/>
            <w:vAlign w:val="center"/>
          </w:tcPr>
          <w:p w14:paraId="4CC2212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119</w:t>
            </w:r>
          </w:p>
        </w:tc>
        <w:tc>
          <w:tcPr>
            <w:tcW w:w="981" w:type="dxa"/>
            <w:shd w:val="clear" w:color="auto" w:fill="FFFFFF"/>
            <w:vAlign w:val="center"/>
          </w:tcPr>
          <w:p w14:paraId="45167FC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shd w:val="clear" w:color="auto" w:fill="FFFFFF"/>
            <w:vAlign w:val="center"/>
          </w:tcPr>
          <w:p w14:paraId="46FA640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外设兼容性</w:t>
            </w:r>
          </w:p>
        </w:tc>
        <w:tc>
          <w:tcPr>
            <w:tcW w:w="1206" w:type="dxa"/>
            <w:shd w:val="clear" w:color="auto" w:fill="FFFFFF"/>
            <w:vAlign w:val="center"/>
          </w:tcPr>
          <w:p w14:paraId="52520FA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★外设兼容性</w:t>
            </w:r>
          </w:p>
        </w:tc>
        <w:tc>
          <w:tcPr>
            <w:tcW w:w="4287" w:type="dxa"/>
            <w:shd w:val="clear" w:color="auto" w:fill="FFFFFF"/>
            <w:vAlign w:val="center"/>
          </w:tcPr>
          <w:p w14:paraId="5DF165E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兼容多种主流生产商的外部设备，包括显示器、键盘、鼠标、闪存盘、移动硬盘、USB光驱及KVM等，要求使用不同厂商的外部设备时，系统均能正常识别和安装驱动</w:t>
            </w:r>
          </w:p>
        </w:tc>
        <w:tc>
          <w:tcPr>
            <w:tcW w:w="1296" w:type="dxa"/>
            <w:shd w:val="clear" w:color="auto" w:fill="FFFFFF"/>
            <w:vAlign w:val="center"/>
          </w:tcPr>
          <w:p w14:paraId="1C9EA33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7FB9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6197EC0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120</w:t>
            </w:r>
          </w:p>
        </w:tc>
        <w:tc>
          <w:tcPr>
            <w:tcW w:w="981" w:type="dxa"/>
            <w:shd w:val="clear" w:color="auto" w:fill="FFFFFF"/>
            <w:vAlign w:val="center"/>
          </w:tcPr>
          <w:p w14:paraId="450F7CD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restart"/>
            <w:shd w:val="clear" w:color="auto" w:fill="FFFFFF"/>
            <w:vAlign w:val="center"/>
          </w:tcPr>
          <w:p w14:paraId="6E3BA4A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软件兼容性</w:t>
            </w:r>
          </w:p>
        </w:tc>
        <w:tc>
          <w:tcPr>
            <w:tcW w:w="1206" w:type="dxa"/>
            <w:shd w:val="clear" w:color="auto" w:fill="FFFFFF"/>
            <w:vAlign w:val="center"/>
          </w:tcPr>
          <w:p w14:paraId="303551D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★数据库兼容</w:t>
            </w:r>
          </w:p>
        </w:tc>
        <w:tc>
          <w:tcPr>
            <w:tcW w:w="4287" w:type="dxa"/>
            <w:shd w:val="clear" w:color="auto" w:fill="FFFFFF"/>
            <w:vAlign w:val="center"/>
          </w:tcPr>
          <w:p w14:paraId="76EE674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兼容3个及以上厂商的数据库产品</w:t>
            </w:r>
          </w:p>
        </w:tc>
        <w:tc>
          <w:tcPr>
            <w:tcW w:w="1296" w:type="dxa"/>
            <w:shd w:val="clear" w:color="auto" w:fill="FFFFFF"/>
            <w:vAlign w:val="center"/>
          </w:tcPr>
          <w:p w14:paraId="12AC1AC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E670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76A1EE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121</w:t>
            </w:r>
          </w:p>
        </w:tc>
        <w:tc>
          <w:tcPr>
            <w:tcW w:w="981" w:type="dxa"/>
            <w:shd w:val="clear" w:color="auto" w:fill="FFFFFF"/>
            <w:vAlign w:val="center"/>
          </w:tcPr>
          <w:p w14:paraId="012A49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2364CD1D">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DF42A6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★中间件兼容</w:t>
            </w:r>
          </w:p>
        </w:tc>
        <w:tc>
          <w:tcPr>
            <w:tcW w:w="4287" w:type="dxa"/>
            <w:shd w:val="clear" w:color="auto" w:fill="FFFFFF"/>
            <w:vAlign w:val="center"/>
          </w:tcPr>
          <w:p w14:paraId="390DBE0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兼容3个及以上厂商的中间件产品</w:t>
            </w:r>
          </w:p>
        </w:tc>
        <w:tc>
          <w:tcPr>
            <w:tcW w:w="1296" w:type="dxa"/>
            <w:shd w:val="clear" w:color="auto" w:fill="FFFFFF"/>
            <w:vAlign w:val="center"/>
          </w:tcPr>
          <w:p w14:paraId="0A354D9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F5C3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7857B96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122</w:t>
            </w:r>
          </w:p>
        </w:tc>
        <w:tc>
          <w:tcPr>
            <w:tcW w:w="981" w:type="dxa"/>
            <w:shd w:val="clear" w:color="auto" w:fill="FFFFFF"/>
            <w:vAlign w:val="center"/>
          </w:tcPr>
          <w:p w14:paraId="3D4A8B9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14ED37E2">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419529F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★平台软件兼容</w:t>
            </w:r>
          </w:p>
        </w:tc>
        <w:tc>
          <w:tcPr>
            <w:tcW w:w="4287" w:type="dxa"/>
            <w:shd w:val="clear" w:color="auto" w:fill="FFFFFF"/>
            <w:vAlign w:val="center"/>
          </w:tcPr>
          <w:p w14:paraId="0231B06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兼容3个及以上厂商的大数据平台</w:t>
            </w:r>
          </w:p>
        </w:tc>
        <w:tc>
          <w:tcPr>
            <w:tcW w:w="1296" w:type="dxa"/>
            <w:shd w:val="clear" w:color="auto" w:fill="FFFFFF"/>
            <w:vAlign w:val="center"/>
          </w:tcPr>
          <w:p w14:paraId="6A08D9B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B6DC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401411E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123</w:t>
            </w:r>
          </w:p>
        </w:tc>
        <w:tc>
          <w:tcPr>
            <w:tcW w:w="981" w:type="dxa"/>
            <w:shd w:val="clear" w:color="auto" w:fill="FFFFFF"/>
            <w:vAlign w:val="center"/>
          </w:tcPr>
          <w:p w14:paraId="5E1631B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5ADB08AE">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4C91EAA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虚拟化软件兼容</w:t>
            </w:r>
          </w:p>
        </w:tc>
        <w:tc>
          <w:tcPr>
            <w:tcW w:w="4287" w:type="dxa"/>
            <w:shd w:val="clear" w:color="auto" w:fill="FFFFFF"/>
            <w:vAlign w:val="center"/>
          </w:tcPr>
          <w:p w14:paraId="640C008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兼容2款及以上虚拟化软件</w:t>
            </w:r>
          </w:p>
        </w:tc>
        <w:tc>
          <w:tcPr>
            <w:tcW w:w="1296" w:type="dxa"/>
            <w:shd w:val="clear" w:color="auto" w:fill="FFFFFF"/>
            <w:vAlign w:val="center"/>
          </w:tcPr>
          <w:p w14:paraId="1E019F6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B07D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101AFA4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124</w:t>
            </w:r>
          </w:p>
        </w:tc>
        <w:tc>
          <w:tcPr>
            <w:tcW w:w="981" w:type="dxa"/>
            <w:shd w:val="clear" w:color="auto" w:fill="FFFFFF"/>
            <w:vAlign w:val="center"/>
          </w:tcPr>
          <w:p w14:paraId="7CFC5EB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81" w:type="dxa"/>
            <w:shd w:val="clear" w:color="auto" w:fill="FFFFFF"/>
            <w:vAlign w:val="center"/>
          </w:tcPr>
          <w:p w14:paraId="3AC3723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存储可靠性要求</w:t>
            </w:r>
          </w:p>
        </w:tc>
        <w:tc>
          <w:tcPr>
            <w:tcW w:w="1206" w:type="dxa"/>
            <w:shd w:val="clear" w:color="auto" w:fill="FFFFFF"/>
            <w:vAlign w:val="center"/>
          </w:tcPr>
          <w:p w14:paraId="69EC5FE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SATASSD可靠性</w:t>
            </w:r>
          </w:p>
        </w:tc>
        <w:tc>
          <w:tcPr>
            <w:tcW w:w="4287" w:type="dxa"/>
            <w:shd w:val="clear" w:color="auto" w:fill="FFFFFF"/>
            <w:vAlign w:val="center"/>
          </w:tcPr>
          <w:p w14:paraId="7F3C504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SSD的m1值（MTBF的不可接受值）不低于200000h</w:t>
            </w:r>
          </w:p>
        </w:tc>
        <w:tc>
          <w:tcPr>
            <w:tcW w:w="1296" w:type="dxa"/>
            <w:shd w:val="clear" w:color="auto" w:fill="FFFFFF"/>
            <w:vAlign w:val="center"/>
          </w:tcPr>
          <w:p w14:paraId="01158C3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C122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757C47A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125</w:t>
            </w:r>
          </w:p>
        </w:tc>
        <w:tc>
          <w:tcPr>
            <w:tcW w:w="981" w:type="dxa"/>
            <w:shd w:val="clear" w:color="auto" w:fill="FFFFFF"/>
            <w:vAlign w:val="center"/>
          </w:tcPr>
          <w:p w14:paraId="7993334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81" w:type="dxa"/>
            <w:vMerge w:val="restart"/>
            <w:shd w:val="clear" w:color="auto" w:fill="FFFFFF"/>
            <w:vAlign w:val="center"/>
          </w:tcPr>
          <w:p w14:paraId="3F00B6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整机可靠性要求</w:t>
            </w:r>
          </w:p>
        </w:tc>
        <w:tc>
          <w:tcPr>
            <w:tcW w:w="1206" w:type="dxa"/>
            <w:shd w:val="clear" w:color="auto" w:fill="FFFFFF"/>
            <w:vAlign w:val="center"/>
          </w:tcPr>
          <w:p w14:paraId="4D36B4B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★整机可靠性</w:t>
            </w:r>
          </w:p>
        </w:tc>
        <w:tc>
          <w:tcPr>
            <w:tcW w:w="4287" w:type="dxa"/>
            <w:shd w:val="clear" w:color="auto" w:fill="FFFFFF"/>
            <w:vAlign w:val="center"/>
          </w:tcPr>
          <w:p w14:paraId="4287824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m1值（MTBF的不可接受值）不得低于30000h</w:t>
            </w:r>
          </w:p>
        </w:tc>
        <w:tc>
          <w:tcPr>
            <w:tcW w:w="1296" w:type="dxa"/>
            <w:shd w:val="clear" w:color="auto" w:fill="FFFFFF"/>
            <w:vAlign w:val="center"/>
          </w:tcPr>
          <w:p w14:paraId="220981C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89D9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24568E9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126</w:t>
            </w:r>
          </w:p>
        </w:tc>
        <w:tc>
          <w:tcPr>
            <w:tcW w:w="981" w:type="dxa"/>
            <w:shd w:val="clear" w:color="auto" w:fill="FFFFFF"/>
            <w:vAlign w:val="center"/>
          </w:tcPr>
          <w:p w14:paraId="5A307B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81" w:type="dxa"/>
            <w:vMerge w:val="continue"/>
            <w:shd w:val="clear" w:color="auto" w:fill="FFFFFF"/>
            <w:vAlign w:val="center"/>
          </w:tcPr>
          <w:p w14:paraId="300B6B7B">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47619B1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★风扇可靠性</w:t>
            </w:r>
          </w:p>
        </w:tc>
        <w:tc>
          <w:tcPr>
            <w:tcW w:w="4287" w:type="dxa"/>
            <w:shd w:val="clear" w:color="auto" w:fill="FFFFFF"/>
            <w:vAlign w:val="center"/>
          </w:tcPr>
          <w:p w14:paraId="2CC1604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风扇寿命应不低于40000h</w:t>
            </w:r>
          </w:p>
        </w:tc>
        <w:tc>
          <w:tcPr>
            <w:tcW w:w="1296" w:type="dxa"/>
            <w:shd w:val="clear" w:color="auto" w:fill="FFFFFF"/>
            <w:vAlign w:val="center"/>
          </w:tcPr>
          <w:p w14:paraId="40D1FE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FD0D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1DBCB79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127</w:t>
            </w:r>
          </w:p>
        </w:tc>
        <w:tc>
          <w:tcPr>
            <w:tcW w:w="981" w:type="dxa"/>
            <w:shd w:val="clear" w:color="auto" w:fill="FFFFFF"/>
            <w:vAlign w:val="center"/>
          </w:tcPr>
          <w:p w14:paraId="23F6C6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81" w:type="dxa"/>
            <w:vMerge w:val="continue"/>
            <w:shd w:val="clear" w:color="auto" w:fill="FFFFFF"/>
            <w:vAlign w:val="center"/>
          </w:tcPr>
          <w:p w14:paraId="356C1B92">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5E94D9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★部件可靠性</w:t>
            </w:r>
          </w:p>
        </w:tc>
        <w:tc>
          <w:tcPr>
            <w:tcW w:w="4287" w:type="dxa"/>
            <w:shd w:val="clear" w:color="auto" w:fill="FFFFFF"/>
            <w:vAlign w:val="center"/>
          </w:tcPr>
          <w:p w14:paraId="370D741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支持硬盘、电源、风扇热插拔（内置风扇除外）</w:t>
            </w:r>
          </w:p>
        </w:tc>
        <w:tc>
          <w:tcPr>
            <w:tcW w:w="1296" w:type="dxa"/>
            <w:shd w:val="clear" w:color="auto" w:fill="FFFFFF"/>
            <w:vAlign w:val="center"/>
          </w:tcPr>
          <w:p w14:paraId="7A24E06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A8AD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74" w:type="dxa"/>
            <w:shd w:val="clear" w:color="auto" w:fill="FFFFFF"/>
            <w:vAlign w:val="center"/>
          </w:tcPr>
          <w:p w14:paraId="72BE106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128</w:t>
            </w:r>
          </w:p>
        </w:tc>
        <w:tc>
          <w:tcPr>
            <w:tcW w:w="981" w:type="dxa"/>
            <w:shd w:val="clear" w:color="auto" w:fill="FFFFFF"/>
            <w:vAlign w:val="center"/>
          </w:tcPr>
          <w:p w14:paraId="6012D2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包装及运输要求</w:t>
            </w:r>
          </w:p>
        </w:tc>
        <w:tc>
          <w:tcPr>
            <w:tcW w:w="981" w:type="dxa"/>
            <w:shd w:val="clear" w:color="auto" w:fill="FFFFFF"/>
            <w:vAlign w:val="center"/>
          </w:tcPr>
          <w:p w14:paraId="235D9D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包装及运输要求</w:t>
            </w:r>
          </w:p>
        </w:tc>
        <w:tc>
          <w:tcPr>
            <w:tcW w:w="1206" w:type="dxa"/>
            <w:shd w:val="clear" w:color="auto" w:fill="FFFFFF"/>
            <w:vAlign w:val="center"/>
          </w:tcPr>
          <w:p w14:paraId="4268E6E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★标志、包装、运输和贮存</w:t>
            </w:r>
          </w:p>
        </w:tc>
        <w:tc>
          <w:tcPr>
            <w:tcW w:w="4287" w:type="dxa"/>
            <w:shd w:val="clear" w:color="auto" w:fill="FFFFFF"/>
            <w:vAlign w:val="center"/>
          </w:tcPr>
          <w:p w14:paraId="2547986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符合GB/T9813.3和商品包装政府采购需求标准的相关规定</w:t>
            </w:r>
          </w:p>
        </w:tc>
        <w:tc>
          <w:tcPr>
            <w:tcW w:w="1296" w:type="dxa"/>
            <w:shd w:val="clear" w:color="auto" w:fill="FFFFFF"/>
            <w:vAlign w:val="center"/>
          </w:tcPr>
          <w:p w14:paraId="2533CB1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7F5E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774" w:type="dxa"/>
            <w:shd w:val="clear" w:color="auto" w:fill="FFFFFF"/>
            <w:vAlign w:val="center"/>
          </w:tcPr>
          <w:p w14:paraId="725B0BA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129</w:t>
            </w:r>
          </w:p>
        </w:tc>
        <w:tc>
          <w:tcPr>
            <w:tcW w:w="981" w:type="dxa"/>
            <w:shd w:val="clear" w:color="auto" w:fill="FFFFFF"/>
            <w:vAlign w:val="center"/>
          </w:tcPr>
          <w:p w14:paraId="6A4288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restart"/>
            <w:shd w:val="clear" w:color="auto" w:fill="FFFFFF"/>
            <w:vAlign w:val="center"/>
          </w:tcPr>
          <w:p w14:paraId="0A3DCD6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服务响应</w:t>
            </w:r>
          </w:p>
        </w:tc>
        <w:tc>
          <w:tcPr>
            <w:tcW w:w="1206" w:type="dxa"/>
            <w:shd w:val="clear" w:color="auto" w:fill="FFFFFF"/>
            <w:vAlign w:val="center"/>
          </w:tcPr>
          <w:p w14:paraId="717E972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★服务响应</w:t>
            </w:r>
          </w:p>
        </w:tc>
        <w:tc>
          <w:tcPr>
            <w:tcW w:w="4287" w:type="dxa"/>
            <w:shd w:val="clear" w:color="auto" w:fill="FFFFFF"/>
            <w:vAlign w:val="center"/>
          </w:tcPr>
          <w:p w14:paraId="27A462D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提供电话、电子邮件、远程连接等多种形式服务；b）提供同城4h、异地12h技术响应服务，2个工作日解决问题，对于未能解决的问题和故障应提供可行的升级方案，并提供周转设备；c）建立全国技术服务体系和服务团体，符合专业服务体系标准要求，提供原厂中文服务；d）服务周期内提供产品的维修、换件和升级服务</w:t>
            </w:r>
          </w:p>
        </w:tc>
        <w:tc>
          <w:tcPr>
            <w:tcW w:w="1296" w:type="dxa"/>
            <w:shd w:val="clear" w:color="auto" w:fill="FFFFFF"/>
            <w:vAlign w:val="center"/>
          </w:tcPr>
          <w:p w14:paraId="7137B35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F334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74" w:type="dxa"/>
            <w:shd w:val="clear" w:color="auto" w:fill="FFFFFF"/>
            <w:vAlign w:val="center"/>
          </w:tcPr>
          <w:p w14:paraId="18E69BA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130</w:t>
            </w:r>
          </w:p>
        </w:tc>
        <w:tc>
          <w:tcPr>
            <w:tcW w:w="981" w:type="dxa"/>
            <w:shd w:val="clear" w:color="auto" w:fill="FFFFFF"/>
            <w:vAlign w:val="center"/>
          </w:tcPr>
          <w:p w14:paraId="04FD77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1AC75F2A">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D1B3D3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★培训服务</w:t>
            </w:r>
          </w:p>
        </w:tc>
        <w:tc>
          <w:tcPr>
            <w:tcW w:w="4287" w:type="dxa"/>
            <w:shd w:val="clear" w:color="auto" w:fill="FFFFFF"/>
            <w:vAlign w:val="center"/>
          </w:tcPr>
          <w:p w14:paraId="2696BA3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供应商提供培训材料、产品手册、培训视频等培训相关内容</w:t>
            </w:r>
          </w:p>
        </w:tc>
        <w:tc>
          <w:tcPr>
            <w:tcW w:w="1296" w:type="dxa"/>
            <w:shd w:val="clear" w:color="auto" w:fill="FFFFFF"/>
            <w:vAlign w:val="center"/>
          </w:tcPr>
          <w:p w14:paraId="38BAB08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532C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774" w:type="dxa"/>
            <w:shd w:val="clear" w:color="auto" w:fill="FFFFFF"/>
            <w:vAlign w:val="center"/>
          </w:tcPr>
          <w:p w14:paraId="5833E7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131</w:t>
            </w:r>
          </w:p>
        </w:tc>
        <w:tc>
          <w:tcPr>
            <w:tcW w:w="981" w:type="dxa"/>
            <w:shd w:val="clear" w:color="auto" w:fill="FFFFFF"/>
            <w:vAlign w:val="center"/>
          </w:tcPr>
          <w:p w14:paraId="2B3E733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shd w:val="clear" w:color="auto" w:fill="FFFFFF"/>
            <w:vAlign w:val="center"/>
          </w:tcPr>
          <w:p w14:paraId="2E6AA10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服务周期</w:t>
            </w:r>
          </w:p>
        </w:tc>
        <w:tc>
          <w:tcPr>
            <w:tcW w:w="1206" w:type="dxa"/>
            <w:shd w:val="clear" w:color="auto" w:fill="FFFFFF"/>
            <w:vAlign w:val="center"/>
          </w:tcPr>
          <w:p w14:paraId="64CE791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★服务周期</w:t>
            </w:r>
          </w:p>
        </w:tc>
        <w:tc>
          <w:tcPr>
            <w:tcW w:w="4287" w:type="dxa"/>
            <w:shd w:val="clear" w:color="auto" w:fill="FFFFFF"/>
            <w:vAlign w:val="center"/>
          </w:tcPr>
          <w:p w14:paraId="1545A5A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产品免费服务周期（含换件和维修）应不小于6年；b）设备停产后继续提供质量保障服务（含备品备件），服务终止时间与最后一批设备交付时间间隔不低于6年；c）产品停止服务时间应提前1年告知客户；d）产品发布日期需在技术文件或者技术白皮书中明确</w:t>
            </w:r>
          </w:p>
        </w:tc>
        <w:tc>
          <w:tcPr>
            <w:tcW w:w="1296" w:type="dxa"/>
            <w:shd w:val="clear" w:color="auto" w:fill="FFFFFF"/>
            <w:vAlign w:val="center"/>
          </w:tcPr>
          <w:p w14:paraId="35D494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FDEA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74" w:type="dxa"/>
            <w:shd w:val="clear" w:color="auto" w:fill="FFFFFF"/>
            <w:vAlign w:val="center"/>
          </w:tcPr>
          <w:p w14:paraId="6113E9B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132</w:t>
            </w:r>
          </w:p>
        </w:tc>
        <w:tc>
          <w:tcPr>
            <w:tcW w:w="981" w:type="dxa"/>
            <w:shd w:val="clear" w:color="auto" w:fill="FFFFFF"/>
            <w:vAlign w:val="center"/>
          </w:tcPr>
          <w:p w14:paraId="647C082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restart"/>
            <w:shd w:val="clear" w:color="auto" w:fill="FFFFFF"/>
            <w:vAlign w:val="center"/>
          </w:tcPr>
          <w:p w14:paraId="5D0DDE6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服务工具要求</w:t>
            </w:r>
          </w:p>
        </w:tc>
        <w:tc>
          <w:tcPr>
            <w:tcW w:w="1206" w:type="dxa"/>
            <w:shd w:val="clear" w:color="auto" w:fill="FFFFFF"/>
            <w:vAlign w:val="center"/>
          </w:tcPr>
          <w:p w14:paraId="12819F6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★工具要求</w:t>
            </w:r>
          </w:p>
        </w:tc>
        <w:tc>
          <w:tcPr>
            <w:tcW w:w="4287" w:type="dxa"/>
            <w:shd w:val="clear" w:color="auto" w:fill="FFFFFF"/>
            <w:vAlign w:val="center"/>
          </w:tcPr>
          <w:p w14:paraId="21F91FC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供应商提供设置服务器硬件、辅助操作系统安装等功能的辅助工具和管理软件。且随附软件应具有合法授权或版权</w:t>
            </w:r>
          </w:p>
        </w:tc>
        <w:tc>
          <w:tcPr>
            <w:tcW w:w="1296" w:type="dxa"/>
            <w:shd w:val="clear" w:color="auto" w:fill="FFFFFF"/>
            <w:vAlign w:val="center"/>
          </w:tcPr>
          <w:p w14:paraId="7475E1E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984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774" w:type="dxa"/>
            <w:shd w:val="clear" w:color="auto" w:fill="FFFFFF"/>
            <w:vAlign w:val="center"/>
          </w:tcPr>
          <w:p w14:paraId="17B1D1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133</w:t>
            </w:r>
          </w:p>
        </w:tc>
        <w:tc>
          <w:tcPr>
            <w:tcW w:w="981" w:type="dxa"/>
            <w:shd w:val="clear" w:color="auto" w:fill="FFFFFF"/>
            <w:vAlign w:val="center"/>
          </w:tcPr>
          <w:p w14:paraId="164B6E8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54B46835">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192E1F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辅助工具</w:t>
            </w:r>
          </w:p>
        </w:tc>
        <w:tc>
          <w:tcPr>
            <w:tcW w:w="4287" w:type="dxa"/>
            <w:shd w:val="clear" w:color="auto" w:fill="FFFFFF"/>
            <w:vAlign w:val="center"/>
          </w:tcPr>
          <w:p w14:paraId="27E1A8A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支持如下功能a）本地的数据备份和还原功能；b）网络的数据备份和还原功能；c）通用服务器操作系统的自动安装功能；d）服务器所配硬件需要的驱动程序和系统补丁</w:t>
            </w:r>
          </w:p>
        </w:tc>
        <w:tc>
          <w:tcPr>
            <w:tcW w:w="1296" w:type="dxa"/>
            <w:shd w:val="clear" w:color="auto" w:fill="FFFFFF"/>
            <w:vAlign w:val="center"/>
          </w:tcPr>
          <w:p w14:paraId="5CB1856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1B03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74" w:type="dxa"/>
            <w:shd w:val="clear" w:color="auto" w:fill="FFFFFF"/>
            <w:vAlign w:val="center"/>
          </w:tcPr>
          <w:p w14:paraId="68663EB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134</w:t>
            </w:r>
          </w:p>
        </w:tc>
        <w:tc>
          <w:tcPr>
            <w:tcW w:w="981" w:type="dxa"/>
            <w:shd w:val="clear" w:color="auto" w:fill="FFFFFF"/>
            <w:vAlign w:val="center"/>
          </w:tcPr>
          <w:p w14:paraId="3EB2AA7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5807BDB3">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550594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★驱动安装升级指引</w:t>
            </w:r>
          </w:p>
        </w:tc>
        <w:tc>
          <w:tcPr>
            <w:tcW w:w="4287" w:type="dxa"/>
            <w:shd w:val="clear" w:color="auto" w:fill="FFFFFF"/>
            <w:vAlign w:val="center"/>
          </w:tcPr>
          <w:p w14:paraId="6A051FD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供应商提供出厂安装的配件所需的驱动程序，形式包括但不限于驱动光盘、驱动下载链接等。其他配件应提供指引</w:t>
            </w:r>
          </w:p>
        </w:tc>
        <w:tc>
          <w:tcPr>
            <w:tcW w:w="1296" w:type="dxa"/>
            <w:shd w:val="clear" w:color="auto" w:fill="FFFFFF"/>
            <w:vAlign w:val="center"/>
          </w:tcPr>
          <w:p w14:paraId="4CE9AAF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D1E0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1BFB187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135</w:t>
            </w:r>
          </w:p>
        </w:tc>
        <w:tc>
          <w:tcPr>
            <w:tcW w:w="981" w:type="dxa"/>
            <w:shd w:val="clear" w:color="auto" w:fill="FFFFFF"/>
            <w:vAlign w:val="center"/>
          </w:tcPr>
          <w:p w14:paraId="20CDA6B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1BBDFCCF">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13DCBF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随机附开盖工具</w:t>
            </w:r>
          </w:p>
        </w:tc>
        <w:tc>
          <w:tcPr>
            <w:tcW w:w="4287" w:type="dxa"/>
            <w:shd w:val="clear" w:color="auto" w:fill="FFFFFF"/>
            <w:vAlign w:val="center"/>
          </w:tcPr>
          <w:p w14:paraId="775D818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随服务器打包提供开机箱工具</w:t>
            </w:r>
          </w:p>
        </w:tc>
        <w:tc>
          <w:tcPr>
            <w:tcW w:w="1296" w:type="dxa"/>
            <w:shd w:val="clear" w:color="auto" w:fill="FFFFFF"/>
            <w:vAlign w:val="center"/>
          </w:tcPr>
          <w:p w14:paraId="57194D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0670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774" w:type="dxa"/>
            <w:shd w:val="clear" w:color="auto" w:fill="FFFFFF"/>
            <w:vAlign w:val="center"/>
          </w:tcPr>
          <w:p w14:paraId="3F13ECA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136</w:t>
            </w:r>
          </w:p>
        </w:tc>
        <w:tc>
          <w:tcPr>
            <w:tcW w:w="981" w:type="dxa"/>
            <w:shd w:val="clear" w:color="auto" w:fill="FFFFFF"/>
            <w:vAlign w:val="center"/>
          </w:tcPr>
          <w:p w14:paraId="1280773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08772B97">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F6ACF3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代码迁移工具</w:t>
            </w:r>
          </w:p>
        </w:tc>
        <w:tc>
          <w:tcPr>
            <w:tcW w:w="4287" w:type="dxa"/>
            <w:shd w:val="clear" w:color="auto" w:fill="FFFFFF"/>
            <w:vAlign w:val="center"/>
          </w:tcPr>
          <w:p w14:paraId="63CB4B6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从其他CPU架构到当前服务器CPU架构的软件迁移工具产品，支持软件包迁移评估，对满足产品重构要求的软件包，能重构为当前服务器CPU架构的软件包。提供源码迁移功能，检查分析C/C++/Fortran/Go/解释型语言/汇编等源码文件，基于产品功能给出迁移指导</w:t>
            </w:r>
          </w:p>
        </w:tc>
        <w:tc>
          <w:tcPr>
            <w:tcW w:w="1296" w:type="dxa"/>
            <w:shd w:val="clear" w:color="auto" w:fill="FFFFFF"/>
            <w:vAlign w:val="center"/>
          </w:tcPr>
          <w:p w14:paraId="7930EF8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8F85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74" w:type="dxa"/>
            <w:shd w:val="clear" w:color="auto" w:fill="FFFFFF"/>
            <w:vAlign w:val="center"/>
          </w:tcPr>
          <w:p w14:paraId="52FD64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137</w:t>
            </w:r>
          </w:p>
        </w:tc>
        <w:tc>
          <w:tcPr>
            <w:tcW w:w="981" w:type="dxa"/>
            <w:shd w:val="clear" w:color="auto" w:fill="FFFFFF"/>
            <w:vAlign w:val="center"/>
          </w:tcPr>
          <w:p w14:paraId="2C1AC36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7E52DB24">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F58930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性能分析工具</w:t>
            </w:r>
          </w:p>
        </w:tc>
        <w:tc>
          <w:tcPr>
            <w:tcW w:w="4287" w:type="dxa"/>
            <w:shd w:val="clear" w:color="auto" w:fill="FFFFFF"/>
            <w:vAlign w:val="center"/>
          </w:tcPr>
          <w:p w14:paraId="7C598E4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供应商提供支持当前服务器CPU架构的性能分析工具产品，支持系统性能分析、Java性能分析和系统诊断，可分析系统或应用在CPU、内存、IO、网络等方面的性能，并给出优化建议</w:t>
            </w:r>
          </w:p>
        </w:tc>
        <w:tc>
          <w:tcPr>
            <w:tcW w:w="1296" w:type="dxa"/>
            <w:shd w:val="clear" w:color="auto" w:fill="FFFFFF"/>
            <w:vAlign w:val="center"/>
          </w:tcPr>
          <w:p w14:paraId="0CD83A8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7B4E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74" w:type="dxa"/>
            <w:shd w:val="clear" w:color="auto" w:fill="FFFFFF"/>
            <w:vAlign w:val="center"/>
          </w:tcPr>
          <w:p w14:paraId="1336E06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138</w:t>
            </w:r>
          </w:p>
        </w:tc>
        <w:tc>
          <w:tcPr>
            <w:tcW w:w="981" w:type="dxa"/>
            <w:shd w:val="clear" w:color="auto" w:fill="FFFFFF"/>
            <w:vAlign w:val="center"/>
          </w:tcPr>
          <w:p w14:paraId="204B6D6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1854CBF3">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8BE099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跨架构平台应用兼容</w:t>
            </w:r>
          </w:p>
        </w:tc>
        <w:tc>
          <w:tcPr>
            <w:tcW w:w="4287" w:type="dxa"/>
            <w:shd w:val="clear" w:color="auto" w:fill="FFFFFF"/>
            <w:vAlign w:val="center"/>
          </w:tcPr>
          <w:p w14:paraId="1F3CFF2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跨CPU架构平台应用兼容工具，可兼容一种或者一种以上不同架构平台的应用</w:t>
            </w:r>
          </w:p>
        </w:tc>
        <w:tc>
          <w:tcPr>
            <w:tcW w:w="1296" w:type="dxa"/>
            <w:shd w:val="clear" w:color="auto" w:fill="FFFFFF"/>
            <w:vAlign w:val="center"/>
          </w:tcPr>
          <w:p w14:paraId="549040B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8F6A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619B7C2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139</w:t>
            </w:r>
          </w:p>
        </w:tc>
        <w:tc>
          <w:tcPr>
            <w:tcW w:w="981" w:type="dxa"/>
            <w:shd w:val="clear" w:color="auto" w:fill="FFFFFF"/>
            <w:vAlign w:val="center"/>
          </w:tcPr>
          <w:p w14:paraId="524A1F0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31B30C87">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257DAA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★管理软件</w:t>
            </w:r>
          </w:p>
        </w:tc>
        <w:tc>
          <w:tcPr>
            <w:tcW w:w="4287" w:type="dxa"/>
            <w:shd w:val="clear" w:color="auto" w:fill="FFFFFF"/>
            <w:vAlign w:val="center"/>
          </w:tcPr>
          <w:p w14:paraId="6AE13A1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具备资源管理、系统管理、性能监控、健康监控、基于网络控制、报警设置功能</w:t>
            </w:r>
          </w:p>
        </w:tc>
        <w:tc>
          <w:tcPr>
            <w:tcW w:w="1296" w:type="dxa"/>
            <w:shd w:val="clear" w:color="auto" w:fill="FFFFFF"/>
            <w:vAlign w:val="center"/>
          </w:tcPr>
          <w:p w14:paraId="1BA69E6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80E4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74" w:type="dxa"/>
            <w:shd w:val="clear" w:color="auto" w:fill="FFFFFF"/>
            <w:vAlign w:val="center"/>
          </w:tcPr>
          <w:p w14:paraId="612C78C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140</w:t>
            </w:r>
          </w:p>
        </w:tc>
        <w:tc>
          <w:tcPr>
            <w:tcW w:w="981" w:type="dxa"/>
            <w:shd w:val="clear" w:color="auto" w:fill="FFFFFF"/>
            <w:vAlign w:val="center"/>
          </w:tcPr>
          <w:p w14:paraId="128E66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restart"/>
            <w:shd w:val="clear" w:color="auto" w:fill="FFFFFF"/>
            <w:vAlign w:val="center"/>
          </w:tcPr>
          <w:p w14:paraId="442A1DB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增值服务</w:t>
            </w:r>
          </w:p>
        </w:tc>
        <w:tc>
          <w:tcPr>
            <w:tcW w:w="1206" w:type="dxa"/>
            <w:shd w:val="clear" w:color="auto" w:fill="FFFFFF"/>
            <w:vAlign w:val="center"/>
          </w:tcPr>
          <w:p w14:paraId="01D5052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★厂家升级产品软件与扩容服务</w:t>
            </w:r>
          </w:p>
        </w:tc>
        <w:tc>
          <w:tcPr>
            <w:tcW w:w="4287" w:type="dxa"/>
            <w:shd w:val="clear" w:color="auto" w:fill="FFFFFF"/>
            <w:vAlign w:val="center"/>
          </w:tcPr>
          <w:p w14:paraId="4E0D0EA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供应商提供原厂级的部件/软件产品升级和扩容能力</w:t>
            </w:r>
          </w:p>
        </w:tc>
        <w:tc>
          <w:tcPr>
            <w:tcW w:w="1296" w:type="dxa"/>
            <w:shd w:val="clear" w:color="auto" w:fill="FFFFFF"/>
            <w:vAlign w:val="center"/>
          </w:tcPr>
          <w:p w14:paraId="4DCF027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2EC0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275425E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141</w:t>
            </w:r>
          </w:p>
        </w:tc>
        <w:tc>
          <w:tcPr>
            <w:tcW w:w="981" w:type="dxa"/>
            <w:shd w:val="clear" w:color="auto" w:fill="FFFFFF"/>
            <w:vAlign w:val="center"/>
          </w:tcPr>
          <w:p w14:paraId="602031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46EA5514">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4BE266A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服务保障升级</w:t>
            </w:r>
          </w:p>
        </w:tc>
        <w:tc>
          <w:tcPr>
            <w:tcW w:w="4287" w:type="dxa"/>
            <w:shd w:val="clear" w:color="auto" w:fill="FFFFFF"/>
            <w:vAlign w:val="center"/>
          </w:tcPr>
          <w:p w14:paraId="0E6CB1C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供应商有偿提供远程技术支持、软件授权服务、备件更换服务、现场支撑服务</w:t>
            </w:r>
          </w:p>
        </w:tc>
        <w:tc>
          <w:tcPr>
            <w:tcW w:w="1296" w:type="dxa"/>
            <w:shd w:val="clear" w:color="auto" w:fill="FFFFFF"/>
            <w:vAlign w:val="center"/>
          </w:tcPr>
          <w:p w14:paraId="5F8D653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8395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2FAD85E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142</w:t>
            </w:r>
          </w:p>
        </w:tc>
        <w:tc>
          <w:tcPr>
            <w:tcW w:w="981" w:type="dxa"/>
            <w:shd w:val="clear" w:color="auto" w:fill="FFFFFF"/>
            <w:vAlign w:val="center"/>
          </w:tcPr>
          <w:p w14:paraId="4BE7BD6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7A7301EA">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527015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★提供上门服务</w:t>
            </w:r>
          </w:p>
        </w:tc>
        <w:tc>
          <w:tcPr>
            <w:tcW w:w="4287" w:type="dxa"/>
            <w:shd w:val="clear" w:color="auto" w:fill="FFFFFF"/>
            <w:vAlign w:val="center"/>
          </w:tcPr>
          <w:p w14:paraId="254620D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供应商具备提供上门服务的能力</w:t>
            </w:r>
          </w:p>
        </w:tc>
        <w:tc>
          <w:tcPr>
            <w:tcW w:w="1296" w:type="dxa"/>
            <w:shd w:val="clear" w:color="auto" w:fill="FFFFFF"/>
            <w:vAlign w:val="center"/>
          </w:tcPr>
          <w:p w14:paraId="5F5DEF7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5329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74" w:type="dxa"/>
            <w:shd w:val="clear" w:color="auto" w:fill="FFFFFF"/>
            <w:vAlign w:val="center"/>
          </w:tcPr>
          <w:p w14:paraId="4B8798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143</w:t>
            </w:r>
          </w:p>
        </w:tc>
        <w:tc>
          <w:tcPr>
            <w:tcW w:w="981" w:type="dxa"/>
            <w:shd w:val="clear" w:color="auto" w:fill="FFFFFF"/>
            <w:vAlign w:val="center"/>
          </w:tcPr>
          <w:p w14:paraId="7FD1396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31F3EE95">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BCD43B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业务场景性能优化服务及整体架构升级服务</w:t>
            </w:r>
          </w:p>
        </w:tc>
        <w:tc>
          <w:tcPr>
            <w:tcW w:w="4287" w:type="dxa"/>
            <w:shd w:val="clear" w:color="auto" w:fill="FFFFFF"/>
            <w:vAlign w:val="center"/>
          </w:tcPr>
          <w:p w14:paraId="4BD197B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供应商提供针对特定业务场景性能优化服务及整体架构升级服务</w:t>
            </w:r>
          </w:p>
        </w:tc>
        <w:tc>
          <w:tcPr>
            <w:tcW w:w="1296" w:type="dxa"/>
            <w:shd w:val="clear" w:color="auto" w:fill="FFFFFF"/>
            <w:vAlign w:val="center"/>
          </w:tcPr>
          <w:p w14:paraId="6E781F4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C7F3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74" w:type="dxa"/>
            <w:shd w:val="clear" w:color="auto" w:fill="FFFFFF"/>
            <w:vAlign w:val="center"/>
          </w:tcPr>
          <w:p w14:paraId="77CB508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144</w:t>
            </w:r>
          </w:p>
        </w:tc>
        <w:tc>
          <w:tcPr>
            <w:tcW w:w="981" w:type="dxa"/>
            <w:shd w:val="clear" w:color="auto" w:fill="FFFFFF"/>
            <w:vAlign w:val="center"/>
          </w:tcPr>
          <w:p w14:paraId="0C2DC1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供保要求</w:t>
            </w:r>
          </w:p>
        </w:tc>
        <w:tc>
          <w:tcPr>
            <w:tcW w:w="981" w:type="dxa"/>
            <w:vMerge w:val="restart"/>
            <w:shd w:val="clear" w:color="auto" w:fill="FFFFFF"/>
            <w:vAlign w:val="center"/>
          </w:tcPr>
          <w:p w14:paraId="419DB46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供应链质量</w:t>
            </w:r>
          </w:p>
        </w:tc>
        <w:tc>
          <w:tcPr>
            <w:tcW w:w="1206" w:type="dxa"/>
            <w:shd w:val="clear" w:color="auto" w:fill="FFFFFF"/>
            <w:vAlign w:val="center"/>
          </w:tcPr>
          <w:p w14:paraId="22BA018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★抗干扰性</w:t>
            </w:r>
          </w:p>
        </w:tc>
        <w:tc>
          <w:tcPr>
            <w:tcW w:w="4287" w:type="dxa"/>
            <w:shd w:val="clear" w:color="auto" w:fill="FFFFFF"/>
            <w:vAlign w:val="center"/>
          </w:tcPr>
          <w:p w14:paraId="7A0C287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当产品部件出现供应风险时，应通知客户并提供风险应对方案确保产品的服务保障，必要时应停止相关受影响产品的销售</w:t>
            </w:r>
          </w:p>
        </w:tc>
        <w:tc>
          <w:tcPr>
            <w:tcW w:w="1296" w:type="dxa"/>
            <w:shd w:val="clear" w:color="auto" w:fill="FFFFFF"/>
            <w:vAlign w:val="center"/>
          </w:tcPr>
          <w:p w14:paraId="4F1EF8F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E6A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74" w:type="dxa"/>
            <w:shd w:val="clear" w:color="auto" w:fill="FFFFFF"/>
            <w:vAlign w:val="center"/>
          </w:tcPr>
          <w:p w14:paraId="5771BB6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145</w:t>
            </w:r>
          </w:p>
        </w:tc>
        <w:tc>
          <w:tcPr>
            <w:tcW w:w="981" w:type="dxa"/>
            <w:shd w:val="clear" w:color="auto" w:fill="FFFFFF"/>
            <w:vAlign w:val="center"/>
          </w:tcPr>
          <w:p w14:paraId="654E359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供保要求</w:t>
            </w:r>
          </w:p>
        </w:tc>
        <w:tc>
          <w:tcPr>
            <w:tcW w:w="981" w:type="dxa"/>
            <w:vMerge w:val="continue"/>
            <w:shd w:val="clear" w:color="auto" w:fill="FFFFFF"/>
            <w:vAlign w:val="center"/>
          </w:tcPr>
          <w:p w14:paraId="0EFB2303">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9A022F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★供应能力证明</w:t>
            </w:r>
          </w:p>
        </w:tc>
        <w:tc>
          <w:tcPr>
            <w:tcW w:w="4287" w:type="dxa"/>
            <w:shd w:val="clear" w:color="auto" w:fill="FFFFFF"/>
            <w:vAlign w:val="center"/>
          </w:tcPr>
          <w:p w14:paraId="4306508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b/>
                <w:bCs/>
                <w:kern w:val="0"/>
                <w:sz w:val="24"/>
              </w:rPr>
              <w:t>供应商提供供应链稳定承诺书，确保产品的部件在产品服务周期内稳定供货（需提供加盖投标人公章的承诺书，否则作无效投标处理）</w:t>
            </w:r>
          </w:p>
        </w:tc>
        <w:tc>
          <w:tcPr>
            <w:tcW w:w="1296" w:type="dxa"/>
            <w:shd w:val="clear" w:color="auto" w:fill="FFFFFF"/>
            <w:vAlign w:val="center"/>
          </w:tcPr>
          <w:p w14:paraId="3C14395F">
            <w:pPr>
              <w:widowControl/>
              <w:jc w:val="center"/>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kern w:val="0"/>
                <w:sz w:val="24"/>
              </w:rPr>
              <w:t>是</w:t>
            </w:r>
          </w:p>
        </w:tc>
      </w:tr>
      <w:tr w14:paraId="02FD6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3E6237A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146</w:t>
            </w:r>
          </w:p>
        </w:tc>
        <w:tc>
          <w:tcPr>
            <w:tcW w:w="981" w:type="dxa"/>
            <w:shd w:val="clear" w:color="auto" w:fill="FFFFFF"/>
            <w:vAlign w:val="center"/>
          </w:tcPr>
          <w:p w14:paraId="3BB60F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vAlign w:val="center"/>
          </w:tcPr>
          <w:p w14:paraId="436EA2A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中央处理器</w:t>
            </w:r>
          </w:p>
        </w:tc>
        <w:tc>
          <w:tcPr>
            <w:tcW w:w="1206" w:type="dxa"/>
            <w:shd w:val="clear" w:color="auto" w:fill="FFFFFF"/>
            <w:vAlign w:val="center"/>
          </w:tcPr>
          <w:p w14:paraId="686E622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 加解密功能</w:t>
            </w:r>
          </w:p>
        </w:tc>
        <w:tc>
          <w:tcPr>
            <w:tcW w:w="4287" w:type="dxa"/>
            <w:shd w:val="clear" w:color="auto" w:fill="FFFFFF"/>
            <w:vAlign w:val="center"/>
          </w:tcPr>
          <w:p w14:paraId="625FC44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投标产品所配备的CPU（中央处理器）支持TEE可信执行环境，实现虚拟机在内存读写时的自动加解密功能。</w:t>
            </w:r>
            <w:r>
              <w:rPr>
                <w:rFonts w:hint="eastAsia" w:asciiTheme="minorEastAsia" w:hAnsiTheme="minorEastAsia" w:eastAsiaTheme="minorEastAsia" w:cstheme="minorEastAsia"/>
                <w:kern w:val="0"/>
                <w:sz w:val="24"/>
                <w:lang w:val="en-US" w:eastAsia="zh-CN"/>
              </w:rPr>
              <w:t>需</w:t>
            </w:r>
            <w:r>
              <w:rPr>
                <w:rFonts w:hint="eastAsia" w:asciiTheme="minorEastAsia" w:hAnsiTheme="minorEastAsia" w:eastAsiaTheme="minorEastAsia" w:cstheme="minorEastAsia"/>
                <w:kern w:val="0"/>
                <w:sz w:val="24"/>
              </w:rPr>
              <w:t>提供投标产品所配备的CPU（中央处理器）具有上述密码技术特性的证明材料</w:t>
            </w:r>
          </w:p>
        </w:tc>
        <w:tc>
          <w:tcPr>
            <w:tcW w:w="1296" w:type="dxa"/>
            <w:shd w:val="clear" w:color="auto" w:fill="FFFFFF"/>
            <w:vAlign w:val="center"/>
          </w:tcPr>
          <w:p w14:paraId="60C51E9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51F2F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74" w:type="dxa"/>
            <w:shd w:val="clear" w:color="auto" w:fill="FFFFFF"/>
            <w:vAlign w:val="center"/>
          </w:tcPr>
          <w:p w14:paraId="10D052A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147</w:t>
            </w:r>
          </w:p>
        </w:tc>
        <w:tc>
          <w:tcPr>
            <w:tcW w:w="981" w:type="dxa"/>
            <w:shd w:val="clear" w:color="auto" w:fill="FFFFFF"/>
            <w:vAlign w:val="center"/>
          </w:tcPr>
          <w:p w14:paraId="27C4CC5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vAlign w:val="center"/>
          </w:tcPr>
          <w:p w14:paraId="25E1D43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中央处理器</w:t>
            </w:r>
          </w:p>
        </w:tc>
        <w:tc>
          <w:tcPr>
            <w:tcW w:w="1206" w:type="dxa"/>
            <w:shd w:val="clear" w:color="auto" w:fill="FFFFFF"/>
            <w:vAlign w:val="center"/>
          </w:tcPr>
          <w:p w14:paraId="14D0C1A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#超线程技术</w:t>
            </w:r>
          </w:p>
        </w:tc>
        <w:tc>
          <w:tcPr>
            <w:tcW w:w="4287" w:type="dxa"/>
            <w:shd w:val="clear" w:color="auto" w:fill="FFFFFF"/>
            <w:vAlign w:val="center"/>
          </w:tcPr>
          <w:p w14:paraId="7267883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shd w:val="clear" w:color="auto" w:fill="FFFFFF" w:themeFill="background1"/>
              </w:rPr>
              <w:t>产品所配备的CPU（中央处理器）需支持且配置超线程技术</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w:t>
            </w:r>
            <w:r>
              <w:rPr>
                <w:rFonts w:hint="eastAsia" w:asciiTheme="minorEastAsia" w:hAnsiTheme="minorEastAsia" w:eastAsiaTheme="minorEastAsia" w:cstheme="minorEastAsia"/>
                <w:kern w:val="0"/>
                <w:sz w:val="24"/>
              </w:rPr>
              <w:t xml:space="preserve">提供投标产品所配备的CPU（中央处理器）具有上述技术特性的证明材料 </w:t>
            </w:r>
            <w:r>
              <w:rPr>
                <w:rFonts w:hint="eastAsia" w:asciiTheme="minorEastAsia" w:hAnsiTheme="minorEastAsia" w:eastAsiaTheme="minorEastAsia" w:cstheme="minorEastAsia"/>
                <w:kern w:val="0"/>
                <w:sz w:val="24"/>
                <w:shd w:val="clear" w:color="auto" w:fill="FFFFFF" w:themeFill="background1"/>
              </w:rPr>
              <w:t>；</w:t>
            </w:r>
          </w:p>
        </w:tc>
        <w:tc>
          <w:tcPr>
            <w:tcW w:w="1296" w:type="dxa"/>
            <w:shd w:val="clear" w:color="auto" w:fill="FFFFFF"/>
            <w:vAlign w:val="center"/>
          </w:tcPr>
          <w:p w14:paraId="624253A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bl>
    <w:p w14:paraId="6F7DB8CA">
      <w:pPr>
        <w:pStyle w:val="14"/>
        <w:ind w:firstLine="480"/>
        <w:rPr>
          <w:rFonts w:asciiTheme="minorEastAsia" w:hAnsiTheme="minorEastAsia" w:eastAsiaTheme="minorEastAsia" w:cstheme="minorEastAsia"/>
          <w:szCs w:val="24"/>
        </w:rPr>
      </w:pPr>
    </w:p>
    <w:p w14:paraId="4D22D014">
      <w:pPr>
        <w:pStyle w:val="2"/>
        <w:numPr>
          <w:ilvl w:val="0"/>
          <w:numId w:val="2"/>
        </w:numPr>
        <w:ind w:left="442" w:hanging="442"/>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安全管理服务器</w:t>
      </w:r>
    </w:p>
    <w:tbl>
      <w:tblPr>
        <w:tblStyle w:val="15"/>
        <w:tblW w:w="9549" w:type="dxa"/>
        <w:tblInd w:w="-5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744"/>
        <w:gridCol w:w="990"/>
        <w:gridCol w:w="975"/>
        <w:gridCol w:w="1221"/>
        <w:gridCol w:w="4269"/>
        <w:gridCol w:w="1350"/>
      </w:tblGrid>
      <w:tr w14:paraId="39486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85" w:hRule="atLeast"/>
        </w:trPr>
        <w:tc>
          <w:tcPr>
            <w:tcW w:w="744" w:type="dxa"/>
            <w:shd w:val="clear" w:color="auto" w:fill="FFFFFF"/>
            <w:vAlign w:val="center"/>
          </w:tcPr>
          <w:p w14:paraId="5282B9E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序号</w:t>
            </w:r>
          </w:p>
        </w:tc>
        <w:tc>
          <w:tcPr>
            <w:tcW w:w="990" w:type="dxa"/>
            <w:shd w:val="clear" w:color="auto" w:fill="FFFFFF"/>
            <w:vAlign w:val="center"/>
          </w:tcPr>
          <w:p w14:paraId="39DD2B6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指标分类</w:t>
            </w:r>
          </w:p>
        </w:tc>
        <w:tc>
          <w:tcPr>
            <w:tcW w:w="975" w:type="dxa"/>
            <w:shd w:val="clear" w:color="auto" w:fill="FFFFFF"/>
            <w:vAlign w:val="center"/>
          </w:tcPr>
          <w:p w14:paraId="240AE5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一级指标</w:t>
            </w:r>
          </w:p>
        </w:tc>
        <w:tc>
          <w:tcPr>
            <w:tcW w:w="1221" w:type="dxa"/>
            <w:shd w:val="clear" w:color="auto" w:fill="FFFFFF"/>
            <w:vAlign w:val="center"/>
          </w:tcPr>
          <w:p w14:paraId="0F2E154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二级指标</w:t>
            </w:r>
          </w:p>
        </w:tc>
        <w:tc>
          <w:tcPr>
            <w:tcW w:w="4269" w:type="dxa"/>
            <w:shd w:val="clear" w:color="auto" w:fill="FFFFFF"/>
            <w:vAlign w:val="center"/>
          </w:tcPr>
          <w:p w14:paraId="00F5C69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指标要求</w:t>
            </w:r>
          </w:p>
        </w:tc>
        <w:tc>
          <w:tcPr>
            <w:tcW w:w="1350" w:type="dxa"/>
            <w:shd w:val="clear" w:color="auto" w:fill="FFFFFF"/>
            <w:vAlign w:val="center"/>
          </w:tcPr>
          <w:p w14:paraId="56B315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是否提供证明材料</w:t>
            </w:r>
          </w:p>
        </w:tc>
      </w:tr>
      <w:tr w14:paraId="37662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0EB93C0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w:t>
            </w:r>
          </w:p>
        </w:tc>
        <w:tc>
          <w:tcPr>
            <w:tcW w:w="990" w:type="dxa"/>
            <w:shd w:val="clear" w:color="auto" w:fill="FFFFFF"/>
            <w:vAlign w:val="center"/>
          </w:tcPr>
          <w:p w14:paraId="152A919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shd w:val="clear" w:color="auto" w:fill="FFFFFF"/>
            <w:vAlign w:val="center"/>
          </w:tcPr>
          <w:p w14:paraId="66DBD9D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CPU规格</w:t>
            </w:r>
          </w:p>
        </w:tc>
        <w:tc>
          <w:tcPr>
            <w:tcW w:w="1221" w:type="dxa"/>
            <w:shd w:val="clear" w:color="auto" w:fill="FFFFFF"/>
            <w:vAlign w:val="center"/>
          </w:tcPr>
          <w:p w14:paraId="5ECA225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★CPU信息</w:t>
            </w:r>
          </w:p>
        </w:tc>
        <w:tc>
          <w:tcPr>
            <w:tcW w:w="4269" w:type="dxa"/>
            <w:shd w:val="clear" w:color="auto" w:fill="FFFFFF"/>
            <w:vAlign w:val="center"/>
          </w:tcPr>
          <w:p w14:paraId="2D34E64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供应商应给出CPU信息，包含CPU型号、物理核心数、主频、末级缓存容量、线程数、热设计功耗及支持内存的最高速率、通道数和位宽</w:t>
            </w:r>
          </w:p>
        </w:tc>
        <w:tc>
          <w:tcPr>
            <w:tcW w:w="1350" w:type="dxa"/>
            <w:shd w:val="clear" w:color="auto" w:fill="FFFFFF"/>
            <w:vAlign w:val="center"/>
          </w:tcPr>
          <w:p w14:paraId="5751250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7220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44" w:type="dxa"/>
            <w:shd w:val="clear" w:color="auto" w:fill="FFFFFF"/>
            <w:vAlign w:val="center"/>
          </w:tcPr>
          <w:p w14:paraId="055CCE4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990" w:type="dxa"/>
            <w:shd w:val="clear" w:color="auto" w:fill="FFFFFF"/>
            <w:vAlign w:val="center"/>
          </w:tcPr>
          <w:p w14:paraId="17CCC2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restart"/>
            <w:shd w:val="clear" w:color="auto" w:fill="FFFFFF"/>
            <w:vAlign w:val="center"/>
          </w:tcPr>
          <w:p w14:paraId="530657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主板规格</w:t>
            </w:r>
          </w:p>
        </w:tc>
        <w:tc>
          <w:tcPr>
            <w:tcW w:w="1221" w:type="dxa"/>
            <w:shd w:val="clear" w:color="auto" w:fill="FFFFFF"/>
            <w:vAlign w:val="center"/>
          </w:tcPr>
          <w:p w14:paraId="4854F3D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★主板支持的CPU和内存情况</w:t>
            </w:r>
          </w:p>
        </w:tc>
        <w:tc>
          <w:tcPr>
            <w:tcW w:w="4269" w:type="dxa"/>
            <w:shd w:val="clear" w:color="auto" w:fill="FFFFFF"/>
            <w:vAlign w:val="center"/>
          </w:tcPr>
          <w:p w14:paraId="0C475AB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供应商给出主板支持的CPU和内存的型号数量</w:t>
            </w:r>
          </w:p>
        </w:tc>
        <w:tc>
          <w:tcPr>
            <w:tcW w:w="1350" w:type="dxa"/>
            <w:shd w:val="clear" w:color="auto" w:fill="FFFFFF"/>
            <w:vAlign w:val="center"/>
          </w:tcPr>
          <w:p w14:paraId="30ED1D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4C1E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5194456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w:t>
            </w:r>
          </w:p>
        </w:tc>
        <w:tc>
          <w:tcPr>
            <w:tcW w:w="990" w:type="dxa"/>
            <w:shd w:val="clear" w:color="auto" w:fill="FFFFFF"/>
            <w:vAlign w:val="center"/>
          </w:tcPr>
          <w:p w14:paraId="6C2D52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5332C67E">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134B1D6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★主板内存槽数量</w:t>
            </w:r>
          </w:p>
        </w:tc>
        <w:tc>
          <w:tcPr>
            <w:tcW w:w="4269" w:type="dxa"/>
            <w:shd w:val="clear" w:color="auto" w:fill="FFFFFF"/>
            <w:vAlign w:val="center"/>
          </w:tcPr>
          <w:p w14:paraId="2FE0D76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非板载内存的可扩展插槽数量应≥4个</w:t>
            </w:r>
          </w:p>
        </w:tc>
        <w:tc>
          <w:tcPr>
            <w:tcW w:w="1350" w:type="dxa"/>
            <w:shd w:val="clear" w:color="auto" w:fill="FFFFFF"/>
            <w:vAlign w:val="center"/>
          </w:tcPr>
          <w:p w14:paraId="0F4EE2C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EF7C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2D21D8E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w:t>
            </w:r>
          </w:p>
        </w:tc>
        <w:tc>
          <w:tcPr>
            <w:tcW w:w="990" w:type="dxa"/>
            <w:shd w:val="clear" w:color="auto" w:fill="FFFFFF"/>
            <w:vAlign w:val="center"/>
          </w:tcPr>
          <w:p w14:paraId="407C6FD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0773C1D0">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725D1B5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★主板存储接口</w:t>
            </w:r>
          </w:p>
        </w:tc>
        <w:tc>
          <w:tcPr>
            <w:tcW w:w="4269" w:type="dxa"/>
            <w:shd w:val="clear" w:color="auto" w:fill="FFFFFF"/>
            <w:vAlign w:val="center"/>
          </w:tcPr>
          <w:p w14:paraId="04FC4C9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至少支持SATA、SAS、M.2、U.2等存储接口中的1种</w:t>
            </w:r>
          </w:p>
        </w:tc>
        <w:tc>
          <w:tcPr>
            <w:tcW w:w="1350" w:type="dxa"/>
            <w:shd w:val="clear" w:color="auto" w:fill="FFFFFF"/>
            <w:vAlign w:val="center"/>
          </w:tcPr>
          <w:p w14:paraId="4FCC906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A276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10DACFA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w:t>
            </w:r>
          </w:p>
        </w:tc>
        <w:tc>
          <w:tcPr>
            <w:tcW w:w="990" w:type="dxa"/>
            <w:shd w:val="clear" w:color="auto" w:fill="FFFFFF"/>
            <w:vAlign w:val="center"/>
          </w:tcPr>
          <w:p w14:paraId="06C4269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027EA195">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652A02E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★PCIe插槽接口</w:t>
            </w:r>
          </w:p>
        </w:tc>
        <w:tc>
          <w:tcPr>
            <w:tcW w:w="4269" w:type="dxa"/>
            <w:shd w:val="clear" w:color="auto" w:fill="FFFFFF"/>
            <w:vAlign w:val="center"/>
          </w:tcPr>
          <w:p w14:paraId="46E385E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符合PCIe3.0或以上的高速串行计算机扩展总线标准，PCIe的接口速率与位宽需保证向下兼容</w:t>
            </w:r>
          </w:p>
        </w:tc>
        <w:tc>
          <w:tcPr>
            <w:tcW w:w="1350" w:type="dxa"/>
            <w:shd w:val="clear" w:color="auto" w:fill="FFFFFF"/>
            <w:vAlign w:val="center"/>
          </w:tcPr>
          <w:p w14:paraId="6D9EC45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3E9C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6463A6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w:t>
            </w:r>
          </w:p>
        </w:tc>
        <w:tc>
          <w:tcPr>
            <w:tcW w:w="990" w:type="dxa"/>
            <w:shd w:val="clear" w:color="auto" w:fill="FFFFFF"/>
            <w:vAlign w:val="center"/>
          </w:tcPr>
          <w:p w14:paraId="78AE0C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037557AC">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029B21D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★主板PCIe插槽数量及规格</w:t>
            </w:r>
          </w:p>
        </w:tc>
        <w:tc>
          <w:tcPr>
            <w:tcW w:w="4269" w:type="dxa"/>
            <w:shd w:val="clear" w:color="auto" w:fill="FFFFFF"/>
            <w:vAlign w:val="center"/>
          </w:tcPr>
          <w:p w14:paraId="194308E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a）高度大于44.45mm双路或以上服务器PCIe插槽或接口应≥5个；</w:t>
            </w:r>
          </w:p>
          <w:p w14:paraId="10A8341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b）单路服务器PCIe插槽或接口应≥4个，可通过扩展卡进行插槽扩展</w:t>
            </w:r>
          </w:p>
        </w:tc>
        <w:tc>
          <w:tcPr>
            <w:tcW w:w="1350" w:type="dxa"/>
            <w:shd w:val="clear" w:color="auto" w:fill="FFFFFF"/>
            <w:vAlign w:val="center"/>
          </w:tcPr>
          <w:p w14:paraId="4346842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995E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8" w:hRule="atLeast"/>
        </w:trPr>
        <w:tc>
          <w:tcPr>
            <w:tcW w:w="744" w:type="dxa"/>
            <w:shd w:val="clear" w:color="auto" w:fill="FFFFFF"/>
            <w:vAlign w:val="center"/>
          </w:tcPr>
          <w:p w14:paraId="7E9BFCF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w:t>
            </w:r>
          </w:p>
        </w:tc>
        <w:tc>
          <w:tcPr>
            <w:tcW w:w="990" w:type="dxa"/>
            <w:shd w:val="clear" w:color="auto" w:fill="FFFFFF"/>
            <w:vAlign w:val="center"/>
          </w:tcPr>
          <w:p w14:paraId="1719AC0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4392757F">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68902FC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特殊孔位及接口</w:t>
            </w:r>
          </w:p>
        </w:tc>
        <w:tc>
          <w:tcPr>
            <w:tcW w:w="4269" w:type="dxa"/>
            <w:shd w:val="clear" w:color="auto" w:fill="FFFFFF"/>
            <w:vAlign w:val="center"/>
          </w:tcPr>
          <w:p w14:paraId="45A80D6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服务器机箱内主板可根据用户实际使用需求支持安装多功能导入装置板卡，机箱内需预留多功能导入装置板卡安装位置，容量不小于55mm×45mm×15mm（长×宽×高，单位毫米）；b）服务器主板可根据用户实际使用需求预留满足USB2.0或USB3.0数据传输规范的接口，工作电压5V，采用USB2.0时，最大过电流应不小于0.5A，采用USB3.0时，最大过电流应不小于1A</w:t>
            </w:r>
          </w:p>
        </w:tc>
        <w:tc>
          <w:tcPr>
            <w:tcW w:w="1350" w:type="dxa"/>
            <w:shd w:val="clear" w:color="auto" w:fill="FFFFFF"/>
            <w:vAlign w:val="center"/>
          </w:tcPr>
          <w:p w14:paraId="4DD29E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B5FB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454F7BB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990" w:type="dxa"/>
            <w:shd w:val="clear" w:color="auto" w:fill="FFFFFF"/>
            <w:vAlign w:val="center"/>
          </w:tcPr>
          <w:p w14:paraId="3959EE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7EAFAF7D">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32089FE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板载网络接口</w:t>
            </w:r>
          </w:p>
        </w:tc>
        <w:tc>
          <w:tcPr>
            <w:tcW w:w="4269" w:type="dxa"/>
            <w:shd w:val="clear" w:color="auto" w:fill="FFFFFF"/>
            <w:vAlign w:val="center"/>
          </w:tcPr>
          <w:p w14:paraId="20B1A09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若支持板载网络接口应≥2个1GE网口</w:t>
            </w:r>
          </w:p>
        </w:tc>
        <w:tc>
          <w:tcPr>
            <w:tcW w:w="1350" w:type="dxa"/>
            <w:shd w:val="clear" w:color="auto" w:fill="FFFFFF"/>
            <w:vAlign w:val="center"/>
          </w:tcPr>
          <w:p w14:paraId="56C83AE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7A82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75894C0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w:t>
            </w:r>
          </w:p>
        </w:tc>
        <w:tc>
          <w:tcPr>
            <w:tcW w:w="990" w:type="dxa"/>
            <w:shd w:val="clear" w:color="auto" w:fill="FFFFFF"/>
            <w:vAlign w:val="center"/>
          </w:tcPr>
          <w:p w14:paraId="159632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61EB8828">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7E60F2D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主板OCP插槽数量</w:t>
            </w:r>
          </w:p>
        </w:tc>
        <w:tc>
          <w:tcPr>
            <w:tcW w:w="4269" w:type="dxa"/>
            <w:shd w:val="clear" w:color="auto" w:fill="FFFFFF"/>
            <w:vAlign w:val="center"/>
          </w:tcPr>
          <w:p w14:paraId="5820847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支持OCP2.0及以上插槽的数量≥1个</w:t>
            </w:r>
          </w:p>
        </w:tc>
        <w:tc>
          <w:tcPr>
            <w:tcW w:w="1350" w:type="dxa"/>
            <w:shd w:val="clear" w:color="auto" w:fill="FFFFFF"/>
            <w:vAlign w:val="center"/>
          </w:tcPr>
          <w:p w14:paraId="0CCA8DB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E84E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44" w:type="dxa"/>
            <w:shd w:val="clear" w:color="auto" w:fill="FFFFFF"/>
            <w:vAlign w:val="center"/>
          </w:tcPr>
          <w:p w14:paraId="6A75DA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w:t>
            </w:r>
          </w:p>
        </w:tc>
        <w:tc>
          <w:tcPr>
            <w:tcW w:w="990" w:type="dxa"/>
            <w:shd w:val="clear" w:color="auto" w:fill="FFFFFF"/>
            <w:vAlign w:val="center"/>
          </w:tcPr>
          <w:p w14:paraId="448690C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restart"/>
            <w:shd w:val="clear" w:color="auto" w:fill="FFFFFF"/>
            <w:vAlign w:val="center"/>
          </w:tcPr>
          <w:p w14:paraId="035EDA5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内存规格</w:t>
            </w:r>
          </w:p>
        </w:tc>
        <w:tc>
          <w:tcPr>
            <w:tcW w:w="1221" w:type="dxa"/>
            <w:shd w:val="clear" w:color="auto" w:fill="FFFFFF"/>
            <w:vAlign w:val="center"/>
          </w:tcPr>
          <w:p w14:paraId="15653D5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★内存数量</w:t>
            </w:r>
          </w:p>
        </w:tc>
        <w:tc>
          <w:tcPr>
            <w:tcW w:w="4269" w:type="dxa"/>
            <w:shd w:val="clear" w:color="auto" w:fill="FFFFFF"/>
            <w:vAlign w:val="center"/>
          </w:tcPr>
          <w:p w14:paraId="555A345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w:t>
            </w:r>
          </w:p>
        </w:tc>
        <w:tc>
          <w:tcPr>
            <w:tcW w:w="1350" w:type="dxa"/>
            <w:shd w:val="clear" w:color="auto" w:fill="FFFFFF"/>
            <w:vAlign w:val="center"/>
          </w:tcPr>
          <w:p w14:paraId="7437A02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FFA4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744" w:type="dxa"/>
            <w:shd w:val="clear" w:color="auto" w:fill="FFFFFF"/>
            <w:vAlign w:val="center"/>
          </w:tcPr>
          <w:p w14:paraId="142E99F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w:t>
            </w:r>
          </w:p>
        </w:tc>
        <w:tc>
          <w:tcPr>
            <w:tcW w:w="990" w:type="dxa"/>
            <w:shd w:val="clear" w:color="auto" w:fill="FFFFFF"/>
            <w:vAlign w:val="center"/>
          </w:tcPr>
          <w:p w14:paraId="47B05E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5D055436">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6C15BBE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★内存规格</w:t>
            </w:r>
          </w:p>
        </w:tc>
        <w:tc>
          <w:tcPr>
            <w:tcW w:w="4269" w:type="dxa"/>
            <w:shd w:val="clear" w:color="auto" w:fill="FFFFFF"/>
            <w:vAlign w:val="center"/>
          </w:tcPr>
          <w:p w14:paraId="2E9DBC3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≥DDR4</w:t>
            </w:r>
          </w:p>
        </w:tc>
        <w:tc>
          <w:tcPr>
            <w:tcW w:w="1350" w:type="dxa"/>
            <w:shd w:val="clear" w:color="auto" w:fill="FFFFFF"/>
            <w:vAlign w:val="center"/>
          </w:tcPr>
          <w:p w14:paraId="580181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27A6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611C277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w:t>
            </w:r>
          </w:p>
        </w:tc>
        <w:tc>
          <w:tcPr>
            <w:tcW w:w="990" w:type="dxa"/>
            <w:shd w:val="clear" w:color="auto" w:fill="FFFFFF"/>
            <w:vAlign w:val="center"/>
          </w:tcPr>
          <w:p w14:paraId="34C0D5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2E62360F">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0C2421F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★内存通道</w:t>
            </w:r>
          </w:p>
        </w:tc>
        <w:tc>
          <w:tcPr>
            <w:tcW w:w="4269" w:type="dxa"/>
            <w:shd w:val="clear" w:color="auto" w:fill="FFFFFF"/>
            <w:vAlign w:val="center"/>
          </w:tcPr>
          <w:p w14:paraId="3E5A237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支持多个内存接口通道，每个通道可支持1DPC或2DPC，当支持2DPC时，印制电路板上应具备插槽的序号标识，具体通道数应在随机文件中明确</w:t>
            </w:r>
          </w:p>
        </w:tc>
        <w:tc>
          <w:tcPr>
            <w:tcW w:w="1350" w:type="dxa"/>
            <w:shd w:val="clear" w:color="auto" w:fill="FFFFFF"/>
            <w:vAlign w:val="center"/>
          </w:tcPr>
          <w:p w14:paraId="0143C61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D5E2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6F40B77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w:t>
            </w:r>
          </w:p>
        </w:tc>
        <w:tc>
          <w:tcPr>
            <w:tcW w:w="990" w:type="dxa"/>
            <w:shd w:val="clear" w:color="auto" w:fill="FFFFFF"/>
            <w:vAlign w:val="center"/>
          </w:tcPr>
          <w:p w14:paraId="6291E99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restart"/>
            <w:shd w:val="clear" w:color="auto" w:fill="FFFFFF"/>
            <w:vAlign w:val="center"/>
          </w:tcPr>
          <w:p w14:paraId="483081E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存储规格</w:t>
            </w:r>
          </w:p>
        </w:tc>
        <w:tc>
          <w:tcPr>
            <w:tcW w:w="1221" w:type="dxa"/>
            <w:shd w:val="clear" w:color="auto" w:fill="FFFFFF"/>
            <w:vAlign w:val="center"/>
          </w:tcPr>
          <w:p w14:paraId="15F6917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硬盘类型</w:t>
            </w:r>
          </w:p>
        </w:tc>
        <w:tc>
          <w:tcPr>
            <w:tcW w:w="4269" w:type="dxa"/>
            <w:shd w:val="clear" w:color="auto" w:fill="FFFFFF"/>
            <w:vAlign w:val="center"/>
          </w:tcPr>
          <w:p w14:paraId="0196A86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供应商给出服务器支持硬磁盘和固态盘类型及规格</w:t>
            </w:r>
          </w:p>
        </w:tc>
        <w:tc>
          <w:tcPr>
            <w:tcW w:w="1350" w:type="dxa"/>
            <w:shd w:val="clear" w:color="auto" w:fill="FFFFFF"/>
            <w:vAlign w:val="center"/>
          </w:tcPr>
          <w:p w14:paraId="18C4FD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4C9A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649AE9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w:t>
            </w:r>
          </w:p>
        </w:tc>
        <w:tc>
          <w:tcPr>
            <w:tcW w:w="990" w:type="dxa"/>
            <w:shd w:val="clear" w:color="auto" w:fill="FFFFFF"/>
            <w:vAlign w:val="center"/>
          </w:tcPr>
          <w:p w14:paraId="1DE2E3D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3C29519C">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1FC995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★硬磁盘实配容量</w:t>
            </w:r>
          </w:p>
        </w:tc>
        <w:tc>
          <w:tcPr>
            <w:tcW w:w="4269" w:type="dxa"/>
            <w:shd w:val="clear" w:color="auto" w:fill="FFFFFF"/>
            <w:vAlign w:val="center"/>
          </w:tcPr>
          <w:p w14:paraId="091076B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硬盘1：≥1.92T SATA SSD</w:t>
            </w:r>
          </w:p>
        </w:tc>
        <w:tc>
          <w:tcPr>
            <w:tcW w:w="1350" w:type="dxa"/>
            <w:shd w:val="clear" w:color="auto" w:fill="FFFFFF"/>
            <w:vAlign w:val="center"/>
          </w:tcPr>
          <w:p w14:paraId="5E5861A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E94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44" w:type="dxa"/>
            <w:shd w:val="clear" w:color="auto" w:fill="FFFFFF"/>
            <w:vAlign w:val="center"/>
          </w:tcPr>
          <w:p w14:paraId="2B3B368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w:t>
            </w:r>
          </w:p>
        </w:tc>
        <w:tc>
          <w:tcPr>
            <w:tcW w:w="990" w:type="dxa"/>
            <w:shd w:val="clear" w:color="auto" w:fill="FFFFFF"/>
            <w:vAlign w:val="center"/>
          </w:tcPr>
          <w:p w14:paraId="7199532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08C51956">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7A9D590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硬盘接口类型</w:t>
            </w:r>
          </w:p>
        </w:tc>
        <w:tc>
          <w:tcPr>
            <w:tcW w:w="4269" w:type="dxa"/>
            <w:shd w:val="clear" w:color="auto" w:fill="FFFFFF"/>
            <w:vAlign w:val="center"/>
          </w:tcPr>
          <w:p w14:paraId="5D8201D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a）若配备硬磁盘，应提供SAS3.0或SATA3.0及以上接口；b）若配备固态盘，应提供至少1种类型固态盘接口，如UFS、SATA、PCIe等</w:t>
            </w:r>
          </w:p>
        </w:tc>
        <w:tc>
          <w:tcPr>
            <w:tcW w:w="1350" w:type="dxa"/>
            <w:shd w:val="clear" w:color="auto" w:fill="FFFFFF"/>
            <w:vAlign w:val="center"/>
          </w:tcPr>
          <w:p w14:paraId="27DBD5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761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11E4D7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w:t>
            </w:r>
          </w:p>
        </w:tc>
        <w:tc>
          <w:tcPr>
            <w:tcW w:w="990" w:type="dxa"/>
            <w:shd w:val="clear" w:color="auto" w:fill="FFFFFF"/>
            <w:vAlign w:val="center"/>
          </w:tcPr>
          <w:p w14:paraId="303DF5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3E8E5958">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58B07B2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★硬盘实配数量</w:t>
            </w:r>
          </w:p>
        </w:tc>
        <w:tc>
          <w:tcPr>
            <w:tcW w:w="4269" w:type="dxa"/>
            <w:shd w:val="clear" w:color="auto" w:fill="FFFFFF"/>
            <w:vAlign w:val="center"/>
          </w:tcPr>
          <w:p w14:paraId="77E97E1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硬盘1：≥2块1.92T SATA SSD</w:t>
            </w:r>
          </w:p>
        </w:tc>
        <w:tc>
          <w:tcPr>
            <w:tcW w:w="1350" w:type="dxa"/>
            <w:shd w:val="clear" w:color="auto" w:fill="FFFFFF"/>
            <w:vAlign w:val="center"/>
          </w:tcPr>
          <w:p w14:paraId="0F242A2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839E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744" w:type="dxa"/>
            <w:shd w:val="clear" w:color="auto" w:fill="FFFFFF"/>
            <w:vAlign w:val="center"/>
          </w:tcPr>
          <w:p w14:paraId="3C3BCB1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17</w:t>
            </w:r>
          </w:p>
        </w:tc>
        <w:tc>
          <w:tcPr>
            <w:tcW w:w="990" w:type="dxa"/>
            <w:shd w:val="clear" w:color="auto" w:fill="FFFFFF"/>
            <w:vAlign w:val="center"/>
          </w:tcPr>
          <w:p w14:paraId="7CC71DF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592D9993">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0FD9C97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★硬盘插槽数量及规格</w:t>
            </w:r>
          </w:p>
        </w:tc>
        <w:tc>
          <w:tcPr>
            <w:tcW w:w="4269" w:type="dxa"/>
            <w:shd w:val="clear" w:color="auto" w:fill="FFFFFF"/>
            <w:vAlign w:val="center"/>
          </w:tcPr>
          <w:p w14:paraId="1DE0A6E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供应商应给出配置的硬盘尺寸，如2.5英寸、3.5英寸硬磁盘；b）机箱高度为88.9mm的服务器可支持的硬盘数量应≥8块，机箱高度为44.45mm的服务器可支持的硬盘数量应≥4块。c）存储型服务器可支持硬盘数量应≥24块</w:t>
            </w:r>
          </w:p>
        </w:tc>
        <w:tc>
          <w:tcPr>
            <w:tcW w:w="1350" w:type="dxa"/>
            <w:shd w:val="clear" w:color="auto" w:fill="FFFFFF"/>
            <w:vAlign w:val="center"/>
          </w:tcPr>
          <w:p w14:paraId="1BD659D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E33D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44" w:type="dxa"/>
            <w:shd w:val="clear" w:color="auto" w:fill="FFFFFF"/>
            <w:vAlign w:val="center"/>
          </w:tcPr>
          <w:p w14:paraId="10211F8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18</w:t>
            </w:r>
          </w:p>
        </w:tc>
        <w:tc>
          <w:tcPr>
            <w:tcW w:w="990" w:type="dxa"/>
            <w:shd w:val="clear" w:color="auto" w:fill="FFFFFF"/>
            <w:vAlign w:val="center"/>
          </w:tcPr>
          <w:p w14:paraId="7B94F2E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767513CF">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0E667DF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硬盘其他参数要求</w:t>
            </w:r>
          </w:p>
        </w:tc>
        <w:tc>
          <w:tcPr>
            <w:tcW w:w="4269" w:type="dxa"/>
            <w:shd w:val="clear" w:color="auto" w:fill="FFFFFF"/>
            <w:vAlign w:val="center"/>
          </w:tcPr>
          <w:p w14:paraId="22A73E2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drawing>
                <wp:anchor distT="0" distB="0" distL="114300" distR="114300" simplePos="0" relativeHeight="251666432" behindDoc="0" locked="0" layoutInCell="1" allowOverlap="1">
                  <wp:simplePos x="0" y="0"/>
                  <wp:positionH relativeFrom="column">
                    <wp:posOffset>9525</wp:posOffset>
                  </wp:positionH>
                  <wp:positionV relativeFrom="paragraph">
                    <wp:posOffset>471170</wp:posOffset>
                  </wp:positionV>
                  <wp:extent cx="76200" cy="47625"/>
                  <wp:effectExtent l="0" t="0" r="0" b="0"/>
                  <wp:wrapNone/>
                  <wp:docPr id="8"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5"/>
                          <a:stretch>
                            <a:fillRect/>
                          </a:stretch>
                        </pic:blipFill>
                        <pic:spPr>
                          <a:xfrm>
                            <a:off x="0" y="0"/>
                            <a:ext cx="76200" cy="47625"/>
                          </a:xfrm>
                          <a:prstGeom prst="rect">
                            <a:avLst/>
                          </a:prstGeom>
                          <a:noFill/>
                          <a:ln>
                            <a:noFill/>
                          </a:ln>
                        </pic:spPr>
                      </pic:pic>
                    </a:graphicData>
                  </a:graphic>
                </wp:anchor>
              </w:drawing>
            </w:r>
            <w:r>
              <w:rPr>
                <w:rFonts w:hint="eastAsia" w:asciiTheme="minorEastAsia" w:hAnsiTheme="minorEastAsia" w:eastAsiaTheme="minorEastAsia" w:cstheme="minorEastAsia"/>
                <w:kern w:val="0"/>
                <w:sz w:val="24"/>
              </w:rPr>
              <w:t>a）机械硬盘准备时间应≤30s；侧面固定螺丝孔数量可为4孔或6孔；工作状态环境温度应满足5℃55℃,其他参数应符合GB/T12628的相关规定；b）若服务器支持固态盘，固态盘符合SJ/T11654相关规定</w:t>
            </w:r>
          </w:p>
        </w:tc>
        <w:tc>
          <w:tcPr>
            <w:tcW w:w="1350" w:type="dxa"/>
            <w:shd w:val="clear" w:color="auto" w:fill="FFFFFF"/>
            <w:vAlign w:val="center"/>
          </w:tcPr>
          <w:p w14:paraId="691BEF3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5C06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31C678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19</w:t>
            </w:r>
          </w:p>
        </w:tc>
        <w:tc>
          <w:tcPr>
            <w:tcW w:w="990" w:type="dxa"/>
            <w:shd w:val="clear" w:color="auto" w:fill="FFFFFF"/>
            <w:vAlign w:val="center"/>
          </w:tcPr>
          <w:p w14:paraId="57DB704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shd w:val="clear" w:color="auto" w:fill="FFFFFF"/>
            <w:vAlign w:val="center"/>
          </w:tcPr>
          <w:p w14:paraId="3BB1A94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RAID卡规格（若支持RAID卡）</w:t>
            </w:r>
          </w:p>
        </w:tc>
        <w:tc>
          <w:tcPr>
            <w:tcW w:w="1221" w:type="dxa"/>
            <w:shd w:val="clear" w:color="auto" w:fill="FFFFFF"/>
            <w:vAlign w:val="center"/>
          </w:tcPr>
          <w:p w14:paraId="610FA46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RAID卡支持的SAS接口数</w:t>
            </w:r>
          </w:p>
        </w:tc>
        <w:tc>
          <w:tcPr>
            <w:tcW w:w="4269" w:type="dxa"/>
            <w:shd w:val="clear" w:color="auto" w:fill="FFFFFF"/>
            <w:vAlign w:val="center"/>
          </w:tcPr>
          <w:p w14:paraId="4FA7B27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1350" w:type="dxa"/>
            <w:shd w:val="clear" w:color="auto" w:fill="FFFFFF"/>
            <w:vAlign w:val="center"/>
          </w:tcPr>
          <w:p w14:paraId="07B4854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4CE2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44" w:type="dxa"/>
            <w:shd w:val="clear" w:color="auto" w:fill="FFFFFF"/>
            <w:vAlign w:val="center"/>
          </w:tcPr>
          <w:p w14:paraId="09859DC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20</w:t>
            </w:r>
          </w:p>
        </w:tc>
        <w:tc>
          <w:tcPr>
            <w:tcW w:w="990" w:type="dxa"/>
            <w:shd w:val="clear" w:color="auto" w:fill="FFFFFF"/>
            <w:vAlign w:val="center"/>
          </w:tcPr>
          <w:p w14:paraId="254C75C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shd w:val="clear" w:color="auto" w:fill="FFFFFF"/>
            <w:vAlign w:val="center"/>
          </w:tcPr>
          <w:p w14:paraId="16AD9A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SAS直通卡规格（若支持SAS直通卡）</w:t>
            </w:r>
          </w:p>
        </w:tc>
        <w:tc>
          <w:tcPr>
            <w:tcW w:w="1221" w:type="dxa"/>
            <w:shd w:val="clear" w:color="auto" w:fill="FFFFFF"/>
            <w:vAlign w:val="center"/>
          </w:tcPr>
          <w:p w14:paraId="1C45861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SAS直通卡SAS接口数量</w:t>
            </w:r>
          </w:p>
        </w:tc>
        <w:tc>
          <w:tcPr>
            <w:tcW w:w="4269" w:type="dxa"/>
            <w:shd w:val="clear" w:color="auto" w:fill="FFFFFF"/>
            <w:vAlign w:val="center"/>
          </w:tcPr>
          <w:p w14:paraId="11677B4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≥0</w:t>
            </w:r>
          </w:p>
        </w:tc>
        <w:tc>
          <w:tcPr>
            <w:tcW w:w="1350" w:type="dxa"/>
            <w:shd w:val="clear" w:color="auto" w:fill="FFFFFF"/>
            <w:vAlign w:val="center"/>
          </w:tcPr>
          <w:p w14:paraId="706F2C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23F1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44" w:type="dxa"/>
            <w:shd w:val="clear" w:color="auto" w:fill="FFFFFF"/>
            <w:vAlign w:val="center"/>
          </w:tcPr>
          <w:p w14:paraId="36C4480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21</w:t>
            </w:r>
          </w:p>
        </w:tc>
        <w:tc>
          <w:tcPr>
            <w:tcW w:w="990" w:type="dxa"/>
            <w:shd w:val="clear" w:color="auto" w:fill="FFFFFF"/>
            <w:vAlign w:val="center"/>
          </w:tcPr>
          <w:p w14:paraId="7C1D96F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shd w:val="clear" w:color="auto" w:fill="FFFFFF"/>
            <w:vAlign w:val="center"/>
          </w:tcPr>
          <w:p w14:paraId="293BEDF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HBA卡规格（若支HBA直通卡）</w:t>
            </w:r>
          </w:p>
        </w:tc>
        <w:tc>
          <w:tcPr>
            <w:tcW w:w="1221" w:type="dxa"/>
            <w:shd w:val="clear" w:color="auto" w:fill="FFFFFF"/>
            <w:vAlign w:val="center"/>
          </w:tcPr>
          <w:p w14:paraId="673201F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HBA卡端口数量</w:t>
            </w:r>
          </w:p>
        </w:tc>
        <w:tc>
          <w:tcPr>
            <w:tcW w:w="4269" w:type="dxa"/>
            <w:shd w:val="clear" w:color="auto" w:fill="FFFFFF"/>
            <w:vAlign w:val="center"/>
          </w:tcPr>
          <w:p w14:paraId="4DF86FD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≥0</w:t>
            </w:r>
          </w:p>
        </w:tc>
        <w:tc>
          <w:tcPr>
            <w:tcW w:w="1350" w:type="dxa"/>
            <w:shd w:val="clear" w:color="auto" w:fill="FFFFFF"/>
            <w:vAlign w:val="center"/>
          </w:tcPr>
          <w:p w14:paraId="03AAA60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0CBE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27A7A77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22</w:t>
            </w:r>
          </w:p>
        </w:tc>
        <w:tc>
          <w:tcPr>
            <w:tcW w:w="990" w:type="dxa"/>
            <w:shd w:val="clear" w:color="auto" w:fill="FFFFFF"/>
            <w:vAlign w:val="center"/>
          </w:tcPr>
          <w:p w14:paraId="02A7BCB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restart"/>
            <w:shd w:val="clear" w:color="auto" w:fill="FFFFFF"/>
            <w:vAlign w:val="center"/>
          </w:tcPr>
          <w:p w14:paraId="489F710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网络规格</w:t>
            </w:r>
          </w:p>
        </w:tc>
        <w:tc>
          <w:tcPr>
            <w:tcW w:w="1221" w:type="dxa"/>
            <w:shd w:val="clear" w:color="auto" w:fill="FFFFFF"/>
            <w:vAlign w:val="center"/>
          </w:tcPr>
          <w:p w14:paraId="28A4843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★网口速率和数量</w:t>
            </w:r>
          </w:p>
        </w:tc>
        <w:tc>
          <w:tcPr>
            <w:tcW w:w="4269" w:type="dxa"/>
            <w:shd w:val="clear" w:color="auto" w:fill="FFFFFF"/>
            <w:vAlign w:val="center"/>
          </w:tcPr>
          <w:p w14:paraId="4F46BE9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配置10GE光口≥4个（满配10GE多模光模块）</w:t>
            </w:r>
          </w:p>
          <w:p w14:paraId="71C041D5">
            <w:pPr>
              <w:widowControl/>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配置1GE电口≥2个</w:t>
            </w:r>
          </w:p>
        </w:tc>
        <w:tc>
          <w:tcPr>
            <w:tcW w:w="1350" w:type="dxa"/>
            <w:shd w:val="clear" w:color="auto" w:fill="FFFFFF"/>
            <w:vAlign w:val="center"/>
          </w:tcPr>
          <w:p w14:paraId="30E0B62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4E2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44" w:type="dxa"/>
            <w:shd w:val="clear" w:color="auto" w:fill="FFFFFF"/>
            <w:vAlign w:val="center"/>
          </w:tcPr>
          <w:p w14:paraId="5AB6532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23</w:t>
            </w:r>
          </w:p>
        </w:tc>
        <w:tc>
          <w:tcPr>
            <w:tcW w:w="990" w:type="dxa"/>
            <w:shd w:val="clear" w:color="auto" w:fill="FFFFFF"/>
            <w:vAlign w:val="center"/>
          </w:tcPr>
          <w:p w14:paraId="44F3F28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5343BA6C">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54D698D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存储型服务器网口速率和数量</w:t>
            </w:r>
          </w:p>
        </w:tc>
        <w:tc>
          <w:tcPr>
            <w:tcW w:w="4269" w:type="dxa"/>
            <w:shd w:val="clear" w:color="auto" w:fill="FFFFFF"/>
            <w:vAlign w:val="center"/>
          </w:tcPr>
          <w:p w14:paraId="1A58680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存储型服务器1GE 网口数量≥2 个，10GE 以上网口数量≥2个（不涉及）</w:t>
            </w:r>
          </w:p>
        </w:tc>
        <w:tc>
          <w:tcPr>
            <w:tcW w:w="1350" w:type="dxa"/>
            <w:shd w:val="clear" w:color="auto" w:fill="FFFFFF"/>
            <w:vAlign w:val="center"/>
          </w:tcPr>
          <w:p w14:paraId="1108E34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44DD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0B2371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24</w:t>
            </w:r>
          </w:p>
        </w:tc>
        <w:tc>
          <w:tcPr>
            <w:tcW w:w="990" w:type="dxa"/>
            <w:shd w:val="clear" w:color="auto" w:fill="FFFFFF"/>
            <w:vAlign w:val="center"/>
          </w:tcPr>
          <w:p w14:paraId="291E518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1B53E0F1">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02CC8EE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独立网卡网口数量</w:t>
            </w:r>
          </w:p>
        </w:tc>
        <w:tc>
          <w:tcPr>
            <w:tcW w:w="4269" w:type="dxa"/>
            <w:shd w:val="clear" w:color="auto" w:fill="FFFFFF"/>
            <w:vAlign w:val="center"/>
          </w:tcPr>
          <w:p w14:paraId="73BD1AC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配备10GE独立网卡，独立网卡网口数量≥2</w:t>
            </w:r>
          </w:p>
        </w:tc>
        <w:tc>
          <w:tcPr>
            <w:tcW w:w="1350" w:type="dxa"/>
            <w:shd w:val="clear" w:color="auto" w:fill="FFFFFF"/>
            <w:vAlign w:val="center"/>
          </w:tcPr>
          <w:p w14:paraId="4BE369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2E8A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513EF6A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25</w:t>
            </w:r>
          </w:p>
        </w:tc>
        <w:tc>
          <w:tcPr>
            <w:tcW w:w="990" w:type="dxa"/>
            <w:shd w:val="clear" w:color="auto" w:fill="FFFFFF"/>
            <w:vAlign w:val="center"/>
          </w:tcPr>
          <w:p w14:paraId="501D56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128AE7D7">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3817A26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独立网卡接口类型</w:t>
            </w:r>
          </w:p>
        </w:tc>
        <w:tc>
          <w:tcPr>
            <w:tcW w:w="4269" w:type="dxa"/>
            <w:shd w:val="clear" w:color="auto" w:fill="FFFFFF"/>
            <w:vAlign w:val="center"/>
          </w:tcPr>
          <w:p w14:paraId="24CE1A4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支持RJ45/QSFP/SFP等</w:t>
            </w:r>
          </w:p>
        </w:tc>
        <w:tc>
          <w:tcPr>
            <w:tcW w:w="1350" w:type="dxa"/>
            <w:shd w:val="clear" w:color="auto" w:fill="FFFFFF"/>
            <w:vAlign w:val="center"/>
          </w:tcPr>
          <w:p w14:paraId="05509D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B6E0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409D590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26</w:t>
            </w:r>
          </w:p>
        </w:tc>
        <w:tc>
          <w:tcPr>
            <w:tcW w:w="990" w:type="dxa"/>
            <w:shd w:val="clear" w:color="auto" w:fill="FFFFFF"/>
            <w:vAlign w:val="center"/>
          </w:tcPr>
          <w:p w14:paraId="009ADE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706DBE53">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01073F1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板载网卡接口类型</w:t>
            </w:r>
          </w:p>
        </w:tc>
        <w:tc>
          <w:tcPr>
            <w:tcW w:w="4269" w:type="dxa"/>
            <w:shd w:val="clear" w:color="auto" w:fill="FFFFFF"/>
            <w:vAlign w:val="center"/>
          </w:tcPr>
          <w:p w14:paraId="4483F70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支持RJ45/QSFP/SFP等</w:t>
            </w:r>
          </w:p>
        </w:tc>
        <w:tc>
          <w:tcPr>
            <w:tcW w:w="1350" w:type="dxa"/>
            <w:shd w:val="clear" w:color="auto" w:fill="FFFFFF"/>
            <w:vAlign w:val="center"/>
          </w:tcPr>
          <w:p w14:paraId="630AD02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FD3D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342A9E4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27</w:t>
            </w:r>
          </w:p>
        </w:tc>
        <w:tc>
          <w:tcPr>
            <w:tcW w:w="990" w:type="dxa"/>
            <w:shd w:val="clear" w:color="auto" w:fill="FFFFFF"/>
            <w:vAlign w:val="center"/>
          </w:tcPr>
          <w:p w14:paraId="5101024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restart"/>
            <w:shd w:val="clear" w:color="auto" w:fill="FFFFFF"/>
            <w:vAlign w:val="center"/>
          </w:tcPr>
          <w:p w14:paraId="37D9D27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外部接口规格</w:t>
            </w:r>
          </w:p>
        </w:tc>
        <w:tc>
          <w:tcPr>
            <w:tcW w:w="1221" w:type="dxa"/>
            <w:shd w:val="clear" w:color="auto" w:fill="FFFFFF"/>
            <w:vAlign w:val="center"/>
          </w:tcPr>
          <w:p w14:paraId="1505145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★显示接口</w:t>
            </w:r>
          </w:p>
        </w:tc>
        <w:tc>
          <w:tcPr>
            <w:tcW w:w="4269" w:type="dxa"/>
            <w:shd w:val="clear" w:color="auto" w:fill="FFFFFF"/>
            <w:vAlign w:val="center"/>
          </w:tcPr>
          <w:p w14:paraId="42F1763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显示接口类型应≥1种，如：VGA、DP、HDMI等</w:t>
            </w:r>
          </w:p>
        </w:tc>
        <w:tc>
          <w:tcPr>
            <w:tcW w:w="1350" w:type="dxa"/>
            <w:shd w:val="clear" w:color="auto" w:fill="FFFFFF"/>
            <w:vAlign w:val="center"/>
          </w:tcPr>
          <w:p w14:paraId="7C0F583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06D4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44" w:type="dxa"/>
            <w:shd w:val="clear" w:color="auto" w:fill="FFFFFF"/>
            <w:vAlign w:val="center"/>
          </w:tcPr>
          <w:p w14:paraId="4BA13ED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28</w:t>
            </w:r>
          </w:p>
        </w:tc>
        <w:tc>
          <w:tcPr>
            <w:tcW w:w="990" w:type="dxa"/>
            <w:shd w:val="clear" w:color="auto" w:fill="FFFFFF"/>
            <w:vAlign w:val="center"/>
          </w:tcPr>
          <w:p w14:paraId="29F332B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629729A3">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47F8121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★USB接口</w:t>
            </w:r>
          </w:p>
        </w:tc>
        <w:tc>
          <w:tcPr>
            <w:tcW w:w="4269" w:type="dxa"/>
            <w:shd w:val="clear" w:color="auto" w:fill="FFFFFF"/>
            <w:vAlign w:val="center"/>
          </w:tcPr>
          <w:p w14:paraId="7803E12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配备USB接口，如USB2.0、USB3.0等</w:t>
            </w:r>
          </w:p>
        </w:tc>
        <w:tc>
          <w:tcPr>
            <w:tcW w:w="1350" w:type="dxa"/>
            <w:shd w:val="clear" w:color="auto" w:fill="FFFFFF"/>
            <w:vAlign w:val="center"/>
          </w:tcPr>
          <w:p w14:paraId="6204E97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5EAB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1C1911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29</w:t>
            </w:r>
          </w:p>
        </w:tc>
        <w:tc>
          <w:tcPr>
            <w:tcW w:w="990" w:type="dxa"/>
            <w:shd w:val="clear" w:color="auto" w:fill="FFFFFF"/>
            <w:vAlign w:val="center"/>
          </w:tcPr>
          <w:p w14:paraId="29D2E9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25D45C83">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71710EC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特殊接口及孔位</w:t>
            </w:r>
          </w:p>
        </w:tc>
        <w:tc>
          <w:tcPr>
            <w:tcW w:w="4269" w:type="dxa"/>
            <w:shd w:val="clear" w:color="auto" w:fill="FFFFFF"/>
            <w:vAlign w:val="center"/>
          </w:tcPr>
          <w:p w14:paraId="092D50A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前面板预留1个专用USB母座接口孔位</w:t>
            </w:r>
          </w:p>
        </w:tc>
        <w:tc>
          <w:tcPr>
            <w:tcW w:w="1350" w:type="dxa"/>
            <w:shd w:val="clear" w:color="auto" w:fill="FFFFFF"/>
            <w:vAlign w:val="center"/>
          </w:tcPr>
          <w:p w14:paraId="611F86D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72F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44" w:type="dxa"/>
            <w:shd w:val="clear" w:color="auto" w:fill="FFFFFF"/>
            <w:vAlign w:val="center"/>
          </w:tcPr>
          <w:p w14:paraId="4AAF3B9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30</w:t>
            </w:r>
          </w:p>
        </w:tc>
        <w:tc>
          <w:tcPr>
            <w:tcW w:w="990" w:type="dxa"/>
            <w:shd w:val="clear" w:color="auto" w:fill="FFFFFF"/>
            <w:vAlign w:val="center"/>
          </w:tcPr>
          <w:p w14:paraId="39D90CB5">
            <w:pPr>
              <w:widowControl/>
              <w:jc w:val="center"/>
              <w:rPr>
                <w:rFonts w:asciiTheme="minorEastAsia" w:hAnsiTheme="minorEastAsia" w:eastAsiaTheme="minorEastAsia" w:cstheme="minorEastAsia"/>
                <w:kern w:val="0"/>
                <w:sz w:val="24"/>
              </w:rPr>
            </w:pPr>
          </w:p>
        </w:tc>
        <w:tc>
          <w:tcPr>
            <w:tcW w:w="975" w:type="dxa"/>
            <w:vMerge w:val="continue"/>
            <w:shd w:val="clear" w:color="auto" w:fill="FFFFFF"/>
            <w:vAlign w:val="center"/>
          </w:tcPr>
          <w:p w14:paraId="3124D4B9">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022BCF8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其他接口</w:t>
            </w:r>
          </w:p>
        </w:tc>
        <w:tc>
          <w:tcPr>
            <w:tcW w:w="4269" w:type="dxa"/>
            <w:shd w:val="clear" w:color="auto" w:fill="FFFFFF"/>
            <w:vAlign w:val="center"/>
          </w:tcPr>
          <w:p w14:paraId="5CADF48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a）串口数量≥1个，并可实现GB/T6107或GB/T26803.2的相关功能；b）服务器主机前面板可根据用户实际使用需求预留1个专用USB母座接口孔位</w:t>
            </w:r>
          </w:p>
        </w:tc>
        <w:tc>
          <w:tcPr>
            <w:tcW w:w="1350" w:type="dxa"/>
            <w:shd w:val="clear" w:color="auto" w:fill="FFFFFF"/>
            <w:vAlign w:val="center"/>
          </w:tcPr>
          <w:p w14:paraId="101D9C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6C4E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50171BD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31</w:t>
            </w:r>
          </w:p>
        </w:tc>
        <w:tc>
          <w:tcPr>
            <w:tcW w:w="990" w:type="dxa"/>
            <w:shd w:val="clear" w:color="auto" w:fill="FFFFFF"/>
            <w:vAlign w:val="center"/>
          </w:tcPr>
          <w:p w14:paraId="6CCA87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restart"/>
            <w:shd w:val="clear" w:color="auto" w:fill="FFFFFF"/>
            <w:vAlign w:val="center"/>
          </w:tcPr>
          <w:p w14:paraId="18F0E1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电源规格</w:t>
            </w:r>
          </w:p>
        </w:tc>
        <w:tc>
          <w:tcPr>
            <w:tcW w:w="1221" w:type="dxa"/>
            <w:shd w:val="clear" w:color="auto" w:fill="FFFFFF"/>
            <w:vAlign w:val="center"/>
          </w:tcPr>
          <w:p w14:paraId="4FBA0EB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电源冗余模式</w:t>
            </w:r>
          </w:p>
        </w:tc>
        <w:tc>
          <w:tcPr>
            <w:tcW w:w="4269" w:type="dxa"/>
            <w:shd w:val="clear" w:color="auto" w:fill="FFFFFF"/>
            <w:vAlign w:val="center"/>
          </w:tcPr>
          <w:p w14:paraId="31DDE80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整机电源模块按1+1冗余或N+1冗余配置</w:t>
            </w:r>
          </w:p>
        </w:tc>
        <w:tc>
          <w:tcPr>
            <w:tcW w:w="1350" w:type="dxa"/>
            <w:shd w:val="clear" w:color="auto" w:fill="FFFFFF"/>
            <w:vAlign w:val="center"/>
          </w:tcPr>
          <w:p w14:paraId="1062CEA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8710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45F019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w:t>
            </w:r>
          </w:p>
        </w:tc>
        <w:tc>
          <w:tcPr>
            <w:tcW w:w="990" w:type="dxa"/>
            <w:shd w:val="clear" w:color="auto" w:fill="FFFFFF"/>
            <w:vAlign w:val="center"/>
          </w:tcPr>
          <w:p w14:paraId="737D271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3E3FD9CE">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1ACE2A2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★电源模块数量</w:t>
            </w:r>
          </w:p>
        </w:tc>
        <w:tc>
          <w:tcPr>
            <w:tcW w:w="4269" w:type="dxa"/>
            <w:shd w:val="clear" w:color="auto" w:fill="FFFFFF"/>
            <w:vAlign w:val="center"/>
          </w:tcPr>
          <w:p w14:paraId="739FCFF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1350" w:type="dxa"/>
            <w:shd w:val="clear" w:color="auto" w:fill="FFFFFF"/>
            <w:vAlign w:val="center"/>
          </w:tcPr>
          <w:p w14:paraId="0E9AFD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B300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6D8E332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33</w:t>
            </w:r>
          </w:p>
        </w:tc>
        <w:tc>
          <w:tcPr>
            <w:tcW w:w="990" w:type="dxa"/>
            <w:shd w:val="clear" w:color="auto" w:fill="FFFFFF"/>
            <w:vAlign w:val="center"/>
          </w:tcPr>
          <w:p w14:paraId="4C50EE7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1083656C">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1891D69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★电源功率</w:t>
            </w:r>
          </w:p>
        </w:tc>
        <w:tc>
          <w:tcPr>
            <w:tcW w:w="4269" w:type="dxa"/>
            <w:shd w:val="clear" w:color="auto" w:fill="FFFFFF"/>
            <w:vAlign w:val="center"/>
          </w:tcPr>
          <w:p w14:paraId="597A8DD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电源模块功率应有一定冗余，满足处理器满载时的需求</w:t>
            </w:r>
          </w:p>
        </w:tc>
        <w:tc>
          <w:tcPr>
            <w:tcW w:w="1350" w:type="dxa"/>
            <w:shd w:val="clear" w:color="auto" w:fill="FFFFFF"/>
            <w:vAlign w:val="center"/>
          </w:tcPr>
          <w:p w14:paraId="6CFE01D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2F8F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44" w:type="dxa"/>
            <w:shd w:val="clear" w:color="auto" w:fill="FFFFFF"/>
            <w:vAlign w:val="center"/>
          </w:tcPr>
          <w:p w14:paraId="5B38D82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34</w:t>
            </w:r>
          </w:p>
        </w:tc>
        <w:tc>
          <w:tcPr>
            <w:tcW w:w="990" w:type="dxa"/>
            <w:shd w:val="clear" w:color="auto" w:fill="FFFFFF"/>
            <w:vAlign w:val="center"/>
          </w:tcPr>
          <w:p w14:paraId="3C3AED5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71EB8AE2">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73DEBDC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电源指示灯</w:t>
            </w:r>
          </w:p>
        </w:tc>
        <w:tc>
          <w:tcPr>
            <w:tcW w:w="4269" w:type="dxa"/>
            <w:shd w:val="clear" w:color="auto" w:fill="FFFFFF"/>
            <w:vAlign w:val="center"/>
          </w:tcPr>
          <w:p w14:paraId="4F63397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配备电源指示灯，指示待机、工作异常等状态</w:t>
            </w:r>
          </w:p>
        </w:tc>
        <w:tc>
          <w:tcPr>
            <w:tcW w:w="1350" w:type="dxa"/>
            <w:shd w:val="clear" w:color="auto" w:fill="FFFFFF"/>
            <w:vAlign w:val="center"/>
          </w:tcPr>
          <w:p w14:paraId="3799905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6ED0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24" w:hRule="atLeast"/>
        </w:trPr>
        <w:tc>
          <w:tcPr>
            <w:tcW w:w="744" w:type="dxa"/>
            <w:shd w:val="clear" w:color="auto" w:fill="FFFFFF"/>
            <w:vAlign w:val="center"/>
          </w:tcPr>
          <w:p w14:paraId="3B53CD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35</w:t>
            </w:r>
          </w:p>
        </w:tc>
        <w:tc>
          <w:tcPr>
            <w:tcW w:w="990" w:type="dxa"/>
            <w:shd w:val="clear" w:color="auto" w:fill="FFFFFF"/>
            <w:vAlign w:val="center"/>
          </w:tcPr>
          <w:p w14:paraId="7A1A61E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restart"/>
            <w:shd w:val="clear" w:color="auto" w:fill="FFFFFF"/>
            <w:vAlign w:val="center"/>
          </w:tcPr>
          <w:p w14:paraId="063D8F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整机规格</w:t>
            </w:r>
          </w:p>
        </w:tc>
        <w:tc>
          <w:tcPr>
            <w:tcW w:w="1221" w:type="dxa"/>
            <w:shd w:val="clear" w:color="auto" w:fill="FFFFFF"/>
            <w:vAlign w:val="center"/>
          </w:tcPr>
          <w:p w14:paraId="6208BAF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★外观和结构</w:t>
            </w:r>
          </w:p>
        </w:tc>
        <w:tc>
          <w:tcPr>
            <w:tcW w:w="4269" w:type="dxa"/>
            <w:shd w:val="clear" w:color="auto" w:fill="FFFFFF"/>
            <w:vAlign w:val="center"/>
          </w:tcPr>
          <w:p w14:paraId="469B8BD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服务器的零部件应紧固无松动，可插拔部件应可靠连接，开关、按钮和其他控制部件应灵活可靠，布局应方便使用；b）产品表面不应有明显的凹痕、划伤、裂缝、变形和污染等。表面涂层均匀，不应起泡、龟裂、脱落和磨损，金属零部件无锈蚀及其它机械损伤；c）产品表面说明功能的文字、符号和标志应清晰、端正且牢固；d）应在服务器的显著位置提供运行状态的指示功能，并在技术文件或者技术白皮书中明确具体含义；e）机架、机箱的尺寸应符合通用机柜的安装要求，插入总线插座的电路板接口外形尺寸应符合有关总线标准的规定，将机箱固定在机柜上，机箱底面最大下垂变形不得干涉相邻机体；f）服务器尺寸具体要求在技术文件或者技术白皮书中明确</w:t>
            </w:r>
          </w:p>
        </w:tc>
        <w:tc>
          <w:tcPr>
            <w:tcW w:w="1350" w:type="dxa"/>
            <w:shd w:val="clear" w:color="auto" w:fill="FFFFFF"/>
            <w:vAlign w:val="center"/>
          </w:tcPr>
          <w:p w14:paraId="45682A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CCE0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44" w:type="dxa"/>
            <w:shd w:val="clear" w:color="auto" w:fill="FFFFFF"/>
            <w:vAlign w:val="center"/>
          </w:tcPr>
          <w:p w14:paraId="36AF046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36</w:t>
            </w:r>
          </w:p>
        </w:tc>
        <w:tc>
          <w:tcPr>
            <w:tcW w:w="990" w:type="dxa"/>
            <w:shd w:val="clear" w:color="auto" w:fill="FFFFFF"/>
            <w:vAlign w:val="center"/>
          </w:tcPr>
          <w:p w14:paraId="783779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12C212DB">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42D4153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★尺寸（高×宽×深）</w:t>
            </w:r>
          </w:p>
        </w:tc>
        <w:tc>
          <w:tcPr>
            <w:tcW w:w="4269" w:type="dxa"/>
            <w:shd w:val="clear" w:color="auto" w:fill="FFFFFF"/>
            <w:vAlign w:val="center"/>
          </w:tcPr>
          <w:p w14:paraId="67D16F7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供应商给出产品尺寸；设计应遵循标准化、系列化的要求；机箱的内部结构符合通用部件的安装需要</w:t>
            </w:r>
          </w:p>
        </w:tc>
        <w:tc>
          <w:tcPr>
            <w:tcW w:w="1350" w:type="dxa"/>
            <w:shd w:val="clear" w:color="auto" w:fill="FFFFFF"/>
            <w:vAlign w:val="center"/>
          </w:tcPr>
          <w:p w14:paraId="01BF2C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9E3E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744" w:type="dxa"/>
            <w:shd w:val="clear" w:color="auto" w:fill="FFFFFF"/>
            <w:vAlign w:val="center"/>
          </w:tcPr>
          <w:p w14:paraId="581310E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37</w:t>
            </w:r>
          </w:p>
        </w:tc>
        <w:tc>
          <w:tcPr>
            <w:tcW w:w="990" w:type="dxa"/>
            <w:shd w:val="clear" w:color="auto" w:fill="FFFFFF"/>
            <w:vAlign w:val="center"/>
          </w:tcPr>
          <w:p w14:paraId="5B4D25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47EE2452">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51C68B4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服务器导轨</w:t>
            </w:r>
          </w:p>
        </w:tc>
        <w:tc>
          <w:tcPr>
            <w:tcW w:w="4269" w:type="dxa"/>
            <w:shd w:val="clear" w:color="auto" w:fill="FFFFFF"/>
            <w:vAlign w:val="center"/>
          </w:tcPr>
          <w:p w14:paraId="796703F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供应商给出导轨尺寸、安装方式等信息</w:t>
            </w:r>
          </w:p>
        </w:tc>
        <w:tc>
          <w:tcPr>
            <w:tcW w:w="1350" w:type="dxa"/>
            <w:shd w:val="clear" w:color="auto" w:fill="FFFFFF"/>
            <w:vAlign w:val="center"/>
          </w:tcPr>
          <w:p w14:paraId="31D300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B089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16293BE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38</w:t>
            </w:r>
          </w:p>
        </w:tc>
        <w:tc>
          <w:tcPr>
            <w:tcW w:w="990" w:type="dxa"/>
            <w:shd w:val="clear" w:color="auto" w:fill="FFFFFF"/>
            <w:vAlign w:val="center"/>
          </w:tcPr>
          <w:p w14:paraId="3BB61CA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479AE035">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7442A1B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CPU个数与机柜高度单位（U）比</w:t>
            </w:r>
          </w:p>
        </w:tc>
        <w:tc>
          <w:tcPr>
            <w:tcW w:w="4269" w:type="dxa"/>
            <w:shd w:val="clear" w:color="auto" w:fill="FFFFFF"/>
            <w:vAlign w:val="center"/>
          </w:tcPr>
          <w:p w14:paraId="1F59707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供应商给出CPU个数与机柜高度</w:t>
            </w:r>
          </w:p>
        </w:tc>
        <w:tc>
          <w:tcPr>
            <w:tcW w:w="1350" w:type="dxa"/>
            <w:shd w:val="clear" w:color="auto" w:fill="FFFFFF"/>
            <w:vAlign w:val="center"/>
          </w:tcPr>
          <w:p w14:paraId="01985D5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E726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44" w:type="dxa"/>
            <w:shd w:val="clear" w:color="auto" w:fill="FFFFFF"/>
            <w:vAlign w:val="center"/>
          </w:tcPr>
          <w:p w14:paraId="768A1F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39</w:t>
            </w:r>
          </w:p>
        </w:tc>
        <w:tc>
          <w:tcPr>
            <w:tcW w:w="990" w:type="dxa"/>
            <w:shd w:val="clear" w:color="auto" w:fill="FFFFFF"/>
            <w:vAlign w:val="center"/>
          </w:tcPr>
          <w:p w14:paraId="797EBA2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765B3530">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2B62110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★环境适应性</w:t>
            </w:r>
          </w:p>
        </w:tc>
        <w:tc>
          <w:tcPr>
            <w:tcW w:w="4269" w:type="dxa"/>
            <w:shd w:val="clear" w:color="auto" w:fill="FFFFFF"/>
            <w:vAlign w:val="center"/>
          </w:tcPr>
          <w:p w14:paraId="51DDEFA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气候环境适应性应符合GB/T9813.3的有关规定，工作温度10~35℃,贮存运输温度-40～55℃;工作相对湿度35%～80%，贮存运输相对湿度20％～93%（40℃）;大气压86～106kPa</w:t>
            </w:r>
          </w:p>
        </w:tc>
        <w:tc>
          <w:tcPr>
            <w:tcW w:w="1350" w:type="dxa"/>
            <w:shd w:val="clear" w:color="auto" w:fill="FFFFFF"/>
            <w:vAlign w:val="center"/>
          </w:tcPr>
          <w:p w14:paraId="60FE29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9F28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5E95107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40</w:t>
            </w:r>
          </w:p>
        </w:tc>
        <w:tc>
          <w:tcPr>
            <w:tcW w:w="990" w:type="dxa"/>
            <w:shd w:val="clear" w:color="auto" w:fill="FFFFFF"/>
            <w:vAlign w:val="center"/>
          </w:tcPr>
          <w:p w14:paraId="4510CF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17454C73">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768F813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特殊机型环境适应性</w:t>
            </w:r>
          </w:p>
        </w:tc>
        <w:tc>
          <w:tcPr>
            <w:tcW w:w="4269" w:type="dxa"/>
            <w:shd w:val="clear" w:color="auto" w:fill="FFFFFF"/>
            <w:vAlign w:val="center"/>
          </w:tcPr>
          <w:p w14:paraId="2AB0F60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边缘应用服务器，工作环境温度宜为0～45℃,短期工作可承受环境温度宜为-5～55℃,液冷服务器贮存运输温度宜为-30～55℃</w:t>
            </w:r>
          </w:p>
        </w:tc>
        <w:tc>
          <w:tcPr>
            <w:tcW w:w="1350" w:type="dxa"/>
            <w:shd w:val="clear" w:color="auto" w:fill="FFFFFF"/>
            <w:vAlign w:val="center"/>
          </w:tcPr>
          <w:p w14:paraId="0E60E5D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B3C1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460ED67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41</w:t>
            </w:r>
          </w:p>
        </w:tc>
        <w:tc>
          <w:tcPr>
            <w:tcW w:w="990" w:type="dxa"/>
            <w:shd w:val="clear" w:color="auto" w:fill="FFFFFF"/>
            <w:vAlign w:val="center"/>
          </w:tcPr>
          <w:p w14:paraId="025521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6CA337CA">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15CE289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★机械环境适应性</w:t>
            </w:r>
          </w:p>
        </w:tc>
        <w:tc>
          <w:tcPr>
            <w:tcW w:w="4269" w:type="dxa"/>
            <w:shd w:val="clear" w:color="auto" w:fill="FFFFFF"/>
            <w:vAlign w:val="center"/>
          </w:tcPr>
          <w:p w14:paraId="5B33AAC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机械环境适应性应符合GB/T9813.3的有关规定</w:t>
            </w:r>
          </w:p>
        </w:tc>
        <w:tc>
          <w:tcPr>
            <w:tcW w:w="1350" w:type="dxa"/>
            <w:shd w:val="clear" w:color="auto" w:fill="FFFFFF"/>
            <w:vAlign w:val="center"/>
          </w:tcPr>
          <w:p w14:paraId="646C12C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B93D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4AFA28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42</w:t>
            </w:r>
          </w:p>
        </w:tc>
        <w:tc>
          <w:tcPr>
            <w:tcW w:w="990" w:type="dxa"/>
            <w:shd w:val="clear" w:color="auto" w:fill="FFFFFF"/>
            <w:vAlign w:val="center"/>
          </w:tcPr>
          <w:p w14:paraId="13D7DD2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42446963">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1304F74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★噪声</w:t>
            </w:r>
          </w:p>
        </w:tc>
        <w:tc>
          <w:tcPr>
            <w:tcW w:w="4269" w:type="dxa"/>
            <w:shd w:val="clear" w:color="auto" w:fill="FFFFFF"/>
            <w:vAlign w:val="center"/>
          </w:tcPr>
          <w:p w14:paraId="2C6CDBE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符合GB/T9813.3的有关规定，在产品说明中给出具体测试值塔式服务器噪声在空闲状态下≤50dB</w:t>
            </w:r>
          </w:p>
        </w:tc>
        <w:tc>
          <w:tcPr>
            <w:tcW w:w="1350" w:type="dxa"/>
            <w:shd w:val="clear" w:color="auto" w:fill="FFFFFF"/>
            <w:vAlign w:val="center"/>
          </w:tcPr>
          <w:p w14:paraId="3421C4B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3EA4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744" w:type="dxa"/>
            <w:shd w:val="clear" w:color="auto" w:fill="FFFFFF"/>
            <w:vAlign w:val="center"/>
          </w:tcPr>
          <w:p w14:paraId="46A7775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43</w:t>
            </w:r>
          </w:p>
        </w:tc>
        <w:tc>
          <w:tcPr>
            <w:tcW w:w="990" w:type="dxa"/>
            <w:shd w:val="clear" w:color="auto" w:fill="FFFFFF"/>
            <w:vAlign w:val="center"/>
          </w:tcPr>
          <w:p w14:paraId="5638512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restart"/>
            <w:shd w:val="clear" w:color="auto" w:fill="FFFFFF"/>
            <w:vAlign w:val="center"/>
          </w:tcPr>
          <w:p w14:paraId="4787615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AI计算单元规格</w:t>
            </w:r>
          </w:p>
        </w:tc>
        <w:tc>
          <w:tcPr>
            <w:tcW w:w="1221" w:type="dxa"/>
            <w:shd w:val="clear" w:color="auto" w:fill="FFFFFF"/>
            <w:vAlign w:val="center"/>
          </w:tcPr>
          <w:p w14:paraId="0F59660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AI计算单元</w:t>
            </w:r>
          </w:p>
        </w:tc>
        <w:tc>
          <w:tcPr>
            <w:tcW w:w="4269" w:type="dxa"/>
            <w:shd w:val="clear" w:color="auto" w:fill="FFFFFF"/>
            <w:vAlign w:val="center"/>
          </w:tcPr>
          <w:p w14:paraId="54DF934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AI计算单元应符合如下要求：a）具备人工智能加速处理器，计算精度至少支持FP16、BF16、FP32、FP64、INT8和INT16等中的1种；b）单推理卡或模块，具备视频解析、文本识别、语音分析等推理能力；在视觉场景下配备可直接调用的接口实现视觉计算加速，路数不小于64（1080P30FPS）</w:t>
            </w:r>
          </w:p>
        </w:tc>
        <w:tc>
          <w:tcPr>
            <w:tcW w:w="1350" w:type="dxa"/>
            <w:shd w:val="clear" w:color="auto" w:fill="FFFFFF"/>
            <w:vAlign w:val="center"/>
          </w:tcPr>
          <w:p w14:paraId="1DACCC0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583C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7BCD5B5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44</w:t>
            </w:r>
          </w:p>
        </w:tc>
        <w:tc>
          <w:tcPr>
            <w:tcW w:w="990" w:type="dxa"/>
            <w:shd w:val="clear" w:color="auto" w:fill="FFFFFF"/>
            <w:vAlign w:val="center"/>
          </w:tcPr>
          <w:p w14:paraId="1593C9B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7AA08272">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360A64C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一键式迁移</w:t>
            </w:r>
          </w:p>
        </w:tc>
        <w:tc>
          <w:tcPr>
            <w:tcW w:w="4269" w:type="dxa"/>
            <w:shd w:val="clear" w:color="auto" w:fill="FFFFFF"/>
            <w:vAlign w:val="center"/>
          </w:tcPr>
          <w:p w14:paraId="0ECFC5F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若服务器配备AI计算单元，提供训练脚本迁移工具</w:t>
            </w:r>
          </w:p>
        </w:tc>
        <w:tc>
          <w:tcPr>
            <w:tcW w:w="1350" w:type="dxa"/>
            <w:shd w:val="clear" w:color="auto" w:fill="FFFFFF"/>
            <w:vAlign w:val="center"/>
          </w:tcPr>
          <w:p w14:paraId="45CECDE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B74A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44" w:type="dxa"/>
            <w:shd w:val="clear" w:color="auto" w:fill="FFFFFF"/>
            <w:vAlign w:val="center"/>
          </w:tcPr>
          <w:p w14:paraId="4DDC32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45</w:t>
            </w:r>
          </w:p>
        </w:tc>
        <w:tc>
          <w:tcPr>
            <w:tcW w:w="990" w:type="dxa"/>
            <w:shd w:val="clear" w:color="auto" w:fill="FFFFFF"/>
            <w:vAlign w:val="center"/>
          </w:tcPr>
          <w:p w14:paraId="6D55D66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restart"/>
            <w:shd w:val="clear" w:color="auto" w:fill="FFFFFF"/>
            <w:vAlign w:val="center"/>
          </w:tcPr>
          <w:p w14:paraId="09F13EF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机柜规格</w:t>
            </w:r>
          </w:p>
        </w:tc>
        <w:tc>
          <w:tcPr>
            <w:tcW w:w="1221" w:type="dxa"/>
            <w:shd w:val="clear" w:color="auto" w:fill="FFFFFF"/>
            <w:vAlign w:val="center"/>
          </w:tcPr>
          <w:p w14:paraId="64E1133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★机柜尺寸</w:t>
            </w:r>
          </w:p>
        </w:tc>
        <w:tc>
          <w:tcPr>
            <w:tcW w:w="4269" w:type="dxa"/>
            <w:shd w:val="clear" w:color="auto" w:fill="FFFFFF"/>
            <w:vAlign w:val="center"/>
          </w:tcPr>
          <w:p w14:paraId="52C7F62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供应商给出长度、高度和深度</w:t>
            </w:r>
          </w:p>
        </w:tc>
        <w:tc>
          <w:tcPr>
            <w:tcW w:w="1350" w:type="dxa"/>
            <w:shd w:val="clear" w:color="auto" w:fill="FFFFFF"/>
            <w:vAlign w:val="center"/>
          </w:tcPr>
          <w:p w14:paraId="7E4C35D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BCF3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44" w:type="dxa"/>
            <w:shd w:val="clear" w:color="auto" w:fill="FFFFFF"/>
            <w:vAlign w:val="center"/>
          </w:tcPr>
          <w:p w14:paraId="57397CA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46</w:t>
            </w:r>
          </w:p>
        </w:tc>
        <w:tc>
          <w:tcPr>
            <w:tcW w:w="990" w:type="dxa"/>
            <w:shd w:val="clear" w:color="auto" w:fill="FFFFFF"/>
            <w:vAlign w:val="center"/>
          </w:tcPr>
          <w:p w14:paraId="00888F4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34524889">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2FDAF5E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机柜管理板</w:t>
            </w:r>
          </w:p>
        </w:tc>
        <w:tc>
          <w:tcPr>
            <w:tcW w:w="4269" w:type="dxa"/>
            <w:shd w:val="clear" w:color="auto" w:fill="FFFFFF"/>
            <w:vAlign w:val="center"/>
          </w:tcPr>
          <w:p w14:paraId="3DE68D5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配备机柜管理板</w:t>
            </w:r>
          </w:p>
        </w:tc>
        <w:tc>
          <w:tcPr>
            <w:tcW w:w="1350" w:type="dxa"/>
            <w:shd w:val="clear" w:color="auto" w:fill="FFFFFF"/>
            <w:vAlign w:val="center"/>
          </w:tcPr>
          <w:p w14:paraId="3516A3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D175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44" w:type="dxa"/>
            <w:shd w:val="clear" w:color="auto" w:fill="FFFFFF"/>
            <w:vAlign w:val="center"/>
          </w:tcPr>
          <w:p w14:paraId="19BB86C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47</w:t>
            </w:r>
          </w:p>
        </w:tc>
        <w:tc>
          <w:tcPr>
            <w:tcW w:w="990" w:type="dxa"/>
            <w:shd w:val="clear" w:color="auto" w:fill="FFFFFF"/>
            <w:vAlign w:val="center"/>
          </w:tcPr>
          <w:p w14:paraId="01E6F7F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75" w:type="dxa"/>
            <w:vMerge w:val="continue"/>
            <w:shd w:val="clear" w:color="auto" w:fill="FFFFFF"/>
            <w:vAlign w:val="center"/>
          </w:tcPr>
          <w:p w14:paraId="02AA9A3E">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08175FB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机柜电源规格</w:t>
            </w:r>
          </w:p>
        </w:tc>
        <w:tc>
          <w:tcPr>
            <w:tcW w:w="4269" w:type="dxa"/>
            <w:shd w:val="clear" w:color="auto" w:fill="FFFFFF"/>
            <w:vAlign w:val="center"/>
          </w:tcPr>
          <w:p w14:paraId="3077628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a）机柜电源支持集中供电，电源输入≥2路且支持自动切换；b）机柜电源模块支持N+1冗余配置，电源模块可独立更换</w:t>
            </w:r>
          </w:p>
        </w:tc>
        <w:tc>
          <w:tcPr>
            <w:tcW w:w="1350" w:type="dxa"/>
            <w:shd w:val="clear" w:color="auto" w:fill="FFFFFF"/>
            <w:vAlign w:val="center"/>
          </w:tcPr>
          <w:p w14:paraId="6C794DC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7534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7B47EC8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48</w:t>
            </w:r>
          </w:p>
        </w:tc>
        <w:tc>
          <w:tcPr>
            <w:tcW w:w="990" w:type="dxa"/>
            <w:shd w:val="clear" w:color="auto" w:fill="FFFFFF"/>
            <w:vAlign w:val="center"/>
          </w:tcPr>
          <w:p w14:paraId="0A9C722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75" w:type="dxa"/>
            <w:vMerge w:val="restart"/>
            <w:shd w:val="clear" w:color="auto" w:fill="FFFFFF"/>
            <w:vAlign w:val="center"/>
          </w:tcPr>
          <w:p w14:paraId="4E51029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主板功能</w:t>
            </w:r>
          </w:p>
        </w:tc>
        <w:tc>
          <w:tcPr>
            <w:tcW w:w="1221" w:type="dxa"/>
            <w:shd w:val="clear" w:color="auto" w:fill="FFFFFF"/>
            <w:vAlign w:val="center"/>
          </w:tcPr>
          <w:p w14:paraId="4F2B017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★主板外部接口种类</w:t>
            </w:r>
          </w:p>
        </w:tc>
        <w:tc>
          <w:tcPr>
            <w:tcW w:w="4269" w:type="dxa"/>
            <w:shd w:val="clear" w:color="auto" w:fill="FFFFFF"/>
            <w:vAlign w:val="center"/>
          </w:tcPr>
          <w:p w14:paraId="54A5673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支持USB、显示、管理等接口，如：VGA、DP、HDMI、USB3.0、PS/2接口、BMC管理端口</w:t>
            </w:r>
          </w:p>
        </w:tc>
        <w:tc>
          <w:tcPr>
            <w:tcW w:w="1350" w:type="dxa"/>
            <w:shd w:val="clear" w:color="auto" w:fill="FFFFFF"/>
            <w:vAlign w:val="center"/>
          </w:tcPr>
          <w:p w14:paraId="0B535EC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15F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13E3EC7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49</w:t>
            </w:r>
          </w:p>
        </w:tc>
        <w:tc>
          <w:tcPr>
            <w:tcW w:w="990" w:type="dxa"/>
            <w:shd w:val="clear" w:color="auto" w:fill="FFFFFF"/>
            <w:vAlign w:val="center"/>
          </w:tcPr>
          <w:p w14:paraId="7F7021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75" w:type="dxa"/>
            <w:vMerge w:val="continue"/>
            <w:shd w:val="clear" w:color="auto" w:fill="FFFFFF"/>
            <w:vAlign w:val="center"/>
          </w:tcPr>
          <w:p w14:paraId="6FA6AF62">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0B3AD3A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主板防烧板设计</w:t>
            </w:r>
          </w:p>
        </w:tc>
        <w:tc>
          <w:tcPr>
            <w:tcW w:w="4269" w:type="dxa"/>
            <w:shd w:val="clear" w:color="auto" w:fill="FFFFFF"/>
            <w:vAlign w:val="center"/>
          </w:tcPr>
          <w:p w14:paraId="207F2DC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支持主板防烧板设计，保证电源故障后不扩散</w:t>
            </w:r>
          </w:p>
        </w:tc>
        <w:tc>
          <w:tcPr>
            <w:tcW w:w="1350" w:type="dxa"/>
            <w:shd w:val="clear" w:color="auto" w:fill="FFFFFF"/>
            <w:vAlign w:val="center"/>
          </w:tcPr>
          <w:p w14:paraId="1D4E78E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E891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3E6F4DF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50</w:t>
            </w:r>
          </w:p>
        </w:tc>
        <w:tc>
          <w:tcPr>
            <w:tcW w:w="990" w:type="dxa"/>
            <w:shd w:val="clear" w:color="auto" w:fill="FFFFFF"/>
            <w:vAlign w:val="center"/>
          </w:tcPr>
          <w:p w14:paraId="1FB685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75" w:type="dxa"/>
            <w:vMerge w:val="continue"/>
            <w:shd w:val="clear" w:color="auto" w:fill="FFFFFF"/>
            <w:vAlign w:val="center"/>
          </w:tcPr>
          <w:p w14:paraId="554DBD20">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63BA2CE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扩展功能</w:t>
            </w:r>
          </w:p>
        </w:tc>
        <w:tc>
          <w:tcPr>
            <w:tcW w:w="4269" w:type="dxa"/>
            <w:shd w:val="clear" w:color="auto" w:fill="FFFFFF"/>
            <w:vAlign w:val="center"/>
          </w:tcPr>
          <w:p w14:paraId="372FF23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实现至少一种扩展功能，如存储功能卡、显示功能卡、运算加速功能卡及网络功能卡等扩展功能</w:t>
            </w:r>
          </w:p>
        </w:tc>
        <w:tc>
          <w:tcPr>
            <w:tcW w:w="1350" w:type="dxa"/>
            <w:shd w:val="clear" w:color="auto" w:fill="FFFFFF"/>
            <w:vAlign w:val="center"/>
          </w:tcPr>
          <w:p w14:paraId="346687A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47ED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0195DCA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51</w:t>
            </w:r>
          </w:p>
        </w:tc>
        <w:tc>
          <w:tcPr>
            <w:tcW w:w="990" w:type="dxa"/>
            <w:shd w:val="clear" w:color="auto" w:fill="FFFFFF"/>
            <w:vAlign w:val="center"/>
          </w:tcPr>
          <w:p w14:paraId="46B3871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75" w:type="dxa"/>
            <w:shd w:val="clear" w:color="auto" w:fill="FFFFFF"/>
            <w:vAlign w:val="center"/>
          </w:tcPr>
          <w:p w14:paraId="02EB359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网络功能</w:t>
            </w:r>
          </w:p>
        </w:tc>
        <w:tc>
          <w:tcPr>
            <w:tcW w:w="1221" w:type="dxa"/>
            <w:shd w:val="clear" w:color="auto" w:fill="FFFFFF"/>
            <w:vAlign w:val="center"/>
          </w:tcPr>
          <w:p w14:paraId="305BE41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★网络功能</w:t>
            </w:r>
          </w:p>
        </w:tc>
        <w:tc>
          <w:tcPr>
            <w:tcW w:w="4269" w:type="dxa"/>
            <w:shd w:val="clear" w:color="auto" w:fill="FFFFFF"/>
            <w:vAlign w:val="center"/>
          </w:tcPr>
          <w:p w14:paraId="467C990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支持网络连接、网络访问、数据交换和网络管控功能</w:t>
            </w:r>
          </w:p>
        </w:tc>
        <w:tc>
          <w:tcPr>
            <w:tcW w:w="1350" w:type="dxa"/>
            <w:shd w:val="clear" w:color="auto" w:fill="FFFFFF"/>
            <w:vAlign w:val="center"/>
          </w:tcPr>
          <w:p w14:paraId="267D56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54BB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44" w:type="dxa"/>
            <w:shd w:val="clear" w:color="auto" w:fill="FFFFFF"/>
            <w:vAlign w:val="center"/>
          </w:tcPr>
          <w:p w14:paraId="4C32EEB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52</w:t>
            </w:r>
          </w:p>
        </w:tc>
        <w:tc>
          <w:tcPr>
            <w:tcW w:w="990" w:type="dxa"/>
            <w:shd w:val="clear" w:color="auto" w:fill="FFFFFF"/>
            <w:vAlign w:val="center"/>
          </w:tcPr>
          <w:p w14:paraId="0671D0B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75" w:type="dxa"/>
            <w:vMerge w:val="restart"/>
            <w:shd w:val="clear" w:color="auto" w:fill="FFFFFF"/>
            <w:vAlign w:val="center"/>
          </w:tcPr>
          <w:p w14:paraId="7F2A57A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CPU功能</w:t>
            </w:r>
          </w:p>
        </w:tc>
        <w:tc>
          <w:tcPr>
            <w:tcW w:w="1221" w:type="dxa"/>
            <w:shd w:val="clear" w:color="auto" w:fill="FFFFFF"/>
            <w:vAlign w:val="center"/>
          </w:tcPr>
          <w:p w14:paraId="6A72FD3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★计算处理</w:t>
            </w:r>
          </w:p>
        </w:tc>
        <w:tc>
          <w:tcPr>
            <w:tcW w:w="4269" w:type="dxa"/>
            <w:shd w:val="clear" w:color="auto" w:fill="FFFFFF"/>
            <w:vAlign w:val="center"/>
          </w:tcPr>
          <w:p w14:paraId="5E7BE62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支持通用计算及虚拟化功能。处理器需集成整型计算单元、浮点计算单元、内存控制器、I/O模块等，处理器与存储部件、网络部件、I/O部件等组成计算系统，提供数据处理、网络接入等计算相关功能</w:t>
            </w:r>
          </w:p>
        </w:tc>
        <w:tc>
          <w:tcPr>
            <w:tcW w:w="1350" w:type="dxa"/>
            <w:shd w:val="clear" w:color="auto" w:fill="FFFFFF"/>
            <w:vAlign w:val="center"/>
          </w:tcPr>
          <w:p w14:paraId="3F2A88A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1238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085A3C9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53</w:t>
            </w:r>
          </w:p>
        </w:tc>
        <w:tc>
          <w:tcPr>
            <w:tcW w:w="990" w:type="dxa"/>
            <w:shd w:val="clear" w:color="auto" w:fill="FFFFFF"/>
            <w:vAlign w:val="center"/>
          </w:tcPr>
          <w:p w14:paraId="11CC32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75" w:type="dxa"/>
            <w:vMerge w:val="continue"/>
            <w:shd w:val="clear" w:color="auto" w:fill="FFFFFF"/>
            <w:vAlign w:val="center"/>
          </w:tcPr>
          <w:p w14:paraId="2E0E834C">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23039E8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★密码算法实现</w:t>
            </w:r>
          </w:p>
        </w:tc>
        <w:tc>
          <w:tcPr>
            <w:tcW w:w="4269" w:type="dxa"/>
            <w:shd w:val="clear" w:color="auto" w:fill="FFFFFF"/>
            <w:vAlign w:val="center"/>
          </w:tcPr>
          <w:p w14:paraId="6111746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CPU芯片应符合GM/T0008的相关规定，或芯片密码模块应符合GB/T37092或GM/T0028的相关规定</w:t>
            </w:r>
          </w:p>
        </w:tc>
        <w:tc>
          <w:tcPr>
            <w:tcW w:w="1350" w:type="dxa"/>
            <w:shd w:val="clear" w:color="auto" w:fill="FFFFFF"/>
            <w:vAlign w:val="center"/>
          </w:tcPr>
          <w:p w14:paraId="73F059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5815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44" w:type="dxa"/>
            <w:shd w:val="clear" w:color="auto" w:fill="FFFFFF"/>
            <w:vAlign w:val="center"/>
          </w:tcPr>
          <w:p w14:paraId="2C62E46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54</w:t>
            </w:r>
          </w:p>
        </w:tc>
        <w:tc>
          <w:tcPr>
            <w:tcW w:w="990" w:type="dxa"/>
            <w:shd w:val="clear" w:color="auto" w:fill="FFFFFF"/>
            <w:vAlign w:val="center"/>
          </w:tcPr>
          <w:p w14:paraId="759414C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75" w:type="dxa"/>
            <w:vMerge w:val="restart"/>
            <w:shd w:val="clear" w:color="auto" w:fill="FFFFFF"/>
            <w:vAlign w:val="center"/>
          </w:tcPr>
          <w:p w14:paraId="0F194DA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存储功能</w:t>
            </w:r>
          </w:p>
        </w:tc>
        <w:tc>
          <w:tcPr>
            <w:tcW w:w="1221" w:type="dxa"/>
            <w:shd w:val="clear" w:color="auto" w:fill="FFFFFF"/>
            <w:vAlign w:val="center"/>
          </w:tcPr>
          <w:p w14:paraId="40265A8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内存校验</w:t>
            </w:r>
          </w:p>
        </w:tc>
        <w:tc>
          <w:tcPr>
            <w:tcW w:w="4269" w:type="dxa"/>
            <w:shd w:val="clear" w:color="auto" w:fill="FFFFFF"/>
            <w:vAlign w:val="center"/>
          </w:tcPr>
          <w:p w14:paraId="67D0280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支持内存校验或内存增强型纠错功能</w:t>
            </w:r>
          </w:p>
        </w:tc>
        <w:tc>
          <w:tcPr>
            <w:tcW w:w="1350" w:type="dxa"/>
            <w:shd w:val="clear" w:color="auto" w:fill="FFFFFF"/>
            <w:vAlign w:val="center"/>
          </w:tcPr>
          <w:p w14:paraId="50D05AB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23D3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198774C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55</w:t>
            </w:r>
          </w:p>
        </w:tc>
        <w:tc>
          <w:tcPr>
            <w:tcW w:w="990" w:type="dxa"/>
            <w:shd w:val="clear" w:color="auto" w:fill="FFFFFF"/>
            <w:vAlign w:val="center"/>
          </w:tcPr>
          <w:p w14:paraId="5AE92CF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75" w:type="dxa"/>
            <w:vMerge w:val="continue"/>
            <w:shd w:val="clear" w:color="auto" w:fill="FFFFFF"/>
            <w:vAlign w:val="center"/>
          </w:tcPr>
          <w:p w14:paraId="776F70A3">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27E041D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SATASSDNAND健康状态上报</w:t>
            </w:r>
          </w:p>
        </w:tc>
        <w:tc>
          <w:tcPr>
            <w:tcW w:w="4269" w:type="dxa"/>
            <w:shd w:val="clear" w:color="auto" w:fill="FFFFFF"/>
            <w:vAlign w:val="center"/>
          </w:tcPr>
          <w:p w14:paraId="092C052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支持关键外部存储器（硬磁盘、SSD等）的健康状态上报并进行故障诊断</w:t>
            </w:r>
          </w:p>
        </w:tc>
        <w:tc>
          <w:tcPr>
            <w:tcW w:w="1350" w:type="dxa"/>
            <w:shd w:val="clear" w:color="auto" w:fill="FFFFFF"/>
            <w:vAlign w:val="center"/>
          </w:tcPr>
          <w:p w14:paraId="3C2195E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D3E6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44" w:type="dxa"/>
            <w:shd w:val="clear" w:color="auto" w:fill="FFFFFF"/>
            <w:vAlign w:val="center"/>
          </w:tcPr>
          <w:p w14:paraId="3AC4C4C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56</w:t>
            </w:r>
          </w:p>
        </w:tc>
        <w:tc>
          <w:tcPr>
            <w:tcW w:w="990" w:type="dxa"/>
            <w:shd w:val="clear" w:color="auto" w:fill="FFFFFF"/>
            <w:vAlign w:val="center"/>
          </w:tcPr>
          <w:p w14:paraId="2BC7F5C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75" w:type="dxa"/>
            <w:vMerge w:val="continue"/>
            <w:shd w:val="clear" w:color="auto" w:fill="FFFFFF"/>
            <w:vAlign w:val="center"/>
          </w:tcPr>
          <w:p w14:paraId="6288FF19">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5F88C55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SATASSD单die故障隔离</w:t>
            </w:r>
          </w:p>
        </w:tc>
        <w:tc>
          <w:tcPr>
            <w:tcW w:w="4269" w:type="dxa"/>
            <w:shd w:val="clear" w:color="auto" w:fill="FFFFFF"/>
            <w:vAlign w:val="center"/>
          </w:tcPr>
          <w:p w14:paraId="15774B7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支持SSD关键外部存储器中单存储晶元故障隔离</w:t>
            </w:r>
          </w:p>
        </w:tc>
        <w:tc>
          <w:tcPr>
            <w:tcW w:w="1350" w:type="dxa"/>
            <w:shd w:val="clear" w:color="auto" w:fill="FFFFFF"/>
            <w:vAlign w:val="center"/>
          </w:tcPr>
          <w:p w14:paraId="7FE7A6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AB9D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44" w:type="dxa"/>
            <w:shd w:val="clear" w:color="auto" w:fill="FFFFFF"/>
            <w:vAlign w:val="center"/>
          </w:tcPr>
          <w:p w14:paraId="0967E73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57</w:t>
            </w:r>
          </w:p>
        </w:tc>
        <w:tc>
          <w:tcPr>
            <w:tcW w:w="990" w:type="dxa"/>
            <w:shd w:val="clear" w:color="auto" w:fill="FFFFFF"/>
            <w:vAlign w:val="center"/>
          </w:tcPr>
          <w:p w14:paraId="2E46E5A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75" w:type="dxa"/>
            <w:vMerge w:val="restart"/>
            <w:shd w:val="clear" w:color="auto" w:fill="FFFFFF"/>
            <w:vAlign w:val="center"/>
          </w:tcPr>
          <w:p w14:paraId="0919F42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RAID卡功能</w:t>
            </w:r>
          </w:p>
        </w:tc>
        <w:tc>
          <w:tcPr>
            <w:tcW w:w="1221" w:type="dxa"/>
            <w:shd w:val="clear" w:color="auto" w:fill="FFFFFF"/>
            <w:vAlign w:val="center"/>
          </w:tcPr>
          <w:p w14:paraId="55DB2F5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RAID卡配置及RAID级别支持</w:t>
            </w:r>
          </w:p>
        </w:tc>
        <w:tc>
          <w:tcPr>
            <w:tcW w:w="4269" w:type="dxa"/>
            <w:shd w:val="clear" w:color="auto" w:fill="FFFFFF"/>
            <w:vAlign w:val="center"/>
          </w:tcPr>
          <w:p w14:paraId="165E00B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RAID模式支持RAID0/1/10/5；</w:t>
            </w:r>
          </w:p>
        </w:tc>
        <w:tc>
          <w:tcPr>
            <w:tcW w:w="1350" w:type="dxa"/>
            <w:shd w:val="clear" w:color="auto" w:fill="FFFFFF"/>
            <w:vAlign w:val="center"/>
          </w:tcPr>
          <w:p w14:paraId="6C24E16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A613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181FAF6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58</w:t>
            </w:r>
          </w:p>
        </w:tc>
        <w:tc>
          <w:tcPr>
            <w:tcW w:w="990" w:type="dxa"/>
            <w:shd w:val="clear" w:color="auto" w:fill="FFFFFF"/>
            <w:vAlign w:val="center"/>
          </w:tcPr>
          <w:p w14:paraId="5143AD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75" w:type="dxa"/>
            <w:vMerge w:val="continue"/>
            <w:shd w:val="clear" w:color="auto" w:fill="FFFFFF"/>
            <w:vAlign w:val="center"/>
          </w:tcPr>
          <w:p w14:paraId="4813C250">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4838ED1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RAID卡BBU单元</w:t>
            </w:r>
          </w:p>
        </w:tc>
        <w:tc>
          <w:tcPr>
            <w:tcW w:w="4269" w:type="dxa"/>
            <w:shd w:val="clear" w:color="auto" w:fill="FFFFFF"/>
            <w:vAlign w:val="center"/>
          </w:tcPr>
          <w:p w14:paraId="71F3BF3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RAID卡支持电池或电容备份单元</w:t>
            </w:r>
          </w:p>
        </w:tc>
        <w:tc>
          <w:tcPr>
            <w:tcW w:w="1350" w:type="dxa"/>
            <w:shd w:val="clear" w:color="auto" w:fill="FFFFFF"/>
            <w:vAlign w:val="center"/>
          </w:tcPr>
          <w:p w14:paraId="4EF846D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A56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44" w:type="dxa"/>
            <w:shd w:val="clear" w:color="auto" w:fill="FFFFFF"/>
            <w:vAlign w:val="center"/>
          </w:tcPr>
          <w:p w14:paraId="759E20A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59</w:t>
            </w:r>
          </w:p>
        </w:tc>
        <w:tc>
          <w:tcPr>
            <w:tcW w:w="990" w:type="dxa"/>
            <w:shd w:val="clear" w:color="auto" w:fill="FFFFFF"/>
            <w:vAlign w:val="center"/>
          </w:tcPr>
          <w:p w14:paraId="0813CEF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75" w:type="dxa"/>
            <w:shd w:val="clear" w:color="auto" w:fill="FFFFFF"/>
            <w:vAlign w:val="center"/>
          </w:tcPr>
          <w:p w14:paraId="2703B19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光驱功能</w:t>
            </w:r>
          </w:p>
        </w:tc>
        <w:tc>
          <w:tcPr>
            <w:tcW w:w="1221" w:type="dxa"/>
            <w:shd w:val="clear" w:color="auto" w:fill="FFFFFF"/>
            <w:vAlign w:val="center"/>
          </w:tcPr>
          <w:p w14:paraId="4812748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光驱类型（是否支持RW，以及光盘类型CD/DVD）</w:t>
            </w:r>
          </w:p>
        </w:tc>
        <w:tc>
          <w:tcPr>
            <w:tcW w:w="4269" w:type="dxa"/>
            <w:shd w:val="clear" w:color="auto" w:fill="FFFFFF"/>
            <w:vAlign w:val="center"/>
          </w:tcPr>
          <w:p w14:paraId="4EA4C4F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若配备光驱，应提供光驱的安装形式（如内置、外置）、光驱读写类型（如只读、可刻录等）、光盘类型的兼容列表（如CD-ROM、CD-RW、DVD±RW等）</w:t>
            </w:r>
          </w:p>
        </w:tc>
        <w:tc>
          <w:tcPr>
            <w:tcW w:w="1350" w:type="dxa"/>
            <w:shd w:val="clear" w:color="auto" w:fill="FFFFFF"/>
            <w:vAlign w:val="center"/>
          </w:tcPr>
          <w:p w14:paraId="5C95005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2DAD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2197A1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60</w:t>
            </w:r>
          </w:p>
        </w:tc>
        <w:tc>
          <w:tcPr>
            <w:tcW w:w="990" w:type="dxa"/>
            <w:shd w:val="clear" w:color="auto" w:fill="FFFFFF"/>
            <w:vAlign w:val="center"/>
          </w:tcPr>
          <w:p w14:paraId="181D12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75" w:type="dxa"/>
            <w:vMerge w:val="restart"/>
            <w:shd w:val="clear" w:color="auto" w:fill="FFFFFF"/>
            <w:vAlign w:val="center"/>
          </w:tcPr>
          <w:p w14:paraId="72C6F5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电源功能</w:t>
            </w:r>
          </w:p>
        </w:tc>
        <w:tc>
          <w:tcPr>
            <w:tcW w:w="1221" w:type="dxa"/>
            <w:shd w:val="clear" w:color="auto" w:fill="FFFFFF"/>
            <w:vAlign w:val="center"/>
          </w:tcPr>
          <w:p w14:paraId="6AA93A8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★电源热插拔</w:t>
            </w:r>
          </w:p>
        </w:tc>
        <w:tc>
          <w:tcPr>
            <w:tcW w:w="4269" w:type="dxa"/>
            <w:shd w:val="clear" w:color="auto" w:fill="FFFFFF"/>
            <w:vAlign w:val="center"/>
          </w:tcPr>
          <w:p w14:paraId="0B79414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整机电源模块应具备热插拔功能</w:t>
            </w:r>
          </w:p>
        </w:tc>
        <w:tc>
          <w:tcPr>
            <w:tcW w:w="1350" w:type="dxa"/>
            <w:shd w:val="clear" w:color="auto" w:fill="FFFFFF"/>
            <w:vAlign w:val="center"/>
          </w:tcPr>
          <w:p w14:paraId="33B43F6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B807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3370DE6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61</w:t>
            </w:r>
          </w:p>
        </w:tc>
        <w:tc>
          <w:tcPr>
            <w:tcW w:w="990" w:type="dxa"/>
            <w:shd w:val="clear" w:color="auto" w:fill="FFFFFF"/>
            <w:vAlign w:val="center"/>
          </w:tcPr>
          <w:p w14:paraId="110E33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75" w:type="dxa"/>
            <w:vMerge w:val="continue"/>
            <w:shd w:val="clear" w:color="auto" w:fill="FFFFFF"/>
            <w:vAlign w:val="center"/>
          </w:tcPr>
          <w:p w14:paraId="2749921B">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1C6D861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★电源过流保护</w:t>
            </w:r>
          </w:p>
        </w:tc>
        <w:tc>
          <w:tcPr>
            <w:tcW w:w="4269" w:type="dxa"/>
            <w:shd w:val="clear" w:color="auto" w:fill="FFFFFF"/>
            <w:vAlign w:val="center"/>
          </w:tcPr>
          <w:p w14:paraId="755D38E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支持过流及短路保护的功能</w:t>
            </w:r>
          </w:p>
        </w:tc>
        <w:tc>
          <w:tcPr>
            <w:tcW w:w="1350" w:type="dxa"/>
            <w:shd w:val="clear" w:color="auto" w:fill="FFFFFF"/>
            <w:vAlign w:val="center"/>
          </w:tcPr>
          <w:p w14:paraId="1FE61D7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F76D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44" w:type="dxa"/>
            <w:shd w:val="clear" w:color="auto" w:fill="FFFFFF"/>
            <w:vAlign w:val="center"/>
          </w:tcPr>
          <w:p w14:paraId="2488E08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62</w:t>
            </w:r>
          </w:p>
        </w:tc>
        <w:tc>
          <w:tcPr>
            <w:tcW w:w="990" w:type="dxa"/>
            <w:shd w:val="clear" w:color="auto" w:fill="FFFFFF"/>
            <w:vAlign w:val="center"/>
          </w:tcPr>
          <w:p w14:paraId="78E053E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75" w:type="dxa"/>
            <w:vMerge w:val="restart"/>
            <w:shd w:val="clear" w:color="auto" w:fill="FFFFFF"/>
            <w:vAlign w:val="center"/>
          </w:tcPr>
          <w:p w14:paraId="1A0D7DF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整机功能</w:t>
            </w:r>
          </w:p>
        </w:tc>
        <w:tc>
          <w:tcPr>
            <w:tcW w:w="1221" w:type="dxa"/>
            <w:shd w:val="clear" w:color="auto" w:fill="FFFFFF"/>
            <w:vAlign w:val="center"/>
          </w:tcPr>
          <w:p w14:paraId="5A0C93D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★散热方式</w:t>
            </w:r>
          </w:p>
        </w:tc>
        <w:tc>
          <w:tcPr>
            <w:tcW w:w="4269" w:type="dxa"/>
            <w:shd w:val="clear" w:color="auto" w:fill="FFFFFF"/>
            <w:vAlign w:val="center"/>
          </w:tcPr>
          <w:p w14:paraId="3DC764D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支持风冷或液冷等散热方式</w:t>
            </w:r>
          </w:p>
        </w:tc>
        <w:tc>
          <w:tcPr>
            <w:tcW w:w="1350" w:type="dxa"/>
            <w:shd w:val="clear" w:color="auto" w:fill="FFFFFF"/>
            <w:vAlign w:val="center"/>
          </w:tcPr>
          <w:p w14:paraId="5471D8A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1704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0B0285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63</w:t>
            </w:r>
          </w:p>
        </w:tc>
        <w:tc>
          <w:tcPr>
            <w:tcW w:w="990" w:type="dxa"/>
            <w:shd w:val="clear" w:color="auto" w:fill="FFFFFF"/>
            <w:vAlign w:val="center"/>
          </w:tcPr>
          <w:p w14:paraId="4D422A4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75" w:type="dxa"/>
            <w:vMerge w:val="continue"/>
            <w:shd w:val="clear" w:color="auto" w:fill="FFFFFF"/>
            <w:vAlign w:val="center"/>
          </w:tcPr>
          <w:p w14:paraId="3085694B">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5710CE2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其他功能</w:t>
            </w:r>
          </w:p>
        </w:tc>
        <w:tc>
          <w:tcPr>
            <w:tcW w:w="4269" w:type="dxa"/>
            <w:shd w:val="clear" w:color="auto" w:fill="FFFFFF"/>
            <w:vAlign w:val="center"/>
          </w:tcPr>
          <w:p w14:paraId="2BE8AB1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a）支持关键部件冗余（包括电源、风扇等）；b）支持熔断保护与恢复功能</w:t>
            </w:r>
          </w:p>
        </w:tc>
        <w:tc>
          <w:tcPr>
            <w:tcW w:w="1350" w:type="dxa"/>
            <w:shd w:val="clear" w:color="auto" w:fill="FFFFFF"/>
            <w:vAlign w:val="center"/>
          </w:tcPr>
          <w:p w14:paraId="46E7BE3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268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421" w:hRule="atLeast"/>
        </w:trPr>
        <w:tc>
          <w:tcPr>
            <w:tcW w:w="744" w:type="dxa"/>
            <w:shd w:val="clear" w:color="auto" w:fill="FFFFFF"/>
            <w:vAlign w:val="center"/>
          </w:tcPr>
          <w:p w14:paraId="71DEDB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64</w:t>
            </w:r>
          </w:p>
        </w:tc>
        <w:tc>
          <w:tcPr>
            <w:tcW w:w="990" w:type="dxa"/>
            <w:shd w:val="clear" w:color="auto" w:fill="FFFFFF"/>
            <w:vAlign w:val="center"/>
          </w:tcPr>
          <w:p w14:paraId="3418168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75" w:type="dxa"/>
            <w:shd w:val="clear" w:color="auto" w:fill="FFFFFF"/>
            <w:vAlign w:val="center"/>
          </w:tcPr>
          <w:p w14:paraId="1B58CA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管理系统功能</w:t>
            </w:r>
          </w:p>
        </w:tc>
        <w:tc>
          <w:tcPr>
            <w:tcW w:w="1221" w:type="dxa"/>
            <w:shd w:val="clear" w:color="auto" w:fill="FFFFFF"/>
            <w:vAlign w:val="center"/>
          </w:tcPr>
          <w:p w14:paraId="4763B55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★BMC固件基础功能</w:t>
            </w:r>
          </w:p>
        </w:tc>
        <w:tc>
          <w:tcPr>
            <w:tcW w:w="4269" w:type="dxa"/>
            <w:shd w:val="clear" w:color="auto" w:fill="FFFFFF"/>
            <w:vAlign w:val="center"/>
          </w:tcPr>
          <w:p w14:paraId="4A98773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支持DHCP设置网络功能；2）支持静态IP设置网络功能；3）支持设备日志记录，包括但不限于登录日志、操作日志和报警日志等功能；4）支持日志信息导出和记录删除功能；5）支持通过管理接口向外输出准确的报警信息功能；6）设备的BMC管理软件应能够按报警的严重程度进行区分；7）支持IPMI2.0、SNMP或Redfish等接口功能；8）支持键盘、鼠标和视频的重定向、文本控制台的重定向、远程虚拟媒体、高可靠的硬件监控和管理功能；9）支持基于网络开启、关闭和重启设备的功能，并查询当前设备开机运行状态；10）支持故障提示功能，并可通过接口读取服务器故障信息；11）支持基于网络的固件更新功能，包括BMC和BIOS等；12）支持基于网络安装操作系统的功能，并可通过网络控制台访问设备；13）支持通过本地的硬盘或光驱等存储设备，基于网络完成设备的操作系统安装功能；14）支持通过浏览器打开管理界面并登录功能；15）支持设置口令策略功能；16）支持访问权限设置功能，并通过日志记录访问事件；17）支持对出厂默认的用户名及口令进行安全保护功能，并提供默认口令修改提示；18）支持读取设备主板的工作环境温度功能；19）支持读取服务器CPU等核心器件的温度功能；20）支持通过外部管理工具进行BMC参数设置的功能，并可基于网络通过外部管理工具对BMC进行管理；21）应支持固件版本查询、固件升级22）支持基于网络实现开关机和复位控制的功能；23)BMC启动时间应不超过180s，实现功能包括网络、IPMI、散热、传感器服务可用；24）支持BMC固件设置的恢复出厂功能</w:t>
            </w:r>
          </w:p>
        </w:tc>
        <w:tc>
          <w:tcPr>
            <w:tcW w:w="1350" w:type="dxa"/>
            <w:shd w:val="clear" w:color="auto" w:fill="FFFFFF"/>
            <w:vAlign w:val="center"/>
          </w:tcPr>
          <w:p w14:paraId="5596891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6FE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744" w:type="dxa"/>
            <w:shd w:val="clear" w:color="auto" w:fill="FFFFFF"/>
            <w:vAlign w:val="center"/>
          </w:tcPr>
          <w:p w14:paraId="6B5B21C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65</w:t>
            </w:r>
          </w:p>
        </w:tc>
        <w:tc>
          <w:tcPr>
            <w:tcW w:w="990" w:type="dxa"/>
            <w:shd w:val="clear" w:color="auto" w:fill="FFFFFF"/>
            <w:vAlign w:val="center"/>
          </w:tcPr>
          <w:p w14:paraId="2584AA7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75" w:type="dxa"/>
            <w:vMerge w:val="restart"/>
            <w:shd w:val="clear" w:color="auto" w:fill="FFFFFF"/>
            <w:vAlign w:val="center"/>
          </w:tcPr>
          <w:p w14:paraId="546389EE">
            <w:pPr>
              <w:widowControl/>
              <w:jc w:val="center"/>
              <w:rPr>
                <w:rFonts w:asciiTheme="minorEastAsia" w:hAnsiTheme="minorEastAsia" w:eastAsiaTheme="minorEastAsia" w:cstheme="minorEastAsia"/>
                <w:kern w:val="0"/>
                <w:sz w:val="24"/>
              </w:rPr>
            </w:pPr>
          </w:p>
        </w:tc>
        <w:tc>
          <w:tcPr>
            <w:tcW w:w="1221" w:type="dxa"/>
            <w:shd w:val="clear" w:color="auto" w:fill="FFFFFF"/>
            <w:vAlign w:val="center"/>
          </w:tcPr>
          <w:p w14:paraId="4EEBBD2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BMC固件增强功能</w:t>
            </w:r>
          </w:p>
        </w:tc>
        <w:tc>
          <w:tcPr>
            <w:tcW w:w="4269" w:type="dxa"/>
            <w:shd w:val="clear" w:color="auto" w:fill="FFFFFF"/>
            <w:vAlign w:val="center"/>
          </w:tcPr>
          <w:p w14:paraId="0E9A131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a）网络控制、安装提供图形访问界面网络；b）设备的BMC管理软件界面显示报警信息，且能够按报警的严重程度进行区分；c）WebGUI采用BMC端口直连，平均响应时间为≤1s</w:t>
            </w:r>
          </w:p>
        </w:tc>
        <w:tc>
          <w:tcPr>
            <w:tcW w:w="1350" w:type="dxa"/>
            <w:shd w:val="clear" w:color="auto" w:fill="FFFFFF"/>
            <w:vAlign w:val="center"/>
          </w:tcPr>
          <w:p w14:paraId="2F94DD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5544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0" w:hRule="atLeast"/>
        </w:trPr>
        <w:tc>
          <w:tcPr>
            <w:tcW w:w="744" w:type="dxa"/>
            <w:shd w:val="clear" w:color="auto" w:fill="FFFFFF"/>
            <w:vAlign w:val="center"/>
          </w:tcPr>
          <w:p w14:paraId="3C71D0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66</w:t>
            </w:r>
          </w:p>
        </w:tc>
        <w:tc>
          <w:tcPr>
            <w:tcW w:w="990" w:type="dxa"/>
            <w:shd w:val="clear" w:color="auto" w:fill="FFFFFF"/>
            <w:vAlign w:val="center"/>
          </w:tcPr>
          <w:p w14:paraId="0335218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75" w:type="dxa"/>
            <w:vMerge w:val="continue"/>
            <w:shd w:val="clear" w:color="auto" w:fill="FFFFFF"/>
            <w:vAlign w:val="center"/>
          </w:tcPr>
          <w:p w14:paraId="7E697EC2">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4119212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★BIOS固件基础功能</w:t>
            </w:r>
          </w:p>
        </w:tc>
        <w:tc>
          <w:tcPr>
            <w:tcW w:w="4269" w:type="dxa"/>
            <w:shd w:val="clear" w:color="auto" w:fill="FFFFFF"/>
            <w:vAlign w:val="center"/>
          </w:tcPr>
          <w:p w14:paraId="1C5C8C9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查看固件版本、内存信息、主板信息、处理器信息和系统时间信息功能；b）支持上电初始化界面显示CPU信息、内存信息、固件版本和部分快捷键信息功能；c）支持设置界面中英文显示切换功能；d）支持查看PCIe设备信息，SATA设备信息功能；e）支持操作系统安装和引导功能，应并向操作系统提供计算机主板信息和服务接口；f）支持设置启动顺序，并按照设置的启动顺序启动功能；g）支持安全启动功能；h）支持设置口令、修改口令、验证口令功能；i）支持板载显示控制或独立显卡的显示控制功能；j）支持RAID识别和启动功能；k）支持串口重定向功能；l）支持固件更新功能；m）支持BIOS固件设置的恢复出厂功能；n）支持网络引导启用和关闭功能</w:t>
            </w:r>
          </w:p>
        </w:tc>
        <w:tc>
          <w:tcPr>
            <w:tcW w:w="1350" w:type="dxa"/>
            <w:shd w:val="clear" w:color="auto" w:fill="FFFFFF"/>
            <w:vAlign w:val="center"/>
          </w:tcPr>
          <w:p w14:paraId="6ACD518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1B75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44" w:type="dxa"/>
            <w:shd w:val="clear" w:color="auto" w:fill="FFFFFF"/>
            <w:vAlign w:val="center"/>
          </w:tcPr>
          <w:p w14:paraId="3BE125B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67</w:t>
            </w:r>
          </w:p>
        </w:tc>
        <w:tc>
          <w:tcPr>
            <w:tcW w:w="990" w:type="dxa"/>
            <w:shd w:val="clear" w:color="auto" w:fill="FFFFFF"/>
            <w:vAlign w:val="center"/>
          </w:tcPr>
          <w:p w14:paraId="53AC58A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75" w:type="dxa"/>
            <w:vMerge w:val="continue"/>
            <w:shd w:val="clear" w:color="auto" w:fill="FFFFFF"/>
            <w:vAlign w:val="center"/>
          </w:tcPr>
          <w:p w14:paraId="679E971D">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0AE2B6E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★远程控制</w:t>
            </w:r>
          </w:p>
        </w:tc>
        <w:tc>
          <w:tcPr>
            <w:tcW w:w="4269" w:type="dxa"/>
            <w:shd w:val="clear" w:color="auto" w:fill="FFFFFF"/>
            <w:vAlign w:val="center"/>
          </w:tcPr>
          <w:p w14:paraId="3567B34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支持远程关机和重新启动功能</w:t>
            </w:r>
          </w:p>
        </w:tc>
        <w:tc>
          <w:tcPr>
            <w:tcW w:w="1350" w:type="dxa"/>
            <w:shd w:val="clear" w:color="auto" w:fill="FFFFFF"/>
            <w:vAlign w:val="center"/>
          </w:tcPr>
          <w:p w14:paraId="352A479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E146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44" w:type="dxa"/>
            <w:shd w:val="clear" w:color="auto" w:fill="FFFFFF"/>
            <w:vAlign w:val="center"/>
          </w:tcPr>
          <w:p w14:paraId="0976AD2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68</w:t>
            </w:r>
          </w:p>
        </w:tc>
        <w:tc>
          <w:tcPr>
            <w:tcW w:w="990" w:type="dxa"/>
            <w:shd w:val="clear" w:color="auto" w:fill="FFFFFF"/>
            <w:vAlign w:val="center"/>
          </w:tcPr>
          <w:p w14:paraId="2787CF2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75" w:type="dxa"/>
            <w:vMerge w:val="restart"/>
            <w:shd w:val="clear" w:color="auto" w:fill="FFFFFF"/>
            <w:vAlign w:val="center"/>
          </w:tcPr>
          <w:p w14:paraId="36113E2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操作系统及驱动功能</w:t>
            </w:r>
          </w:p>
        </w:tc>
        <w:tc>
          <w:tcPr>
            <w:tcW w:w="1221" w:type="dxa"/>
            <w:shd w:val="clear" w:color="auto" w:fill="FFFFFF"/>
            <w:vAlign w:val="center"/>
          </w:tcPr>
          <w:p w14:paraId="510B680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★操作系统及驱动的升级</w:t>
            </w:r>
          </w:p>
        </w:tc>
        <w:tc>
          <w:tcPr>
            <w:tcW w:w="4269" w:type="dxa"/>
            <w:shd w:val="clear" w:color="auto" w:fill="FFFFFF"/>
            <w:vAlign w:val="center"/>
          </w:tcPr>
          <w:p w14:paraId="102C450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支持通过网络、闪存盘对操作系统、驱动进行升级</w:t>
            </w:r>
          </w:p>
        </w:tc>
        <w:tc>
          <w:tcPr>
            <w:tcW w:w="1350" w:type="dxa"/>
            <w:shd w:val="clear" w:color="auto" w:fill="FFFFFF"/>
            <w:vAlign w:val="center"/>
          </w:tcPr>
          <w:p w14:paraId="10105C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53C1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44" w:type="dxa"/>
            <w:shd w:val="clear" w:color="auto" w:fill="FFFFFF"/>
            <w:vAlign w:val="center"/>
          </w:tcPr>
          <w:p w14:paraId="0A371AF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69</w:t>
            </w:r>
          </w:p>
        </w:tc>
        <w:tc>
          <w:tcPr>
            <w:tcW w:w="990" w:type="dxa"/>
            <w:shd w:val="clear" w:color="auto" w:fill="FFFFFF"/>
            <w:vAlign w:val="center"/>
          </w:tcPr>
          <w:p w14:paraId="554DF5C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75" w:type="dxa"/>
            <w:vMerge w:val="continue"/>
            <w:shd w:val="clear" w:color="auto" w:fill="FFFFFF"/>
            <w:vAlign w:val="center"/>
          </w:tcPr>
          <w:p w14:paraId="0469280C">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0573F50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操作系统及驱动的备份还原</w:t>
            </w:r>
          </w:p>
        </w:tc>
        <w:tc>
          <w:tcPr>
            <w:tcW w:w="4269" w:type="dxa"/>
            <w:shd w:val="clear" w:color="auto" w:fill="FFFFFF"/>
            <w:vAlign w:val="center"/>
          </w:tcPr>
          <w:p w14:paraId="69E2E58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支持操作系统备份及还原功能</w:t>
            </w:r>
          </w:p>
        </w:tc>
        <w:tc>
          <w:tcPr>
            <w:tcW w:w="1350" w:type="dxa"/>
            <w:shd w:val="clear" w:color="auto" w:fill="FFFFFF"/>
            <w:vAlign w:val="center"/>
          </w:tcPr>
          <w:p w14:paraId="03DB09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27EB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6F9933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70</w:t>
            </w:r>
          </w:p>
        </w:tc>
        <w:tc>
          <w:tcPr>
            <w:tcW w:w="990" w:type="dxa"/>
            <w:shd w:val="clear" w:color="auto" w:fill="FFFFFF"/>
            <w:vAlign w:val="center"/>
          </w:tcPr>
          <w:p w14:paraId="2770A4A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75" w:type="dxa"/>
            <w:vMerge w:val="continue"/>
            <w:shd w:val="clear" w:color="auto" w:fill="FFFFFF"/>
            <w:vAlign w:val="center"/>
          </w:tcPr>
          <w:p w14:paraId="2BC3C6E3">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31B1370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★操作系统功能</w:t>
            </w:r>
          </w:p>
        </w:tc>
        <w:tc>
          <w:tcPr>
            <w:tcW w:w="4269" w:type="dxa"/>
            <w:shd w:val="clear" w:color="auto" w:fill="FFFFFF"/>
            <w:vAlign w:val="center"/>
          </w:tcPr>
          <w:p w14:paraId="284A89A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a）支持访问控制、安全审计、网络接入鉴别等功能；b）操作系统其他功能应满足操作系统政府采购需求标准中加*的指标要求</w:t>
            </w:r>
          </w:p>
        </w:tc>
        <w:tc>
          <w:tcPr>
            <w:tcW w:w="1350" w:type="dxa"/>
            <w:shd w:val="clear" w:color="auto" w:fill="FFFFFF"/>
            <w:vAlign w:val="center"/>
          </w:tcPr>
          <w:p w14:paraId="321C705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A26A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52B7FF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71</w:t>
            </w:r>
          </w:p>
        </w:tc>
        <w:tc>
          <w:tcPr>
            <w:tcW w:w="990" w:type="dxa"/>
            <w:shd w:val="clear" w:color="auto" w:fill="FFFFFF"/>
            <w:vAlign w:val="center"/>
          </w:tcPr>
          <w:p w14:paraId="50BBB79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75" w:type="dxa"/>
            <w:shd w:val="clear" w:color="auto" w:fill="FFFFFF"/>
            <w:vAlign w:val="center"/>
          </w:tcPr>
          <w:p w14:paraId="4E5A870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中文信息处理功能</w:t>
            </w:r>
          </w:p>
        </w:tc>
        <w:tc>
          <w:tcPr>
            <w:tcW w:w="1221" w:type="dxa"/>
            <w:shd w:val="clear" w:color="auto" w:fill="FFFFFF"/>
            <w:vAlign w:val="center"/>
          </w:tcPr>
          <w:p w14:paraId="2F556F1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★中文信息处理</w:t>
            </w:r>
          </w:p>
        </w:tc>
        <w:tc>
          <w:tcPr>
            <w:tcW w:w="4269" w:type="dxa"/>
            <w:shd w:val="clear" w:color="auto" w:fill="FFFFFF"/>
            <w:vAlign w:val="center"/>
          </w:tcPr>
          <w:p w14:paraId="00F41B9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符合GB18030的有关规定</w:t>
            </w:r>
          </w:p>
        </w:tc>
        <w:tc>
          <w:tcPr>
            <w:tcW w:w="1350" w:type="dxa"/>
            <w:shd w:val="clear" w:color="auto" w:fill="FFFFFF"/>
            <w:vAlign w:val="center"/>
          </w:tcPr>
          <w:p w14:paraId="69CB6C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2426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2B768A4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72</w:t>
            </w:r>
          </w:p>
        </w:tc>
        <w:tc>
          <w:tcPr>
            <w:tcW w:w="990" w:type="dxa"/>
            <w:shd w:val="clear" w:color="auto" w:fill="FFFFFF"/>
            <w:vAlign w:val="center"/>
          </w:tcPr>
          <w:p w14:paraId="70AC54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75" w:type="dxa"/>
            <w:vMerge w:val="restart"/>
            <w:shd w:val="clear" w:color="auto" w:fill="FFFFFF"/>
            <w:vAlign w:val="center"/>
          </w:tcPr>
          <w:p w14:paraId="1B9EB39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机柜功能</w:t>
            </w:r>
          </w:p>
        </w:tc>
        <w:tc>
          <w:tcPr>
            <w:tcW w:w="1221" w:type="dxa"/>
            <w:shd w:val="clear" w:color="auto" w:fill="FFFFFF"/>
            <w:vAlign w:val="center"/>
          </w:tcPr>
          <w:p w14:paraId="69A2650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机柜管理功能</w:t>
            </w:r>
          </w:p>
        </w:tc>
        <w:tc>
          <w:tcPr>
            <w:tcW w:w="4269" w:type="dxa"/>
            <w:shd w:val="clear" w:color="auto" w:fill="FFFFFF"/>
            <w:vAlign w:val="center"/>
          </w:tcPr>
          <w:p w14:paraId="3051294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机柜管理系统包括服务器节点BMC管理系统、机柜管理系统或交换节点管理系统</w:t>
            </w:r>
          </w:p>
        </w:tc>
        <w:tc>
          <w:tcPr>
            <w:tcW w:w="1350" w:type="dxa"/>
            <w:shd w:val="clear" w:color="auto" w:fill="FFFFFF"/>
            <w:vAlign w:val="center"/>
          </w:tcPr>
          <w:p w14:paraId="235B6B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586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6842ED4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73</w:t>
            </w:r>
          </w:p>
        </w:tc>
        <w:tc>
          <w:tcPr>
            <w:tcW w:w="990" w:type="dxa"/>
            <w:shd w:val="clear" w:color="auto" w:fill="FFFFFF"/>
            <w:vAlign w:val="center"/>
          </w:tcPr>
          <w:p w14:paraId="3D3FEE1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75" w:type="dxa"/>
            <w:vMerge w:val="continue"/>
            <w:shd w:val="clear" w:color="auto" w:fill="FFFFFF"/>
            <w:vAlign w:val="center"/>
          </w:tcPr>
          <w:p w14:paraId="68AF52FB">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6058D8D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机柜通信方式</w:t>
            </w:r>
          </w:p>
        </w:tc>
        <w:tc>
          <w:tcPr>
            <w:tcW w:w="4269" w:type="dxa"/>
            <w:shd w:val="clear" w:color="auto" w:fill="FFFFFF"/>
            <w:vAlign w:val="center"/>
          </w:tcPr>
          <w:p w14:paraId="6658D85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若配备机柜管理板可实现包括：资产管理、电源模块、功耗管理和液冷漏液检测等功能</w:t>
            </w:r>
          </w:p>
        </w:tc>
        <w:tc>
          <w:tcPr>
            <w:tcW w:w="1350" w:type="dxa"/>
            <w:shd w:val="clear" w:color="auto" w:fill="FFFFFF"/>
            <w:vAlign w:val="center"/>
          </w:tcPr>
          <w:p w14:paraId="4EA7140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CF76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02B9484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74</w:t>
            </w:r>
          </w:p>
        </w:tc>
        <w:tc>
          <w:tcPr>
            <w:tcW w:w="990" w:type="dxa"/>
            <w:shd w:val="clear" w:color="auto" w:fill="FFFFFF"/>
            <w:vAlign w:val="center"/>
          </w:tcPr>
          <w:p w14:paraId="31A046E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75" w:type="dxa"/>
            <w:vMerge w:val="continue"/>
            <w:shd w:val="clear" w:color="auto" w:fill="FFFFFF"/>
            <w:vAlign w:val="center"/>
          </w:tcPr>
          <w:p w14:paraId="32F4E63E">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58CD26D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多集群作业管理</w:t>
            </w:r>
          </w:p>
        </w:tc>
        <w:tc>
          <w:tcPr>
            <w:tcW w:w="4269" w:type="dxa"/>
            <w:shd w:val="clear" w:color="auto" w:fill="FFFFFF"/>
            <w:vAlign w:val="center"/>
          </w:tcPr>
          <w:p w14:paraId="6DC875D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支持多集群作业管理功能</w:t>
            </w:r>
          </w:p>
        </w:tc>
        <w:tc>
          <w:tcPr>
            <w:tcW w:w="1350" w:type="dxa"/>
            <w:shd w:val="clear" w:color="auto" w:fill="FFFFFF"/>
            <w:vAlign w:val="center"/>
          </w:tcPr>
          <w:p w14:paraId="0D029DC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EAB9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5023BEC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75</w:t>
            </w:r>
          </w:p>
        </w:tc>
        <w:tc>
          <w:tcPr>
            <w:tcW w:w="990" w:type="dxa"/>
            <w:shd w:val="clear" w:color="auto" w:fill="FFFFFF"/>
            <w:vAlign w:val="center"/>
          </w:tcPr>
          <w:p w14:paraId="5EE5ABE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75" w:type="dxa"/>
            <w:shd w:val="clear" w:color="auto" w:fill="FFFFFF"/>
            <w:vAlign w:val="center"/>
          </w:tcPr>
          <w:p w14:paraId="67E090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关键部件安全要求</w:t>
            </w:r>
          </w:p>
        </w:tc>
        <w:tc>
          <w:tcPr>
            <w:tcW w:w="1221" w:type="dxa"/>
            <w:shd w:val="clear" w:color="auto" w:fill="FFFFFF"/>
            <w:vAlign w:val="center"/>
          </w:tcPr>
          <w:p w14:paraId="22F0DC8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★关键部件安全要求</w:t>
            </w:r>
          </w:p>
        </w:tc>
        <w:tc>
          <w:tcPr>
            <w:tcW w:w="4269" w:type="dxa"/>
            <w:shd w:val="clear" w:color="auto" w:fill="FFFFFF"/>
            <w:vAlign w:val="center"/>
          </w:tcPr>
          <w:p w14:paraId="3CBEFA3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CPU和操作系统等关键部件应当符合安全可靠测评要求</w:t>
            </w:r>
          </w:p>
        </w:tc>
        <w:tc>
          <w:tcPr>
            <w:tcW w:w="1350" w:type="dxa"/>
            <w:shd w:val="clear" w:color="auto" w:fill="FFFFFF"/>
            <w:vAlign w:val="center"/>
          </w:tcPr>
          <w:p w14:paraId="397C93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5A14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006F446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76</w:t>
            </w:r>
          </w:p>
        </w:tc>
        <w:tc>
          <w:tcPr>
            <w:tcW w:w="990" w:type="dxa"/>
            <w:shd w:val="clear" w:color="auto" w:fill="FFFFFF"/>
            <w:vAlign w:val="center"/>
          </w:tcPr>
          <w:p w14:paraId="6ACAFBF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75" w:type="dxa"/>
            <w:vMerge w:val="restart"/>
            <w:shd w:val="clear" w:color="auto" w:fill="FFFFFF"/>
            <w:vAlign w:val="center"/>
          </w:tcPr>
          <w:p w14:paraId="309EA41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固件安全要求</w:t>
            </w:r>
          </w:p>
        </w:tc>
        <w:tc>
          <w:tcPr>
            <w:tcW w:w="1221" w:type="dxa"/>
            <w:shd w:val="clear" w:color="auto" w:fill="FFFFFF"/>
            <w:vAlign w:val="center"/>
          </w:tcPr>
          <w:p w14:paraId="4EA4E4C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★故障检测</w:t>
            </w:r>
          </w:p>
        </w:tc>
        <w:tc>
          <w:tcPr>
            <w:tcW w:w="4269" w:type="dxa"/>
            <w:shd w:val="clear" w:color="auto" w:fill="FFFFFF"/>
            <w:vAlign w:val="center"/>
          </w:tcPr>
          <w:p w14:paraId="6C9F224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支持故障检测功能，可以检测到具体的FRU（内存、硬盘等）的故障并发出告警</w:t>
            </w:r>
          </w:p>
        </w:tc>
        <w:tc>
          <w:tcPr>
            <w:tcW w:w="1350" w:type="dxa"/>
            <w:shd w:val="clear" w:color="auto" w:fill="FFFFFF"/>
            <w:vAlign w:val="center"/>
          </w:tcPr>
          <w:p w14:paraId="1484152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68C6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27268C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77</w:t>
            </w:r>
          </w:p>
        </w:tc>
        <w:tc>
          <w:tcPr>
            <w:tcW w:w="990" w:type="dxa"/>
            <w:shd w:val="clear" w:color="auto" w:fill="FFFFFF"/>
            <w:vAlign w:val="center"/>
          </w:tcPr>
          <w:p w14:paraId="38DE19F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75" w:type="dxa"/>
            <w:vMerge w:val="continue"/>
            <w:shd w:val="clear" w:color="auto" w:fill="FFFFFF"/>
            <w:vAlign w:val="center"/>
          </w:tcPr>
          <w:p w14:paraId="5E0F7BFC">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22CE4FC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内存故障智能预测和自愈修复</w:t>
            </w:r>
          </w:p>
        </w:tc>
        <w:tc>
          <w:tcPr>
            <w:tcW w:w="4269" w:type="dxa"/>
            <w:shd w:val="clear" w:color="auto" w:fill="FFFFFF"/>
            <w:vAlign w:val="center"/>
          </w:tcPr>
          <w:p w14:paraId="3E61243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支持内存故障智能预测和自愈修复，提前自动硬隔离，避免内存故障引起的非预期宕机以及内存寿命的降低</w:t>
            </w:r>
          </w:p>
        </w:tc>
        <w:tc>
          <w:tcPr>
            <w:tcW w:w="1350" w:type="dxa"/>
            <w:shd w:val="clear" w:color="auto" w:fill="FFFFFF"/>
            <w:vAlign w:val="center"/>
          </w:tcPr>
          <w:p w14:paraId="42E062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94BB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4A137B7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78</w:t>
            </w:r>
          </w:p>
        </w:tc>
        <w:tc>
          <w:tcPr>
            <w:tcW w:w="990" w:type="dxa"/>
            <w:shd w:val="clear" w:color="auto" w:fill="FFFFFF"/>
            <w:vAlign w:val="center"/>
          </w:tcPr>
          <w:p w14:paraId="69FFA16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75" w:type="dxa"/>
            <w:vMerge w:val="continue"/>
            <w:shd w:val="clear" w:color="auto" w:fill="FFFFFF"/>
            <w:vAlign w:val="center"/>
          </w:tcPr>
          <w:p w14:paraId="70B2CD07">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02581B3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硬盘故障智能预测</w:t>
            </w:r>
          </w:p>
        </w:tc>
        <w:tc>
          <w:tcPr>
            <w:tcW w:w="4269" w:type="dxa"/>
            <w:shd w:val="clear" w:color="auto" w:fill="FFFFFF"/>
            <w:vAlign w:val="center"/>
          </w:tcPr>
          <w:p w14:paraId="08581DA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支持硬盘故障智能预测，基于故障模型预测出硬盘的故障</w:t>
            </w:r>
          </w:p>
        </w:tc>
        <w:tc>
          <w:tcPr>
            <w:tcW w:w="1350" w:type="dxa"/>
            <w:shd w:val="clear" w:color="auto" w:fill="FFFFFF"/>
            <w:vAlign w:val="center"/>
          </w:tcPr>
          <w:p w14:paraId="6F9012B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9F0A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2532926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79</w:t>
            </w:r>
          </w:p>
        </w:tc>
        <w:tc>
          <w:tcPr>
            <w:tcW w:w="990" w:type="dxa"/>
            <w:shd w:val="clear" w:color="auto" w:fill="FFFFFF"/>
            <w:vAlign w:val="center"/>
          </w:tcPr>
          <w:p w14:paraId="4BD798E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75" w:type="dxa"/>
            <w:vMerge w:val="continue"/>
            <w:shd w:val="clear" w:color="auto" w:fill="FFFFFF"/>
            <w:vAlign w:val="center"/>
          </w:tcPr>
          <w:p w14:paraId="0A809C6F">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0B1F74C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PCIe链路故障智能诊断</w:t>
            </w:r>
          </w:p>
        </w:tc>
        <w:tc>
          <w:tcPr>
            <w:tcW w:w="4269" w:type="dxa"/>
            <w:shd w:val="clear" w:color="auto" w:fill="FFFFFF"/>
            <w:vAlign w:val="center"/>
          </w:tcPr>
          <w:p w14:paraId="7217D13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支持PCIe链路故障智能诊断，判断出现故障的PCIe链路</w:t>
            </w:r>
          </w:p>
        </w:tc>
        <w:tc>
          <w:tcPr>
            <w:tcW w:w="1350" w:type="dxa"/>
            <w:shd w:val="clear" w:color="auto" w:fill="FFFFFF"/>
            <w:vAlign w:val="center"/>
          </w:tcPr>
          <w:p w14:paraId="03DBFA7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8E56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3154CC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80</w:t>
            </w:r>
          </w:p>
        </w:tc>
        <w:tc>
          <w:tcPr>
            <w:tcW w:w="990" w:type="dxa"/>
            <w:shd w:val="clear" w:color="auto" w:fill="FFFFFF"/>
            <w:vAlign w:val="center"/>
          </w:tcPr>
          <w:p w14:paraId="7AB39BB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75" w:type="dxa"/>
            <w:vMerge w:val="continue"/>
            <w:shd w:val="clear" w:color="auto" w:fill="FFFFFF"/>
            <w:vAlign w:val="center"/>
          </w:tcPr>
          <w:p w14:paraId="0F98CD51">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190517E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内存故障隔离</w:t>
            </w:r>
          </w:p>
        </w:tc>
        <w:tc>
          <w:tcPr>
            <w:tcW w:w="4269" w:type="dxa"/>
            <w:shd w:val="clear" w:color="auto" w:fill="FFFFFF"/>
            <w:vAlign w:val="center"/>
          </w:tcPr>
          <w:p w14:paraId="665962D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支持内存故障隔离，在内存产生CE故障时，内存地址被隔离成功，服务器正常运行，业务系统不中断</w:t>
            </w:r>
          </w:p>
        </w:tc>
        <w:tc>
          <w:tcPr>
            <w:tcW w:w="1350" w:type="dxa"/>
            <w:shd w:val="clear" w:color="auto" w:fill="FFFFFF"/>
            <w:vAlign w:val="center"/>
          </w:tcPr>
          <w:p w14:paraId="7AA3DC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DC7C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44" w:type="dxa"/>
            <w:shd w:val="clear" w:color="auto" w:fill="FFFFFF"/>
            <w:vAlign w:val="center"/>
          </w:tcPr>
          <w:p w14:paraId="0B820D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81</w:t>
            </w:r>
          </w:p>
        </w:tc>
        <w:tc>
          <w:tcPr>
            <w:tcW w:w="990" w:type="dxa"/>
            <w:shd w:val="clear" w:color="auto" w:fill="FFFFFF"/>
            <w:vAlign w:val="center"/>
          </w:tcPr>
          <w:p w14:paraId="6CB5C22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75" w:type="dxa"/>
            <w:vMerge w:val="continue"/>
            <w:shd w:val="clear" w:color="auto" w:fill="FFFFFF"/>
            <w:vAlign w:val="center"/>
          </w:tcPr>
          <w:p w14:paraId="3089B935">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02AA53E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内存、PCIe卡的故障精准告警功能</w:t>
            </w:r>
          </w:p>
        </w:tc>
        <w:tc>
          <w:tcPr>
            <w:tcW w:w="4269" w:type="dxa"/>
            <w:shd w:val="clear" w:color="auto" w:fill="FFFFFF"/>
            <w:vAlign w:val="center"/>
          </w:tcPr>
          <w:p w14:paraId="2DD9A83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支持内存、PCIe卡的故障精准告警功能，触发告警并明确指示具体的故障位置</w:t>
            </w:r>
          </w:p>
        </w:tc>
        <w:tc>
          <w:tcPr>
            <w:tcW w:w="1350" w:type="dxa"/>
            <w:shd w:val="clear" w:color="auto" w:fill="FFFFFF"/>
            <w:vAlign w:val="center"/>
          </w:tcPr>
          <w:p w14:paraId="2DDE557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E584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70B9298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82</w:t>
            </w:r>
          </w:p>
        </w:tc>
        <w:tc>
          <w:tcPr>
            <w:tcW w:w="990" w:type="dxa"/>
            <w:shd w:val="clear" w:color="auto" w:fill="FFFFFF"/>
            <w:vAlign w:val="center"/>
          </w:tcPr>
          <w:p w14:paraId="48B86DB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75" w:type="dxa"/>
            <w:vMerge w:val="continue"/>
            <w:shd w:val="clear" w:color="auto" w:fill="FFFFFF"/>
            <w:vAlign w:val="center"/>
          </w:tcPr>
          <w:p w14:paraId="562B2504">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371E97D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异常下电关键数据保护</w:t>
            </w:r>
          </w:p>
        </w:tc>
        <w:tc>
          <w:tcPr>
            <w:tcW w:w="4269" w:type="dxa"/>
            <w:shd w:val="clear" w:color="auto" w:fill="FFFFFF"/>
            <w:vAlign w:val="center"/>
          </w:tcPr>
          <w:p w14:paraId="52B3C3F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支持异常掉电关键数据保护，支持数据备份恢复机制，防止系统异常掉电导致的数据文件丢失</w:t>
            </w:r>
          </w:p>
        </w:tc>
        <w:tc>
          <w:tcPr>
            <w:tcW w:w="1350" w:type="dxa"/>
            <w:shd w:val="clear" w:color="auto" w:fill="FFFFFF"/>
            <w:vAlign w:val="center"/>
          </w:tcPr>
          <w:p w14:paraId="130BD1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0670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573695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83</w:t>
            </w:r>
          </w:p>
        </w:tc>
        <w:tc>
          <w:tcPr>
            <w:tcW w:w="990" w:type="dxa"/>
            <w:shd w:val="clear" w:color="auto" w:fill="FFFFFF"/>
            <w:vAlign w:val="center"/>
          </w:tcPr>
          <w:p w14:paraId="0914DE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75" w:type="dxa"/>
            <w:vMerge w:val="continue"/>
            <w:shd w:val="clear" w:color="auto" w:fill="FFFFFF"/>
            <w:vAlign w:val="center"/>
          </w:tcPr>
          <w:p w14:paraId="0DF862CC">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5C63F42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BMC/BIOS固件双镜像保护</w:t>
            </w:r>
          </w:p>
        </w:tc>
        <w:tc>
          <w:tcPr>
            <w:tcW w:w="4269" w:type="dxa"/>
            <w:shd w:val="clear" w:color="auto" w:fill="FFFFFF"/>
            <w:vAlign w:val="center"/>
          </w:tcPr>
          <w:p w14:paraId="6D7E014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支持BMC/BIOS固件双镜像保护，运行异常时自动切换到备份镜像运行，提升系统稳定性</w:t>
            </w:r>
          </w:p>
        </w:tc>
        <w:tc>
          <w:tcPr>
            <w:tcW w:w="1350" w:type="dxa"/>
            <w:shd w:val="clear" w:color="auto" w:fill="FFFFFF"/>
            <w:vAlign w:val="center"/>
          </w:tcPr>
          <w:p w14:paraId="76E093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B47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3CB460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84</w:t>
            </w:r>
          </w:p>
        </w:tc>
        <w:tc>
          <w:tcPr>
            <w:tcW w:w="990" w:type="dxa"/>
            <w:shd w:val="clear" w:color="auto" w:fill="FFFFFF"/>
            <w:vAlign w:val="center"/>
          </w:tcPr>
          <w:p w14:paraId="3082341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75" w:type="dxa"/>
            <w:vMerge w:val="continue"/>
            <w:shd w:val="clear" w:color="auto" w:fill="FFFFFF"/>
            <w:vAlign w:val="center"/>
          </w:tcPr>
          <w:p w14:paraId="3612BA44">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4B3E5FA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CPU核重启隔离</w:t>
            </w:r>
          </w:p>
        </w:tc>
        <w:tc>
          <w:tcPr>
            <w:tcW w:w="4269" w:type="dxa"/>
            <w:shd w:val="clear" w:color="auto" w:fill="FFFFFF"/>
            <w:vAlign w:val="center"/>
          </w:tcPr>
          <w:p w14:paraId="7F8CE16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支持CPU核发生不可纠正故障后，重启后由BIOS隔离该故障核，OS不可见，防止OS再次使用导致系统异常，核0除外</w:t>
            </w:r>
          </w:p>
        </w:tc>
        <w:tc>
          <w:tcPr>
            <w:tcW w:w="1350" w:type="dxa"/>
            <w:shd w:val="clear" w:color="auto" w:fill="FFFFFF"/>
            <w:vAlign w:val="center"/>
          </w:tcPr>
          <w:p w14:paraId="593A6BF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85D5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41700C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85</w:t>
            </w:r>
          </w:p>
        </w:tc>
        <w:tc>
          <w:tcPr>
            <w:tcW w:w="990" w:type="dxa"/>
            <w:shd w:val="clear" w:color="auto" w:fill="FFFFFF"/>
            <w:vAlign w:val="center"/>
          </w:tcPr>
          <w:p w14:paraId="1EC631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75" w:type="dxa"/>
            <w:vMerge w:val="continue"/>
            <w:shd w:val="clear" w:color="auto" w:fill="FFFFFF"/>
            <w:vAlign w:val="center"/>
          </w:tcPr>
          <w:p w14:paraId="33C810B0">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7A7ED3A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内存地址隔离</w:t>
            </w:r>
          </w:p>
        </w:tc>
        <w:tc>
          <w:tcPr>
            <w:tcW w:w="4269" w:type="dxa"/>
            <w:shd w:val="clear" w:color="auto" w:fill="FFFFFF"/>
            <w:vAlign w:val="center"/>
          </w:tcPr>
          <w:p w14:paraId="5A73BD9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在硬件支持的情况下，支持故障内存地址重启后隔离</w:t>
            </w:r>
          </w:p>
        </w:tc>
        <w:tc>
          <w:tcPr>
            <w:tcW w:w="1350" w:type="dxa"/>
            <w:shd w:val="clear" w:color="auto" w:fill="FFFFFF"/>
            <w:vAlign w:val="center"/>
          </w:tcPr>
          <w:p w14:paraId="251A5F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3024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34CBF7B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86</w:t>
            </w:r>
          </w:p>
        </w:tc>
        <w:tc>
          <w:tcPr>
            <w:tcW w:w="990" w:type="dxa"/>
            <w:shd w:val="clear" w:color="auto" w:fill="FFFFFF"/>
            <w:vAlign w:val="center"/>
          </w:tcPr>
          <w:p w14:paraId="70FEA9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75" w:type="dxa"/>
            <w:vMerge w:val="continue"/>
            <w:shd w:val="clear" w:color="auto" w:fill="FFFFFF"/>
            <w:vAlign w:val="center"/>
          </w:tcPr>
          <w:p w14:paraId="722A1703">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372824C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内存存储阵列替换</w:t>
            </w:r>
          </w:p>
        </w:tc>
        <w:tc>
          <w:tcPr>
            <w:tcW w:w="4269" w:type="dxa"/>
            <w:shd w:val="clear" w:color="auto" w:fill="FFFFFF"/>
            <w:vAlign w:val="center"/>
          </w:tcPr>
          <w:p w14:paraId="7D5C160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在硬件支持的情况下，支持故障内存存储阵列替换</w:t>
            </w:r>
          </w:p>
        </w:tc>
        <w:tc>
          <w:tcPr>
            <w:tcW w:w="1350" w:type="dxa"/>
            <w:shd w:val="clear" w:color="auto" w:fill="FFFFFF"/>
            <w:vAlign w:val="center"/>
          </w:tcPr>
          <w:p w14:paraId="3FB3A1C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733C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1DF94EB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87</w:t>
            </w:r>
          </w:p>
        </w:tc>
        <w:tc>
          <w:tcPr>
            <w:tcW w:w="990" w:type="dxa"/>
            <w:shd w:val="clear" w:color="auto" w:fill="FFFFFF"/>
            <w:vAlign w:val="center"/>
          </w:tcPr>
          <w:p w14:paraId="281E41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75" w:type="dxa"/>
            <w:vMerge w:val="continue"/>
            <w:shd w:val="clear" w:color="auto" w:fill="FFFFFF"/>
            <w:vAlign w:val="center"/>
          </w:tcPr>
          <w:p w14:paraId="6C54BA3C">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26C1ADE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安全启动</w:t>
            </w:r>
          </w:p>
        </w:tc>
        <w:tc>
          <w:tcPr>
            <w:tcW w:w="4269" w:type="dxa"/>
            <w:shd w:val="clear" w:color="auto" w:fill="FFFFFF"/>
            <w:vAlign w:val="center"/>
          </w:tcPr>
          <w:p w14:paraId="5D2CDE4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支持执行环境要求在整个系统启动的过程中，系统应提供一个机制来保护平台的完整性</w:t>
            </w:r>
          </w:p>
        </w:tc>
        <w:tc>
          <w:tcPr>
            <w:tcW w:w="1350" w:type="dxa"/>
            <w:shd w:val="clear" w:color="auto" w:fill="FFFFFF"/>
            <w:vAlign w:val="center"/>
          </w:tcPr>
          <w:p w14:paraId="2A88E9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1E44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3DDF23C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88</w:t>
            </w:r>
          </w:p>
        </w:tc>
        <w:tc>
          <w:tcPr>
            <w:tcW w:w="990" w:type="dxa"/>
            <w:shd w:val="clear" w:color="auto" w:fill="FFFFFF"/>
            <w:vAlign w:val="center"/>
          </w:tcPr>
          <w:p w14:paraId="3C5EE7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75" w:type="dxa"/>
            <w:vMerge w:val="restart"/>
            <w:shd w:val="clear" w:color="auto" w:fill="FFFFFF"/>
            <w:vAlign w:val="center"/>
          </w:tcPr>
          <w:p w14:paraId="5C0D5CA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系统安全要求</w:t>
            </w:r>
          </w:p>
        </w:tc>
        <w:tc>
          <w:tcPr>
            <w:tcW w:w="1221" w:type="dxa"/>
            <w:shd w:val="clear" w:color="auto" w:fill="FFFFFF"/>
            <w:vAlign w:val="center"/>
          </w:tcPr>
          <w:p w14:paraId="4D94357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syslog双向鉴别</w:t>
            </w:r>
          </w:p>
        </w:tc>
        <w:tc>
          <w:tcPr>
            <w:tcW w:w="4269" w:type="dxa"/>
            <w:shd w:val="clear" w:color="auto" w:fill="FFFFFF"/>
            <w:vAlign w:val="center"/>
          </w:tcPr>
          <w:p w14:paraId="17F603D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支持系统日志双向鉴别，对服务器根证书和客户端根证书进行鉴别</w:t>
            </w:r>
          </w:p>
        </w:tc>
        <w:tc>
          <w:tcPr>
            <w:tcW w:w="1350" w:type="dxa"/>
            <w:shd w:val="clear" w:color="auto" w:fill="FFFFFF"/>
            <w:vAlign w:val="center"/>
          </w:tcPr>
          <w:p w14:paraId="3CD4B22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4C0C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3CDF7D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89</w:t>
            </w:r>
          </w:p>
        </w:tc>
        <w:tc>
          <w:tcPr>
            <w:tcW w:w="990" w:type="dxa"/>
            <w:shd w:val="clear" w:color="auto" w:fill="FFFFFF"/>
            <w:vAlign w:val="center"/>
          </w:tcPr>
          <w:p w14:paraId="2DD15F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75" w:type="dxa"/>
            <w:vMerge w:val="continue"/>
            <w:shd w:val="clear" w:color="auto" w:fill="FFFFFF"/>
            <w:vAlign w:val="center"/>
          </w:tcPr>
          <w:p w14:paraId="1A8F3019">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708767C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★弱口令字典检查</w:t>
            </w:r>
          </w:p>
        </w:tc>
        <w:tc>
          <w:tcPr>
            <w:tcW w:w="4269" w:type="dxa"/>
            <w:shd w:val="clear" w:color="auto" w:fill="FFFFFF"/>
            <w:vAlign w:val="center"/>
          </w:tcPr>
          <w:p w14:paraId="01B7D07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支持弱口令字典检查功能，出现在弱口令字典中的字符串不能被设置为用户口令</w:t>
            </w:r>
          </w:p>
        </w:tc>
        <w:tc>
          <w:tcPr>
            <w:tcW w:w="1350" w:type="dxa"/>
            <w:shd w:val="clear" w:color="auto" w:fill="FFFFFF"/>
            <w:vAlign w:val="center"/>
          </w:tcPr>
          <w:p w14:paraId="3F19CCC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9D24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64F308D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90</w:t>
            </w:r>
          </w:p>
        </w:tc>
        <w:tc>
          <w:tcPr>
            <w:tcW w:w="990" w:type="dxa"/>
            <w:shd w:val="clear" w:color="auto" w:fill="FFFFFF"/>
            <w:vAlign w:val="center"/>
          </w:tcPr>
          <w:p w14:paraId="492B5A9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75" w:type="dxa"/>
            <w:vMerge w:val="continue"/>
            <w:shd w:val="clear" w:color="auto" w:fill="FFFFFF"/>
            <w:vAlign w:val="center"/>
          </w:tcPr>
          <w:p w14:paraId="69B080D8">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4394D9B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★白名单访问控制</w:t>
            </w:r>
          </w:p>
        </w:tc>
        <w:tc>
          <w:tcPr>
            <w:tcW w:w="4269" w:type="dxa"/>
            <w:shd w:val="clear" w:color="auto" w:fill="FFFFFF"/>
            <w:vAlign w:val="center"/>
          </w:tcPr>
          <w:p w14:paraId="450EBBD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支持基于时间、IP或MAC白名单访问控制</w:t>
            </w:r>
          </w:p>
        </w:tc>
        <w:tc>
          <w:tcPr>
            <w:tcW w:w="1350" w:type="dxa"/>
            <w:shd w:val="clear" w:color="auto" w:fill="FFFFFF"/>
            <w:vAlign w:val="center"/>
          </w:tcPr>
          <w:p w14:paraId="0078FF6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3CB7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513D0D4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91</w:t>
            </w:r>
          </w:p>
        </w:tc>
        <w:tc>
          <w:tcPr>
            <w:tcW w:w="990" w:type="dxa"/>
            <w:shd w:val="clear" w:color="auto" w:fill="FFFFFF"/>
            <w:vAlign w:val="center"/>
          </w:tcPr>
          <w:p w14:paraId="797BBB7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75" w:type="dxa"/>
            <w:vMerge w:val="continue"/>
            <w:shd w:val="clear" w:color="auto" w:fill="FFFFFF"/>
            <w:vAlign w:val="center"/>
          </w:tcPr>
          <w:p w14:paraId="6A4AAC35">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0B2FB95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双因素鉴别</w:t>
            </w:r>
          </w:p>
        </w:tc>
        <w:tc>
          <w:tcPr>
            <w:tcW w:w="4269" w:type="dxa"/>
            <w:shd w:val="clear" w:color="auto" w:fill="FFFFFF"/>
            <w:vAlign w:val="center"/>
          </w:tcPr>
          <w:p w14:paraId="12A0A39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支持使用客户端证书和证书密码的双因素鉴别方式登录管理系统</w:t>
            </w:r>
          </w:p>
        </w:tc>
        <w:tc>
          <w:tcPr>
            <w:tcW w:w="1350" w:type="dxa"/>
            <w:shd w:val="clear" w:color="auto" w:fill="FFFFFF"/>
            <w:vAlign w:val="center"/>
          </w:tcPr>
          <w:p w14:paraId="67D3F9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6A11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31A2F8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92</w:t>
            </w:r>
          </w:p>
        </w:tc>
        <w:tc>
          <w:tcPr>
            <w:tcW w:w="990" w:type="dxa"/>
            <w:shd w:val="clear" w:color="auto" w:fill="FFFFFF"/>
            <w:vAlign w:val="center"/>
          </w:tcPr>
          <w:p w14:paraId="14DB59A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75" w:type="dxa"/>
            <w:vMerge w:val="continue"/>
            <w:shd w:val="clear" w:color="auto" w:fill="FFFFFF"/>
            <w:vAlign w:val="center"/>
          </w:tcPr>
          <w:p w14:paraId="699239A5">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50609C5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★二次鉴别</w:t>
            </w:r>
          </w:p>
        </w:tc>
        <w:tc>
          <w:tcPr>
            <w:tcW w:w="4269" w:type="dxa"/>
            <w:shd w:val="clear" w:color="auto" w:fill="FFFFFF"/>
            <w:vAlign w:val="center"/>
          </w:tcPr>
          <w:p w14:paraId="7F18834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支持二次鉴别功能。对于用户配置、权限配置、公钥导入等重要的管理操作，已登录用户应通过二次鉴别后，才能执行操作</w:t>
            </w:r>
          </w:p>
        </w:tc>
        <w:tc>
          <w:tcPr>
            <w:tcW w:w="1350" w:type="dxa"/>
            <w:shd w:val="clear" w:color="auto" w:fill="FFFFFF"/>
            <w:vAlign w:val="center"/>
          </w:tcPr>
          <w:p w14:paraId="3FEBD8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7229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27F35F7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93</w:t>
            </w:r>
          </w:p>
        </w:tc>
        <w:tc>
          <w:tcPr>
            <w:tcW w:w="990" w:type="dxa"/>
            <w:shd w:val="clear" w:color="auto" w:fill="FFFFFF"/>
            <w:vAlign w:val="center"/>
          </w:tcPr>
          <w:p w14:paraId="59B6CBE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75" w:type="dxa"/>
            <w:vMerge w:val="continue"/>
            <w:shd w:val="clear" w:color="auto" w:fill="FFFFFF"/>
            <w:vAlign w:val="center"/>
          </w:tcPr>
          <w:p w14:paraId="375C0B40">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4709535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匿名化用户告警接收邮箱</w:t>
            </w:r>
          </w:p>
        </w:tc>
        <w:tc>
          <w:tcPr>
            <w:tcW w:w="4269" w:type="dxa"/>
            <w:shd w:val="clear" w:color="auto" w:fill="FFFFFF"/>
            <w:vAlign w:val="center"/>
          </w:tcPr>
          <w:p w14:paraId="29F68FC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支持带外管理系统中的用户告警接收邮箱进行匿名化处理</w:t>
            </w:r>
          </w:p>
        </w:tc>
        <w:tc>
          <w:tcPr>
            <w:tcW w:w="1350" w:type="dxa"/>
            <w:shd w:val="clear" w:color="auto" w:fill="FFFFFF"/>
            <w:vAlign w:val="center"/>
          </w:tcPr>
          <w:p w14:paraId="05ADA1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0018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44" w:type="dxa"/>
            <w:shd w:val="clear" w:color="auto" w:fill="FFFFFF"/>
            <w:vAlign w:val="center"/>
          </w:tcPr>
          <w:p w14:paraId="5114305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94</w:t>
            </w:r>
          </w:p>
        </w:tc>
        <w:tc>
          <w:tcPr>
            <w:tcW w:w="990" w:type="dxa"/>
            <w:shd w:val="clear" w:color="auto" w:fill="FFFFFF"/>
            <w:vAlign w:val="center"/>
          </w:tcPr>
          <w:p w14:paraId="42B1937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75" w:type="dxa"/>
            <w:vMerge w:val="continue"/>
            <w:shd w:val="clear" w:color="auto" w:fill="FFFFFF"/>
            <w:vAlign w:val="center"/>
          </w:tcPr>
          <w:p w14:paraId="283D6B0B">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4DC8005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★密码证书安全加密存储</w:t>
            </w:r>
          </w:p>
        </w:tc>
        <w:tc>
          <w:tcPr>
            <w:tcW w:w="4269" w:type="dxa"/>
            <w:shd w:val="clear" w:color="auto" w:fill="FFFFFF"/>
            <w:vAlign w:val="center"/>
          </w:tcPr>
          <w:p w14:paraId="128EE40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支持对带外管理系统中的用户口令和证书等敏感信息进行加密存储，禁止使用私有的和业界已知不安全的密码算法</w:t>
            </w:r>
          </w:p>
        </w:tc>
        <w:tc>
          <w:tcPr>
            <w:tcW w:w="1350" w:type="dxa"/>
            <w:shd w:val="clear" w:color="auto" w:fill="FFFFFF"/>
            <w:vAlign w:val="center"/>
          </w:tcPr>
          <w:p w14:paraId="75C51EA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891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44" w:type="dxa"/>
            <w:shd w:val="clear" w:color="auto" w:fill="FFFFFF"/>
            <w:vAlign w:val="center"/>
          </w:tcPr>
          <w:p w14:paraId="6E9904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95</w:t>
            </w:r>
          </w:p>
        </w:tc>
        <w:tc>
          <w:tcPr>
            <w:tcW w:w="990" w:type="dxa"/>
            <w:shd w:val="clear" w:color="auto" w:fill="FFFFFF"/>
            <w:vAlign w:val="center"/>
          </w:tcPr>
          <w:p w14:paraId="01C7C3C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75" w:type="dxa"/>
            <w:vMerge w:val="continue"/>
            <w:shd w:val="clear" w:color="auto" w:fill="FFFFFF"/>
            <w:vAlign w:val="center"/>
          </w:tcPr>
          <w:p w14:paraId="6C6EC888">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4828D4F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★敏感信息安全加密传输</w:t>
            </w:r>
          </w:p>
        </w:tc>
        <w:tc>
          <w:tcPr>
            <w:tcW w:w="4269" w:type="dxa"/>
            <w:shd w:val="clear" w:color="auto" w:fill="FFFFFF"/>
            <w:vAlign w:val="center"/>
          </w:tcPr>
          <w:p w14:paraId="7020E8B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支持使用安全的传输加密协议（如SSH或HTTPS等）传输用户的敏感信息</w:t>
            </w:r>
          </w:p>
        </w:tc>
        <w:tc>
          <w:tcPr>
            <w:tcW w:w="1350" w:type="dxa"/>
            <w:shd w:val="clear" w:color="auto" w:fill="FFFFFF"/>
            <w:vAlign w:val="center"/>
          </w:tcPr>
          <w:p w14:paraId="4CE3FCA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1BA6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44" w:type="dxa"/>
            <w:shd w:val="clear" w:color="auto" w:fill="FFFFFF"/>
            <w:vAlign w:val="center"/>
          </w:tcPr>
          <w:p w14:paraId="31EAB08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96</w:t>
            </w:r>
          </w:p>
        </w:tc>
        <w:tc>
          <w:tcPr>
            <w:tcW w:w="990" w:type="dxa"/>
            <w:shd w:val="clear" w:color="auto" w:fill="FFFFFF"/>
            <w:vAlign w:val="center"/>
          </w:tcPr>
          <w:p w14:paraId="203DA2A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75" w:type="dxa"/>
            <w:vMerge w:val="restart"/>
            <w:shd w:val="clear" w:color="auto" w:fill="FFFFFF"/>
            <w:vAlign w:val="center"/>
          </w:tcPr>
          <w:p w14:paraId="4D2971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信息安全要求</w:t>
            </w:r>
          </w:p>
        </w:tc>
        <w:tc>
          <w:tcPr>
            <w:tcW w:w="1221" w:type="dxa"/>
            <w:shd w:val="clear" w:color="auto" w:fill="FFFFFF"/>
            <w:vAlign w:val="center"/>
          </w:tcPr>
          <w:p w14:paraId="03A310C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★研发过程安全</w:t>
            </w:r>
          </w:p>
        </w:tc>
        <w:tc>
          <w:tcPr>
            <w:tcW w:w="4269" w:type="dxa"/>
            <w:shd w:val="clear" w:color="auto" w:fill="FFFFFF"/>
            <w:vAlign w:val="center"/>
          </w:tcPr>
          <w:p w14:paraId="5C048B0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供应商承诺，生产商已建立从需求、设计、开发、测试、维护端到端的开发流程管理机制，输出和保存开发流程中每个阶段的产品需求清单、设计文档、开发文档、测试记录等材料，保证各个流程可追溯</w:t>
            </w:r>
            <w:r>
              <w:rPr>
                <w:rFonts w:hint="eastAsia"/>
                <w:b/>
                <w:bCs/>
              </w:rPr>
              <w:t>（需提供加盖投标人公章的承诺书</w:t>
            </w:r>
            <w:r>
              <w:rPr>
                <w:rFonts w:hint="eastAsia"/>
                <w:b/>
                <w:bCs/>
                <w:lang w:eastAsia="zh-CN"/>
              </w:rPr>
              <w:t>）</w:t>
            </w:r>
          </w:p>
        </w:tc>
        <w:tc>
          <w:tcPr>
            <w:tcW w:w="1350" w:type="dxa"/>
            <w:shd w:val="clear" w:color="auto" w:fill="FFFFFF"/>
            <w:vAlign w:val="center"/>
          </w:tcPr>
          <w:p w14:paraId="729E7E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4F7FA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44" w:type="dxa"/>
            <w:shd w:val="clear" w:color="auto" w:fill="FFFFFF"/>
            <w:vAlign w:val="center"/>
          </w:tcPr>
          <w:p w14:paraId="3DFF72D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97</w:t>
            </w:r>
          </w:p>
        </w:tc>
        <w:tc>
          <w:tcPr>
            <w:tcW w:w="990" w:type="dxa"/>
            <w:shd w:val="clear" w:color="auto" w:fill="FFFFFF"/>
            <w:vAlign w:val="center"/>
          </w:tcPr>
          <w:p w14:paraId="68795C9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75" w:type="dxa"/>
            <w:vMerge w:val="continue"/>
            <w:shd w:val="clear" w:color="auto" w:fill="FFFFFF"/>
            <w:vAlign w:val="center"/>
          </w:tcPr>
          <w:p w14:paraId="375E0F60">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314C659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漏洞管理</w:t>
            </w:r>
          </w:p>
        </w:tc>
        <w:tc>
          <w:tcPr>
            <w:tcW w:w="4269" w:type="dxa"/>
            <w:shd w:val="clear" w:color="auto" w:fill="FFFFFF"/>
            <w:vAlign w:val="center"/>
          </w:tcPr>
          <w:p w14:paraId="4C3AEE6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供应商承诺，生产商已建立漏洞全量视图，保证产品版本涉及到的所有漏洞（如驱动程序、BMC软件等）都可以查看</w:t>
            </w:r>
            <w:r>
              <w:rPr>
                <w:rFonts w:hint="eastAsia"/>
                <w:b/>
                <w:bCs/>
              </w:rPr>
              <w:t>（需提供加盖投标人公章的承诺书</w:t>
            </w:r>
            <w:r>
              <w:rPr>
                <w:rFonts w:hint="eastAsia"/>
                <w:b/>
                <w:bCs/>
                <w:lang w:eastAsia="zh-CN"/>
              </w:rPr>
              <w:t>）</w:t>
            </w:r>
          </w:p>
        </w:tc>
        <w:tc>
          <w:tcPr>
            <w:tcW w:w="1350" w:type="dxa"/>
            <w:shd w:val="clear" w:color="auto" w:fill="FFFFFF"/>
            <w:vAlign w:val="center"/>
          </w:tcPr>
          <w:p w14:paraId="418E226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1737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44" w:type="dxa"/>
            <w:shd w:val="clear" w:color="auto" w:fill="FFFFFF"/>
            <w:vAlign w:val="center"/>
          </w:tcPr>
          <w:p w14:paraId="3284242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98</w:t>
            </w:r>
          </w:p>
        </w:tc>
        <w:tc>
          <w:tcPr>
            <w:tcW w:w="990" w:type="dxa"/>
            <w:shd w:val="clear" w:color="auto" w:fill="FFFFFF"/>
            <w:vAlign w:val="center"/>
          </w:tcPr>
          <w:p w14:paraId="3DAAE8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75" w:type="dxa"/>
            <w:vMerge w:val="continue"/>
            <w:shd w:val="clear" w:color="auto" w:fill="FFFFFF"/>
            <w:vAlign w:val="center"/>
          </w:tcPr>
          <w:p w14:paraId="3821799D">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3F45BD6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网络关键设备服务器要求</w:t>
            </w:r>
          </w:p>
        </w:tc>
        <w:tc>
          <w:tcPr>
            <w:tcW w:w="4269" w:type="dxa"/>
            <w:shd w:val="clear" w:color="auto" w:fill="FFFFFF"/>
            <w:vAlign w:val="center"/>
          </w:tcPr>
          <w:p w14:paraId="2EE89D7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作为网络关键设备的服务器应符合GB40050的相关规定</w:t>
            </w:r>
          </w:p>
        </w:tc>
        <w:tc>
          <w:tcPr>
            <w:tcW w:w="1350" w:type="dxa"/>
            <w:shd w:val="clear" w:color="auto" w:fill="FFFFFF"/>
            <w:vAlign w:val="center"/>
          </w:tcPr>
          <w:p w14:paraId="376253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90AB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76" w:hRule="atLeast"/>
        </w:trPr>
        <w:tc>
          <w:tcPr>
            <w:tcW w:w="744" w:type="dxa"/>
            <w:shd w:val="clear" w:color="auto" w:fill="FFFFFF"/>
            <w:vAlign w:val="center"/>
          </w:tcPr>
          <w:p w14:paraId="5BFA3A2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99</w:t>
            </w:r>
          </w:p>
        </w:tc>
        <w:tc>
          <w:tcPr>
            <w:tcW w:w="990" w:type="dxa"/>
            <w:shd w:val="clear" w:color="auto" w:fill="FFFFFF"/>
            <w:vAlign w:val="center"/>
          </w:tcPr>
          <w:p w14:paraId="4765D65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75" w:type="dxa"/>
            <w:vMerge w:val="continue"/>
            <w:shd w:val="clear" w:color="auto" w:fill="FFFFFF"/>
            <w:vAlign w:val="center"/>
          </w:tcPr>
          <w:p w14:paraId="24DEF2E7">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2D5ECA3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增强要求</w:t>
            </w:r>
          </w:p>
        </w:tc>
        <w:tc>
          <w:tcPr>
            <w:tcW w:w="4269" w:type="dxa"/>
            <w:shd w:val="clear" w:color="auto" w:fill="FFFFFF"/>
            <w:vAlign w:val="center"/>
          </w:tcPr>
          <w:p w14:paraId="10CAEDA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嵌入物理可信根，实现设备的信任链构建；b）支持可信平台控制模块（TPCM）；c）支持在固件系统（BMC、BIOS）启动前实现对固件度量的功能，支持物理可信根对BMC固件或BIOS固件进行完整性检测、更新和恢复；d）支持对CPU、网络控制器等关键处理器进行身份识别与度量的功能；e）支持基于处理器或可信计算模块度量的功能；f）所采用的可信密码模块接口应符合GM/T0012的相关规定；g）可信安全管理模块、处理器等硬件载体应通过国家相关部门的认证和许可</w:t>
            </w:r>
          </w:p>
        </w:tc>
        <w:tc>
          <w:tcPr>
            <w:tcW w:w="1350" w:type="dxa"/>
            <w:shd w:val="clear" w:color="auto" w:fill="FFFFFF"/>
            <w:vAlign w:val="center"/>
          </w:tcPr>
          <w:p w14:paraId="6941A5A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76E1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744" w:type="dxa"/>
            <w:shd w:val="clear" w:color="auto" w:fill="FFFFFF"/>
            <w:vAlign w:val="center"/>
          </w:tcPr>
          <w:p w14:paraId="1A9722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100</w:t>
            </w:r>
          </w:p>
        </w:tc>
        <w:tc>
          <w:tcPr>
            <w:tcW w:w="990" w:type="dxa"/>
            <w:shd w:val="clear" w:color="auto" w:fill="FFFFFF"/>
            <w:vAlign w:val="center"/>
          </w:tcPr>
          <w:p w14:paraId="757C380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75" w:type="dxa"/>
            <w:shd w:val="clear" w:color="auto" w:fill="FFFFFF"/>
            <w:vAlign w:val="center"/>
          </w:tcPr>
          <w:p w14:paraId="0DF1F4E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物理安全</w:t>
            </w:r>
          </w:p>
        </w:tc>
        <w:tc>
          <w:tcPr>
            <w:tcW w:w="1221" w:type="dxa"/>
            <w:shd w:val="clear" w:color="auto" w:fill="FFFFFF"/>
            <w:vAlign w:val="center"/>
          </w:tcPr>
          <w:p w14:paraId="77DD4F7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★物理安全</w:t>
            </w:r>
          </w:p>
        </w:tc>
        <w:tc>
          <w:tcPr>
            <w:tcW w:w="4269" w:type="dxa"/>
            <w:shd w:val="clear" w:color="auto" w:fill="FFFFFF"/>
            <w:vAlign w:val="center"/>
          </w:tcPr>
          <w:p w14:paraId="750D9DD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安全要求应符合GB4943.1的规定</w:t>
            </w:r>
          </w:p>
        </w:tc>
        <w:tc>
          <w:tcPr>
            <w:tcW w:w="1350" w:type="dxa"/>
            <w:shd w:val="clear" w:color="auto" w:fill="FFFFFF"/>
            <w:vAlign w:val="center"/>
          </w:tcPr>
          <w:p w14:paraId="7FE5235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7F6C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4C3468C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101</w:t>
            </w:r>
          </w:p>
        </w:tc>
        <w:tc>
          <w:tcPr>
            <w:tcW w:w="990" w:type="dxa"/>
            <w:shd w:val="clear" w:color="auto" w:fill="FFFFFF"/>
            <w:vAlign w:val="center"/>
          </w:tcPr>
          <w:p w14:paraId="7DB3BD6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75" w:type="dxa"/>
            <w:shd w:val="clear" w:color="auto" w:fill="FFFFFF"/>
            <w:vAlign w:val="center"/>
          </w:tcPr>
          <w:p w14:paraId="36FD17F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限用物质的限量要求</w:t>
            </w:r>
          </w:p>
        </w:tc>
        <w:tc>
          <w:tcPr>
            <w:tcW w:w="1221" w:type="dxa"/>
            <w:shd w:val="clear" w:color="auto" w:fill="FFFFFF"/>
            <w:vAlign w:val="center"/>
          </w:tcPr>
          <w:p w14:paraId="19EC3EC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★限用物质的限量要求</w:t>
            </w:r>
          </w:p>
        </w:tc>
        <w:tc>
          <w:tcPr>
            <w:tcW w:w="4269" w:type="dxa"/>
            <w:shd w:val="clear" w:color="auto" w:fill="FFFFFF"/>
            <w:vAlign w:val="center"/>
          </w:tcPr>
          <w:p w14:paraId="362335D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限用物质的限量应符合GB/T26572的要求</w:t>
            </w:r>
          </w:p>
        </w:tc>
        <w:tc>
          <w:tcPr>
            <w:tcW w:w="1350" w:type="dxa"/>
            <w:shd w:val="clear" w:color="auto" w:fill="FFFFFF"/>
            <w:vAlign w:val="center"/>
          </w:tcPr>
          <w:p w14:paraId="18F0AAF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ED96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44" w:type="dxa"/>
            <w:shd w:val="clear" w:color="auto" w:fill="FFFFFF"/>
            <w:vAlign w:val="center"/>
          </w:tcPr>
          <w:p w14:paraId="468AB46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102</w:t>
            </w:r>
          </w:p>
        </w:tc>
        <w:tc>
          <w:tcPr>
            <w:tcW w:w="990" w:type="dxa"/>
            <w:shd w:val="clear" w:color="auto" w:fill="FFFFFF"/>
            <w:vAlign w:val="center"/>
          </w:tcPr>
          <w:p w14:paraId="533F31A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75" w:type="dxa"/>
            <w:vMerge w:val="restart"/>
            <w:shd w:val="clear" w:color="auto" w:fill="FFFFFF"/>
            <w:vAlign w:val="center"/>
          </w:tcPr>
          <w:p w14:paraId="5F4447D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CPU性能</w:t>
            </w:r>
          </w:p>
        </w:tc>
        <w:tc>
          <w:tcPr>
            <w:tcW w:w="1221" w:type="dxa"/>
            <w:shd w:val="clear" w:color="auto" w:fill="FFFFFF"/>
            <w:vAlign w:val="center"/>
          </w:tcPr>
          <w:p w14:paraId="1C02977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★CPU主频</w:t>
            </w:r>
          </w:p>
        </w:tc>
        <w:tc>
          <w:tcPr>
            <w:tcW w:w="4269" w:type="dxa"/>
            <w:shd w:val="clear" w:color="auto" w:fill="FFFFFF"/>
            <w:vAlign w:val="center"/>
          </w:tcPr>
          <w:p w14:paraId="29A5F8D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≥2.2GHz</w:t>
            </w:r>
          </w:p>
        </w:tc>
        <w:tc>
          <w:tcPr>
            <w:tcW w:w="1350" w:type="dxa"/>
            <w:shd w:val="clear" w:color="auto" w:fill="FFFFFF"/>
            <w:vAlign w:val="center"/>
          </w:tcPr>
          <w:p w14:paraId="43BECD5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F47E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10F0F5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103</w:t>
            </w:r>
          </w:p>
        </w:tc>
        <w:tc>
          <w:tcPr>
            <w:tcW w:w="990" w:type="dxa"/>
            <w:shd w:val="clear" w:color="auto" w:fill="FFFFFF"/>
            <w:vAlign w:val="center"/>
          </w:tcPr>
          <w:p w14:paraId="102D07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75" w:type="dxa"/>
            <w:vMerge w:val="continue"/>
            <w:shd w:val="clear" w:color="auto" w:fill="FFFFFF"/>
            <w:vAlign w:val="center"/>
          </w:tcPr>
          <w:p w14:paraId="2BF79F31">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5228F82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★单CPU核数</w:t>
            </w:r>
          </w:p>
        </w:tc>
        <w:tc>
          <w:tcPr>
            <w:tcW w:w="4269" w:type="dxa"/>
            <w:shd w:val="clear" w:color="auto" w:fill="FFFFFF"/>
            <w:vAlign w:val="center"/>
          </w:tcPr>
          <w:p w14:paraId="6B0A8E1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≥24核；</w:t>
            </w:r>
            <w:r>
              <w:rPr>
                <w:rFonts w:hint="eastAsia" w:asciiTheme="minorEastAsia" w:hAnsiTheme="minorEastAsia" w:eastAsiaTheme="minorEastAsia" w:cstheme="minorEastAsia"/>
                <w:sz w:val="24"/>
              </w:rPr>
              <w:t>≥2颗</w:t>
            </w:r>
          </w:p>
        </w:tc>
        <w:tc>
          <w:tcPr>
            <w:tcW w:w="1350" w:type="dxa"/>
            <w:shd w:val="clear" w:color="auto" w:fill="FFFFFF"/>
            <w:vAlign w:val="center"/>
          </w:tcPr>
          <w:p w14:paraId="534702A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80F2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325A78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104</w:t>
            </w:r>
          </w:p>
        </w:tc>
        <w:tc>
          <w:tcPr>
            <w:tcW w:w="990" w:type="dxa"/>
            <w:shd w:val="clear" w:color="auto" w:fill="FFFFFF"/>
            <w:vAlign w:val="center"/>
          </w:tcPr>
          <w:p w14:paraId="018CBA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75" w:type="dxa"/>
            <w:vMerge w:val="continue"/>
            <w:shd w:val="clear" w:color="auto" w:fill="FFFFFF"/>
            <w:vAlign w:val="center"/>
          </w:tcPr>
          <w:p w14:paraId="6D5E3B70">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6B14E90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★单CPU末级缓存容量</w:t>
            </w:r>
          </w:p>
        </w:tc>
        <w:tc>
          <w:tcPr>
            <w:tcW w:w="4269" w:type="dxa"/>
            <w:shd w:val="clear" w:color="auto" w:fill="FFFFFF"/>
            <w:vAlign w:val="center"/>
          </w:tcPr>
          <w:p w14:paraId="15E1C8C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≥8MB</w:t>
            </w:r>
          </w:p>
        </w:tc>
        <w:tc>
          <w:tcPr>
            <w:tcW w:w="1350" w:type="dxa"/>
            <w:shd w:val="clear" w:color="auto" w:fill="FFFFFF"/>
            <w:vAlign w:val="center"/>
          </w:tcPr>
          <w:p w14:paraId="287420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FB7D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03" w:hRule="atLeast"/>
        </w:trPr>
        <w:tc>
          <w:tcPr>
            <w:tcW w:w="744" w:type="dxa"/>
            <w:shd w:val="clear" w:color="auto" w:fill="FFFFFF"/>
            <w:vAlign w:val="center"/>
          </w:tcPr>
          <w:p w14:paraId="37DC9C3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105</w:t>
            </w:r>
          </w:p>
        </w:tc>
        <w:tc>
          <w:tcPr>
            <w:tcW w:w="990" w:type="dxa"/>
            <w:shd w:val="clear" w:color="auto" w:fill="FFFFFF"/>
            <w:vAlign w:val="center"/>
          </w:tcPr>
          <w:p w14:paraId="68A8BC5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75" w:type="dxa"/>
            <w:vMerge w:val="restart"/>
            <w:shd w:val="clear" w:color="auto" w:fill="FFFFFF"/>
            <w:vAlign w:val="center"/>
          </w:tcPr>
          <w:p w14:paraId="567AFCD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内存性能</w:t>
            </w:r>
          </w:p>
        </w:tc>
        <w:tc>
          <w:tcPr>
            <w:tcW w:w="1221" w:type="dxa"/>
            <w:shd w:val="clear" w:color="auto" w:fill="FFFFFF"/>
            <w:vAlign w:val="center"/>
          </w:tcPr>
          <w:p w14:paraId="0485987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★单内存模块容量</w:t>
            </w:r>
          </w:p>
        </w:tc>
        <w:tc>
          <w:tcPr>
            <w:tcW w:w="4269" w:type="dxa"/>
            <w:shd w:val="clear" w:color="auto" w:fill="FFFFFF"/>
            <w:vAlign w:val="center"/>
          </w:tcPr>
          <w:p w14:paraId="1106C59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≥32GB；</w:t>
            </w:r>
          </w:p>
        </w:tc>
        <w:tc>
          <w:tcPr>
            <w:tcW w:w="1350" w:type="dxa"/>
            <w:shd w:val="clear" w:color="auto" w:fill="FFFFFF"/>
            <w:vAlign w:val="center"/>
          </w:tcPr>
          <w:p w14:paraId="57E9FC8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EBF8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44" w:type="dxa"/>
            <w:shd w:val="clear" w:color="auto" w:fill="FFFFFF"/>
            <w:vAlign w:val="center"/>
          </w:tcPr>
          <w:p w14:paraId="4E695D0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106</w:t>
            </w:r>
          </w:p>
        </w:tc>
        <w:tc>
          <w:tcPr>
            <w:tcW w:w="990" w:type="dxa"/>
            <w:shd w:val="clear" w:color="auto" w:fill="FFFFFF"/>
            <w:vAlign w:val="center"/>
          </w:tcPr>
          <w:p w14:paraId="39376A5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75" w:type="dxa"/>
            <w:vMerge w:val="continue"/>
            <w:shd w:val="clear" w:color="auto" w:fill="FFFFFF"/>
            <w:vAlign w:val="center"/>
          </w:tcPr>
          <w:p w14:paraId="68306267">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385FDBD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★内存速率</w:t>
            </w:r>
          </w:p>
        </w:tc>
        <w:tc>
          <w:tcPr>
            <w:tcW w:w="4269" w:type="dxa"/>
            <w:shd w:val="clear" w:color="auto" w:fill="FFFFFF"/>
            <w:vAlign w:val="center"/>
          </w:tcPr>
          <w:p w14:paraId="18D380C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≥3200MT/s</w:t>
            </w:r>
          </w:p>
        </w:tc>
        <w:tc>
          <w:tcPr>
            <w:tcW w:w="1350" w:type="dxa"/>
            <w:shd w:val="clear" w:color="auto" w:fill="FFFFFF"/>
            <w:vAlign w:val="center"/>
          </w:tcPr>
          <w:p w14:paraId="2B38AE4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C8A2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44" w:type="dxa"/>
            <w:shd w:val="clear" w:color="auto" w:fill="FFFFFF"/>
            <w:vAlign w:val="center"/>
          </w:tcPr>
          <w:p w14:paraId="58AE943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107</w:t>
            </w:r>
          </w:p>
        </w:tc>
        <w:tc>
          <w:tcPr>
            <w:tcW w:w="990" w:type="dxa"/>
            <w:shd w:val="clear" w:color="auto" w:fill="FFFFFF"/>
            <w:vAlign w:val="center"/>
          </w:tcPr>
          <w:p w14:paraId="211351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75" w:type="dxa"/>
            <w:shd w:val="clear" w:color="auto" w:fill="FFFFFF"/>
            <w:vAlign w:val="center"/>
          </w:tcPr>
          <w:p w14:paraId="447663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存储性能</w:t>
            </w:r>
          </w:p>
        </w:tc>
        <w:tc>
          <w:tcPr>
            <w:tcW w:w="1221" w:type="dxa"/>
            <w:shd w:val="clear" w:color="auto" w:fill="FFFFFF"/>
            <w:vAlign w:val="center"/>
          </w:tcPr>
          <w:p w14:paraId="71AD186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硬盘转速</w:t>
            </w:r>
          </w:p>
        </w:tc>
        <w:tc>
          <w:tcPr>
            <w:tcW w:w="4269" w:type="dxa"/>
            <w:shd w:val="clear" w:color="auto" w:fill="FFFFFF"/>
            <w:vAlign w:val="center"/>
          </w:tcPr>
          <w:p w14:paraId="27C5897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安装的硬磁盘转速不小于7200rpm</w:t>
            </w:r>
          </w:p>
        </w:tc>
        <w:tc>
          <w:tcPr>
            <w:tcW w:w="1350" w:type="dxa"/>
            <w:shd w:val="clear" w:color="auto" w:fill="FFFFFF"/>
            <w:vAlign w:val="center"/>
          </w:tcPr>
          <w:p w14:paraId="3DDF5E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00CE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10E08DE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108</w:t>
            </w:r>
          </w:p>
        </w:tc>
        <w:tc>
          <w:tcPr>
            <w:tcW w:w="990" w:type="dxa"/>
            <w:shd w:val="clear" w:color="auto" w:fill="FFFFFF"/>
            <w:vAlign w:val="center"/>
          </w:tcPr>
          <w:p w14:paraId="24E871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75" w:type="dxa"/>
            <w:shd w:val="clear" w:color="auto" w:fill="FFFFFF"/>
            <w:vAlign w:val="center"/>
          </w:tcPr>
          <w:p w14:paraId="1598937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RAID卡性能</w:t>
            </w:r>
          </w:p>
        </w:tc>
        <w:tc>
          <w:tcPr>
            <w:tcW w:w="1221" w:type="dxa"/>
            <w:shd w:val="clear" w:color="auto" w:fill="FFFFFF"/>
            <w:vAlign w:val="center"/>
          </w:tcPr>
          <w:p w14:paraId="2E084D4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RAID卡缓存容量大小</w:t>
            </w:r>
          </w:p>
        </w:tc>
        <w:tc>
          <w:tcPr>
            <w:tcW w:w="4269" w:type="dxa"/>
            <w:shd w:val="clear" w:color="auto" w:fill="FFFFFF"/>
            <w:vAlign w:val="center"/>
          </w:tcPr>
          <w:p w14:paraId="3B484DAA">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≥2GB</w:t>
            </w:r>
          </w:p>
        </w:tc>
        <w:tc>
          <w:tcPr>
            <w:tcW w:w="1350" w:type="dxa"/>
            <w:shd w:val="clear" w:color="auto" w:fill="FFFFFF"/>
            <w:vAlign w:val="center"/>
          </w:tcPr>
          <w:p w14:paraId="4A8CD13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2831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5C2EBF6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109</w:t>
            </w:r>
          </w:p>
        </w:tc>
        <w:tc>
          <w:tcPr>
            <w:tcW w:w="990" w:type="dxa"/>
            <w:shd w:val="clear" w:color="auto" w:fill="FFFFFF"/>
            <w:vAlign w:val="center"/>
          </w:tcPr>
          <w:p w14:paraId="083C5C0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75" w:type="dxa"/>
            <w:shd w:val="clear" w:color="auto" w:fill="FFFFFF"/>
            <w:vAlign w:val="center"/>
          </w:tcPr>
          <w:p w14:paraId="05B75A4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FCHBA卡性能</w:t>
            </w:r>
          </w:p>
        </w:tc>
        <w:tc>
          <w:tcPr>
            <w:tcW w:w="1221" w:type="dxa"/>
            <w:shd w:val="clear" w:color="auto" w:fill="FFFFFF"/>
            <w:vAlign w:val="center"/>
          </w:tcPr>
          <w:p w14:paraId="0388B39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FCHBA卡速率</w:t>
            </w:r>
          </w:p>
        </w:tc>
        <w:tc>
          <w:tcPr>
            <w:tcW w:w="4269" w:type="dxa"/>
            <w:shd w:val="clear" w:color="auto" w:fill="FFFFFF"/>
            <w:vAlign w:val="center"/>
          </w:tcPr>
          <w:p w14:paraId="67FECB6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若配备FCHBA卡，单端口最大的连接速率≥8Gb/s（不涉及）</w:t>
            </w:r>
          </w:p>
        </w:tc>
        <w:tc>
          <w:tcPr>
            <w:tcW w:w="1350" w:type="dxa"/>
            <w:shd w:val="clear" w:color="auto" w:fill="FFFFFF"/>
            <w:vAlign w:val="center"/>
          </w:tcPr>
          <w:p w14:paraId="22EF652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2374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6B6F95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110</w:t>
            </w:r>
          </w:p>
        </w:tc>
        <w:tc>
          <w:tcPr>
            <w:tcW w:w="990" w:type="dxa"/>
            <w:shd w:val="clear" w:color="auto" w:fill="FFFFFF"/>
            <w:vAlign w:val="center"/>
          </w:tcPr>
          <w:p w14:paraId="5531ED1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75" w:type="dxa"/>
            <w:vMerge w:val="restart"/>
            <w:shd w:val="clear" w:color="auto" w:fill="FFFFFF"/>
            <w:vAlign w:val="center"/>
          </w:tcPr>
          <w:p w14:paraId="786C38A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网络性能</w:t>
            </w:r>
          </w:p>
        </w:tc>
        <w:tc>
          <w:tcPr>
            <w:tcW w:w="1221" w:type="dxa"/>
            <w:shd w:val="clear" w:color="auto" w:fill="FFFFFF"/>
            <w:vAlign w:val="center"/>
          </w:tcPr>
          <w:p w14:paraId="5DF7891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独立网卡速率</w:t>
            </w:r>
          </w:p>
        </w:tc>
        <w:tc>
          <w:tcPr>
            <w:tcW w:w="4269" w:type="dxa"/>
            <w:shd w:val="clear" w:color="auto" w:fill="FFFFFF"/>
            <w:vAlign w:val="center"/>
          </w:tcPr>
          <w:p w14:paraId="35CEE13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端口速率≥10GE</w:t>
            </w:r>
          </w:p>
        </w:tc>
        <w:tc>
          <w:tcPr>
            <w:tcW w:w="1350" w:type="dxa"/>
            <w:shd w:val="clear" w:color="auto" w:fill="FFFFFF"/>
            <w:vAlign w:val="center"/>
          </w:tcPr>
          <w:p w14:paraId="0187AEE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35B9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09F880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111</w:t>
            </w:r>
          </w:p>
        </w:tc>
        <w:tc>
          <w:tcPr>
            <w:tcW w:w="990" w:type="dxa"/>
            <w:shd w:val="clear" w:color="auto" w:fill="FFFFFF"/>
            <w:vAlign w:val="center"/>
          </w:tcPr>
          <w:p w14:paraId="1E4E590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75" w:type="dxa"/>
            <w:vMerge w:val="continue"/>
            <w:shd w:val="clear" w:color="auto" w:fill="FFFFFF"/>
            <w:vAlign w:val="center"/>
          </w:tcPr>
          <w:p w14:paraId="7A7A9DC4">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0E6E05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板载网卡速率</w:t>
            </w:r>
          </w:p>
        </w:tc>
        <w:tc>
          <w:tcPr>
            <w:tcW w:w="4269" w:type="dxa"/>
            <w:shd w:val="clear" w:color="auto" w:fill="FFFFFF"/>
            <w:vAlign w:val="center"/>
          </w:tcPr>
          <w:p w14:paraId="6F8E432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端口速率≥1GE</w:t>
            </w:r>
          </w:p>
        </w:tc>
        <w:tc>
          <w:tcPr>
            <w:tcW w:w="1350" w:type="dxa"/>
            <w:shd w:val="clear" w:color="auto" w:fill="FFFFFF"/>
            <w:vAlign w:val="center"/>
          </w:tcPr>
          <w:p w14:paraId="1386AC5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3FC4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44" w:type="dxa"/>
            <w:shd w:val="clear" w:color="auto" w:fill="FFFFFF"/>
            <w:vAlign w:val="center"/>
          </w:tcPr>
          <w:p w14:paraId="60F26B9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112</w:t>
            </w:r>
          </w:p>
        </w:tc>
        <w:tc>
          <w:tcPr>
            <w:tcW w:w="990" w:type="dxa"/>
            <w:shd w:val="clear" w:color="auto" w:fill="FFFFFF"/>
            <w:vAlign w:val="center"/>
          </w:tcPr>
          <w:p w14:paraId="2F632A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75" w:type="dxa"/>
            <w:shd w:val="clear" w:color="auto" w:fill="FFFFFF"/>
            <w:vAlign w:val="center"/>
          </w:tcPr>
          <w:p w14:paraId="0F8F2E6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电源能耗</w:t>
            </w:r>
          </w:p>
        </w:tc>
        <w:tc>
          <w:tcPr>
            <w:tcW w:w="1221" w:type="dxa"/>
            <w:shd w:val="clear" w:color="auto" w:fill="FFFFFF"/>
            <w:vAlign w:val="center"/>
          </w:tcPr>
          <w:p w14:paraId="3CB6842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★电源能耗</w:t>
            </w:r>
          </w:p>
        </w:tc>
        <w:tc>
          <w:tcPr>
            <w:tcW w:w="4269" w:type="dxa"/>
            <w:shd w:val="clear" w:color="auto" w:fill="FFFFFF"/>
            <w:vAlign w:val="center"/>
          </w:tcPr>
          <w:p w14:paraId="2C4D81D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符合GB/T9813.3的有关规定</w:t>
            </w:r>
          </w:p>
        </w:tc>
        <w:tc>
          <w:tcPr>
            <w:tcW w:w="1350" w:type="dxa"/>
            <w:shd w:val="clear" w:color="auto" w:fill="FFFFFF"/>
            <w:vAlign w:val="center"/>
          </w:tcPr>
          <w:p w14:paraId="7132E52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7CFC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6C41377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113</w:t>
            </w:r>
          </w:p>
        </w:tc>
        <w:tc>
          <w:tcPr>
            <w:tcW w:w="990" w:type="dxa"/>
            <w:shd w:val="clear" w:color="auto" w:fill="FFFFFF"/>
            <w:vAlign w:val="center"/>
          </w:tcPr>
          <w:p w14:paraId="25F8150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75" w:type="dxa"/>
            <w:vMerge w:val="restart"/>
            <w:shd w:val="clear" w:color="auto" w:fill="FFFFFF"/>
            <w:vAlign w:val="center"/>
          </w:tcPr>
          <w:p w14:paraId="6B5ABF8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部件兼容性要求</w:t>
            </w:r>
          </w:p>
        </w:tc>
        <w:tc>
          <w:tcPr>
            <w:tcW w:w="1221" w:type="dxa"/>
            <w:shd w:val="clear" w:color="auto" w:fill="FFFFFF"/>
            <w:noWrap/>
            <w:vAlign w:val="center"/>
          </w:tcPr>
          <w:p w14:paraId="5E62E43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内存兼容性</w:t>
            </w:r>
          </w:p>
        </w:tc>
        <w:tc>
          <w:tcPr>
            <w:tcW w:w="4269" w:type="dxa"/>
            <w:shd w:val="clear" w:color="auto" w:fill="FFFFFF"/>
            <w:vAlign w:val="center"/>
          </w:tcPr>
          <w:p w14:paraId="789AF78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适配3种及以上厂商的内存产品，且均不低于产品支持的内存规格</w:t>
            </w:r>
          </w:p>
        </w:tc>
        <w:tc>
          <w:tcPr>
            <w:tcW w:w="1350" w:type="dxa"/>
            <w:shd w:val="clear" w:color="auto" w:fill="FFFFFF"/>
            <w:vAlign w:val="center"/>
          </w:tcPr>
          <w:p w14:paraId="55361E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A3CE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4E05216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114</w:t>
            </w:r>
          </w:p>
        </w:tc>
        <w:tc>
          <w:tcPr>
            <w:tcW w:w="990" w:type="dxa"/>
            <w:shd w:val="clear" w:color="auto" w:fill="FFFFFF"/>
            <w:vAlign w:val="center"/>
          </w:tcPr>
          <w:p w14:paraId="52D7A0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75" w:type="dxa"/>
            <w:vMerge w:val="continue"/>
            <w:shd w:val="clear" w:color="auto" w:fill="FFFFFF"/>
            <w:vAlign w:val="center"/>
          </w:tcPr>
          <w:p w14:paraId="55AFAC47">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1BAE23C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★固态存储兼容性</w:t>
            </w:r>
          </w:p>
        </w:tc>
        <w:tc>
          <w:tcPr>
            <w:tcW w:w="4269" w:type="dxa"/>
            <w:shd w:val="clear" w:color="auto" w:fill="FFFFFF"/>
            <w:vAlign w:val="center"/>
          </w:tcPr>
          <w:p w14:paraId="71D2509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适配3种或以上厂商的固态存储产品，且均不低于产品支持的固态存储设备规格</w:t>
            </w:r>
          </w:p>
        </w:tc>
        <w:tc>
          <w:tcPr>
            <w:tcW w:w="1350" w:type="dxa"/>
            <w:shd w:val="clear" w:color="auto" w:fill="FFFFFF"/>
            <w:vAlign w:val="center"/>
          </w:tcPr>
          <w:p w14:paraId="64F1145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CCB5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07997B6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115</w:t>
            </w:r>
          </w:p>
        </w:tc>
        <w:tc>
          <w:tcPr>
            <w:tcW w:w="990" w:type="dxa"/>
            <w:shd w:val="clear" w:color="auto" w:fill="FFFFFF"/>
            <w:vAlign w:val="center"/>
          </w:tcPr>
          <w:p w14:paraId="0745465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75" w:type="dxa"/>
            <w:vMerge w:val="continue"/>
            <w:shd w:val="clear" w:color="auto" w:fill="FFFFFF"/>
            <w:vAlign w:val="center"/>
          </w:tcPr>
          <w:p w14:paraId="203B206B">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1371951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FCHBA卡兼容性</w:t>
            </w:r>
          </w:p>
        </w:tc>
        <w:tc>
          <w:tcPr>
            <w:tcW w:w="4269" w:type="dxa"/>
            <w:shd w:val="clear" w:color="auto" w:fill="FFFFFF"/>
            <w:vAlign w:val="center"/>
          </w:tcPr>
          <w:p w14:paraId="7191803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FCHBA应适配两种或以上厂商产品</w:t>
            </w:r>
          </w:p>
        </w:tc>
        <w:tc>
          <w:tcPr>
            <w:tcW w:w="1350" w:type="dxa"/>
            <w:shd w:val="clear" w:color="auto" w:fill="FFFFFF"/>
            <w:vAlign w:val="center"/>
          </w:tcPr>
          <w:p w14:paraId="278789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9798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45E9B7D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116</w:t>
            </w:r>
          </w:p>
        </w:tc>
        <w:tc>
          <w:tcPr>
            <w:tcW w:w="990" w:type="dxa"/>
            <w:shd w:val="clear" w:color="auto" w:fill="FFFFFF"/>
            <w:vAlign w:val="center"/>
          </w:tcPr>
          <w:p w14:paraId="4823B4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75" w:type="dxa"/>
            <w:vMerge w:val="continue"/>
            <w:shd w:val="clear" w:color="auto" w:fill="FFFFFF"/>
            <w:vAlign w:val="center"/>
          </w:tcPr>
          <w:p w14:paraId="1DDFC9D6">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43948C8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RAID卡兼容性</w:t>
            </w:r>
          </w:p>
        </w:tc>
        <w:tc>
          <w:tcPr>
            <w:tcW w:w="4269" w:type="dxa"/>
            <w:shd w:val="clear" w:color="auto" w:fill="FFFFFF"/>
            <w:vAlign w:val="center"/>
          </w:tcPr>
          <w:p w14:paraId="389C0B6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RAID卡应适配两种或以上厂商产品</w:t>
            </w:r>
          </w:p>
        </w:tc>
        <w:tc>
          <w:tcPr>
            <w:tcW w:w="1350" w:type="dxa"/>
            <w:shd w:val="clear" w:color="auto" w:fill="FFFFFF"/>
            <w:vAlign w:val="center"/>
          </w:tcPr>
          <w:p w14:paraId="59B63B9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73E5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066DAA4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117</w:t>
            </w:r>
          </w:p>
        </w:tc>
        <w:tc>
          <w:tcPr>
            <w:tcW w:w="990" w:type="dxa"/>
            <w:shd w:val="clear" w:color="auto" w:fill="FFFFFF"/>
            <w:vAlign w:val="center"/>
          </w:tcPr>
          <w:p w14:paraId="10AA3F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75" w:type="dxa"/>
            <w:vMerge w:val="restart"/>
            <w:shd w:val="clear" w:color="auto" w:fill="FFFFFF"/>
            <w:vAlign w:val="center"/>
          </w:tcPr>
          <w:p w14:paraId="00ABF53D">
            <w:pPr>
              <w:widowControl/>
              <w:jc w:val="center"/>
              <w:rPr>
                <w:rFonts w:asciiTheme="minorEastAsia" w:hAnsiTheme="minorEastAsia" w:eastAsiaTheme="minorEastAsia" w:cstheme="minorEastAsia"/>
                <w:kern w:val="0"/>
                <w:sz w:val="24"/>
              </w:rPr>
            </w:pPr>
          </w:p>
        </w:tc>
        <w:tc>
          <w:tcPr>
            <w:tcW w:w="1221" w:type="dxa"/>
            <w:shd w:val="clear" w:color="auto" w:fill="FFFFFF"/>
            <w:vAlign w:val="center"/>
          </w:tcPr>
          <w:p w14:paraId="0770F2A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★网卡兼容性</w:t>
            </w:r>
          </w:p>
        </w:tc>
        <w:tc>
          <w:tcPr>
            <w:tcW w:w="4269" w:type="dxa"/>
            <w:shd w:val="clear" w:color="auto" w:fill="FFFFFF"/>
            <w:vAlign w:val="center"/>
          </w:tcPr>
          <w:p w14:paraId="6DD6493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网卡应适配两种或以上厂商产品</w:t>
            </w:r>
          </w:p>
        </w:tc>
        <w:tc>
          <w:tcPr>
            <w:tcW w:w="1350" w:type="dxa"/>
            <w:shd w:val="clear" w:color="auto" w:fill="FFFFFF"/>
            <w:vAlign w:val="center"/>
          </w:tcPr>
          <w:p w14:paraId="2AED206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EABA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11284F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118</w:t>
            </w:r>
          </w:p>
        </w:tc>
        <w:tc>
          <w:tcPr>
            <w:tcW w:w="990" w:type="dxa"/>
            <w:shd w:val="clear" w:color="auto" w:fill="FFFFFF"/>
            <w:vAlign w:val="center"/>
          </w:tcPr>
          <w:p w14:paraId="508EBCD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75" w:type="dxa"/>
            <w:vMerge w:val="continue"/>
            <w:shd w:val="clear" w:color="auto" w:fill="FFFFFF"/>
            <w:vAlign w:val="center"/>
          </w:tcPr>
          <w:p w14:paraId="149D3BEC">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48C8228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★功能卡兼容性</w:t>
            </w:r>
          </w:p>
        </w:tc>
        <w:tc>
          <w:tcPr>
            <w:tcW w:w="4269" w:type="dxa"/>
            <w:shd w:val="clear" w:color="auto" w:fill="FFFFFF"/>
            <w:vAlign w:val="center"/>
          </w:tcPr>
          <w:p w14:paraId="7AEEC87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内置或适配符合PCIe的功能卡，如：网络功能卡、存储功能卡及图形显示功能卡</w:t>
            </w:r>
          </w:p>
        </w:tc>
        <w:tc>
          <w:tcPr>
            <w:tcW w:w="1350" w:type="dxa"/>
            <w:shd w:val="clear" w:color="auto" w:fill="FFFFFF"/>
            <w:vAlign w:val="center"/>
          </w:tcPr>
          <w:p w14:paraId="5860EC4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5E6A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744" w:type="dxa"/>
            <w:shd w:val="clear" w:color="auto" w:fill="FFFFFF"/>
            <w:vAlign w:val="center"/>
          </w:tcPr>
          <w:p w14:paraId="2769DAA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119</w:t>
            </w:r>
          </w:p>
        </w:tc>
        <w:tc>
          <w:tcPr>
            <w:tcW w:w="990" w:type="dxa"/>
            <w:shd w:val="clear" w:color="auto" w:fill="FFFFFF"/>
            <w:vAlign w:val="center"/>
          </w:tcPr>
          <w:p w14:paraId="6D503C8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75" w:type="dxa"/>
            <w:shd w:val="clear" w:color="auto" w:fill="FFFFFF"/>
            <w:vAlign w:val="center"/>
          </w:tcPr>
          <w:p w14:paraId="522E59C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外设兼容性</w:t>
            </w:r>
          </w:p>
        </w:tc>
        <w:tc>
          <w:tcPr>
            <w:tcW w:w="1221" w:type="dxa"/>
            <w:shd w:val="clear" w:color="auto" w:fill="FFFFFF"/>
            <w:vAlign w:val="center"/>
          </w:tcPr>
          <w:p w14:paraId="1BD57A2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★外设兼容性</w:t>
            </w:r>
          </w:p>
        </w:tc>
        <w:tc>
          <w:tcPr>
            <w:tcW w:w="4269" w:type="dxa"/>
            <w:shd w:val="clear" w:color="auto" w:fill="FFFFFF"/>
            <w:vAlign w:val="center"/>
          </w:tcPr>
          <w:p w14:paraId="2BBF461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兼容多种主流生产商的外部设备，包括显示器、键盘、鼠标、闪存盘、移动硬盘、USB光驱及KVM等，要求使用不同厂商的外部设备时，系统均能正常识别和安装驱动</w:t>
            </w:r>
          </w:p>
        </w:tc>
        <w:tc>
          <w:tcPr>
            <w:tcW w:w="1350" w:type="dxa"/>
            <w:shd w:val="clear" w:color="auto" w:fill="FFFFFF"/>
            <w:vAlign w:val="center"/>
          </w:tcPr>
          <w:p w14:paraId="7AACDC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4334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775E9E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120</w:t>
            </w:r>
          </w:p>
        </w:tc>
        <w:tc>
          <w:tcPr>
            <w:tcW w:w="990" w:type="dxa"/>
            <w:shd w:val="clear" w:color="auto" w:fill="FFFFFF"/>
            <w:vAlign w:val="center"/>
          </w:tcPr>
          <w:p w14:paraId="6328980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75" w:type="dxa"/>
            <w:vMerge w:val="restart"/>
            <w:shd w:val="clear" w:color="auto" w:fill="FFFFFF"/>
            <w:vAlign w:val="center"/>
          </w:tcPr>
          <w:p w14:paraId="6C6CAE7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软件兼容性</w:t>
            </w:r>
          </w:p>
        </w:tc>
        <w:tc>
          <w:tcPr>
            <w:tcW w:w="1221" w:type="dxa"/>
            <w:shd w:val="clear" w:color="auto" w:fill="FFFFFF"/>
            <w:vAlign w:val="center"/>
          </w:tcPr>
          <w:p w14:paraId="325FE57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★数据库兼容</w:t>
            </w:r>
          </w:p>
        </w:tc>
        <w:tc>
          <w:tcPr>
            <w:tcW w:w="4269" w:type="dxa"/>
            <w:shd w:val="clear" w:color="auto" w:fill="FFFFFF"/>
            <w:vAlign w:val="center"/>
          </w:tcPr>
          <w:p w14:paraId="2CC723D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兼容3个及以上厂商的数据库产品</w:t>
            </w:r>
          </w:p>
        </w:tc>
        <w:tc>
          <w:tcPr>
            <w:tcW w:w="1350" w:type="dxa"/>
            <w:shd w:val="clear" w:color="auto" w:fill="FFFFFF"/>
            <w:vAlign w:val="center"/>
          </w:tcPr>
          <w:p w14:paraId="7868262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CC9D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35449B3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121</w:t>
            </w:r>
          </w:p>
        </w:tc>
        <w:tc>
          <w:tcPr>
            <w:tcW w:w="990" w:type="dxa"/>
            <w:shd w:val="clear" w:color="auto" w:fill="FFFFFF"/>
            <w:vAlign w:val="center"/>
          </w:tcPr>
          <w:p w14:paraId="65A27E7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75" w:type="dxa"/>
            <w:vMerge w:val="continue"/>
            <w:shd w:val="clear" w:color="auto" w:fill="FFFFFF"/>
            <w:vAlign w:val="center"/>
          </w:tcPr>
          <w:p w14:paraId="141D3309">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4DE7666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★中间件兼容</w:t>
            </w:r>
          </w:p>
        </w:tc>
        <w:tc>
          <w:tcPr>
            <w:tcW w:w="4269" w:type="dxa"/>
            <w:shd w:val="clear" w:color="auto" w:fill="FFFFFF"/>
            <w:vAlign w:val="center"/>
          </w:tcPr>
          <w:p w14:paraId="1882E17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兼容3个及以上厂商的中间件产品</w:t>
            </w:r>
          </w:p>
        </w:tc>
        <w:tc>
          <w:tcPr>
            <w:tcW w:w="1350" w:type="dxa"/>
            <w:shd w:val="clear" w:color="auto" w:fill="FFFFFF"/>
            <w:vAlign w:val="center"/>
          </w:tcPr>
          <w:p w14:paraId="15E8508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41F3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1C8F91C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122</w:t>
            </w:r>
          </w:p>
        </w:tc>
        <w:tc>
          <w:tcPr>
            <w:tcW w:w="990" w:type="dxa"/>
            <w:shd w:val="clear" w:color="auto" w:fill="FFFFFF"/>
            <w:vAlign w:val="center"/>
          </w:tcPr>
          <w:p w14:paraId="2D8F9D5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75" w:type="dxa"/>
            <w:vMerge w:val="continue"/>
            <w:shd w:val="clear" w:color="auto" w:fill="FFFFFF"/>
            <w:vAlign w:val="center"/>
          </w:tcPr>
          <w:p w14:paraId="5DC47DE3">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6DE7BE2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★平台软件兼容</w:t>
            </w:r>
          </w:p>
        </w:tc>
        <w:tc>
          <w:tcPr>
            <w:tcW w:w="4269" w:type="dxa"/>
            <w:shd w:val="clear" w:color="auto" w:fill="FFFFFF"/>
            <w:vAlign w:val="center"/>
          </w:tcPr>
          <w:p w14:paraId="74C55D6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兼容3个及以上厂商的大数据平台</w:t>
            </w:r>
          </w:p>
        </w:tc>
        <w:tc>
          <w:tcPr>
            <w:tcW w:w="1350" w:type="dxa"/>
            <w:shd w:val="clear" w:color="auto" w:fill="FFFFFF"/>
            <w:vAlign w:val="center"/>
          </w:tcPr>
          <w:p w14:paraId="6D7EECC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D731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037294B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123</w:t>
            </w:r>
          </w:p>
        </w:tc>
        <w:tc>
          <w:tcPr>
            <w:tcW w:w="990" w:type="dxa"/>
            <w:shd w:val="clear" w:color="auto" w:fill="FFFFFF"/>
            <w:vAlign w:val="center"/>
          </w:tcPr>
          <w:p w14:paraId="3F2CA2F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75" w:type="dxa"/>
            <w:vMerge w:val="continue"/>
            <w:shd w:val="clear" w:color="auto" w:fill="FFFFFF"/>
            <w:vAlign w:val="center"/>
          </w:tcPr>
          <w:p w14:paraId="15669AD2">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239BB11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虚拟化软件兼容</w:t>
            </w:r>
          </w:p>
        </w:tc>
        <w:tc>
          <w:tcPr>
            <w:tcW w:w="4269" w:type="dxa"/>
            <w:shd w:val="clear" w:color="auto" w:fill="FFFFFF"/>
            <w:vAlign w:val="center"/>
          </w:tcPr>
          <w:p w14:paraId="58CDB80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兼容2款及以上虚拟化软件</w:t>
            </w:r>
          </w:p>
        </w:tc>
        <w:tc>
          <w:tcPr>
            <w:tcW w:w="1350" w:type="dxa"/>
            <w:shd w:val="clear" w:color="auto" w:fill="FFFFFF"/>
            <w:vAlign w:val="center"/>
          </w:tcPr>
          <w:p w14:paraId="4112D07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5B9A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6BAACBC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124</w:t>
            </w:r>
          </w:p>
        </w:tc>
        <w:tc>
          <w:tcPr>
            <w:tcW w:w="990" w:type="dxa"/>
            <w:shd w:val="clear" w:color="auto" w:fill="FFFFFF"/>
            <w:vAlign w:val="center"/>
          </w:tcPr>
          <w:p w14:paraId="51DD5B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75" w:type="dxa"/>
            <w:shd w:val="clear" w:color="auto" w:fill="FFFFFF"/>
            <w:vAlign w:val="center"/>
          </w:tcPr>
          <w:p w14:paraId="59F347F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存储可靠性要求</w:t>
            </w:r>
          </w:p>
        </w:tc>
        <w:tc>
          <w:tcPr>
            <w:tcW w:w="1221" w:type="dxa"/>
            <w:shd w:val="clear" w:color="auto" w:fill="FFFFFF"/>
            <w:vAlign w:val="center"/>
          </w:tcPr>
          <w:p w14:paraId="4CD09B1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SATASSD可靠性</w:t>
            </w:r>
          </w:p>
        </w:tc>
        <w:tc>
          <w:tcPr>
            <w:tcW w:w="4269" w:type="dxa"/>
            <w:shd w:val="clear" w:color="auto" w:fill="FFFFFF"/>
            <w:vAlign w:val="center"/>
          </w:tcPr>
          <w:p w14:paraId="09AC306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SSD的m1值（MTBF的不可接受值）不低于200000h</w:t>
            </w:r>
          </w:p>
        </w:tc>
        <w:tc>
          <w:tcPr>
            <w:tcW w:w="1350" w:type="dxa"/>
            <w:shd w:val="clear" w:color="auto" w:fill="FFFFFF"/>
            <w:vAlign w:val="center"/>
          </w:tcPr>
          <w:p w14:paraId="3802209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E870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3A1081B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125</w:t>
            </w:r>
          </w:p>
        </w:tc>
        <w:tc>
          <w:tcPr>
            <w:tcW w:w="990" w:type="dxa"/>
            <w:shd w:val="clear" w:color="auto" w:fill="FFFFFF"/>
            <w:vAlign w:val="center"/>
          </w:tcPr>
          <w:p w14:paraId="499F487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75" w:type="dxa"/>
            <w:vMerge w:val="restart"/>
            <w:shd w:val="clear" w:color="auto" w:fill="FFFFFF"/>
            <w:vAlign w:val="center"/>
          </w:tcPr>
          <w:p w14:paraId="6CF4333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整机可靠性要求</w:t>
            </w:r>
          </w:p>
        </w:tc>
        <w:tc>
          <w:tcPr>
            <w:tcW w:w="1221" w:type="dxa"/>
            <w:shd w:val="clear" w:color="auto" w:fill="FFFFFF"/>
            <w:vAlign w:val="center"/>
          </w:tcPr>
          <w:p w14:paraId="219A9D0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★整机可靠性</w:t>
            </w:r>
          </w:p>
        </w:tc>
        <w:tc>
          <w:tcPr>
            <w:tcW w:w="4269" w:type="dxa"/>
            <w:shd w:val="clear" w:color="auto" w:fill="FFFFFF"/>
            <w:vAlign w:val="center"/>
          </w:tcPr>
          <w:p w14:paraId="655FB36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m1值（MTBF的不可接受值）不得低于30000h</w:t>
            </w:r>
          </w:p>
        </w:tc>
        <w:tc>
          <w:tcPr>
            <w:tcW w:w="1350" w:type="dxa"/>
            <w:shd w:val="clear" w:color="auto" w:fill="FFFFFF"/>
            <w:vAlign w:val="center"/>
          </w:tcPr>
          <w:p w14:paraId="7C3221C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7F04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79D1E8E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126</w:t>
            </w:r>
          </w:p>
        </w:tc>
        <w:tc>
          <w:tcPr>
            <w:tcW w:w="990" w:type="dxa"/>
            <w:shd w:val="clear" w:color="auto" w:fill="FFFFFF"/>
            <w:vAlign w:val="center"/>
          </w:tcPr>
          <w:p w14:paraId="3C4F563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75" w:type="dxa"/>
            <w:vMerge w:val="continue"/>
            <w:shd w:val="clear" w:color="auto" w:fill="FFFFFF"/>
            <w:vAlign w:val="center"/>
          </w:tcPr>
          <w:p w14:paraId="06BC8572">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763A58F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★风扇可靠性</w:t>
            </w:r>
          </w:p>
        </w:tc>
        <w:tc>
          <w:tcPr>
            <w:tcW w:w="4269" w:type="dxa"/>
            <w:shd w:val="clear" w:color="auto" w:fill="FFFFFF"/>
            <w:vAlign w:val="center"/>
          </w:tcPr>
          <w:p w14:paraId="0EADFB0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风扇寿命应不低于40000h</w:t>
            </w:r>
          </w:p>
        </w:tc>
        <w:tc>
          <w:tcPr>
            <w:tcW w:w="1350" w:type="dxa"/>
            <w:shd w:val="clear" w:color="auto" w:fill="FFFFFF"/>
            <w:vAlign w:val="center"/>
          </w:tcPr>
          <w:p w14:paraId="0771F98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1A68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58CD4E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127</w:t>
            </w:r>
          </w:p>
        </w:tc>
        <w:tc>
          <w:tcPr>
            <w:tcW w:w="990" w:type="dxa"/>
            <w:shd w:val="clear" w:color="auto" w:fill="FFFFFF"/>
            <w:vAlign w:val="center"/>
          </w:tcPr>
          <w:p w14:paraId="196D62C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75" w:type="dxa"/>
            <w:vMerge w:val="continue"/>
            <w:shd w:val="clear" w:color="auto" w:fill="FFFFFF"/>
            <w:vAlign w:val="center"/>
          </w:tcPr>
          <w:p w14:paraId="5F84AB70">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65E12A1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★部件可靠性</w:t>
            </w:r>
          </w:p>
        </w:tc>
        <w:tc>
          <w:tcPr>
            <w:tcW w:w="4269" w:type="dxa"/>
            <w:shd w:val="clear" w:color="auto" w:fill="FFFFFF"/>
            <w:vAlign w:val="center"/>
          </w:tcPr>
          <w:p w14:paraId="7A458FB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支持硬盘、电源、风扇热插拔（内置风扇除外）</w:t>
            </w:r>
          </w:p>
        </w:tc>
        <w:tc>
          <w:tcPr>
            <w:tcW w:w="1350" w:type="dxa"/>
            <w:shd w:val="clear" w:color="auto" w:fill="FFFFFF"/>
            <w:vAlign w:val="center"/>
          </w:tcPr>
          <w:p w14:paraId="581C88E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8308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70B26E1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128</w:t>
            </w:r>
          </w:p>
        </w:tc>
        <w:tc>
          <w:tcPr>
            <w:tcW w:w="990" w:type="dxa"/>
            <w:shd w:val="clear" w:color="auto" w:fill="FFFFFF"/>
            <w:vAlign w:val="center"/>
          </w:tcPr>
          <w:p w14:paraId="6131C1F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包装及运输要求</w:t>
            </w:r>
          </w:p>
        </w:tc>
        <w:tc>
          <w:tcPr>
            <w:tcW w:w="975" w:type="dxa"/>
            <w:shd w:val="clear" w:color="auto" w:fill="FFFFFF"/>
            <w:vAlign w:val="center"/>
          </w:tcPr>
          <w:p w14:paraId="4D2E57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包装及运输要求</w:t>
            </w:r>
          </w:p>
        </w:tc>
        <w:tc>
          <w:tcPr>
            <w:tcW w:w="1221" w:type="dxa"/>
            <w:shd w:val="clear" w:color="auto" w:fill="FFFFFF"/>
            <w:vAlign w:val="center"/>
          </w:tcPr>
          <w:p w14:paraId="2727143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★标志、包装、运输和贮存</w:t>
            </w:r>
          </w:p>
        </w:tc>
        <w:tc>
          <w:tcPr>
            <w:tcW w:w="4269" w:type="dxa"/>
            <w:shd w:val="clear" w:color="auto" w:fill="FFFFFF"/>
            <w:vAlign w:val="center"/>
          </w:tcPr>
          <w:p w14:paraId="07BCD12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符合GB/T9813.3和商品包装政府采购需求标准的相关规定</w:t>
            </w:r>
          </w:p>
        </w:tc>
        <w:tc>
          <w:tcPr>
            <w:tcW w:w="1350" w:type="dxa"/>
            <w:shd w:val="clear" w:color="auto" w:fill="FFFFFF"/>
            <w:vAlign w:val="center"/>
          </w:tcPr>
          <w:p w14:paraId="3781215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B743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744" w:type="dxa"/>
            <w:shd w:val="clear" w:color="auto" w:fill="FFFFFF"/>
            <w:vAlign w:val="center"/>
          </w:tcPr>
          <w:p w14:paraId="07E1C20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129</w:t>
            </w:r>
          </w:p>
        </w:tc>
        <w:tc>
          <w:tcPr>
            <w:tcW w:w="990" w:type="dxa"/>
            <w:shd w:val="clear" w:color="auto" w:fill="FFFFFF"/>
            <w:vAlign w:val="center"/>
          </w:tcPr>
          <w:p w14:paraId="6A496C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75" w:type="dxa"/>
            <w:vMerge w:val="restart"/>
            <w:shd w:val="clear" w:color="auto" w:fill="FFFFFF"/>
            <w:vAlign w:val="center"/>
          </w:tcPr>
          <w:p w14:paraId="2625A5B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服务响应</w:t>
            </w:r>
          </w:p>
        </w:tc>
        <w:tc>
          <w:tcPr>
            <w:tcW w:w="1221" w:type="dxa"/>
            <w:shd w:val="clear" w:color="auto" w:fill="FFFFFF"/>
            <w:vAlign w:val="center"/>
          </w:tcPr>
          <w:p w14:paraId="48010AC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★服务响应</w:t>
            </w:r>
          </w:p>
        </w:tc>
        <w:tc>
          <w:tcPr>
            <w:tcW w:w="4269" w:type="dxa"/>
            <w:shd w:val="clear" w:color="auto" w:fill="FFFFFF"/>
            <w:vAlign w:val="center"/>
          </w:tcPr>
          <w:p w14:paraId="59A8B5B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提供电话、电子邮件、远程连接等多种形式服务；b）提供同城4h、异地12h技术响应服务，2个工作日解决问题，对于未能解决的问题和故障应提供可行的升级方案，并提供周转设备；c）建立全国技术服务体系和服务团体，符合专业服务体系标准要求，提供原厂中文服务；d）服务周期内提供产品的维修、换件和升级服务</w:t>
            </w:r>
          </w:p>
        </w:tc>
        <w:tc>
          <w:tcPr>
            <w:tcW w:w="1350" w:type="dxa"/>
            <w:shd w:val="clear" w:color="auto" w:fill="FFFFFF"/>
            <w:vAlign w:val="center"/>
          </w:tcPr>
          <w:p w14:paraId="099C42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FF2B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5476408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130</w:t>
            </w:r>
          </w:p>
        </w:tc>
        <w:tc>
          <w:tcPr>
            <w:tcW w:w="990" w:type="dxa"/>
            <w:shd w:val="clear" w:color="auto" w:fill="FFFFFF"/>
            <w:vAlign w:val="center"/>
          </w:tcPr>
          <w:p w14:paraId="2F684F2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75" w:type="dxa"/>
            <w:vMerge w:val="continue"/>
            <w:shd w:val="clear" w:color="auto" w:fill="FFFFFF"/>
            <w:vAlign w:val="center"/>
          </w:tcPr>
          <w:p w14:paraId="118BFBA6">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6FD7F58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★培训服务</w:t>
            </w:r>
          </w:p>
        </w:tc>
        <w:tc>
          <w:tcPr>
            <w:tcW w:w="4269" w:type="dxa"/>
            <w:shd w:val="clear" w:color="auto" w:fill="FFFFFF"/>
            <w:vAlign w:val="center"/>
          </w:tcPr>
          <w:p w14:paraId="417C9FF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供应商提供培训材料、产品手册、培训视频等培训相关内容</w:t>
            </w:r>
          </w:p>
        </w:tc>
        <w:tc>
          <w:tcPr>
            <w:tcW w:w="1350" w:type="dxa"/>
            <w:shd w:val="clear" w:color="auto" w:fill="FFFFFF"/>
            <w:vAlign w:val="center"/>
          </w:tcPr>
          <w:p w14:paraId="105DA5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A17A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744" w:type="dxa"/>
            <w:shd w:val="clear" w:color="auto" w:fill="FFFFFF"/>
            <w:vAlign w:val="center"/>
          </w:tcPr>
          <w:p w14:paraId="3F8A9CF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131</w:t>
            </w:r>
          </w:p>
        </w:tc>
        <w:tc>
          <w:tcPr>
            <w:tcW w:w="990" w:type="dxa"/>
            <w:shd w:val="clear" w:color="auto" w:fill="FFFFFF"/>
            <w:vAlign w:val="center"/>
          </w:tcPr>
          <w:p w14:paraId="75AF8C6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75" w:type="dxa"/>
            <w:shd w:val="clear" w:color="auto" w:fill="FFFFFF"/>
            <w:vAlign w:val="center"/>
          </w:tcPr>
          <w:p w14:paraId="40174BB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服务周期</w:t>
            </w:r>
          </w:p>
        </w:tc>
        <w:tc>
          <w:tcPr>
            <w:tcW w:w="1221" w:type="dxa"/>
            <w:shd w:val="clear" w:color="auto" w:fill="FFFFFF"/>
            <w:vAlign w:val="center"/>
          </w:tcPr>
          <w:p w14:paraId="3009BC9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★服务周期</w:t>
            </w:r>
          </w:p>
        </w:tc>
        <w:tc>
          <w:tcPr>
            <w:tcW w:w="4269" w:type="dxa"/>
            <w:shd w:val="clear" w:color="auto" w:fill="FFFFFF"/>
            <w:vAlign w:val="center"/>
          </w:tcPr>
          <w:p w14:paraId="7E318BB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产品免费服务周期（含换件和维修）应不小于6年；b）设备停产后继续提供质量保障服务（含备品备件），服务终止时间与最后一批设备交付时间间隔不低于6年；c）产品停止服务时间应提前1年告知客户；d）产品发布日期需在技术文件或者技术白皮书中明确</w:t>
            </w:r>
          </w:p>
        </w:tc>
        <w:tc>
          <w:tcPr>
            <w:tcW w:w="1350" w:type="dxa"/>
            <w:shd w:val="clear" w:color="auto" w:fill="FFFFFF"/>
            <w:vAlign w:val="center"/>
          </w:tcPr>
          <w:p w14:paraId="6777B0A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57BF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44" w:type="dxa"/>
            <w:shd w:val="clear" w:color="auto" w:fill="FFFFFF"/>
            <w:vAlign w:val="center"/>
          </w:tcPr>
          <w:p w14:paraId="6A5252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132</w:t>
            </w:r>
          </w:p>
        </w:tc>
        <w:tc>
          <w:tcPr>
            <w:tcW w:w="990" w:type="dxa"/>
            <w:shd w:val="clear" w:color="auto" w:fill="FFFFFF"/>
            <w:vAlign w:val="center"/>
          </w:tcPr>
          <w:p w14:paraId="298219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75" w:type="dxa"/>
            <w:vMerge w:val="restart"/>
            <w:shd w:val="clear" w:color="auto" w:fill="FFFFFF"/>
            <w:vAlign w:val="center"/>
          </w:tcPr>
          <w:p w14:paraId="64B665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服务工具要求</w:t>
            </w:r>
          </w:p>
        </w:tc>
        <w:tc>
          <w:tcPr>
            <w:tcW w:w="1221" w:type="dxa"/>
            <w:shd w:val="clear" w:color="auto" w:fill="FFFFFF"/>
            <w:vAlign w:val="center"/>
          </w:tcPr>
          <w:p w14:paraId="4FBE365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★工具要求</w:t>
            </w:r>
          </w:p>
        </w:tc>
        <w:tc>
          <w:tcPr>
            <w:tcW w:w="4269" w:type="dxa"/>
            <w:shd w:val="clear" w:color="auto" w:fill="FFFFFF"/>
            <w:vAlign w:val="center"/>
          </w:tcPr>
          <w:p w14:paraId="69E9254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供应商提供设置服务器硬件、辅助操作系统安装等功能的辅助工具和管理软件。且随附软件应具有合法授权或版权</w:t>
            </w:r>
          </w:p>
        </w:tc>
        <w:tc>
          <w:tcPr>
            <w:tcW w:w="1350" w:type="dxa"/>
            <w:shd w:val="clear" w:color="auto" w:fill="FFFFFF"/>
            <w:vAlign w:val="center"/>
          </w:tcPr>
          <w:p w14:paraId="12817B1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F510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44" w:type="dxa"/>
            <w:shd w:val="clear" w:color="auto" w:fill="FFFFFF"/>
            <w:vAlign w:val="center"/>
          </w:tcPr>
          <w:p w14:paraId="79C5AA1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133</w:t>
            </w:r>
          </w:p>
        </w:tc>
        <w:tc>
          <w:tcPr>
            <w:tcW w:w="990" w:type="dxa"/>
            <w:shd w:val="clear" w:color="auto" w:fill="FFFFFF"/>
            <w:vAlign w:val="center"/>
          </w:tcPr>
          <w:p w14:paraId="5C60F9D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75" w:type="dxa"/>
            <w:vMerge w:val="continue"/>
            <w:shd w:val="clear" w:color="auto" w:fill="FFFFFF"/>
            <w:vAlign w:val="center"/>
          </w:tcPr>
          <w:p w14:paraId="40D530CB">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4BF8FDA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辅助工具</w:t>
            </w:r>
          </w:p>
        </w:tc>
        <w:tc>
          <w:tcPr>
            <w:tcW w:w="4269" w:type="dxa"/>
            <w:shd w:val="clear" w:color="auto" w:fill="FFFFFF"/>
            <w:vAlign w:val="center"/>
          </w:tcPr>
          <w:p w14:paraId="5504B72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支持如下功能a）本地的数据备份和还原功能；b）网络的数据备份和还原功能；c）通用服务器操作系统的自动安装功能；d）服务器所配硬件需要的驱动程序和系统补丁</w:t>
            </w:r>
          </w:p>
        </w:tc>
        <w:tc>
          <w:tcPr>
            <w:tcW w:w="1350" w:type="dxa"/>
            <w:shd w:val="clear" w:color="auto" w:fill="FFFFFF"/>
            <w:vAlign w:val="center"/>
          </w:tcPr>
          <w:p w14:paraId="3A0A630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C8CF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44" w:type="dxa"/>
            <w:shd w:val="clear" w:color="auto" w:fill="FFFFFF"/>
            <w:vAlign w:val="center"/>
          </w:tcPr>
          <w:p w14:paraId="382A758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134</w:t>
            </w:r>
          </w:p>
        </w:tc>
        <w:tc>
          <w:tcPr>
            <w:tcW w:w="990" w:type="dxa"/>
            <w:shd w:val="clear" w:color="auto" w:fill="FFFFFF"/>
            <w:vAlign w:val="center"/>
          </w:tcPr>
          <w:p w14:paraId="257792C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75" w:type="dxa"/>
            <w:vMerge w:val="continue"/>
            <w:shd w:val="clear" w:color="auto" w:fill="FFFFFF"/>
            <w:vAlign w:val="center"/>
          </w:tcPr>
          <w:p w14:paraId="08C17BEA">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45E7BE2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★驱动安装升级指引</w:t>
            </w:r>
          </w:p>
        </w:tc>
        <w:tc>
          <w:tcPr>
            <w:tcW w:w="4269" w:type="dxa"/>
            <w:shd w:val="clear" w:color="auto" w:fill="FFFFFF"/>
            <w:vAlign w:val="center"/>
          </w:tcPr>
          <w:p w14:paraId="04111ED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供应商提供出厂安装的配件所需的驱动程序，形式包括但不限于驱动光盘、驱动下载链接等。其他配件应提供指引</w:t>
            </w:r>
          </w:p>
        </w:tc>
        <w:tc>
          <w:tcPr>
            <w:tcW w:w="1350" w:type="dxa"/>
            <w:shd w:val="clear" w:color="auto" w:fill="FFFFFF"/>
            <w:vAlign w:val="center"/>
          </w:tcPr>
          <w:p w14:paraId="5085419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0F80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5C7D683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135</w:t>
            </w:r>
          </w:p>
        </w:tc>
        <w:tc>
          <w:tcPr>
            <w:tcW w:w="990" w:type="dxa"/>
            <w:shd w:val="clear" w:color="auto" w:fill="FFFFFF"/>
            <w:vAlign w:val="center"/>
          </w:tcPr>
          <w:p w14:paraId="0CB10EA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75" w:type="dxa"/>
            <w:vMerge w:val="continue"/>
            <w:shd w:val="clear" w:color="auto" w:fill="FFFFFF"/>
            <w:vAlign w:val="center"/>
          </w:tcPr>
          <w:p w14:paraId="2DC69DF9">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57B677C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随机附开盖工具</w:t>
            </w:r>
          </w:p>
        </w:tc>
        <w:tc>
          <w:tcPr>
            <w:tcW w:w="4269" w:type="dxa"/>
            <w:shd w:val="clear" w:color="auto" w:fill="FFFFFF"/>
            <w:vAlign w:val="center"/>
          </w:tcPr>
          <w:p w14:paraId="528C3D3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随服务器打包提供开机箱工具</w:t>
            </w:r>
          </w:p>
        </w:tc>
        <w:tc>
          <w:tcPr>
            <w:tcW w:w="1350" w:type="dxa"/>
            <w:shd w:val="clear" w:color="auto" w:fill="FFFFFF"/>
            <w:vAlign w:val="center"/>
          </w:tcPr>
          <w:p w14:paraId="7D05F89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4824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744" w:type="dxa"/>
            <w:shd w:val="clear" w:color="auto" w:fill="FFFFFF"/>
            <w:vAlign w:val="center"/>
          </w:tcPr>
          <w:p w14:paraId="18AF0F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136</w:t>
            </w:r>
          </w:p>
        </w:tc>
        <w:tc>
          <w:tcPr>
            <w:tcW w:w="990" w:type="dxa"/>
            <w:shd w:val="clear" w:color="auto" w:fill="FFFFFF"/>
            <w:vAlign w:val="center"/>
          </w:tcPr>
          <w:p w14:paraId="1D27EF9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75" w:type="dxa"/>
            <w:vMerge w:val="continue"/>
            <w:shd w:val="clear" w:color="auto" w:fill="FFFFFF"/>
            <w:vAlign w:val="center"/>
          </w:tcPr>
          <w:p w14:paraId="2795B887">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05A927E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代码迁移工具</w:t>
            </w:r>
          </w:p>
        </w:tc>
        <w:tc>
          <w:tcPr>
            <w:tcW w:w="4269" w:type="dxa"/>
            <w:shd w:val="clear" w:color="auto" w:fill="FFFFFF"/>
            <w:vAlign w:val="center"/>
          </w:tcPr>
          <w:p w14:paraId="6C074AE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从其他CPU架构到当前服务器CPU架构的软件迁移工具产品，支持软件包迁移评估，对满足产品重构要求的软件包，能重构为当前服务器CPU架构的软件包。提供源码迁移功能，检查分析C/C++/Fortran/Go/解释型语言/汇编等源码文件，基于产品功能给出迁移指导</w:t>
            </w:r>
          </w:p>
        </w:tc>
        <w:tc>
          <w:tcPr>
            <w:tcW w:w="1350" w:type="dxa"/>
            <w:shd w:val="clear" w:color="auto" w:fill="FFFFFF"/>
            <w:vAlign w:val="center"/>
          </w:tcPr>
          <w:p w14:paraId="3CF812C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28E9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44" w:type="dxa"/>
            <w:shd w:val="clear" w:color="auto" w:fill="FFFFFF"/>
            <w:vAlign w:val="center"/>
          </w:tcPr>
          <w:p w14:paraId="764A4E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137</w:t>
            </w:r>
          </w:p>
        </w:tc>
        <w:tc>
          <w:tcPr>
            <w:tcW w:w="990" w:type="dxa"/>
            <w:shd w:val="clear" w:color="auto" w:fill="FFFFFF"/>
            <w:vAlign w:val="center"/>
          </w:tcPr>
          <w:p w14:paraId="285AFAD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75" w:type="dxa"/>
            <w:vMerge w:val="continue"/>
            <w:shd w:val="clear" w:color="auto" w:fill="FFFFFF"/>
            <w:vAlign w:val="center"/>
          </w:tcPr>
          <w:p w14:paraId="5917F76D">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38AFD9D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性能分析工具</w:t>
            </w:r>
          </w:p>
        </w:tc>
        <w:tc>
          <w:tcPr>
            <w:tcW w:w="4269" w:type="dxa"/>
            <w:shd w:val="clear" w:color="auto" w:fill="FFFFFF"/>
            <w:vAlign w:val="center"/>
          </w:tcPr>
          <w:p w14:paraId="4C13650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供应商提供支持当前服务器CPU架构的性能分析工具产品，支持系统性能分析、Java性能分析和系统诊断，可分析系统或应用在CPU、内存、IO、网络等方面的性能，并给出优化建议</w:t>
            </w:r>
          </w:p>
        </w:tc>
        <w:tc>
          <w:tcPr>
            <w:tcW w:w="1350" w:type="dxa"/>
            <w:shd w:val="clear" w:color="auto" w:fill="FFFFFF"/>
            <w:vAlign w:val="center"/>
          </w:tcPr>
          <w:p w14:paraId="5D1CE12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FC0D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005CA47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138</w:t>
            </w:r>
          </w:p>
        </w:tc>
        <w:tc>
          <w:tcPr>
            <w:tcW w:w="990" w:type="dxa"/>
            <w:shd w:val="clear" w:color="auto" w:fill="FFFFFF"/>
            <w:vAlign w:val="center"/>
          </w:tcPr>
          <w:p w14:paraId="6637EBF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75" w:type="dxa"/>
            <w:vMerge w:val="continue"/>
            <w:shd w:val="clear" w:color="auto" w:fill="FFFFFF"/>
            <w:vAlign w:val="center"/>
          </w:tcPr>
          <w:p w14:paraId="74AA7D75">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2E66198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跨架构平台应用兼容</w:t>
            </w:r>
          </w:p>
        </w:tc>
        <w:tc>
          <w:tcPr>
            <w:tcW w:w="4269" w:type="dxa"/>
            <w:shd w:val="clear" w:color="auto" w:fill="FFFFFF"/>
            <w:vAlign w:val="center"/>
          </w:tcPr>
          <w:p w14:paraId="3E1DD4C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跨CPU架构平台应用兼容工具，可兼容一种或者一种以上不同架构平台的应用</w:t>
            </w:r>
          </w:p>
        </w:tc>
        <w:tc>
          <w:tcPr>
            <w:tcW w:w="1350" w:type="dxa"/>
            <w:shd w:val="clear" w:color="auto" w:fill="FFFFFF"/>
            <w:vAlign w:val="center"/>
          </w:tcPr>
          <w:p w14:paraId="0987112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B20A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6BC20DF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139</w:t>
            </w:r>
          </w:p>
        </w:tc>
        <w:tc>
          <w:tcPr>
            <w:tcW w:w="990" w:type="dxa"/>
            <w:shd w:val="clear" w:color="auto" w:fill="FFFFFF"/>
            <w:vAlign w:val="center"/>
          </w:tcPr>
          <w:p w14:paraId="0BB0BB3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75" w:type="dxa"/>
            <w:vMerge w:val="continue"/>
            <w:shd w:val="clear" w:color="auto" w:fill="FFFFFF"/>
            <w:vAlign w:val="center"/>
          </w:tcPr>
          <w:p w14:paraId="57A0E4AB">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00DD2C4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★管理软件</w:t>
            </w:r>
          </w:p>
        </w:tc>
        <w:tc>
          <w:tcPr>
            <w:tcW w:w="4269" w:type="dxa"/>
            <w:shd w:val="clear" w:color="auto" w:fill="FFFFFF"/>
            <w:vAlign w:val="center"/>
          </w:tcPr>
          <w:p w14:paraId="7CBF1E5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具备资源管理、系统管理、性能监控、健康监控、基于网络控制、报警设置功能</w:t>
            </w:r>
          </w:p>
        </w:tc>
        <w:tc>
          <w:tcPr>
            <w:tcW w:w="1350" w:type="dxa"/>
            <w:shd w:val="clear" w:color="auto" w:fill="FFFFFF"/>
            <w:vAlign w:val="center"/>
          </w:tcPr>
          <w:p w14:paraId="0336962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A083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4443C2A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140</w:t>
            </w:r>
          </w:p>
        </w:tc>
        <w:tc>
          <w:tcPr>
            <w:tcW w:w="990" w:type="dxa"/>
            <w:shd w:val="clear" w:color="auto" w:fill="FFFFFF"/>
            <w:vAlign w:val="center"/>
          </w:tcPr>
          <w:p w14:paraId="074C58F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75" w:type="dxa"/>
            <w:vMerge w:val="restart"/>
            <w:shd w:val="clear" w:color="auto" w:fill="FFFFFF"/>
            <w:vAlign w:val="center"/>
          </w:tcPr>
          <w:p w14:paraId="3AC8B42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增值服务</w:t>
            </w:r>
          </w:p>
        </w:tc>
        <w:tc>
          <w:tcPr>
            <w:tcW w:w="1221" w:type="dxa"/>
            <w:shd w:val="clear" w:color="auto" w:fill="FFFFFF"/>
            <w:vAlign w:val="center"/>
          </w:tcPr>
          <w:p w14:paraId="2CA6E0D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★厂家升级产品软件与扩容服务</w:t>
            </w:r>
          </w:p>
        </w:tc>
        <w:tc>
          <w:tcPr>
            <w:tcW w:w="4269" w:type="dxa"/>
            <w:shd w:val="clear" w:color="auto" w:fill="FFFFFF"/>
            <w:vAlign w:val="center"/>
          </w:tcPr>
          <w:p w14:paraId="56836EE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供应商提供原厂级的部件/软件产品升级和扩容能力</w:t>
            </w:r>
          </w:p>
        </w:tc>
        <w:tc>
          <w:tcPr>
            <w:tcW w:w="1350" w:type="dxa"/>
            <w:shd w:val="clear" w:color="auto" w:fill="FFFFFF"/>
            <w:vAlign w:val="center"/>
          </w:tcPr>
          <w:p w14:paraId="73BD691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F14C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64FB8D4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141</w:t>
            </w:r>
          </w:p>
        </w:tc>
        <w:tc>
          <w:tcPr>
            <w:tcW w:w="990" w:type="dxa"/>
            <w:shd w:val="clear" w:color="auto" w:fill="FFFFFF"/>
            <w:vAlign w:val="center"/>
          </w:tcPr>
          <w:p w14:paraId="29E37EA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75" w:type="dxa"/>
            <w:vMerge w:val="continue"/>
            <w:shd w:val="clear" w:color="auto" w:fill="FFFFFF"/>
            <w:vAlign w:val="center"/>
          </w:tcPr>
          <w:p w14:paraId="4E30A5B8">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05D70BA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服务保障升级</w:t>
            </w:r>
          </w:p>
        </w:tc>
        <w:tc>
          <w:tcPr>
            <w:tcW w:w="4269" w:type="dxa"/>
            <w:shd w:val="clear" w:color="auto" w:fill="FFFFFF"/>
            <w:vAlign w:val="center"/>
          </w:tcPr>
          <w:p w14:paraId="164806C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供应商有偿提供远程技术支持、软件授权服务、备件更换服务、现场支撑服务</w:t>
            </w:r>
          </w:p>
        </w:tc>
        <w:tc>
          <w:tcPr>
            <w:tcW w:w="1350" w:type="dxa"/>
            <w:shd w:val="clear" w:color="auto" w:fill="FFFFFF"/>
            <w:vAlign w:val="center"/>
          </w:tcPr>
          <w:p w14:paraId="4E5C5BF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EC0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43BF77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142</w:t>
            </w:r>
          </w:p>
        </w:tc>
        <w:tc>
          <w:tcPr>
            <w:tcW w:w="990" w:type="dxa"/>
            <w:shd w:val="clear" w:color="auto" w:fill="FFFFFF"/>
            <w:vAlign w:val="center"/>
          </w:tcPr>
          <w:p w14:paraId="430E17E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75" w:type="dxa"/>
            <w:vMerge w:val="continue"/>
            <w:shd w:val="clear" w:color="auto" w:fill="FFFFFF"/>
            <w:vAlign w:val="center"/>
          </w:tcPr>
          <w:p w14:paraId="32B6B3CE">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7B39E1B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★提供上门服务</w:t>
            </w:r>
          </w:p>
        </w:tc>
        <w:tc>
          <w:tcPr>
            <w:tcW w:w="4269" w:type="dxa"/>
            <w:shd w:val="clear" w:color="auto" w:fill="FFFFFF"/>
            <w:vAlign w:val="center"/>
          </w:tcPr>
          <w:p w14:paraId="0911E0D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供应商具备提供上门服务的能力</w:t>
            </w:r>
          </w:p>
        </w:tc>
        <w:tc>
          <w:tcPr>
            <w:tcW w:w="1350" w:type="dxa"/>
            <w:shd w:val="clear" w:color="auto" w:fill="FFFFFF"/>
            <w:vAlign w:val="center"/>
          </w:tcPr>
          <w:p w14:paraId="5356FC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215F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44" w:type="dxa"/>
            <w:shd w:val="clear" w:color="auto" w:fill="FFFFFF"/>
            <w:vAlign w:val="center"/>
          </w:tcPr>
          <w:p w14:paraId="601B910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143</w:t>
            </w:r>
          </w:p>
        </w:tc>
        <w:tc>
          <w:tcPr>
            <w:tcW w:w="990" w:type="dxa"/>
            <w:shd w:val="clear" w:color="auto" w:fill="FFFFFF"/>
            <w:vAlign w:val="center"/>
          </w:tcPr>
          <w:p w14:paraId="33FA01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75" w:type="dxa"/>
            <w:vMerge w:val="continue"/>
            <w:shd w:val="clear" w:color="auto" w:fill="FFFFFF"/>
            <w:vAlign w:val="center"/>
          </w:tcPr>
          <w:p w14:paraId="4C0FB2A0">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3F1AED7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业务场景性能优化服务及整体架构升级服务</w:t>
            </w:r>
          </w:p>
        </w:tc>
        <w:tc>
          <w:tcPr>
            <w:tcW w:w="4269" w:type="dxa"/>
            <w:shd w:val="clear" w:color="auto" w:fill="FFFFFF"/>
            <w:vAlign w:val="center"/>
          </w:tcPr>
          <w:p w14:paraId="74D7578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供应商提供针对特定业务场景性能优化服务及整体架构升级服务</w:t>
            </w:r>
          </w:p>
        </w:tc>
        <w:tc>
          <w:tcPr>
            <w:tcW w:w="1350" w:type="dxa"/>
            <w:shd w:val="clear" w:color="auto" w:fill="FFFFFF"/>
            <w:vAlign w:val="center"/>
          </w:tcPr>
          <w:p w14:paraId="7B7440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AEF7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2EB87DB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144</w:t>
            </w:r>
          </w:p>
        </w:tc>
        <w:tc>
          <w:tcPr>
            <w:tcW w:w="990" w:type="dxa"/>
            <w:shd w:val="clear" w:color="auto" w:fill="FFFFFF"/>
            <w:vAlign w:val="center"/>
          </w:tcPr>
          <w:p w14:paraId="3815C5D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供保要求</w:t>
            </w:r>
          </w:p>
        </w:tc>
        <w:tc>
          <w:tcPr>
            <w:tcW w:w="975" w:type="dxa"/>
            <w:vMerge w:val="restart"/>
            <w:shd w:val="clear" w:color="auto" w:fill="FFFFFF"/>
            <w:vAlign w:val="center"/>
          </w:tcPr>
          <w:p w14:paraId="492A8CF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供应链质量</w:t>
            </w:r>
          </w:p>
        </w:tc>
        <w:tc>
          <w:tcPr>
            <w:tcW w:w="1221" w:type="dxa"/>
            <w:shd w:val="clear" w:color="auto" w:fill="FFFFFF"/>
            <w:vAlign w:val="center"/>
          </w:tcPr>
          <w:p w14:paraId="4E6C911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★抗干扰性</w:t>
            </w:r>
          </w:p>
        </w:tc>
        <w:tc>
          <w:tcPr>
            <w:tcW w:w="4269" w:type="dxa"/>
            <w:shd w:val="clear" w:color="auto" w:fill="FFFFFF"/>
            <w:vAlign w:val="center"/>
          </w:tcPr>
          <w:p w14:paraId="6D4D791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当产品部件出现供应风险时，应通知客户并提供风险应对方案确保产品的服务保障，必要时应停止相关受影响产品的销售</w:t>
            </w:r>
          </w:p>
        </w:tc>
        <w:tc>
          <w:tcPr>
            <w:tcW w:w="1350" w:type="dxa"/>
            <w:shd w:val="clear" w:color="auto" w:fill="FFFFFF"/>
            <w:vAlign w:val="center"/>
          </w:tcPr>
          <w:p w14:paraId="3BEB4EA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14BE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1EC29E7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145</w:t>
            </w:r>
          </w:p>
        </w:tc>
        <w:tc>
          <w:tcPr>
            <w:tcW w:w="990" w:type="dxa"/>
            <w:shd w:val="clear" w:color="auto" w:fill="FFFFFF"/>
            <w:vAlign w:val="center"/>
          </w:tcPr>
          <w:p w14:paraId="205A5AE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供保要求</w:t>
            </w:r>
          </w:p>
        </w:tc>
        <w:tc>
          <w:tcPr>
            <w:tcW w:w="975" w:type="dxa"/>
            <w:vMerge w:val="continue"/>
            <w:shd w:val="clear" w:color="auto" w:fill="FFFFFF"/>
            <w:vAlign w:val="center"/>
          </w:tcPr>
          <w:p w14:paraId="791CB8CD">
            <w:pPr>
              <w:widowControl/>
              <w:jc w:val="left"/>
              <w:rPr>
                <w:rFonts w:asciiTheme="minorEastAsia" w:hAnsiTheme="minorEastAsia" w:eastAsiaTheme="minorEastAsia" w:cstheme="minorEastAsia"/>
                <w:kern w:val="0"/>
                <w:sz w:val="24"/>
              </w:rPr>
            </w:pPr>
          </w:p>
        </w:tc>
        <w:tc>
          <w:tcPr>
            <w:tcW w:w="1221" w:type="dxa"/>
            <w:shd w:val="clear" w:color="auto" w:fill="FFFFFF"/>
            <w:vAlign w:val="center"/>
          </w:tcPr>
          <w:p w14:paraId="6F02AA6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★供应能力证明</w:t>
            </w:r>
          </w:p>
        </w:tc>
        <w:tc>
          <w:tcPr>
            <w:tcW w:w="4269" w:type="dxa"/>
            <w:shd w:val="clear" w:color="auto" w:fill="FFFFFF"/>
            <w:vAlign w:val="center"/>
          </w:tcPr>
          <w:p w14:paraId="63269A9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b/>
                <w:bCs/>
                <w:kern w:val="0"/>
                <w:sz w:val="24"/>
              </w:rPr>
              <w:t>供应商提供供应链稳定承诺书，确保产品的部件在产品服务周期内稳定供货（需提供加盖投标人公章的承诺书，否则作无效投标处理）</w:t>
            </w:r>
          </w:p>
        </w:tc>
        <w:tc>
          <w:tcPr>
            <w:tcW w:w="1350" w:type="dxa"/>
            <w:shd w:val="clear" w:color="auto" w:fill="FFFFFF"/>
            <w:vAlign w:val="center"/>
          </w:tcPr>
          <w:p w14:paraId="2ACFB55D">
            <w:pPr>
              <w:widowControl/>
              <w:jc w:val="center"/>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kern w:val="0"/>
                <w:sz w:val="24"/>
              </w:rPr>
              <w:t>是</w:t>
            </w:r>
          </w:p>
        </w:tc>
      </w:tr>
      <w:tr w14:paraId="26986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143F7DC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146</w:t>
            </w:r>
          </w:p>
        </w:tc>
        <w:tc>
          <w:tcPr>
            <w:tcW w:w="990" w:type="dxa"/>
            <w:shd w:val="clear" w:color="auto" w:fill="FFFFFF"/>
            <w:vAlign w:val="center"/>
          </w:tcPr>
          <w:p w14:paraId="622293E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75" w:type="dxa"/>
            <w:shd w:val="clear" w:color="auto" w:fill="FFFFFF"/>
            <w:vAlign w:val="center"/>
          </w:tcPr>
          <w:p w14:paraId="29DCE59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中央处理器</w:t>
            </w:r>
          </w:p>
        </w:tc>
        <w:tc>
          <w:tcPr>
            <w:tcW w:w="1221" w:type="dxa"/>
            <w:shd w:val="clear" w:color="auto" w:fill="FFFFFF"/>
            <w:vAlign w:val="center"/>
          </w:tcPr>
          <w:p w14:paraId="4944FB8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 加解密功能</w:t>
            </w:r>
          </w:p>
        </w:tc>
        <w:tc>
          <w:tcPr>
            <w:tcW w:w="4269" w:type="dxa"/>
            <w:shd w:val="clear" w:color="auto" w:fill="FFFFFF"/>
            <w:vAlign w:val="center"/>
          </w:tcPr>
          <w:p w14:paraId="42082C5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 xml:space="preserve">投标产品所配备的CPU（中央处理器）支持TEE可信执行环境，实现虚拟机在内存读写时的自动加解密功能。需提供投标产品所配备的CPU（中央处理器）具有上述密码技术特性的证明材料 </w:t>
            </w:r>
          </w:p>
        </w:tc>
        <w:tc>
          <w:tcPr>
            <w:tcW w:w="1350" w:type="dxa"/>
            <w:shd w:val="clear" w:color="auto" w:fill="FFFFFF"/>
            <w:vAlign w:val="center"/>
          </w:tcPr>
          <w:p w14:paraId="43D379A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5CC07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576569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147</w:t>
            </w:r>
          </w:p>
        </w:tc>
        <w:tc>
          <w:tcPr>
            <w:tcW w:w="990" w:type="dxa"/>
            <w:shd w:val="clear" w:color="auto" w:fill="FFFFFF"/>
            <w:vAlign w:val="center"/>
          </w:tcPr>
          <w:p w14:paraId="7D2FBE0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75" w:type="dxa"/>
            <w:shd w:val="clear" w:color="auto" w:fill="FFFFFF"/>
            <w:vAlign w:val="center"/>
          </w:tcPr>
          <w:p w14:paraId="71A7FB9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中央处理器</w:t>
            </w:r>
          </w:p>
        </w:tc>
        <w:tc>
          <w:tcPr>
            <w:tcW w:w="1221" w:type="dxa"/>
            <w:shd w:val="clear" w:color="auto" w:fill="FFFFFF"/>
            <w:vAlign w:val="center"/>
          </w:tcPr>
          <w:p w14:paraId="600A500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#超线程技术</w:t>
            </w:r>
          </w:p>
        </w:tc>
        <w:tc>
          <w:tcPr>
            <w:tcW w:w="4269" w:type="dxa"/>
            <w:shd w:val="clear" w:color="auto" w:fill="FFFFFF"/>
            <w:vAlign w:val="center"/>
          </w:tcPr>
          <w:p w14:paraId="3210358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shd w:val="clear" w:color="auto" w:fill="FFFFFF" w:themeFill="background1"/>
              </w:rPr>
              <w:t>产品所配备的CPU（中央处理器）需支持且配置超线程技术</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w:t>
            </w:r>
            <w:r>
              <w:rPr>
                <w:rFonts w:hint="eastAsia" w:asciiTheme="minorEastAsia" w:hAnsiTheme="minorEastAsia" w:eastAsiaTheme="minorEastAsia" w:cstheme="minorEastAsia"/>
                <w:kern w:val="0"/>
                <w:sz w:val="24"/>
              </w:rPr>
              <w:t xml:space="preserve">提供投标产品所配备的CPU（中央处理器）具有上述技术特性的证明材料 </w:t>
            </w:r>
            <w:r>
              <w:rPr>
                <w:rFonts w:hint="eastAsia" w:asciiTheme="minorEastAsia" w:hAnsiTheme="minorEastAsia" w:eastAsiaTheme="minorEastAsia" w:cstheme="minorEastAsia"/>
                <w:kern w:val="0"/>
                <w:sz w:val="24"/>
                <w:shd w:val="clear" w:color="auto" w:fill="FFFFFF" w:themeFill="background1"/>
              </w:rPr>
              <w:t>；</w:t>
            </w:r>
          </w:p>
        </w:tc>
        <w:tc>
          <w:tcPr>
            <w:tcW w:w="1350" w:type="dxa"/>
            <w:shd w:val="clear" w:color="auto" w:fill="FFFFFF"/>
            <w:vAlign w:val="center"/>
          </w:tcPr>
          <w:p w14:paraId="7059BAF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bl>
    <w:p w14:paraId="0E7C4B57">
      <w:pPr>
        <w:pStyle w:val="14"/>
        <w:ind w:firstLine="480"/>
        <w:rPr>
          <w:rFonts w:asciiTheme="minorEastAsia" w:hAnsiTheme="minorEastAsia" w:eastAsiaTheme="minorEastAsia" w:cstheme="minorEastAsia"/>
          <w:szCs w:val="24"/>
        </w:rPr>
      </w:pPr>
    </w:p>
    <w:p w14:paraId="4082AFE6">
      <w:pPr>
        <w:pStyle w:val="2"/>
        <w:numPr>
          <w:ilvl w:val="0"/>
          <w:numId w:val="2"/>
        </w:numPr>
        <w:ind w:left="442" w:hanging="442"/>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临床科研基础数据库与儿科专科专病数据库服务器1</w:t>
      </w:r>
    </w:p>
    <w:tbl>
      <w:tblPr>
        <w:tblStyle w:val="15"/>
        <w:tblW w:w="9510"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789"/>
        <w:gridCol w:w="981"/>
        <w:gridCol w:w="981"/>
        <w:gridCol w:w="1206"/>
        <w:gridCol w:w="4167"/>
        <w:gridCol w:w="1386"/>
      </w:tblGrid>
      <w:tr w14:paraId="2BEFD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85" w:hRule="atLeast"/>
        </w:trPr>
        <w:tc>
          <w:tcPr>
            <w:tcW w:w="789" w:type="dxa"/>
            <w:shd w:val="clear" w:color="auto" w:fill="FFFFFF"/>
            <w:vAlign w:val="center"/>
          </w:tcPr>
          <w:p w14:paraId="483AC7F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序号</w:t>
            </w:r>
          </w:p>
        </w:tc>
        <w:tc>
          <w:tcPr>
            <w:tcW w:w="981" w:type="dxa"/>
            <w:shd w:val="clear" w:color="auto" w:fill="FFFFFF"/>
            <w:vAlign w:val="center"/>
          </w:tcPr>
          <w:p w14:paraId="00D8AFD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指标分类</w:t>
            </w:r>
          </w:p>
        </w:tc>
        <w:tc>
          <w:tcPr>
            <w:tcW w:w="981" w:type="dxa"/>
            <w:shd w:val="clear" w:color="auto" w:fill="FFFFFF"/>
            <w:vAlign w:val="center"/>
          </w:tcPr>
          <w:p w14:paraId="7511A2E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一级指标</w:t>
            </w:r>
          </w:p>
        </w:tc>
        <w:tc>
          <w:tcPr>
            <w:tcW w:w="1206" w:type="dxa"/>
            <w:shd w:val="clear" w:color="auto" w:fill="FFFFFF"/>
            <w:vAlign w:val="center"/>
          </w:tcPr>
          <w:p w14:paraId="45A33C2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二级指标</w:t>
            </w:r>
          </w:p>
        </w:tc>
        <w:tc>
          <w:tcPr>
            <w:tcW w:w="4167" w:type="dxa"/>
            <w:shd w:val="clear" w:color="auto" w:fill="FFFFFF"/>
            <w:vAlign w:val="center"/>
          </w:tcPr>
          <w:p w14:paraId="7DA0F81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指标要求</w:t>
            </w:r>
          </w:p>
        </w:tc>
        <w:tc>
          <w:tcPr>
            <w:tcW w:w="1386" w:type="dxa"/>
            <w:shd w:val="clear" w:color="auto" w:fill="FFFFFF"/>
            <w:vAlign w:val="center"/>
          </w:tcPr>
          <w:p w14:paraId="766853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是否提供证明材料</w:t>
            </w:r>
          </w:p>
        </w:tc>
      </w:tr>
      <w:tr w14:paraId="4872A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89" w:type="dxa"/>
            <w:shd w:val="clear" w:color="auto" w:fill="FFFFFF"/>
            <w:vAlign w:val="center"/>
          </w:tcPr>
          <w:p w14:paraId="41C8AE3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w:t>
            </w:r>
          </w:p>
        </w:tc>
        <w:tc>
          <w:tcPr>
            <w:tcW w:w="981" w:type="dxa"/>
            <w:shd w:val="clear" w:color="auto" w:fill="FFFFFF"/>
            <w:vAlign w:val="center"/>
          </w:tcPr>
          <w:p w14:paraId="2D55312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shd w:val="clear" w:color="auto" w:fill="FFFFFF"/>
            <w:vAlign w:val="center"/>
          </w:tcPr>
          <w:p w14:paraId="69A9480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CPU规格</w:t>
            </w:r>
          </w:p>
        </w:tc>
        <w:tc>
          <w:tcPr>
            <w:tcW w:w="1206" w:type="dxa"/>
            <w:shd w:val="clear" w:color="auto" w:fill="FFFFFF"/>
            <w:vAlign w:val="center"/>
          </w:tcPr>
          <w:p w14:paraId="6B77AB6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★CPU信息</w:t>
            </w:r>
          </w:p>
        </w:tc>
        <w:tc>
          <w:tcPr>
            <w:tcW w:w="4167" w:type="dxa"/>
            <w:shd w:val="clear" w:color="auto" w:fill="FFFFFF"/>
            <w:vAlign w:val="center"/>
          </w:tcPr>
          <w:p w14:paraId="3E72EF6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供应商应给出CPU信息，包含CPU型号、物理核心数、主频、末级缓存容量、线程数、热设计功耗及支持内存的最高速率、通道数和位宽</w:t>
            </w:r>
          </w:p>
        </w:tc>
        <w:tc>
          <w:tcPr>
            <w:tcW w:w="1386" w:type="dxa"/>
            <w:shd w:val="clear" w:color="auto" w:fill="FFFFFF"/>
            <w:vAlign w:val="center"/>
          </w:tcPr>
          <w:p w14:paraId="4B68F24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1842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89" w:type="dxa"/>
            <w:shd w:val="clear" w:color="auto" w:fill="FFFFFF"/>
            <w:vAlign w:val="center"/>
          </w:tcPr>
          <w:p w14:paraId="613DB61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981" w:type="dxa"/>
            <w:shd w:val="clear" w:color="auto" w:fill="FFFFFF"/>
            <w:vAlign w:val="center"/>
          </w:tcPr>
          <w:p w14:paraId="0E5FFB6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168662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主板规格</w:t>
            </w:r>
          </w:p>
        </w:tc>
        <w:tc>
          <w:tcPr>
            <w:tcW w:w="1206" w:type="dxa"/>
            <w:shd w:val="clear" w:color="auto" w:fill="FFFFFF"/>
            <w:vAlign w:val="center"/>
          </w:tcPr>
          <w:p w14:paraId="53E94E1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★主板支持的CPU和内存情况</w:t>
            </w:r>
          </w:p>
        </w:tc>
        <w:tc>
          <w:tcPr>
            <w:tcW w:w="4167" w:type="dxa"/>
            <w:shd w:val="clear" w:color="auto" w:fill="FFFFFF"/>
            <w:vAlign w:val="center"/>
          </w:tcPr>
          <w:p w14:paraId="29758A3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供应商给出主板支持的CPU和内存的型号数量</w:t>
            </w:r>
          </w:p>
        </w:tc>
        <w:tc>
          <w:tcPr>
            <w:tcW w:w="1386" w:type="dxa"/>
            <w:shd w:val="clear" w:color="auto" w:fill="FFFFFF"/>
            <w:vAlign w:val="center"/>
          </w:tcPr>
          <w:p w14:paraId="093C8E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37C6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3A19172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w:t>
            </w:r>
          </w:p>
        </w:tc>
        <w:tc>
          <w:tcPr>
            <w:tcW w:w="981" w:type="dxa"/>
            <w:shd w:val="clear" w:color="auto" w:fill="FFFFFF"/>
            <w:vAlign w:val="center"/>
          </w:tcPr>
          <w:p w14:paraId="1E43D7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AAD87C9">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D0A7BE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★主板内存槽数量</w:t>
            </w:r>
          </w:p>
        </w:tc>
        <w:tc>
          <w:tcPr>
            <w:tcW w:w="4167" w:type="dxa"/>
            <w:shd w:val="clear" w:color="auto" w:fill="FFFFFF"/>
            <w:vAlign w:val="center"/>
          </w:tcPr>
          <w:p w14:paraId="416CAAF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非板载内存的可扩展插槽数量应≥4个</w:t>
            </w:r>
          </w:p>
        </w:tc>
        <w:tc>
          <w:tcPr>
            <w:tcW w:w="1386" w:type="dxa"/>
            <w:shd w:val="clear" w:color="auto" w:fill="FFFFFF"/>
            <w:vAlign w:val="center"/>
          </w:tcPr>
          <w:p w14:paraId="57B041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B03A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00FA7A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w:t>
            </w:r>
          </w:p>
        </w:tc>
        <w:tc>
          <w:tcPr>
            <w:tcW w:w="981" w:type="dxa"/>
            <w:shd w:val="clear" w:color="auto" w:fill="FFFFFF"/>
            <w:vAlign w:val="center"/>
          </w:tcPr>
          <w:p w14:paraId="0F2111D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124488CF">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0C9A13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★主板存储接口</w:t>
            </w:r>
          </w:p>
        </w:tc>
        <w:tc>
          <w:tcPr>
            <w:tcW w:w="4167" w:type="dxa"/>
            <w:shd w:val="clear" w:color="auto" w:fill="FFFFFF"/>
            <w:vAlign w:val="center"/>
          </w:tcPr>
          <w:p w14:paraId="5EA83A1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至少支持SATA、SAS、M.2、U.2等存储接口中的1种</w:t>
            </w:r>
          </w:p>
        </w:tc>
        <w:tc>
          <w:tcPr>
            <w:tcW w:w="1386" w:type="dxa"/>
            <w:shd w:val="clear" w:color="auto" w:fill="FFFFFF"/>
            <w:vAlign w:val="center"/>
          </w:tcPr>
          <w:p w14:paraId="095CCD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5546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3BAB07B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w:t>
            </w:r>
          </w:p>
        </w:tc>
        <w:tc>
          <w:tcPr>
            <w:tcW w:w="981" w:type="dxa"/>
            <w:shd w:val="clear" w:color="auto" w:fill="FFFFFF"/>
            <w:vAlign w:val="center"/>
          </w:tcPr>
          <w:p w14:paraId="2C27DE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F7D9C2F">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CE0C83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★PCIe插槽接口</w:t>
            </w:r>
          </w:p>
        </w:tc>
        <w:tc>
          <w:tcPr>
            <w:tcW w:w="4167" w:type="dxa"/>
            <w:shd w:val="clear" w:color="auto" w:fill="FFFFFF"/>
            <w:vAlign w:val="center"/>
          </w:tcPr>
          <w:p w14:paraId="7290290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符合PCIe3.0或以上的高速串行计算机扩展总线标准，PCIe的接口速率与位宽需保证向下兼容</w:t>
            </w:r>
          </w:p>
        </w:tc>
        <w:tc>
          <w:tcPr>
            <w:tcW w:w="1386" w:type="dxa"/>
            <w:shd w:val="clear" w:color="auto" w:fill="FFFFFF"/>
            <w:vAlign w:val="center"/>
          </w:tcPr>
          <w:p w14:paraId="4F9026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62EF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89" w:type="dxa"/>
            <w:shd w:val="clear" w:color="auto" w:fill="FFFFFF"/>
            <w:vAlign w:val="center"/>
          </w:tcPr>
          <w:p w14:paraId="5E36B9B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w:t>
            </w:r>
          </w:p>
        </w:tc>
        <w:tc>
          <w:tcPr>
            <w:tcW w:w="981" w:type="dxa"/>
            <w:shd w:val="clear" w:color="auto" w:fill="FFFFFF"/>
            <w:vAlign w:val="center"/>
          </w:tcPr>
          <w:p w14:paraId="4BDDD9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6D6B739F">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05C8AF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★主板PCIe插槽数量及规格</w:t>
            </w:r>
          </w:p>
        </w:tc>
        <w:tc>
          <w:tcPr>
            <w:tcW w:w="4167" w:type="dxa"/>
            <w:shd w:val="clear" w:color="auto" w:fill="FFFFFF"/>
            <w:vAlign w:val="center"/>
          </w:tcPr>
          <w:p w14:paraId="79042C9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a）高度大于44.45mm双路或以上服务器PCIe插槽或接口应≥5个；</w:t>
            </w:r>
          </w:p>
          <w:p w14:paraId="596DD4B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b）单路服务器PCIe插槽或接口应≥4个，可通过扩展卡进行插槽扩展</w:t>
            </w:r>
          </w:p>
        </w:tc>
        <w:tc>
          <w:tcPr>
            <w:tcW w:w="1386" w:type="dxa"/>
            <w:shd w:val="clear" w:color="auto" w:fill="FFFFFF"/>
            <w:vAlign w:val="center"/>
          </w:tcPr>
          <w:p w14:paraId="08AC1D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2025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789" w:type="dxa"/>
            <w:shd w:val="clear" w:color="auto" w:fill="FFFFFF"/>
            <w:vAlign w:val="center"/>
          </w:tcPr>
          <w:p w14:paraId="4641FDD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w:t>
            </w:r>
          </w:p>
        </w:tc>
        <w:tc>
          <w:tcPr>
            <w:tcW w:w="981" w:type="dxa"/>
            <w:shd w:val="clear" w:color="auto" w:fill="FFFFFF"/>
            <w:vAlign w:val="center"/>
          </w:tcPr>
          <w:p w14:paraId="42CF6AE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0EA0FE0">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40F1911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特殊孔位及接口</w:t>
            </w:r>
          </w:p>
        </w:tc>
        <w:tc>
          <w:tcPr>
            <w:tcW w:w="4167" w:type="dxa"/>
            <w:shd w:val="clear" w:color="auto" w:fill="FFFFFF"/>
            <w:vAlign w:val="center"/>
          </w:tcPr>
          <w:p w14:paraId="2F0C95D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服务器机箱内主板可根据用户实际使用需求支持安装多功能导入装置板卡，机箱内需预留多功能导入装置板卡安装位置，容量不小于55mm×45mm×15mm（长×宽×高，单位毫米）；b）服务器主板可根据用户实际使用需求预留满足USB2.0或USB3.0数据传输规范的接口，工作电压5V，采用USB2.0时，最大过电流应不小于0.5A，采用USB3.0时，最大过电流应不小于1A</w:t>
            </w:r>
          </w:p>
        </w:tc>
        <w:tc>
          <w:tcPr>
            <w:tcW w:w="1386" w:type="dxa"/>
            <w:shd w:val="clear" w:color="auto" w:fill="FFFFFF"/>
            <w:vAlign w:val="center"/>
          </w:tcPr>
          <w:p w14:paraId="2C9812C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4DF3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1D4A5BC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981" w:type="dxa"/>
            <w:shd w:val="clear" w:color="auto" w:fill="FFFFFF"/>
            <w:vAlign w:val="center"/>
          </w:tcPr>
          <w:p w14:paraId="43465ED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584D750A">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235AFF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板载网络接口</w:t>
            </w:r>
          </w:p>
        </w:tc>
        <w:tc>
          <w:tcPr>
            <w:tcW w:w="4167" w:type="dxa"/>
            <w:shd w:val="clear" w:color="auto" w:fill="FFFFFF"/>
            <w:vAlign w:val="center"/>
          </w:tcPr>
          <w:p w14:paraId="0194207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若支持板载网络接口应≥2个1GE网口</w:t>
            </w:r>
          </w:p>
        </w:tc>
        <w:tc>
          <w:tcPr>
            <w:tcW w:w="1386" w:type="dxa"/>
            <w:shd w:val="clear" w:color="auto" w:fill="FFFFFF"/>
            <w:vAlign w:val="center"/>
          </w:tcPr>
          <w:p w14:paraId="4842C8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14F5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78638FC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w:t>
            </w:r>
          </w:p>
        </w:tc>
        <w:tc>
          <w:tcPr>
            <w:tcW w:w="981" w:type="dxa"/>
            <w:shd w:val="clear" w:color="auto" w:fill="FFFFFF"/>
            <w:vAlign w:val="center"/>
          </w:tcPr>
          <w:p w14:paraId="16514F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6D30895A">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A5A802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主板OCP插槽数量</w:t>
            </w:r>
          </w:p>
        </w:tc>
        <w:tc>
          <w:tcPr>
            <w:tcW w:w="4167" w:type="dxa"/>
            <w:shd w:val="clear" w:color="auto" w:fill="FFFFFF"/>
            <w:vAlign w:val="center"/>
          </w:tcPr>
          <w:p w14:paraId="75302B9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支持OCP2.0及以上插槽的数量≥1个</w:t>
            </w:r>
          </w:p>
        </w:tc>
        <w:tc>
          <w:tcPr>
            <w:tcW w:w="1386" w:type="dxa"/>
            <w:shd w:val="clear" w:color="auto" w:fill="FFFFFF"/>
            <w:vAlign w:val="center"/>
          </w:tcPr>
          <w:p w14:paraId="15BEBB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4744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789" w:type="dxa"/>
            <w:shd w:val="clear" w:color="auto" w:fill="FFFFFF"/>
            <w:vAlign w:val="center"/>
          </w:tcPr>
          <w:p w14:paraId="51AA382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w:t>
            </w:r>
          </w:p>
        </w:tc>
        <w:tc>
          <w:tcPr>
            <w:tcW w:w="981" w:type="dxa"/>
            <w:shd w:val="clear" w:color="auto" w:fill="FFFFFF"/>
            <w:vAlign w:val="center"/>
          </w:tcPr>
          <w:p w14:paraId="4F3A696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3933DE3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内存规格</w:t>
            </w:r>
          </w:p>
        </w:tc>
        <w:tc>
          <w:tcPr>
            <w:tcW w:w="1206" w:type="dxa"/>
            <w:shd w:val="clear" w:color="auto" w:fill="FFFFFF"/>
            <w:vAlign w:val="center"/>
          </w:tcPr>
          <w:p w14:paraId="75D8536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★内存数量</w:t>
            </w:r>
          </w:p>
        </w:tc>
        <w:tc>
          <w:tcPr>
            <w:tcW w:w="4167" w:type="dxa"/>
            <w:shd w:val="clear" w:color="auto" w:fill="FFFFFF"/>
            <w:vAlign w:val="center"/>
          </w:tcPr>
          <w:p w14:paraId="5D45850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w:t>
            </w:r>
          </w:p>
        </w:tc>
        <w:tc>
          <w:tcPr>
            <w:tcW w:w="1386" w:type="dxa"/>
            <w:shd w:val="clear" w:color="auto" w:fill="FFFFFF"/>
            <w:vAlign w:val="center"/>
          </w:tcPr>
          <w:p w14:paraId="7A0BDF8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7AE0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89" w:type="dxa"/>
            <w:shd w:val="clear" w:color="auto" w:fill="FFFFFF"/>
            <w:vAlign w:val="center"/>
          </w:tcPr>
          <w:p w14:paraId="0CCF58A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w:t>
            </w:r>
          </w:p>
        </w:tc>
        <w:tc>
          <w:tcPr>
            <w:tcW w:w="981" w:type="dxa"/>
            <w:shd w:val="clear" w:color="auto" w:fill="FFFFFF"/>
            <w:vAlign w:val="center"/>
          </w:tcPr>
          <w:p w14:paraId="340D195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18D306F5">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577857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★内存规格</w:t>
            </w:r>
          </w:p>
        </w:tc>
        <w:tc>
          <w:tcPr>
            <w:tcW w:w="4167" w:type="dxa"/>
            <w:shd w:val="clear" w:color="auto" w:fill="FFFFFF"/>
            <w:vAlign w:val="center"/>
          </w:tcPr>
          <w:p w14:paraId="423A5CD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≥DDR4</w:t>
            </w:r>
          </w:p>
        </w:tc>
        <w:tc>
          <w:tcPr>
            <w:tcW w:w="1386" w:type="dxa"/>
            <w:shd w:val="clear" w:color="auto" w:fill="FFFFFF"/>
            <w:vAlign w:val="center"/>
          </w:tcPr>
          <w:p w14:paraId="16F8EE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47DC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89" w:type="dxa"/>
            <w:shd w:val="clear" w:color="auto" w:fill="FFFFFF"/>
            <w:vAlign w:val="center"/>
          </w:tcPr>
          <w:p w14:paraId="66787F0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w:t>
            </w:r>
          </w:p>
        </w:tc>
        <w:tc>
          <w:tcPr>
            <w:tcW w:w="981" w:type="dxa"/>
            <w:shd w:val="clear" w:color="auto" w:fill="FFFFFF"/>
            <w:vAlign w:val="center"/>
          </w:tcPr>
          <w:p w14:paraId="63A9A4B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1C4B0E80">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2CDB91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★内存通道</w:t>
            </w:r>
          </w:p>
        </w:tc>
        <w:tc>
          <w:tcPr>
            <w:tcW w:w="4167" w:type="dxa"/>
            <w:shd w:val="clear" w:color="auto" w:fill="FFFFFF"/>
            <w:vAlign w:val="center"/>
          </w:tcPr>
          <w:p w14:paraId="7D4B492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支持多个内存接口通道，每个通道可支持1DPC或2DPC，当支持2DPC时，印制电路板上应具备插槽的序号标识，具体通道数应在随机文件中明确</w:t>
            </w:r>
          </w:p>
        </w:tc>
        <w:tc>
          <w:tcPr>
            <w:tcW w:w="1386" w:type="dxa"/>
            <w:shd w:val="clear" w:color="auto" w:fill="FFFFFF"/>
            <w:vAlign w:val="center"/>
          </w:tcPr>
          <w:p w14:paraId="392AA26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FE8B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89" w:type="dxa"/>
            <w:shd w:val="clear" w:color="auto" w:fill="FFFFFF"/>
            <w:vAlign w:val="center"/>
          </w:tcPr>
          <w:p w14:paraId="7C9CB05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w:t>
            </w:r>
          </w:p>
        </w:tc>
        <w:tc>
          <w:tcPr>
            <w:tcW w:w="981" w:type="dxa"/>
            <w:shd w:val="clear" w:color="auto" w:fill="FFFFFF"/>
            <w:vAlign w:val="center"/>
          </w:tcPr>
          <w:p w14:paraId="6984FF6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61C85B6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存储规格</w:t>
            </w:r>
          </w:p>
        </w:tc>
        <w:tc>
          <w:tcPr>
            <w:tcW w:w="1206" w:type="dxa"/>
            <w:shd w:val="clear" w:color="auto" w:fill="FFFFFF"/>
            <w:vAlign w:val="center"/>
          </w:tcPr>
          <w:p w14:paraId="72EBA42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硬盘类型</w:t>
            </w:r>
          </w:p>
        </w:tc>
        <w:tc>
          <w:tcPr>
            <w:tcW w:w="4167" w:type="dxa"/>
            <w:shd w:val="clear" w:color="auto" w:fill="FFFFFF"/>
            <w:vAlign w:val="center"/>
          </w:tcPr>
          <w:p w14:paraId="6A6EAA3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供应商给出服务器支持硬磁盘和固态盘类型及规格</w:t>
            </w:r>
          </w:p>
        </w:tc>
        <w:tc>
          <w:tcPr>
            <w:tcW w:w="1386" w:type="dxa"/>
            <w:shd w:val="clear" w:color="auto" w:fill="FFFFFF"/>
            <w:vAlign w:val="center"/>
          </w:tcPr>
          <w:p w14:paraId="087A84B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07A7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89" w:type="dxa"/>
            <w:shd w:val="clear" w:color="auto" w:fill="FFFFFF"/>
            <w:vAlign w:val="center"/>
          </w:tcPr>
          <w:p w14:paraId="581092F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w:t>
            </w:r>
          </w:p>
        </w:tc>
        <w:tc>
          <w:tcPr>
            <w:tcW w:w="981" w:type="dxa"/>
            <w:shd w:val="clear" w:color="auto" w:fill="FFFFFF"/>
            <w:vAlign w:val="center"/>
          </w:tcPr>
          <w:p w14:paraId="1DAEA8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6FBC3636">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EA8BE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★硬磁盘实配容量</w:t>
            </w:r>
          </w:p>
        </w:tc>
        <w:tc>
          <w:tcPr>
            <w:tcW w:w="4167" w:type="dxa"/>
            <w:shd w:val="clear" w:color="auto" w:fill="FFFFFF"/>
            <w:vAlign w:val="center"/>
          </w:tcPr>
          <w:p w14:paraId="3B65886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硬盘1：≥960G SATA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硬盘2：≥3.2T NVMe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硬盘3：≥8T 7.2K SATA硬磁盘</w:t>
            </w:r>
          </w:p>
        </w:tc>
        <w:tc>
          <w:tcPr>
            <w:tcW w:w="1386" w:type="dxa"/>
            <w:shd w:val="clear" w:color="auto" w:fill="FFFFFF"/>
            <w:vAlign w:val="center"/>
          </w:tcPr>
          <w:p w14:paraId="4C576C9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FF4F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89" w:type="dxa"/>
            <w:shd w:val="clear" w:color="auto" w:fill="FFFFFF"/>
            <w:vAlign w:val="center"/>
          </w:tcPr>
          <w:p w14:paraId="4603A00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w:t>
            </w:r>
          </w:p>
        </w:tc>
        <w:tc>
          <w:tcPr>
            <w:tcW w:w="981" w:type="dxa"/>
            <w:shd w:val="clear" w:color="auto" w:fill="FFFFFF"/>
            <w:vAlign w:val="center"/>
          </w:tcPr>
          <w:p w14:paraId="478AAE3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5A1E8472">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4986AC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硬盘接口类型</w:t>
            </w:r>
          </w:p>
        </w:tc>
        <w:tc>
          <w:tcPr>
            <w:tcW w:w="4167" w:type="dxa"/>
            <w:shd w:val="clear" w:color="auto" w:fill="FFFFFF"/>
            <w:vAlign w:val="center"/>
          </w:tcPr>
          <w:p w14:paraId="74E528D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a）若配备硬磁盘，应提供SAS3.0或SATA3.0及以上接口；b）若配备固态盘，应提供至少1种类型固态盘接口，如UFS、SATA、PCIe等</w:t>
            </w:r>
          </w:p>
        </w:tc>
        <w:tc>
          <w:tcPr>
            <w:tcW w:w="1386" w:type="dxa"/>
            <w:shd w:val="clear" w:color="auto" w:fill="FFFFFF"/>
            <w:vAlign w:val="center"/>
          </w:tcPr>
          <w:p w14:paraId="77E301A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E069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89" w:type="dxa"/>
            <w:shd w:val="clear" w:color="auto" w:fill="FFFFFF"/>
            <w:vAlign w:val="center"/>
          </w:tcPr>
          <w:p w14:paraId="3FE0399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w:t>
            </w:r>
          </w:p>
        </w:tc>
        <w:tc>
          <w:tcPr>
            <w:tcW w:w="981" w:type="dxa"/>
            <w:shd w:val="clear" w:color="auto" w:fill="FFFFFF"/>
            <w:vAlign w:val="center"/>
          </w:tcPr>
          <w:p w14:paraId="5E07D82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720169F">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33168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★硬盘实配数量</w:t>
            </w:r>
          </w:p>
        </w:tc>
        <w:tc>
          <w:tcPr>
            <w:tcW w:w="4167" w:type="dxa"/>
            <w:shd w:val="clear" w:color="auto" w:fill="FFFFFF"/>
            <w:vAlign w:val="center"/>
          </w:tcPr>
          <w:p w14:paraId="37167196">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硬盘1：≥2块960G SATA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硬盘2：≥2块3.2T NVMe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硬盘3：≥6块8T 7.2K SATA；</w:t>
            </w:r>
          </w:p>
        </w:tc>
        <w:tc>
          <w:tcPr>
            <w:tcW w:w="1386" w:type="dxa"/>
            <w:shd w:val="clear" w:color="auto" w:fill="FFFFFF"/>
            <w:vAlign w:val="center"/>
          </w:tcPr>
          <w:p w14:paraId="00309D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8523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789" w:type="dxa"/>
            <w:shd w:val="clear" w:color="auto" w:fill="FFFFFF"/>
            <w:vAlign w:val="center"/>
          </w:tcPr>
          <w:p w14:paraId="2FC4AF6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17</w:t>
            </w:r>
          </w:p>
        </w:tc>
        <w:tc>
          <w:tcPr>
            <w:tcW w:w="981" w:type="dxa"/>
            <w:shd w:val="clear" w:color="auto" w:fill="FFFFFF"/>
            <w:vAlign w:val="center"/>
          </w:tcPr>
          <w:p w14:paraId="0E79890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27481075">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F6C6B2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★硬盘插槽数量及规格</w:t>
            </w:r>
          </w:p>
        </w:tc>
        <w:tc>
          <w:tcPr>
            <w:tcW w:w="4167" w:type="dxa"/>
            <w:shd w:val="clear" w:color="auto" w:fill="FFFFFF"/>
            <w:vAlign w:val="center"/>
          </w:tcPr>
          <w:p w14:paraId="5996FB5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供应商应给出配置的硬盘尺寸，如2.5英寸、3.5英寸硬磁盘；b）机箱高度为88.9mm的服务器可支持的硬盘数量应≥8块，机箱高度为44.45mm的服务器可支持的硬盘数量应≥4块。c）存储型服务器可支持硬盘数量应≥24块</w:t>
            </w:r>
          </w:p>
        </w:tc>
        <w:tc>
          <w:tcPr>
            <w:tcW w:w="1386" w:type="dxa"/>
            <w:shd w:val="clear" w:color="auto" w:fill="FFFFFF"/>
            <w:vAlign w:val="center"/>
          </w:tcPr>
          <w:p w14:paraId="6195F7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FACB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080" w:hRule="atLeast"/>
        </w:trPr>
        <w:tc>
          <w:tcPr>
            <w:tcW w:w="789" w:type="dxa"/>
            <w:shd w:val="clear" w:color="auto" w:fill="FFFFFF"/>
            <w:vAlign w:val="center"/>
          </w:tcPr>
          <w:p w14:paraId="2EA9F36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18</w:t>
            </w:r>
          </w:p>
        </w:tc>
        <w:tc>
          <w:tcPr>
            <w:tcW w:w="981" w:type="dxa"/>
            <w:shd w:val="clear" w:color="auto" w:fill="FFFFFF"/>
            <w:vAlign w:val="center"/>
          </w:tcPr>
          <w:p w14:paraId="703716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62F1F00D">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1D7572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硬盘其他参数要求</w:t>
            </w:r>
          </w:p>
        </w:tc>
        <w:tc>
          <w:tcPr>
            <w:tcW w:w="4167" w:type="dxa"/>
            <w:shd w:val="clear" w:color="auto" w:fill="FFFFFF"/>
            <w:vAlign w:val="center"/>
          </w:tcPr>
          <w:p w14:paraId="161DF61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drawing>
                <wp:anchor distT="0" distB="0" distL="114300" distR="114300" simplePos="0" relativeHeight="251667456" behindDoc="0" locked="0" layoutInCell="1" allowOverlap="1">
                  <wp:simplePos x="0" y="0"/>
                  <wp:positionH relativeFrom="column">
                    <wp:posOffset>9525</wp:posOffset>
                  </wp:positionH>
                  <wp:positionV relativeFrom="paragraph">
                    <wp:posOffset>471170</wp:posOffset>
                  </wp:positionV>
                  <wp:extent cx="76200" cy="47625"/>
                  <wp:effectExtent l="0" t="0" r="0" b="0"/>
                  <wp:wrapNone/>
                  <wp:docPr id="9" name="图片 9"/>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5"/>
                          <a:stretch>
                            <a:fillRect/>
                          </a:stretch>
                        </pic:blipFill>
                        <pic:spPr>
                          <a:xfrm>
                            <a:off x="0" y="0"/>
                            <a:ext cx="76200" cy="47625"/>
                          </a:xfrm>
                          <a:prstGeom prst="rect">
                            <a:avLst/>
                          </a:prstGeom>
                          <a:noFill/>
                          <a:ln>
                            <a:noFill/>
                          </a:ln>
                        </pic:spPr>
                      </pic:pic>
                    </a:graphicData>
                  </a:graphic>
                </wp:anchor>
              </w:drawing>
            </w:r>
            <w:r>
              <w:rPr>
                <w:rFonts w:hint="eastAsia" w:asciiTheme="minorEastAsia" w:hAnsiTheme="minorEastAsia" w:eastAsiaTheme="minorEastAsia" w:cstheme="minorEastAsia"/>
                <w:kern w:val="0"/>
                <w:sz w:val="24"/>
              </w:rPr>
              <w:t>a）机械硬盘准备时间应≤30s；侧面固定螺丝孔数量可为4孔或6孔；工作状态环境温度应满足5℃55℃,其他参数应符合GB/T12628的相关规定；b）若服务器支持固态盘，固态盘符合SJ/T11654相关规定</w:t>
            </w:r>
          </w:p>
        </w:tc>
        <w:tc>
          <w:tcPr>
            <w:tcW w:w="1386" w:type="dxa"/>
            <w:shd w:val="clear" w:color="auto" w:fill="FFFFFF"/>
            <w:vAlign w:val="center"/>
          </w:tcPr>
          <w:p w14:paraId="332948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866E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89" w:type="dxa"/>
            <w:shd w:val="clear" w:color="auto" w:fill="FFFFFF"/>
            <w:vAlign w:val="center"/>
          </w:tcPr>
          <w:p w14:paraId="512AAF3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19</w:t>
            </w:r>
          </w:p>
        </w:tc>
        <w:tc>
          <w:tcPr>
            <w:tcW w:w="981" w:type="dxa"/>
            <w:shd w:val="clear" w:color="auto" w:fill="FFFFFF"/>
            <w:vAlign w:val="center"/>
          </w:tcPr>
          <w:p w14:paraId="2B60C04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shd w:val="clear" w:color="auto" w:fill="FFFFFF"/>
            <w:vAlign w:val="center"/>
          </w:tcPr>
          <w:p w14:paraId="4D118D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RAID卡规格（若支持RAID卡）</w:t>
            </w:r>
          </w:p>
        </w:tc>
        <w:tc>
          <w:tcPr>
            <w:tcW w:w="1206" w:type="dxa"/>
            <w:shd w:val="clear" w:color="auto" w:fill="FFFFFF"/>
            <w:vAlign w:val="center"/>
          </w:tcPr>
          <w:p w14:paraId="09E8288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RAID卡支持的SAS接口数</w:t>
            </w:r>
          </w:p>
        </w:tc>
        <w:tc>
          <w:tcPr>
            <w:tcW w:w="4167" w:type="dxa"/>
            <w:shd w:val="clear" w:color="auto" w:fill="FFFFFF"/>
            <w:vAlign w:val="center"/>
          </w:tcPr>
          <w:p w14:paraId="50C373D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1386" w:type="dxa"/>
            <w:shd w:val="clear" w:color="auto" w:fill="FFFFFF"/>
            <w:vAlign w:val="center"/>
          </w:tcPr>
          <w:p w14:paraId="1F94F3C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0EF2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789" w:type="dxa"/>
            <w:shd w:val="clear" w:color="auto" w:fill="FFFFFF"/>
            <w:vAlign w:val="center"/>
          </w:tcPr>
          <w:p w14:paraId="1E5517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20</w:t>
            </w:r>
          </w:p>
        </w:tc>
        <w:tc>
          <w:tcPr>
            <w:tcW w:w="981" w:type="dxa"/>
            <w:shd w:val="clear" w:color="auto" w:fill="FFFFFF"/>
            <w:vAlign w:val="center"/>
          </w:tcPr>
          <w:p w14:paraId="5B78DC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shd w:val="clear" w:color="auto" w:fill="FFFFFF"/>
            <w:vAlign w:val="center"/>
          </w:tcPr>
          <w:p w14:paraId="518A88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SAS直通卡规格（若支持SAS直通卡）</w:t>
            </w:r>
          </w:p>
        </w:tc>
        <w:tc>
          <w:tcPr>
            <w:tcW w:w="1206" w:type="dxa"/>
            <w:shd w:val="clear" w:color="auto" w:fill="FFFFFF"/>
            <w:vAlign w:val="center"/>
          </w:tcPr>
          <w:p w14:paraId="25B43D6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SAS直通卡SAS接口数量</w:t>
            </w:r>
          </w:p>
        </w:tc>
        <w:tc>
          <w:tcPr>
            <w:tcW w:w="4167" w:type="dxa"/>
            <w:shd w:val="clear" w:color="auto" w:fill="FFFFFF"/>
            <w:vAlign w:val="center"/>
          </w:tcPr>
          <w:p w14:paraId="2CE58DD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≥0</w:t>
            </w:r>
          </w:p>
        </w:tc>
        <w:tc>
          <w:tcPr>
            <w:tcW w:w="1386" w:type="dxa"/>
            <w:shd w:val="clear" w:color="auto" w:fill="FFFFFF"/>
            <w:vAlign w:val="center"/>
          </w:tcPr>
          <w:p w14:paraId="108069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4F85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89" w:type="dxa"/>
            <w:shd w:val="clear" w:color="auto" w:fill="FFFFFF"/>
            <w:vAlign w:val="center"/>
          </w:tcPr>
          <w:p w14:paraId="74DBCEC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21</w:t>
            </w:r>
          </w:p>
        </w:tc>
        <w:tc>
          <w:tcPr>
            <w:tcW w:w="981" w:type="dxa"/>
            <w:shd w:val="clear" w:color="auto" w:fill="FFFFFF"/>
            <w:vAlign w:val="center"/>
          </w:tcPr>
          <w:p w14:paraId="4E121C1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shd w:val="clear" w:color="auto" w:fill="FFFFFF"/>
            <w:vAlign w:val="center"/>
          </w:tcPr>
          <w:p w14:paraId="021A3C6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HBA卡规格（若支HBA直通卡）</w:t>
            </w:r>
          </w:p>
        </w:tc>
        <w:tc>
          <w:tcPr>
            <w:tcW w:w="1206" w:type="dxa"/>
            <w:shd w:val="clear" w:color="auto" w:fill="FFFFFF"/>
            <w:vAlign w:val="center"/>
          </w:tcPr>
          <w:p w14:paraId="222F53C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HBA卡端口数量</w:t>
            </w:r>
          </w:p>
        </w:tc>
        <w:tc>
          <w:tcPr>
            <w:tcW w:w="4167" w:type="dxa"/>
            <w:shd w:val="clear" w:color="auto" w:fill="FFFFFF"/>
            <w:vAlign w:val="center"/>
          </w:tcPr>
          <w:p w14:paraId="1ABE25D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≥0</w:t>
            </w:r>
          </w:p>
        </w:tc>
        <w:tc>
          <w:tcPr>
            <w:tcW w:w="1386" w:type="dxa"/>
            <w:shd w:val="clear" w:color="auto" w:fill="FFFFFF"/>
            <w:vAlign w:val="center"/>
          </w:tcPr>
          <w:p w14:paraId="7B5153E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5C7B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7A53A34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22</w:t>
            </w:r>
          </w:p>
        </w:tc>
        <w:tc>
          <w:tcPr>
            <w:tcW w:w="981" w:type="dxa"/>
            <w:shd w:val="clear" w:color="auto" w:fill="FFFFFF"/>
            <w:vAlign w:val="center"/>
          </w:tcPr>
          <w:p w14:paraId="14F7C18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3D68C10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网络规格</w:t>
            </w:r>
          </w:p>
        </w:tc>
        <w:tc>
          <w:tcPr>
            <w:tcW w:w="1206" w:type="dxa"/>
            <w:shd w:val="clear" w:color="auto" w:fill="FFFFFF"/>
            <w:vAlign w:val="center"/>
          </w:tcPr>
          <w:p w14:paraId="526A84F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★网口速率和数量</w:t>
            </w:r>
          </w:p>
        </w:tc>
        <w:tc>
          <w:tcPr>
            <w:tcW w:w="4167" w:type="dxa"/>
            <w:shd w:val="clear" w:color="auto" w:fill="FFFFFF"/>
            <w:vAlign w:val="center"/>
          </w:tcPr>
          <w:p w14:paraId="35C18CD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配置10GE光口≥4个（满配10GE多模光模块）</w:t>
            </w:r>
          </w:p>
          <w:p w14:paraId="59718CE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配置1GE电口≥2个</w:t>
            </w:r>
          </w:p>
        </w:tc>
        <w:tc>
          <w:tcPr>
            <w:tcW w:w="1386" w:type="dxa"/>
            <w:shd w:val="clear" w:color="auto" w:fill="FFFFFF"/>
            <w:vAlign w:val="center"/>
          </w:tcPr>
          <w:p w14:paraId="1A29FEE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4EBD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89" w:type="dxa"/>
            <w:shd w:val="clear" w:color="auto" w:fill="FFFFFF"/>
            <w:vAlign w:val="center"/>
          </w:tcPr>
          <w:p w14:paraId="46241E8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23</w:t>
            </w:r>
          </w:p>
        </w:tc>
        <w:tc>
          <w:tcPr>
            <w:tcW w:w="981" w:type="dxa"/>
            <w:shd w:val="clear" w:color="auto" w:fill="FFFFFF"/>
            <w:vAlign w:val="center"/>
          </w:tcPr>
          <w:p w14:paraId="72C3547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27D5C68">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31C4CF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存储型服务器网口速率和数量</w:t>
            </w:r>
          </w:p>
        </w:tc>
        <w:tc>
          <w:tcPr>
            <w:tcW w:w="4167" w:type="dxa"/>
            <w:shd w:val="clear" w:color="auto" w:fill="FFFFFF"/>
            <w:vAlign w:val="center"/>
          </w:tcPr>
          <w:p w14:paraId="5D9A981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存储型服务器1GE 网口数量≥2 个，10GE 以上网口数量≥2个（不涉及）</w:t>
            </w:r>
          </w:p>
        </w:tc>
        <w:tc>
          <w:tcPr>
            <w:tcW w:w="1386" w:type="dxa"/>
            <w:shd w:val="clear" w:color="auto" w:fill="FFFFFF"/>
            <w:vAlign w:val="center"/>
          </w:tcPr>
          <w:p w14:paraId="635A897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0FBD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89" w:type="dxa"/>
            <w:shd w:val="clear" w:color="auto" w:fill="FFFFFF"/>
            <w:vAlign w:val="center"/>
          </w:tcPr>
          <w:p w14:paraId="7AA630F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24</w:t>
            </w:r>
          </w:p>
        </w:tc>
        <w:tc>
          <w:tcPr>
            <w:tcW w:w="981" w:type="dxa"/>
            <w:shd w:val="clear" w:color="auto" w:fill="FFFFFF"/>
            <w:vAlign w:val="center"/>
          </w:tcPr>
          <w:p w14:paraId="7975EB8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2EBF8B97">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42C0B9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独立网卡网口数量</w:t>
            </w:r>
          </w:p>
        </w:tc>
        <w:tc>
          <w:tcPr>
            <w:tcW w:w="4167" w:type="dxa"/>
            <w:shd w:val="clear" w:color="auto" w:fill="FFFFFF"/>
            <w:vAlign w:val="center"/>
          </w:tcPr>
          <w:p w14:paraId="42EE39F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配备10GE独立网卡，独立网卡网口数量≥2</w:t>
            </w:r>
          </w:p>
        </w:tc>
        <w:tc>
          <w:tcPr>
            <w:tcW w:w="1386" w:type="dxa"/>
            <w:shd w:val="clear" w:color="auto" w:fill="FFFFFF"/>
            <w:vAlign w:val="center"/>
          </w:tcPr>
          <w:p w14:paraId="3C5473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77C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78F61C0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25</w:t>
            </w:r>
          </w:p>
        </w:tc>
        <w:tc>
          <w:tcPr>
            <w:tcW w:w="981" w:type="dxa"/>
            <w:shd w:val="clear" w:color="auto" w:fill="FFFFFF"/>
            <w:vAlign w:val="center"/>
          </w:tcPr>
          <w:p w14:paraId="60D4E46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1EE77257">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AD5F15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独立网卡接口类型</w:t>
            </w:r>
          </w:p>
        </w:tc>
        <w:tc>
          <w:tcPr>
            <w:tcW w:w="4167" w:type="dxa"/>
            <w:shd w:val="clear" w:color="auto" w:fill="FFFFFF"/>
            <w:vAlign w:val="center"/>
          </w:tcPr>
          <w:p w14:paraId="6AB27F7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支持RJ45/QSFP/SFP等</w:t>
            </w:r>
          </w:p>
        </w:tc>
        <w:tc>
          <w:tcPr>
            <w:tcW w:w="1386" w:type="dxa"/>
            <w:shd w:val="clear" w:color="auto" w:fill="FFFFFF"/>
            <w:vAlign w:val="center"/>
          </w:tcPr>
          <w:p w14:paraId="7944184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011D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743D183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26</w:t>
            </w:r>
          </w:p>
        </w:tc>
        <w:tc>
          <w:tcPr>
            <w:tcW w:w="981" w:type="dxa"/>
            <w:shd w:val="clear" w:color="auto" w:fill="FFFFFF"/>
            <w:vAlign w:val="center"/>
          </w:tcPr>
          <w:p w14:paraId="65BCA3F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0E1285E">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4E04D5A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板载网卡接口类型</w:t>
            </w:r>
          </w:p>
        </w:tc>
        <w:tc>
          <w:tcPr>
            <w:tcW w:w="4167" w:type="dxa"/>
            <w:shd w:val="clear" w:color="auto" w:fill="FFFFFF"/>
            <w:vAlign w:val="center"/>
          </w:tcPr>
          <w:p w14:paraId="5263CC6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支持RJ45/QSFP/SFP等</w:t>
            </w:r>
          </w:p>
        </w:tc>
        <w:tc>
          <w:tcPr>
            <w:tcW w:w="1386" w:type="dxa"/>
            <w:shd w:val="clear" w:color="auto" w:fill="FFFFFF"/>
            <w:vAlign w:val="center"/>
          </w:tcPr>
          <w:p w14:paraId="5170B1A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90BA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1E742C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27</w:t>
            </w:r>
          </w:p>
        </w:tc>
        <w:tc>
          <w:tcPr>
            <w:tcW w:w="981" w:type="dxa"/>
            <w:shd w:val="clear" w:color="auto" w:fill="FFFFFF"/>
            <w:vAlign w:val="center"/>
          </w:tcPr>
          <w:p w14:paraId="5E11C1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6C55CC7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外部接口规格</w:t>
            </w:r>
          </w:p>
        </w:tc>
        <w:tc>
          <w:tcPr>
            <w:tcW w:w="1206" w:type="dxa"/>
            <w:shd w:val="clear" w:color="auto" w:fill="FFFFFF"/>
            <w:vAlign w:val="center"/>
          </w:tcPr>
          <w:p w14:paraId="0C02DAF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★显示接口</w:t>
            </w:r>
          </w:p>
        </w:tc>
        <w:tc>
          <w:tcPr>
            <w:tcW w:w="4167" w:type="dxa"/>
            <w:shd w:val="clear" w:color="auto" w:fill="FFFFFF"/>
            <w:vAlign w:val="center"/>
          </w:tcPr>
          <w:p w14:paraId="7A317D9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显示接口类型应≥1种，如：VGA、DP、HDMI等</w:t>
            </w:r>
          </w:p>
        </w:tc>
        <w:tc>
          <w:tcPr>
            <w:tcW w:w="1386" w:type="dxa"/>
            <w:shd w:val="clear" w:color="auto" w:fill="FFFFFF"/>
            <w:vAlign w:val="center"/>
          </w:tcPr>
          <w:p w14:paraId="13EADC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1FEE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89" w:type="dxa"/>
            <w:shd w:val="clear" w:color="auto" w:fill="FFFFFF"/>
            <w:vAlign w:val="center"/>
          </w:tcPr>
          <w:p w14:paraId="42D4669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28</w:t>
            </w:r>
          </w:p>
        </w:tc>
        <w:tc>
          <w:tcPr>
            <w:tcW w:w="981" w:type="dxa"/>
            <w:shd w:val="clear" w:color="auto" w:fill="FFFFFF"/>
            <w:vAlign w:val="center"/>
          </w:tcPr>
          <w:p w14:paraId="7E0D05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61E27650">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4745F86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★USB接口</w:t>
            </w:r>
          </w:p>
        </w:tc>
        <w:tc>
          <w:tcPr>
            <w:tcW w:w="4167" w:type="dxa"/>
            <w:shd w:val="clear" w:color="auto" w:fill="FFFFFF"/>
            <w:vAlign w:val="center"/>
          </w:tcPr>
          <w:p w14:paraId="6D762BB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配备USB接口，如USB2.0、USB3.0等</w:t>
            </w:r>
          </w:p>
        </w:tc>
        <w:tc>
          <w:tcPr>
            <w:tcW w:w="1386" w:type="dxa"/>
            <w:shd w:val="clear" w:color="auto" w:fill="FFFFFF"/>
            <w:vAlign w:val="center"/>
          </w:tcPr>
          <w:p w14:paraId="13E1D8F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21D9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2513412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29</w:t>
            </w:r>
          </w:p>
        </w:tc>
        <w:tc>
          <w:tcPr>
            <w:tcW w:w="981" w:type="dxa"/>
            <w:shd w:val="clear" w:color="auto" w:fill="FFFFFF"/>
            <w:vAlign w:val="center"/>
          </w:tcPr>
          <w:p w14:paraId="628217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2ED8B3C5">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4807715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特殊接口及孔位</w:t>
            </w:r>
          </w:p>
        </w:tc>
        <w:tc>
          <w:tcPr>
            <w:tcW w:w="4167" w:type="dxa"/>
            <w:shd w:val="clear" w:color="auto" w:fill="FFFFFF"/>
            <w:vAlign w:val="center"/>
          </w:tcPr>
          <w:p w14:paraId="4A0914F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前面板预留1个专用USB母座接口孔位</w:t>
            </w:r>
          </w:p>
        </w:tc>
        <w:tc>
          <w:tcPr>
            <w:tcW w:w="1386" w:type="dxa"/>
            <w:shd w:val="clear" w:color="auto" w:fill="FFFFFF"/>
            <w:vAlign w:val="center"/>
          </w:tcPr>
          <w:p w14:paraId="701154D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8C52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789" w:type="dxa"/>
            <w:shd w:val="clear" w:color="auto" w:fill="FFFFFF"/>
            <w:vAlign w:val="center"/>
          </w:tcPr>
          <w:p w14:paraId="58645DF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30</w:t>
            </w:r>
          </w:p>
        </w:tc>
        <w:tc>
          <w:tcPr>
            <w:tcW w:w="981" w:type="dxa"/>
            <w:shd w:val="clear" w:color="auto" w:fill="FFFFFF"/>
            <w:vAlign w:val="center"/>
          </w:tcPr>
          <w:p w14:paraId="0470C8F5">
            <w:pPr>
              <w:widowControl/>
              <w:jc w:val="center"/>
              <w:rPr>
                <w:rFonts w:asciiTheme="minorEastAsia" w:hAnsiTheme="minorEastAsia" w:eastAsiaTheme="minorEastAsia" w:cstheme="minorEastAsia"/>
                <w:kern w:val="0"/>
                <w:sz w:val="24"/>
              </w:rPr>
            </w:pPr>
          </w:p>
        </w:tc>
        <w:tc>
          <w:tcPr>
            <w:tcW w:w="981" w:type="dxa"/>
            <w:vMerge w:val="continue"/>
            <w:shd w:val="clear" w:color="auto" w:fill="FFFFFF"/>
            <w:vAlign w:val="center"/>
          </w:tcPr>
          <w:p w14:paraId="5F131005">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61E19B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其他接口</w:t>
            </w:r>
          </w:p>
        </w:tc>
        <w:tc>
          <w:tcPr>
            <w:tcW w:w="4167" w:type="dxa"/>
            <w:shd w:val="clear" w:color="auto" w:fill="FFFFFF"/>
            <w:vAlign w:val="center"/>
          </w:tcPr>
          <w:p w14:paraId="18494D9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a）串口数量≥1个，并可实现GB/T6107或GB/T26803.2的相关功能；b）服务器主机前面板可根据用户实际使用需求预留1个专用USB母座接口孔位</w:t>
            </w:r>
          </w:p>
        </w:tc>
        <w:tc>
          <w:tcPr>
            <w:tcW w:w="1386" w:type="dxa"/>
            <w:shd w:val="clear" w:color="auto" w:fill="FFFFFF"/>
            <w:vAlign w:val="center"/>
          </w:tcPr>
          <w:p w14:paraId="49E9A85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9B4C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786BDC6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31</w:t>
            </w:r>
          </w:p>
        </w:tc>
        <w:tc>
          <w:tcPr>
            <w:tcW w:w="981" w:type="dxa"/>
            <w:shd w:val="clear" w:color="auto" w:fill="FFFFFF"/>
            <w:vAlign w:val="center"/>
          </w:tcPr>
          <w:p w14:paraId="6ED6277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170DD93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电源规格</w:t>
            </w:r>
          </w:p>
        </w:tc>
        <w:tc>
          <w:tcPr>
            <w:tcW w:w="1206" w:type="dxa"/>
            <w:shd w:val="clear" w:color="auto" w:fill="FFFFFF"/>
            <w:vAlign w:val="center"/>
          </w:tcPr>
          <w:p w14:paraId="13F6358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电源冗余模式</w:t>
            </w:r>
          </w:p>
        </w:tc>
        <w:tc>
          <w:tcPr>
            <w:tcW w:w="4167" w:type="dxa"/>
            <w:shd w:val="clear" w:color="auto" w:fill="FFFFFF"/>
            <w:vAlign w:val="center"/>
          </w:tcPr>
          <w:p w14:paraId="65A5E4F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整机电源模块按1+1冗余或N+1冗余配置</w:t>
            </w:r>
          </w:p>
        </w:tc>
        <w:tc>
          <w:tcPr>
            <w:tcW w:w="1386" w:type="dxa"/>
            <w:shd w:val="clear" w:color="auto" w:fill="FFFFFF"/>
            <w:vAlign w:val="center"/>
          </w:tcPr>
          <w:p w14:paraId="12398D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D021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3D4C7F3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w:t>
            </w:r>
          </w:p>
        </w:tc>
        <w:tc>
          <w:tcPr>
            <w:tcW w:w="981" w:type="dxa"/>
            <w:shd w:val="clear" w:color="auto" w:fill="FFFFFF"/>
            <w:vAlign w:val="center"/>
          </w:tcPr>
          <w:p w14:paraId="44A61B6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184232FC">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6E899A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★电源模块数量</w:t>
            </w:r>
          </w:p>
        </w:tc>
        <w:tc>
          <w:tcPr>
            <w:tcW w:w="4167" w:type="dxa"/>
            <w:shd w:val="clear" w:color="auto" w:fill="FFFFFF"/>
            <w:vAlign w:val="center"/>
          </w:tcPr>
          <w:p w14:paraId="593750D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1386" w:type="dxa"/>
            <w:shd w:val="clear" w:color="auto" w:fill="FFFFFF"/>
            <w:vAlign w:val="center"/>
          </w:tcPr>
          <w:p w14:paraId="05508A6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2536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2DC25A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33</w:t>
            </w:r>
          </w:p>
        </w:tc>
        <w:tc>
          <w:tcPr>
            <w:tcW w:w="981" w:type="dxa"/>
            <w:shd w:val="clear" w:color="auto" w:fill="FFFFFF"/>
            <w:vAlign w:val="center"/>
          </w:tcPr>
          <w:p w14:paraId="4D88FF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B30DDED">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EAEB2B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★电源功率</w:t>
            </w:r>
          </w:p>
        </w:tc>
        <w:tc>
          <w:tcPr>
            <w:tcW w:w="4167" w:type="dxa"/>
            <w:shd w:val="clear" w:color="auto" w:fill="FFFFFF"/>
            <w:vAlign w:val="center"/>
          </w:tcPr>
          <w:p w14:paraId="35AD2B4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电源模块功率应有一定冗余，满足处理器满载时的需求</w:t>
            </w:r>
          </w:p>
        </w:tc>
        <w:tc>
          <w:tcPr>
            <w:tcW w:w="1386" w:type="dxa"/>
            <w:shd w:val="clear" w:color="auto" w:fill="FFFFFF"/>
            <w:vAlign w:val="center"/>
          </w:tcPr>
          <w:p w14:paraId="790677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EB17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789" w:type="dxa"/>
            <w:shd w:val="clear" w:color="auto" w:fill="FFFFFF"/>
            <w:vAlign w:val="center"/>
          </w:tcPr>
          <w:p w14:paraId="7821EB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34</w:t>
            </w:r>
          </w:p>
        </w:tc>
        <w:tc>
          <w:tcPr>
            <w:tcW w:w="981" w:type="dxa"/>
            <w:shd w:val="clear" w:color="auto" w:fill="FFFFFF"/>
            <w:vAlign w:val="center"/>
          </w:tcPr>
          <w:p w14:paraId="5A54862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6420BDF1">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06C480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电源指示灯</w:t>
            </w:r>
          </w:p>
        </w:tc>
        <w:tc>
          <w:tcPr>
            <w:tcW w:w="4167" w:type="dxa"/>
            <w:shd w:val="clear" w:color="auto" w:fill="FFFFFF"/>
            <w:vAlign w:val="center"/>
          </w:tcPr>
          <w:p w14:paraId="34EDA93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配备电源指示灯，指示待机、工作异常等状态</w:t>
            </w:r>
          </w:p>
        </w:tc>
        <w:tc>
          <w:tcPr>
            <w:tcW w:w="1386" w:type="dxa"/>
            <w:shd w:val="clear" w:color="auto" w:fill="FFFFFF"/>
            <w:vAlign w:val="center"/>
          </w:tcPr>
          <w:p w14:paraId="7508032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F51D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789" w:type="dxa"/>
            <w:shd w:val="clear" w:color="auto" w:fill="FFFFFF"/>
            <w:vAlign w:val="center"/>
          </w:tcPr>
          <w:p w14:paraId="096FE1A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35</w:t>
            </w:r>
          </w:p>
        </w:tc>
        <w:tc>
          <w:tcPr>
            <w:tcW w:w="981" w:type="dxa"/>
            <w:shd w:val="clear" w:color="auto" w:fill="FFFFFF"/>
            <w:vAlign w:val="center"/>
          </w:tcPr>
          <w:p w14:paraId="71F6832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07B6D37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整机规格</w:t>
            </w:r>
          </w:p>
        </w:tc>
        <w:tc>
          <w:tcPr>
            <w:tcW w:w="1206" w:type="dxa"/>
            <w:shd w:val="clear" w:color="auto" w:fill="FFFFFF"/>
            <w:vAlign w:val="center"/>
          </w:tcPr>
          <w:p w14:paraId="1A9B79D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★外观和结构</w:t>
            </w:r>
          </w:p>
        </w:tc>
        <w:tc>
          <w:tcPr>
            <w:tcW w:w="4167" w:type="dxa"/>
            <w:shd w:val="clear" w:color="auto" w:fill="FFFFFF"/>
            <w:vAlign w:val="center"/>
          </w:tcPr>
          <w:p w14:paraId="213A4E5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服务器的零部件应紧固无松动，可插拔部件应可靠连接，开关、按钮和其他控制部件应灵活可靠，布局应方便使用；b）产品表面不应有明显的凹痕、划伤、裂缝、变形和污染等。表面涂层均匀，不应起泡、龟裂、脱落和磨损，金属零部件无锈蚀及其它机械损伤；c）产品表面说明功能的文字、符号和标志应清晰、端正且牢固；d）应在服务器的显著位置提供运行状态的指示功能，并在技术文件或者技术白皮书中明确具体含义；e）机架、机箱的尺寸应符合通用机柜的安装要求，插入总线插座的电路板接口外形尺寸应符合有关总线标准的规定，将机箱固定在机柜上，机箱底面最大下垂变形不得干涉相邻机体；f）服务器尺寸具体要求在技术文件或者技术白皮书中明确</w:t>
            </w:r>
          </w:p>
        </w:tc>
        <w:tc>
          <w:tcPr>
            <w:tcW w:w="1386" w:type="dxa"/>
            <w:shd w:val="clear" w:color="auto" w:fill="FFFFFF"/>
            <w:vAlign w:val="center"/>
          </w:tcPr>
          <w:p w14:paraId="714E1F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CEAA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89" w:type="dxa"/>
            <w:shd w:val="clear" w:color="auto" w:fill="FFFFFF"/>
            <w:vAlign w:val="center"/>
          </w:tcPr>
          <w:p w14:paraId="4EF67F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36</w:t>
            </w:r>
          </w:p>
        </w:tc>
        <w:tc>
          <w:tcPr>
            <w:tcW w:w="981" w:type="dxa"/>
            <w:shd w:val="clear" w:color="auto" w:fill="FFFFFF"/>
            <w:vAlign w:val="center"/>
          </w:tcPr>
          <w:p w14:paraId="47A1E30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0853641">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FAC833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★尺寸（高×宽×深）</w:t>
            </w:r>
          </w:p>
        </w:tc>
        <w:tc>
          <w:tcPr>
            <w:tcW w:w="4167" w:type="dxa"/>
            <w:shd w:val="clear" w:color="auto" w:fill="FFFFFF"/>
            <w:vAlign w:val="center"/>
          </w:tcPr>
          <w:p w14:paraId="2EEB694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供应商给出产品尺寸；设计应遵循标准化、系列化的要求；机箱的内部结构符合通用部件的安装需要</w:t>
            </w:r>
          </w:p>
        </w:tc>
        <w:tc>
          <w:tcPr>
            <w:tcW w:w="1386" w:type="dxa"/>
            <w:shd w:val="clear" w:color="auto" w:fill="FFFFFF"/>
            <w:vAlign w:val="center"/>
          </w:tcPr>
          <w:p w14:paraId="20204B3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3E4F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89" w:type="dxa"/>
            <w:shd w:val="clear" w:color="auto" w:fill="FFFFFF"/>
            <w:vAlign w:val="center"/>
          </w:tcPr>
          <w:p w14:paraId="6F8ACB0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37</w:t>
            </w:r>
          </w:p>
        </w:tc>
        <w:tc>
          <w:tcPr>
            <w:tcW w:w="981" w:type="dxa"/>
            <w:shd w:val="clear" w:color="auto" w:fill="FFFFFF"/>
            <w:vAlign w:val="center"/>
          </w:tcPr>
          <w:p w14:paraId="43E1FA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569A1343">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EB16A5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服务器导轨</w:t>
            </w:r>
          </w:p>
        </w:tc>
        <w:tc>
          <w:tcPr>
            <w:tcW w:w="4167" w:type="dxa"/>
            <w:shd w:val="clear" w:color="auto" w:fill="FFFFFF"/>
            <w:vAlign w:val="center"/>
          </w:tcPr>
          <w:p w14:paraId="22C730E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供应商给出导轨尺寸、安装方式等信息</w:t>
            </w:r>
          </w:p>
        </w:tc>
        <w:tc>
          <w:tcPr>
            <w:tcW w:w="1386" w:type="dxa"/>
            <w:shd w:val="clear" w:color="auto" w:fill="FFFFFF"/>
            <w:vAlign w:val="center"/>
          </w:tcPr>
          <w:p w14:paraId="4DBE78C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7F4C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89" w:type="dxa"/>
            <w:shd w:val="clear" w:color="auto" w:fill="FFFFFF"/>
            <w:vAlign w:val="center"/>
          </w:tcPr>
          <w:p w14:paraId="2A2AAA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38</w:t>
            </w:r>
          </w:p>
        </w:tc>
        <w:tc>
          <w:tcPr>
            <w:tcW w:w="981" w:type="dxa"/>
            <w:shd w:val="clear" w:color="auto" w:fill="FFFFFF"/>
            <w:vAlign w:val="center"/>
          </w:tcPr>
          <w:p w14:paraId="17A2AC4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679DB98">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E02695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CPU个数与机柜高度单位（U）比</w:t>
            </w:r>
          </w:p>
        </w:tc>
        <w:tc>
          <w:tcPr>
            <w:tcW w:w="4167" w:type="dxa"/>
            <w:shd w:val="clear" w:color="auto" w:fill="FFFFFF"/>
            <w:vAlign w:val="center"/>
          </w:tcPr>
          <w:p w14:paraId="2DF9826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供应商给出CPU个数与机柜高度</w:t>
            </w:r>
          </w:p>
        </w:tc>
        <w:tc>
          <w:tcPr>
            <w:tcW w:w="1386" w:type="dxa"/>
            <w:shd w:val="clear" w:color="auto" w:fill="FFFFFF"/>
            <w:vAlign w:val="center"/>
          </w:tcPr>
          <w:p w14:paraId="7229D9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9B10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789" w:type="dxa"/>
            <w:shd w:val="clear" w:color="auto" w:fill="FFFFFF"/>
            <w:vAlign w:val="center"/>
          </w:tcPr>
          <w:p w14:paraId="57165A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39</w:t>
            </w:r>
          </w:p>
        </w:tc>
        <w:tc>
          <w:tcPr>
            <w:tcW w:w="981" w:type="dxa"/>
            <w:shd w:val="clear" w:color="auto" w:fill="FFFFFF"/>
            <w:vAlign w:val="center"/>
          </w:tcPr>
          <w:p w14:paraId="6505E8E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FC342E8">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1A810F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★环境适应性</w:t>
            </w:r>
          </w:p>
        </w:tc>
        <w:tc>
          <w:tcPr>
            <w:tcW w:w="4167" w:type="dxa"/>
            <w:shd w:val="clear" w:color="auto" w:fill="FFFFFF"/>
            <w:vAlign w:val="center"/>
          </w:tcPr>
          <w:p w14:paraId="67B4F9D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气候环境适应性应符合GB/T9813.3的有关规定，工作温度10~35℃,贮存运输温度-40～55℃;工作相对湿度35%～80%，贮存运输相对湿度20％～93%（40℃）;大气压86～106kPa</w:t>
            </w:r>
          </w:p>
        </w:tc>
        <w:tc>
          <w:tcPr>
            <w:tcW w:w="1386" w:type="dxa"/>
            <w:shd w:val="clear" w:color="auto" w:fill="FFFFFF"/>
            <w:vAlign w:val="center"/>
          </w:tcPr>
          <w:p w14:paraId="46673A4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D655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89" w:type="dxa"/>
            <w:shd w:val="clear" w:color="auto" w:fill="FFFFFF"/>
            <w:vAlign w:val="center"/>
          </w:tcPr>
          <w:p w14:paraId="0E0C83F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40</w:t>
            </w:r>
          </w:p>
        </w:tc>
        <w:tc>
          <w:tcPr>
            <w:tcW w:w="981" w:type="dxa"/>
            <w:shd w:val="clear" w:color="auto" w:fill="FFFFFF"/>
            <w:vAlign w:val="center"/>
          </w:tcPr>
          <w:p w14:paraId="1F5E7AA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6A6F891">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D1D02E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特殊机型环境适应性</w:t>
            </w:r>
          </w:p>
        </w:tc>
        <w:tc>
          <w:tcPr>
            <w:tcW w:w="4167" w:type="dxa"/>
            <w:shd w:val="clear" w:color="auto" w:fill="FFFFFF"/>
            <w:vAlign w:val="center"/>
          </w:tcPr>
          <w:p w14:paraId="30A67A7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边缘应用服务器，工作环境温度宜为0～45℃,短期工作可承受环境温度宜为-5～55℃,液冷服务器贮存运输温度宜为-30～55℃</w:t>
            </w:r>
          </w:p>
        </w:tc>
        <w:tc>
          <w:tcPr>
            <w:tcW w:w="1386" w:type="dxa"/>
            <w:shd w:val="clear" w:color="auto" w:fill="FFFFFF"/>
            <w:vAlign w:val="center"/>
          </w:tcPr>
          <w:p w14:paraId="0E6977A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6C4B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89" w:type="dxa"/>
            <w:shd w:val="clear" w:color="auto" w:fill="FFFFFF"/>
            <w:vAlign w:val="center"/>
          </w:tcPr>
          <w:p w14:paraId="018E09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41</w:t>
            </w:r>
          </w:p>
        </w:tc>
        <w:tc>
          <w:tcPr>
            <w:tcW w:w="981" w:type="dxa"/>
            <w:shd w:val="clear" w:color="auto" w:fill="FFFFFF"/>
            <w:vAlign w:val="center"/>
          </w:tcPr>
          <w:p w14:paraId="352107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57411B63">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1FE0F4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★机械环境适应性</w:t>
            </w:r>
          </w:p>
        </w:tc>
        <w:tc>
          <w:tcPr>
            <w:tcW w:w="4167" w:type="dxa"/>
            <w:shd w:val="clear" w:color="auto" w:fill="FFFFFF"/>
            <w:vAlign w:val="center"/>
          </w:tcPr>
          <w:p w14:paraId="6111C76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机械环境适应性应符合GB/T9813.3的有关规定</w:t>
            </w:r>
          </w:p>
        </w:tc>
        <w:tc>
          <w:tcPr>
            <w:tcW w:w="1386" w:type="dxa"/>
            <w:shd w:val="clear" w:color="auto" w:fill="FFFFFF"/>
            <w:vAlign w:val="center"/>
          </w:tcPr>
          <w:p w14:paraId="129011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76BB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89" w:type="dxa"/>
            <w:shd w:val="clear" w:color="auto" w:fill="FFFFFF"/>
            <w:vAlign w:val="center"/>
          </w:tcPr>
          <w:p w14:paraId="67E75A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42</w:t>
            </w:r>
          </w:p>
        </w:tc>
        <w:tc>
          <w:tcPr>
            <w:tcW w:w="981" w:type="dxa"/>
            <w:shd w:val="clear" w:color="auto" w:fill="FFFFFF"/>
            <w:vAlign w:val="center"/>
          </w:tcPr>
          <w:p w14:paraId="43524D2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253A194A">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4771498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★噪声</w:t>
            </w:r>
          </w:p>
        </w:tc>
        <w:tc>
          <w:tcPr>
            <w:tcW w:w="4167" w:type="dxa"/>
            <w:shd w:val="clear" w:color="auto" w:fill="FFFFFF"/>
            <w:vAlign w:val="center"/>
          </w:tcPr>
          <w:p w14:paraId="590F711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符合GB/T9813.3的有关规定，在产品说明中给出具体测试值塔式服务器噪声在空闲状态下≤50dB</w:t>
            </w:r>
          </w:p>
        </w:tc>
        <w:tc>
          <w:tcPr>
            <w:tcW w:w="1386" w:type="dxa"/>
            <w:shd w:val="clear" w:color="auto" w:fill="FFFFFF"/>
            <w:vAlign w:val="center"/>
          </w:tcPr>
          <w:p w14:paraId="5BA4512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BBDE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789" w:type="dxa"/>
            <w:shd w:val="clear" w:color="auto" w:fill="FFFFFF"/>
            <w:vAlign w:val="center"/>
          </w:tcPr>
          <w:p w14:paraId="180C4AE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43</w:t>
            </w:r>
          </w:p>
        </w:tc>
        <w:tc>
          <w:tcPr>
            <w:tcW w:w="981" w:type="dxa"/>
            <w:shd w:val="clear" w:color="auto" w:fill="FFFFFF"/>
            <w:vAlign w:val="center"/>
          </w:tcPr>
          <w:p w14:paraId="77EFEA5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7DE9FE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AI计算单元规格</w:t>
            </w:r>
          </w:p>
        </w:tc>
        <w:tc>
          <w:tcPr>
            <w:tcW w:w="1206" w:type="dxa"/>
            <w:shd w:val="clear" w:color="auto" w:fill="FFFFFF"/>
            <w:vAlign w:val="center"/>
          </w:tcPr>
          <w:p w14:paraId="0C70133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AI计算单元</w:t>
            </w:r>
          </w:p>
        </w:tc>
        <w:tc>
          <w:tcPr>
            <w:tcW w:w="4167" w:type="dxa"/>
            <w:shd w:val="clear" w:color="auto" w:fill="FFFFFF"/>
            <w:vAlign w:val="center"/>
          </w:tcPr>
          <w:p w14:paraId="7EB487F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AI计算单元应符合如下要求：a）具备人工智能加速处理器，计算精度至少支持FP16、BF16、FP32、FP64、INT8和INT16等中的1种；b）单推理卡或模块，具备视频解析、文本识别、语音分析等推理能力；在视觉场景下配备可直接调用的接口实现视觉计算加速，路数不小于64（1080P30FPS）</w:t>
            </w:r>
          </w:p>
        </w:tc>
        <w:tc>
          <w:tcPr>
            <w:tcW w:w="1386" w:type="dxa"/>
            <w:shd w:val="clear" w:color="auto" w:fill="FFFFFF"/>
            <w:vAlign w:val="center"/>
          </w:tcPr>
          <w:p w14:paraId="704EF80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6D8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3CA58F0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44</w:t>
            </w:r>
          </w:p>
        </w:tc>
        <w:tc>
          <w:tcPr>
            <w:tcW w:w="981" w:type="dxa"/>
            <w:shd w:val="clear" w:color="auto" w:fill="FFFFFF"/>
            <w:vAlign w:val="center"/>
          </w:tcPr>
          <w:p w14:paraId="5BFDA5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49ACDB6">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A33DDC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一键式迁移</w:t>
            </w:r>
          </w:p>
        </w:tc>
        <w:tc>
          <w:tcPr>
            <w:tcW w:w="4167" w:type="dxa"/>
            <w:shd w:val="clear" w:color="auto" w:fill="FFFFFF"/>
            <w:vAlign w:val="center"/>
          </w:tcPr>
          <w:p w14:paraId="62893A5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若服务器配备AI计算单元，提供训练脚本迁移工具</w:t>
            </w:r>
          </w:p>
        </w:tc>
        <w:tc>
          <w:tcPr>
            <w:tcW w:w="1386" w:type="dxa"/>
            <w:shd w:val="clear" w:color="auto" w:fill="FFFFFF"/>
            <w:vAlign w:val="center"/>
          </w:tcPr>
          <w:p w14:paraId="625D3AD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5721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89" w:type="dxa"/>
            <w:shd w:val="clear" w:color="auto" w:fill="FFFFFF"/>
            <w:vAlign w:val="center"/>
          </w:tcPr>
          <w:p w14:paraId="4DDD622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45</w:t>
            </w:r>
          </w:p>
        </w:tc>
        <w:tc>
          <w:tcPr>
            <w:tcW w:w="981" w:type="dxa"/>
            <w:shd w:val="clear" w:color="auto" w:fill="FFFFFF"/>
            <w:vAlign w:val="center"/>
          </w:tcPr>
          <w:p w14:paraId="344E38A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3BD4B94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机柜规格</w:t>
            </w:r>
          </w:p>
        </w:tc>
        <w:tc>
          <w:tcPr>
            <w:tcW w:w="1206" w:type="dxa"/>
            <w:shd w:val="clear" w:color="auto" w:fill="FFFFFF"/>
            <w:vAlign w:val="center"/>
          </w:tcPr>
          <w:p w14:paraId="5AAB0FD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★机柜尺寸</w:t>
            </w:r>
          </w:p>
        </w:tc>
        <w:tc>
          <w:tcPr>
            <w:tcW w:w="4167" w:type="dxa"/>
            <w:shd w:val="clear" w:color="auto" w:fill="FFFFFF"/>
            <w:vAlign w:val="center"/>
          </w:tcPr>
          <w:p w14:paraId="440DFF8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供应商给出长度、高度和深度</w:t>
            </w:r>
          </w:p>
        </w:tc>
        <w:tc>
          <w:tcPr>
            <w:tcW w:w="1386" w:type="dxa"/>
            <w:shd w:val="clear" w:color="auto" w:fill="FFFFFF"/>
            <w:vAlign w:val="center"/>
          </w:tcPr>
          <w:p w14:paraId="4EECD6C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3C09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89" w:type="dxa"/>
            <w:shd w:val="clear" w:color="auto" w:fill="FFFFFF"/>
            <w:vAlign w:val="center"/>
          </w:tcPr>
          <w:p w14:paraId="52875E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46</w:t>
            </w:r>
          </w:p>
        </w:tc>
        <w:tc>
          <w:tcPr>
            <w:tcW w:w="981" w:type="dxa"/>
            <w:shd w:val="clear" w:color="auto" w:fill="FFFFFF"/>
            <w:vAlign w:val="center"/>
          </w:tcPr>
          <w:p w14:paraId="355BCE2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0593425">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5439BE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机柜管理板</w:t>
            </w:r>
          </w:p>
        </w:tc>
        <w:tc>
          <w:tcPr>
            <w:tcW w:w="4167" w:type="dxa"/>
            <w:shd w:val="clear" w:color="auto" w:fill="FFFFFF"/>
            <w:vAlign w:val="center"/>
          </w:tcPr>
          <w:p w14:paraId="1098F27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配备机柜管理板</w:t>
            </w:r>
          </w:p>
        </w:tc>
        <w:tc>
          <w:tcPr>
            <w:tcW w:w="1386" w:type="dxa"/>
            <w:shd w:val="clear" w:color="auto" w:fill="FFFFFF"/>
            <w:vAlign w:val="center"/>
          </w:tcPr>
          <w:p w14:paraId="00E5783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9436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89" w:type="dxa"/>
            <w:shd w:val="clear" w:color="auto" w:fill="FFFFFF"/>
            <w:vAlign w:val="center"/>
          </w:tcPr>
          <w:p w14:paraId="639DD63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47</w:t>
            </w:r>
          </w:p>
        </w:tc>
        <w:tc>
          <w:tcPr>
            <w:tcW w:w="981" w:type="dxa"/>
            <w:shd w:val="clear" w:color="auto" w:fill="FFFFFF"/>
            <w:vAlign w:val="center"/>
          </w:tcPr>
          <w:p w14:paraId="5F0C97F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5EE82E6D">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C41596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机柜电源规格</w:t>
            </w:r>
          </w:p>
        </w:tc>
        <w:tc>
          <w:tcPr>
            <w:tcW w:w="4167" w:type="dxa"/>
            <w:shd w:val="clear" w:color="auto" w:fill="FFFFFF"/>
            <w:vAlign w:val="center"/>
          </w:tcPr>
          <w:p w14:paraId="2E46AE7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a）机柜电源支持集中供电，电源输入≥2路且支持自动切换；b）机柜电源模块支持N+1冗余配置，电源模块可独立更换</w:t>
            </w:r>
          </w:p>
        </w:tc>
        <w:tc>
          <w:tcPr>
            <w:tcW w:w="1386" w:type="dxa"/>
            <w:shd w:val="clear" w:color="auto" w:fill="FFFFFF"/>
            <w:vAlign w:val="center"/>
          </w:tcPr>
          <w:p w14:paraId="7F0F81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75CA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7E95294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48</w:t>
            </w:r>
          </w:p>
        </w:tc>
        <w:tc>
          <w:tcPr>
            <w:tcW w:w="981" w:type="dxa"/>
            <w:shd w:val="clear" w:color="auto" w:fill="FFFFFF"/>
            <w:vAlign w:val="center"/>
          </w:tcPr>
          <w:p w14:paraId="74687EC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346B90C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主板功能</w:t>
            </w:r>
          </w:p>
        </w:tc>
        <w:tc>
          <w:tcPr>
            <w:tcW w:w="1206" w:type="dxa"/>
            <w:shd w:val="clear" w:color="auto" w:fill="FFFFFF"/>
            <w:vAlign w:val="center"/>
          </w:tcPr>
          <w:p w14:paraId="3F33966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★主板外部接口种类</w:t>
            </w:r>
          </w:p>
        </w:tc>
        <w:tc>
          <w:tcPr>
            <w:tcW w:w="4167" w:type="dxa"/>
            <w:shd w:val="clear" w:color="auto" w:fill="FFFFFF"/>
            <w:vAlign w:val="center"/>
          </w:tcPr>
          <w:p w14:paraId="44ADD81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支持USB、显示、管理等接口，如：VGA、DP、HDMI、USB3.0、PS/2接口、BMC管理端口</w:t>
            </w:r>
          </w:p>
        </w:tc>
        <w:tc>
          <w:tcPr>
            <w:tcW w:w="1386" w:type="dxa"/>
            <w:shd w:val="clear" w:color="auto" w:fill="FFFFFF"/>
            <w:vAlign w:val="center"/>
          </w:tcPr>
          <w:p w14:paraId="32AA590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27DB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3C85E8C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49</w:t>
            </w:r>
          </w:p>
        </w:tc>
        <w:tc>
          <w:tcPr>
            <w:tcW w:w="981" w:type="dxa"/>
            <w:shd w:val="clear" w:color="auto" w:fill="FFFFFF"/>
            <w:vAlign w:val="center"/>
          </w:tcPr>
          <w:p w14:paraId="1F7AF46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63162658">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AE86B7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主板防烧板设计</w:t>
            </w:r>
          </w:p>
        </w:tc>
        <w:tc>
          <w:tcPr>
            <w:tcW w:w="4167" w:type="dxa"/>
            <w:shd w:val="clear" w:color="auto" w:fill="FFFFFF"/>
            <w:vAlign w:val="center"/>
          </w:tcPr>
          <w:p w14:paraId="5E31A2B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支持主板防烧板设计，保证电源故障后不扩散</w:t>
            </w:r>
          </w:p>
        </w:tc>
        <w:tc>
          <w:tcPr>
            <w:tcW w:w="1386" w:type="dxa"/>
            <w:shd w:val="clear" w:color="auto" w:fill="FFFFFF"/>
            <w:vAlign w:val="center"/>
          </w:tcPr>
          <w:p w14:paraId="5254EC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BB78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359D0A6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50</w:t>
            </w:r>
          </w:p>
        </w:tc>
        <w:tc>
          <w:tcPr>
            <w:tcW w:w="981" w:type="dxa"/>
            <w:shd w:val="clear" w:color="auto" w:fill="FFFFFF"/>
            <w:vAlign w:val="center"/>
          </w:tcPr>
          <w:p w14:paraId="277F07A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408B22A4">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9DF30B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扩展功能</w:t>
            </w:r>
          </w:p>
        </w:tc>
        <w:tc>
          <w:tcPr>
            <w:tcW w:w="4167" w:type="dxa"/>
            <w:shd w:val="clear" w:color="auto" w:fill="FFFFFF"/>
            <w:vAlign w:val="center"/>
          </w:tcPr>
          <w:p w14:paraId="6DE4A51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实现至少一种扩展功能，如存储功能卡、显示功能卡、运算加速功能卡及网络功能卡等扩展功能</w:t>
            </w:r>
          </w:p>
        </w:tc>
        <w:tc>
          <w:tcPr>
            <w:tcW w:w="1386" w:type="dxa"/>
            <w:shd w:val="clear" w:color="auto" w:fill="FFFFFF"/>
            <w:vAlign w:val="center"/>
          </w:tcPr>
          <w:p w14:paraId="4AC4C16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0708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1CE78B5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51</w:t>
            </w:r>
          </w:p>
        </w:tc>
        <w:tc>
          <w:tcPr>
            <w:tcW w:w="981" w:type="dxa"/>
            <w:shd w:val="clear" w:color="auto" w:fill="FFFFFF"/>
            <w:vAlign w:val="center"/>
          </w:tcPr>
          <w:p w14:paraId="09C154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shd w:val="clear" w:color="auto" w:fill="FFFFFF"/>
            <w:vAlign w:val="center"/>
          </w:tcPr>
          <w:p w14:paraId="33B5BF4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网络功能</w:t>
            </w:r>
          </w:p>
        </w:tc>
        <w:tc>
          <w:tcPr>
            <w:tcW w:w="1206" w:type="dxa"/>
            <w:shd w:val="clear" w:color="auto" w:fill="FFFFFF"/>
            <w:vAlign w:val="center"/>
          </w:tcPr>
          <w:p w14:paraId="6D106E6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★网络功能</w:t>
            </w:r>
          </w:p>
        </w:tc>
        <w:tc>
          <w:tcPr>
            <w:tcW w:w="4167" w:type="dxa"/>
            <w:shd w:val="clear" w:color="auto" w:fill="FFFFFF"/>
            <w:vAlign w:val="center"/>
          </w:tcPr>
          <w:p w14:paraId="73C46B5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支持网络连接、网络访问、数据交换和网络管控功能</w:t>
            </w:r>
          </w:p>
        </w:tc>
        <w:tc>
          <w:tcPr>
            <w:tcW w:w="1386" w:type="dxa"/>
            <w:shd w:val="clear" w:color="auto" w:fill="FFFFFF"/>
            <w:vAlign w:val="center"/>
          </w:tcPr>
          <w:p w14:paraId="3A7B1D2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3B57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080" w:hRule="atLeast"/>
        </w:trPr>
        <w:tc>
          <w:tcPr>
            <w:tcW w:w="789" w:type="dxa"/>
            <w:shd w:val="clear" w:color="auto" w:fill="FFFFFF"/>
            <w:vAlign w:val="center"/>
          </w:tcPr>
          <w:p w14:paraId="45B2CEC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52</w:t>
            </w:r>
          </w:p>
        </w:tc>
        <w:tc>
          <w:tcPr>
            <w:tcW w:w="981" w:type="dxa"/>
            <w:shd w:val="clear" w:color="auto" w:fill="FFFFFF"/>
            <w:vAlign w:val="center"/>
          </w:tcPr>
          <w:p w14:paraId="294A8B9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7A75FF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CPU功能</w:t>
            </w:r>
          </w:p>
        </w:tc>
        <w:tc>
          <w:tcPr>
            <w:tcW w:w="1206" w:type="dxa"/>
            <w:shd w:val="clear" w:color="auto" w:fill="FFFFFF"/>
            <w:vAlign w:val="center"/>
          </w:tcPr>
          <w:p w14:paraId="3612806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★计算处理</w:t>
            </w:r>
          </w:p>
        </w:tc>
        <w:tc>
          <w:tcPr>
            <w:tcW w:w="4167" w:type="dxa"/>
            <w:shd w:val="clear" w:color="auto" w:fill="FFFFFF"/>
            <w:vAlign w:val="center"/>
          </w:tcPr>
          <w:p w14:paraId="0C5BAB1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支持通用计算及虚拟化功能。处理器需集成整型计算单元、浮点计算单元、内存控制器、I/O模块等，处理器与存储部件、网络部件、I/O部件等组成计算系统，提供数据处理、网络接入等计算相关功能</w:t>
            </w:r>
          </w:p>
        </w:tc>
        <w:tc>
          <w:tcPr>
            <w:tcW w:w="1386" w:type="dxa"/>
            <w:shd w:val="clear" w:color="auto" w:fill="FFFFFF"/>
            <w:vAlign w:val="center"/>
          </w:tcPr>
          <w:p w14:paraId="4C5F94F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7BEF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89" w:type="dxa"/>
            <w:shd w:val="clear" w:color="auto" w:fill="FFFFFF"/>
            <w:vAlign w:val="center"/>
          </w:tcPr>
          <w:p w14:paraId="7139AA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53</w:t>
            </w:r>
          </w:p>
        </w:tc>
        <w:tc>
          <w:tcPr>
            <w:tcW w:w="981" w:type="dxa"/>
            <w:shd w:val="clear" w:color="auto" w:fill="FFFFFF"/>
            <w:vAlign w:val="center"/>
          </w:tcPr>
          <w:p w14:paraId="6CA38A9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35E836F3">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03624F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★密码算法实现</w:t>
            </w:r>
          </w:p>
        </w:tc>
        <w:tc>
          <w:tcPr>
            <w:tcW w:w="4167" w:type="dxa"/>
            <w:shd w:val="clear" w:color="auto" w:fill="FFFFFF"/>
            <w:vAlign w:val="center"/>
          </w:tcPr>
          <w:p w14:paraId="3E2B195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CPU芯片应符合GM/T0008的相关规定，或芯片密码模块应符合GB/T37092或GM/T0028的相关规定</w:t>
            </w:r>
          </w:p>
        </w:tc>
        <w:tc>
          <w:tcPr>
            <w:tcW w:w="1386" w:type="dxa"/>
            <w:shd w:val="clear" w:color="auto" w:fill="FFFFFF"/>
            <w:vAlign w:val="center"/>
          </w:tcPr>
          <w:p w14:paraId="4DF239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DFEC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89" w:type="dxa"/>
            <w:shd w:val="clear" w:color="auto" w:fill="FFFFFF"/>
            <w:vAlign w:val="center"/>
          </w:tcPr>
          <w:p w14:paraId="783AF36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54</w:t>
            </w:r>
          </w:p>
        </w:tc>
        <w:tc>
          <w:tcPr>
            <w:tcW w:w="981" w:type="dxa"/>
            <w:shd w:val="clear" w:color="auto" w:fill="FFFFFF"/>
            <w:vAlign w:val="center"/>
          </w:tcPr>
          <w:p w14:paraId="6A4DCCB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0FAD121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存储功能</w:t>
            </w:r>
          </w:p>
        </w:tc>
        <w:tc>
          <w:tcPr>
            <w:tcW w:w="1206" w:type="dxa"/>
            <w:shd w:val="clear" w:color="auto" w:fill="FFFFFF"/>
            <w:vAlign w:val="center"/>
          </w:tcPr>
          <w:p w14:paraId="61B1A5E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内存校验</w:t>
            </w:r>
          </w:p>
        </w:tc>
        <w:tc>
          <w:tcPr>
            <w:tcW w:w="4167" w:type="dxa"/>
            <w:shd w:val="clear" w:color="auto" w:fill="FFFFFF"/>
            <w:vAlign w:val="center"/>
          </w:tcPr>
          <w:p w14:paraId="19D425F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支持内存校验或内存增强型纠错功能</w:t>
            </w:r>
          </w:p>
        </w:tc>
        <w:tc>
          <w:tcPr>
            <w:tcW w:w="1386" w:type="dxa"/>
            <w:shd w:val="clear" w:color="auto" w:fill="FFFFFF"/>
            <w:vAlign w:val="center"/>
          </w:tcPr>
          <w:p w14:paraId="73A0E3D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D4F2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89" w:type="dxa"/>
            <w:shd w:val="clear" w:color="auto" w:fill="FFFFFF"/>
            <w:vAlign w:val="center"/>
          </w:tcPr>
          <w:p w14:paraId="7601E1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55</w:t>
            </w:r>
          </w:p>
        </w:tc>
        <w:tc>
          <w:tcPr>
            <w:tcW w:w="981" w:type="dxa"/>
            <w:shd w:val="clear" w:color="auto" w:fill="FFFFFF"/>
            <w:vAlign w:val="center"/>
          </w:tcPr>
          <w:p w14:paraId="16024E4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08EA3EBD">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FACFDE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SATASSDNAND健康状态上报</w:t>
            </w:r>
          </w:p>
        </w:tc>
        <w:tc>
          <w:tcPr>
            <w:tcW w:w="4167" w:type="dxa"/>
            <w:shd w:val="clear" w:color="auto" w:fill="FFFFFF"/>
            <w:vAlign w:val="center"/>
          </w:tcPr>
          <w:p w14:paraId="3193BBB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支持关键外部存储器（硬磁盘、SSD等）的健康状态上报并进行故障诊断</w:t>
            </w:r>
          </w:p>
        </w:tc>
        <w:tc>
          <w:tcPr>
            <w:tcW w:w="1386" w:type="dxa"/>
            <w:shd w:val="clear" w:color="auto" w:fill="FFFFFF"/>
            <w:vAlign w:val="center"/>
          </w:tcPr>
          <w:p w14:paraId="1B17B45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63EA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89" w:type="dxa"/>
            <w:shd w:val="clear" w:color="auto" w:fill="FFFFFF"/>
            <w:vAlign w:val="center"/>
          </w:tcPr>
          <w:p w14:paraId="06B2850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56</w:t>
            </w:r>
          </w:p>
        </w:tc>
        <w:tc>
          <w:tcPr>
            <w:tcW w:w="981" w:type="dxa"/>
            <w:shd w:val="clear" w:color="auto" w:fill="FFFFFF"/>
            <w:vAlign w:val="center"/>
          </w:tcPr>
          <w:p w14:paraId="01EF515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6A3988B7">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86B5C2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SATASSD单die故障隔离</w:t>
            </w:r>
          </w:p>
        </w:tc>
        <w:tc>
          <w:tcPr>
            <w:tcW w:w="4167" w:type="dxa"/>
            <w:shd w:val="clear" w:color="auto" w:fill="FFFFFF"/>
            <w:vAlign w:val="center"/>
          </w:tcPr>
          <w:p w14:paraId="07A457B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支持SSD关键外部存储器中单存储晶元故障隔离</w:t>
            </w:r>
          </w:p>
        </w:tc>
        <w:tc>
          <w:tcPr>
            <w:tcW w:w="1386" w:type="dxa"/>
            <w:shd w:val="clear" w:color="auto" w:fill="FFFFFF"/>
            <w:vAlign w:val="center"/>
          </w:tcPr>
          <w:p w14:paraId="278583B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6EE1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89" w:type="dxa"/>
            <w:shd w:val="clear" w:color="auto" w:fill="FFFFFF"/>
            <w:vAlign w:val="center"/>
          </w:tcPr>
          <w:p w14:paraId="3B89097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57</w:t>
            </w:r>
          </w:p>
        </w:tc>
        <w:tc>
          <w:tcPr>
            <w:tcW w:w="981" w:type="dxa"/>
            <w:shd w:val="clear" w:color="auto" w:fill="FFFFFF"/>
            <w:vAlign w:val="center"/>
          </w:tcPr>
          <w:p w14:paraId="53C7041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6D0A0D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RAID卡功能</w:t>
            </w:r>
          </w:p>
        </w:tc>
        <w:tc>
          <w:tcPr>
            <w:tcW w:w="1206" w:type="dxa"/>
            <w:shd w:val="clear" w:color="auto" w:fill="FFFFFF"/>
            <w:vAlign w:val="center"/>
          </w:tcPr>
          <w:p w14:paraId="2B4774C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RAID卡配置及RAID级别支持</w:t>
            </w:r>
          </w:p>
        </w:tc>
        <w:tc>
          <w:tcPr>
            <w:tcW w:w="4167" w:type="dxa"/>
            <w:shd w:val="clear" w:color="auto" w:fill="FFFFFF"/>
            <w:vAlign w:val="center"/>
          </w:tcPr>
          <w:p w14:paraId="30331C8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RAID模式支持RAID0/1/10/5；</w:t>
            </w:r>
          </w:p>
        </w:tc>
        <w:tc>
          <w:tcPr>
            <w:tcW w:w="1386" w:type="dxa"/>
            <w:shd w:val="clear" w:color="auto" w:fill="FFFFFF"/>
            <w:vAlign w:val="center"/>
          </w:tcPr>
          <w:p w14:paraId="6D01CB6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61BD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6637E3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58</w:t>
            </w:r>
          </w:p>
        </w:tc>
        <w:tc>
          <w:tcPr>
            <w:tcW w:w="981" w:type="dxa"/>
            <w:shd w:val="clear" w:color="auto" w:fill="FFFFFF"/>
            <w:vAlign w:val="center"/>
          </w:tcPr>
          <w:p w14:paraId="67098B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60E955F3">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46CDDB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RAID卡BBU单元</w:t>
            </w:r>
          </w:p>
        </w:tc>
        <w:tc>
          <w:tcPr>
            <w:tcW w:w="4167" w:type="dxa"/>
            <w:shd w:val="clear" w:color="auto" w:fill="FFFFFF"/>
            <w:vAlign w:val="center"/>
          </w:tcPr>
          <w:p w14:paraId="2E20F61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RAID卡支持电池或电容备份单元</w:t>
            </w:r>
          </w:p>
        </w:tc>
        <w:tc>
          <w:tcPr>
            <w:tcW w:w="1386" w:type="dxa"/>
            <w:shd w:val="clear" w:color="auto" w:fill="FFFFFF"/>
            <w:vAlign w:val="center"/>
          </w:tcPr>
          <w:p w14:paraId="2916184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5F2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89" w:type="dxa"/>
            <w:shd w:val="clear" w:color="auto" w:fill="FFFFFF"/>
            <w:vAlign w:val="center"/>
          </w:tcPr>
          <w:p w14:paraId="37A3B25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59</w:t>
            </w:r>
          </w:p>
        </w:tc>
        <w:tc>
          <w:tcPr>
            <w:tcW w:w="981" w:type="dxa"/>
            <w:shd w:val="clear" w:color="auto" w:fill="FFFFFF"/>
            <w:vAlign w:val="center"/>
          </w:tcPr>
          <w:p w14:paraId="0A4F2C0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shd w:val="clear" w:color="auto" w:fill="FFFFFF"/>
            <w:vAlign w:val="center"/>
          </w:tcPr>
          <w:p w14:paraId="0F7FEA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光驱功能</w:t>
            </w:r>
          </w:p>
        </w:tc>
        <w:tc>
          <w:tcPr>
            <w:tcW w:w="1206" w:type="dxa"/>
            <w:shd w:val="clear" w:color="auto" w:fill="FFFFFF"/>
            <w:vAlign w:val="center"/>
          </w:tcPr>
          <w:p w14:paraId="1911C2A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光驱类型（是否支持RW，以及光盘类型CD/DVD）</w:t>
            </w:r>
          </w:p>
        </w:tc>
        <w:tc>
          <w:tcPr>
            <w:tcW w:w="4167" w:type="dxa"/>
            <w:shd w:val="clear" w:color="auto" w:fill="FFFFFF"/>
            <w:vAlign w:val="center"/>
          </w:tcPr>
          <w:p w14:paraId="532EEC8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若配备光驱，应提供光驱的安装形式（如内置、外置）、光驱读写类型（如只读、可刻录等）、光盘类型的兼容列表（如CD-ROM、CD-RW、DVD±RW等）</w:t>
            </w:r>
          </w:p>
        </w:tc>
        <w:tc>
          <w:tcPr>
            <w:tcW w:w="1386" w:type="dxa"/>
            <w:shd w:val="clear" w:color="auto" w:fill="FFFFFF"/>
            <w:vAlign w:val="center"/>
          </w:tcPr>
          <w:p w14:paraId="264F054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BB93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6B726A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60</w:t>
            </w:r>
          </w:p>
        </w:tc>
        <w:tc>
          <w:tcPr>
            <w:tcW w:w="981" w:type="dxa"/>
            <w:shd w:val="clear" w:color="auto" w:fill="FFFFFF"/>
            <w:vAlign w:val="center"/>
          </w:tcPr>
          <w:p w14:paraId="3E4528C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2639FBB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电源功能</w:t>
            </w:r>
          </w:p>
        </w:tc>
        <w:tc>
          <w:tcPr>
            <w:tcW w:w="1206" w:type="dxa"/>
            <w:shd w:val="clear" w:color="auto" w:fill="FFFFFF"/>
            <w:vAlign w:val="center"/>
          </w:tcPr>
          <w:p w14:paraId="5EDA388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★电源热插拔</w:t>
            </w:r>
          </w:p>
        </w:tc>
        <w:tc>
          <w:tcPr>
            <w:tcW w:w="4167" w:type="dxa"/>
            <w:shd w:val="clear" w:color="auto" w:fill="FFFFFF"/>
            <w:vAlign w:val="center"/>
          </w:tcPr>
          <w:p w14:paraId="3E17746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整机电源模块应具备热插拔功能</w:t>
            </w:r>
          </w:p>
        </w:tc>
        <w:tc>
          <w:tcPr>
            <w:tcW w:w="1386" w:type="dxa"/>
            <w:shd w:val="clear" w:color="auto" w:fill="FFFFFF"/>
            <w:vAlign w:val="center"/>
          </w:tcPr>
          <w:p w14:paraId="3C2DE66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E26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59885FA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61</w:t>
            </w:r>
          </w:p>
        </w:tc>
        <w:tc>
          <w:tcPr>
            <w:tcW w:w="981" w:type="dxa"/>
            <w:shd w:val="clear" w:color="auto" w:fill="FFFFFF"/>
            <w:vAlign w:val="center"/>
          </w:tcPr>
          <w:p w14:paraId="01EADCF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1A9A4168">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E5C597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★电源过流保护</w:t>
            </w:r>
          </w:p>
        </w:tc>
        <w:tc>
          <w:tcPr>
            <w:tcW w:w="4167" w:type="dxa"/>
            <w:shd w:val="clear" w:color="auto" w:fill="FFFFFF"/>
            <w:vAlign w:val="center"/>
          </w:tcPr>
          <w:p w14:paraId="21036F5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支持过流及短路保护的功能</w:t>
            </w:r>
          </w:p>
        </w:tc>
        <w:tc>
          <w:tcPr>
            <w:tcW w:w="1386" w:type="dxa"/>
            <w:shd w:val="clear" w:color="auto" w:fill="FFFFFF"/>
            <w:vAlign w:val="center"/>
          </w:tcPr>
          <w:p w14:paraId="2773D43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EE58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89" w:type="dxa"/>
            <w:shd w:val="clear" w:color="auto" w:fill="FFFFFF"/>
            <w:vAlign w:val="center"/>
          </w:tcPr>
          <w:p w14:paraId="3BF7472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62</w:t>
            </w:r>
          </w:p>
        </w:tc>
        <w:tc>
          <w:tcPr>
            <w:tcW w:w="981" w:type="dxa"/>
            <w:shd w:val="clear" w:color="auto" w:fill="FFFFFF"/>
            <w:vAlign w:val="center"/>
          </w:tcPr>
          <w:p w14:paraId="4923FB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15AD33A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整机功能</w:t>
            </w:r>
          </w:p>
        </w:tc>
        <w:tc>
          <w:tcPr>
            <w:tcW w:w="1206" w:type="dxa"/>
            <w:shd w:val="clear" w:color="auto" w:fill="FFFFFF"/>
            <w:vAlign w:val="center"/>
          </w:tcPr>
          <w:p w14:paraId="67D6006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★散热方式</w:t>
            </w:r>
          </w:p>
        </w:tc>
        <w:tc>
          <w:tcPr>
            <w:tcW w:w="4167" w:type="dxa"/>
            <w:shd w:val="clear" w:color="auto" w:fill="FFFFFF"/>
            <w:vAlign w:val="center"/>
          </w:tcPr>
          <w:p w14:paraId="5954F30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支持风冷或液冷等散热方式</w:t>
            </w:r>
          </w:p>
        </w:tc>
        <w:tc>
          <w:tcPr>
            <w:tcW w:w="1386" w:type="dxa"/>
            <w:shd w:val="clear" w:color="auto" w:fill="FFFFFF"/>
            <w:vAlign w:val="center"/>
          </w:tcPr>
          <w:p w14:paraId="13B1D9A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09BF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5F38EC7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63</w:t>
            </w:r>
          </w:p>
        </w:tc>
        <w:tc>
          <w:tcPr>
            <w:tcW w:w="981" w:type="dxa"/>
            <w:shd w:val="clear" w:color="auto" w:fill="FFFFFF"/>
            <w:vAlign w:val="center"/>
          </w:tcPr>
          <w:p w14:paraId="74AE42F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3FCD6D67">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E5ED5C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其他功能</w:t>
            </w:r>
          </w:p>
        </w:tc>
        <w:tc>
          <w:tcPr>
            <w:tcW w:w="4167" w:type="dxa"/>
            <w:shd w:val="clear" w:color="auto" w:fill="FFFFFF"/>
            <w:vAlign w:val="center"/>
          </w:tcPr>
          <w:p w14:paraId="7ED5954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a）支持关键部件冗余（包括电源、风扇等）；b）支持熔断保护与恢复功能</w:t>
            </w:r>
          </w:p>
        </w:tc>
        <w:tc>
          <w:tcPr>
            <w:tcW w:w="1386" w:type="dxa"/>
            <w:shd w:val="clear" w:color="auto" w:fill="FFFFFF"/>
            <w:vAlign w:val="center"/>
          </w:tcPr>
          <w:p w14:paraId="489AFCC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5B31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1" w:hRule="atLeast"/>
        </w:trPr>
        <w:tc>
          <w:tcPr>
            <w:tcW w:w="789" w:type="dxa"/>
            <w:shd w:val="clear" w:color="auto" w:fill="FFFFFF"/>
            <w:vAlign w:val="center"/>
          </w:tcPr>
          <w:p w14:paraId="4C7B94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64</w:t>
            </w:r>
          </w:p>
        </w:tc>
        <w:tc>
          <w:tcPr>
            <w:tcW w:w="981" w:type="dxa"/>
            <w:shd w:val="clear" w:color="auto" w:fill="FFFFFF"/>
            <w:vAlign w:val="center"/>
          </w:tcPr>
          <w:p w14:paraId="6A680DF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shd w:val="clear" w:color="auto" w:fill="FFFFFF"/>
            <w:vAlign w:val="center"/>
          </w:tcPr>
          <w:p w14:paraId="3E8AF1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管理系统功能</w:t>
            </w:r>
          </w:p>
        </w:tc>
        <w:tc>
          <w:tcPr>
            <w:tcW w:w="1206" w:type="dxa"/>
            <w:shd w:val="clear" w:color="auto" w:fill="FFFFFF"/>
            <w:vAlign w:val="center"/>
          </w:tcPr>
          <w:p w14:paraId="4BF043E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★BMC固件基础功能</w:t>
            </w:r>
          </w:p>
        </w:tc>
        <w:tc>
          <w:tcPr>
            <w:tcW w:w="4167" w:type="dxa"/>
            <w:shd w:val="clear" w:color="auto" w:fill="FFFFFF"/>
            <w:vAlign w:val="center"/>
          </w:tcPr>
          <w:p w14:paraId="671338B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支持DHCP设置网络功能；2）支持静态IP设置网络功能；3）支持设备日志记录，包括但不限于登录日志、操作日志和报警日志等功能；4）支持日志信息导出和记录删除功能；5）支持通过管理接口向外输出准确的报警信息功能；6）设备的BMC管理软件应能够按报警的严重程度进行区分；7）支持IPMI2.0、SNMP或Redfish等接口功能；8）支持键盘、鼠标和视频的重定向、文本控制台的重定向、远程虚拟媒体、高可靠的硬件监控和管理功能；9）支持基于网络开启、关闭和重启设备的功能，并查询当前设备开机运行状态；10）支持故障提示功能，并可通过接口读取服务器故障信息；11）支持基于网络的固件更新功能，包括BMC和BIOS等；12）支持基于网络安装操作系统的功能，并可通过网络控制台访问设备；13）支持通过本地的硬盘或光驱等存储设备，基于网络完成设备的操作系统安装功能；14）支持通过浏览器打开管理界面并登录功能；15）支持设置口令策略功能；16）支持访问权限设置功能，并通过日志记录访问事件；17）支持对出厂默认的用户名及口令进行安全保护功能，并提供默认口令修改提示；18）支持读取设备主板的工作环境温度功能；19）支持读取服务器CPU等核心器件的温度功能；20）支持通过外部管理工具进行BMC参数设置的功能，并可基于网络通过外部管理工具对BMC进行管理；21）应支持固件版本查询、固件升级22）支持基于网络实现开关机和复位控制的功能；23)BMC启动时间应不超过180s，实现功能包括网络、IPMI、散热、传感器服务可用；24）支持BMC固件设置的恢复出厂功能</w:t>
            </w:r>
          </w:p>
        </w:tc>
        <w:tc>
          <w:tcPr>
            <w:tcW w:w="1386" w:type="dxa"/>
            <w:shd w:val="clear" w:color="auto" w:fill="FFFFFF"/>
            <w:vAlign w:val="center"/>
          </w:tcPr>
          <w:p w14:paraId="7670B42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21E4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789" w:type="dxa"/>
            <w:shd w:val="clear" w:color="auto" w:fill="FFFFFF"/>
            <w:vAlign w:val="center"/>
          </w:tcPr>
          <w:p w14:paraId="53C3B07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65</w:t>
            </w:r>
          </w:p>
        </w:tc>
        <w:tc>
          <w:tcPr>
            <w:tcW w:w="981" w:type="dxa"/>
            <w:shd w:val="clear" w:color="auto" w:fill="FFFFFF"/>
            <w:vAlign w:val="center"/>
          </w:tcPr>
          <w:p w14:paraId="076AC5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7CD97EBD">
            <w:pPr>
              <w:widowControl/>
              <w:jc w:val="center"/>
              <w:rPr>
                <w:rFonts w:asciiTheme="minorEastAsia" w:hAnsiTheme="minorEastAsia" w:eastAsiaTheme="minorEastAsia" w:cstheme="minorEastAsia"/>
                <w:kern w:val="0"/>
                <w:sz w:val="24"/>
              </w:rPr>
            </w:pPr>
          </w:p>
        </w:tc>
        <w:tc>
          <w:tcPr>
            <w:tcW w:w="1206" w:type="dxa"/>
            <w:shd w:val="clear" w:color="auto" w:fill="FFFFFF"/>
            <w:vAlign w:val="center"/>
          </w:tcPr>
          <w:p w14:paraId="6DA148A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BMC固件增强功能</w:t>
            </w:r>
          </w:p>
        </w:tc>
        <w:tc>
          <w:tcPr>
            <w:tcW w:w="4167" w:type="dxa"/>
            <w:shd w:val="clear" w:color="auto" w:fill="FFFFFF"/>
            <w:vAlign w:val="center"/>
          </w:tcPr>
          <w:p w14:paraId="2F6A66B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a）网络控制、安装提供图形访问界面网络；b）设备的BMC管理软件界面显示报警信息，且能够按报警的严重程度进行区分；c）WebGUI采用BMC端口直连，平均响应时间为≤1s</w:t>
            </w:r>
          </w:p>
        </w:tc>
        <w:tc>
          <w:tcPr>
            <w:tcW w:w="1386" w:type="dxa"/>
            <w:shd w:val="clear" w:color="auto" w:fill="FFFFFF"/>
            <w:vAlign w:val="center"/>
          </w:tcPr>
          <w:p w14:paraId="532CCC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DB3B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0" w:hRule="atLeast"/>
        </w:trPr>
        <w:tc>
          <w:tcPr>
            <w:tcW w:w="789" w:type="dxa"/>
            <w:shd w:val="clear" w:color="auto" w:fill="FFFFFF"/>
            <w:vAlign w:val="center"/>
          </w:tcPr>
          <w:p w14:paraId="0567C20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66</w:t>
            </w:r>
          </w:p>
        </w:tc>
        <w:tc>
          <w:tcPr>
            <w:tcW w:w="981" w:type="dxa"/>
            <w:shd w:val="clear" w:color="auto" w:fill="FFFFFF"/>
            <w:vAlign w:val="center"/>
          </w:tcPr>
          <w:p w14:paraId="411CD0D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57360977">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DA665E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★BIOS固件基础功能</w:t>
            </w:r>
          </w:p>
        </w:tc>
        <w:tc>
          <w:tcPr>
            <w:tcW w:w="4167" w:type="dxa"/>
            <w:shd w:val="clear" w:color="auto" w:fill="FFFFFF"/>
            <w:vAlign w:val="center"/>
          </w:tcPr>
          <w:p w14:paraId="0896C1C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查看固件版本、内存信息、主板信息、处理器信息和系统时间信息功能；b）支持上电初始化界面显示CPU信息、内存信息、固件版本和部分快捷键信息功能；c）支持设置界面中英文显示切换功能；d）支持查看PCIe设备信息，SATA设备信息功能；e）支持操作系统安装和引导功能，应并向操作系统提供计算机主板信息和服务接口；f）支持设置启动顺序，并按照设置的启动顺序启动功能；g）支持安全启动功能；h）支持设置口令、修改口令、验证口令功能；i）支持板载显示控制或独立显卡的显示控制功能；j）支持RAID识别和启动功能；k）支持串口重定向功能；l）支持固件更新功能；m）支持BIOS固件设置的恢复出厂功能；n）支持网络引导启用和关闭功能</w:t>
            </w:r>
          </w:p>
        </w:tc>
        <w:tc>
          <w:tcPr>
            <w:tcW w:w="1386" w:type="dxa"/>
            <w:shd w:val="clear" w:color="auto" w:fill="FFFFFF"/>
            <w:vAlign w:val="center"/>
          </w:tcPr>
          <w:p w14:paraId="35EC5FC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D371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89" w:type="dxa"/>
            <w:shd w:val="clear" w:color="auto" w:fill="FFFFFF"/>
            <w:vAlign w:val="center"/>
          </w:tcPr>
          <w:p w14:paraId="2747D3F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67</w:t>
            </w:r>
          </w:p>
        </w:tc>
        <w:tc>
          <w:tcPr>
            <w:tcW w:w="981" w:type="dxa"/>
            <w:shd w:val="clear" w:color="auto" w:fill="FFFFFF"/>
            <w:vAlign w:val="center"/>
          </w:tcPr>
          <w:p w14:paraId="7066F28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379C3A70">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1EF30A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★远程控制</w:t>
            </w:r>
          </w:p>
        </w:tc>
        <w:tc>
          <w:tcPr>
            <w:tcW w:w="4167" w:type="dxa"/>
            <w:shd w:val="clear" w:color="auto" w:fill="FFFFFF"/>
            <w:vAlign w:val="center"/>
          </w:tcPr>
          <w:p w14:paraId="17D79D9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支持远程关机和重新启动功能</w:t>
            </w:r>
          </w:p>
        </w:tc>
        <w:tc>
          <w:tcPr>
            <w:tcW w:w="1386" w:type="dxa"/>
            <w:shd w:val="clear" w:color="auto" w:fill="FFFFFF"/>
            <w:vAlign w:val="center"/>
          </w:tcPr>
          <w:p w14:paraId="408A612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E185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89" w:type="dxa"/>
            <w:shd w:val="clear" w:color="auto" w:fill="FFFFFF"/>
            <w:vAlign w:val="center"/>
          </w:tcPr>
          <w:p w14:paraId="794B680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68</w:t>
            </w:r>
          </w:p>
        </w:tc>
        <w:tc>
          <w:tcPr>
            <w:tcW w:w="981" w:type="dxa"/>
            <w:shd w:val="clear" w:color="auto" w:fill="FFFFFF"/>
            <w:vAlign w:val="center"/>
          </w:tcPr>
          <w:p w14:paraId="1930DEE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704B285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操作系统及驱动功能</w:t>
            </w:r>
          </w:p>
        </w:tc>
        <w:tc>
          <w:tcPr>
            <w:tcW w:w="1206" w:type="dxa"/>
            <w:shd w:val="clear" w:color="auto" w:fill="FFFFFF"/>
            <w:vAlign w:val="center"/>
          </w:tcPr>
          <w:p w14:paraId="0619499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★操作系统及驱动的升级</w:t>
            </w:r>
          </w:p>
        </w:tc>
        <w:tc>
          <w:tcPr>
            <w:tcW w:w="4167" w:type="dxa"/>
            <w:shd w:val="clear" w:color="auto" w:fill="FFFFFF"/>
            <w:vAlign w:val="center"/>
          </w:tcPr>
          <w:p w14:paraId="54F77B2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支持通过网络、闪存盘对操作系统、驱动进行升级</w:t>
            </w:r>
          </w:p>
        </w:tc>
        <w:tc>
          <w:tcPr>
            <w:tcW w:w="1386" w:type="dxa"/>
            <w:shd w:val="clear" w:color="auto" w:fill="FFFFFF"/>
            <w:vAlign w:val="center"/>
          </w:tcPr>
          <w:p w14:paraId="4BF956D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ECA2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89" w:type="dxa"/>
            <w:shd w:val="clear" w:color="auto" w:fill="FFFFFF"/>
            <w:vAlign w:val="center"/>
          </w:tcPr>
          <w:p w14:paraId="779E24E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69</w:t>
            </w:r>
          </w:p>
        </w:tc>
        <w:tc>
          <w:tcPr>
            <w:tcW w:w="981" w:type="dxa"/>
            <w:shd w:val="clear" w:color="auto" w:fill="FFFFFF"/>
            <w:vAlign w:val="center"/>
          </w:tcPr>
          <w:p w14:paraId="38E3A0F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10CE8317">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3A167A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操作系统及驱动的备份还原</w:t>
            </w:r>
          </w:p>
        </w:tc>
        <w:tc>
          <w:tcPr>
            <w:tcW w:w="4167" w:type="dxa"/>
            <w:shd w:val="clear" w:color="auto" w:fill="FFFFFF"/>
            <w:vAlign w:val="center"/>
          </w:tcPr>
          <w:p w14:paraId="6AE4838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支持操作系统备份及还原功能</w:t>
            </w:r>
          </w:p>
        </w:tc>
        <w:tc>
          <w:tcPr>
            <w:tcW w:w="1386" w:type="dxa"/>
            <w:shd w:val="clear" w:color="auto" w:fill="FFFFFF"/>
            <w:vAlign w:val="center"/>
          </w:tcPr>
          <w:p w14:paraId="72F7AFC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DFA5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89" w:type="dxa"/>
            <w:shd w:val="clear" w:color="auto" w:fill="FFFFFF"/>
            <w:vAlign w:val="center"/>
          </w:tcPr>
          <w:p w14:paraId="0348B97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70</w:t>
            </w:r>
          </w:p>
        </w:tc>
        <w:tc>
          <w:tcPr>
            <w:tcW w:w="981" w:type="dxa"/>
            <w:shd w:val="clear" w:color="auto" w:fill="FFFFFF"/>
            <w:vAlign w:val="center"/>
          </w:tcPr>
          <w:p w14:paraId="4E4086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429265AC">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31E2CE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★操作系统功能</w:t>
            </w:r>
          </w:p>
        </w:tc>
        <w:tc>
          <w:tcPr>
            <w:tcW w:w="4167" w:type="dxa"/>
            <w:shd w:val="clear" w:color="auto" w:fill="FFFFFF"/>
            <w:vAlign w:val="center"/>
          </w:tcPr>
          <w:p w14:paraId="46B31E8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a）支持访问控制、安全审计、网络接入鉴别等功能；b）操作系统其他功能应满足操作系统政府采购需求标准中加*的指标要求</w:t>
            </w:r>
          </w:p>
        </w:tc>
        <w:tc>
          <w:tcPr>
            <w:tcW w:w="1386" w:type="dxa"/>
            <w:shd w:val="clear" w:color="auto" w:fill="FFFFFF"/>
            <w:vAlign w:val="center"/>
          </w:tcPr>
          <w:p w14:paraId="226783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AE10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61F99E9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71</w:t>
            </w:r>
          </w:p>
        </w:tc>
        <w:tc>
          <w:tcPr>
            <w:tcW w:w="981" w:type="dxa"/>
            <w:shd w:val="clear" w:color="auto" w:fill="FFFFFF"/>
            <w:vAlign w:val="center"/>
          </w:tcPr>
          <w:p w14:paraId="134C9B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shd w:val="clear" w:color="auto" w:fill="FFFFFF"/>
            <w:vAlign w:val="center"/>
          </w:tcPr>
          <w:p w14:paraId="21197A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中文信息处理功能</w:t>
            </w:r>
          </w:p>
        </w:tc>
        <w:tc>
          <w:tcPr>
            <w:tcW w:w="1206" w:type="dxa"/>
            <w:shd w:val="clear" w:color="auto" w:fill="FFFFFF"/>
            <w:vAlign w:val="center"/>
          </w:tcPr>
          <w:p w14:paraId="745CC0B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★中文信息处理</w:t>
            </w:r>
          </w:p>
        </w:tc>
        <w:tc>
          <w:tcPr>
            <w:tcW w:w="4167" w:type="dxa"/>
            <w:shd w:val="clear" w:color="auto" w:fill="FFFFFF"/>
            <w:vAlign w:val="center"/>
          </w:tcPr>
          <w:p w14:paraId="5C41027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符合GB18030的有关规定</w:t>
            </w:r>
          </w:p>
        </w:tc>
        <w:tc>
          <w:tcPr>
            <w:tcW w:w="1386" w:type="dxa"/>
            <w:shd w:val="clear" w:color="auto" w:fill="FFFFFF"/>
            <w:vAlign w:val="center"/>
          </w:tcPr>
          <w:p w14:paraId="23D4534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06C7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7A9DAEB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72</w:t>
            </w:r>
          </w:p>
        </w:tc>
        <w:tc>
          <w:tcPr>
            <w:tcW w:w="981" w:type="dxa"/>
            <w:shd w:val="clear" w:color="auto" w:fill="FFFFFF"/>
            <w:vAlign w:val="center"/>
          </w:tcPr>
          <w:p w14:paraId="35E452E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21D940D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机柜功能</w:t>
            </w:r>
          </w:p>
        </w:tc>
        <w:tc>
          <w:tcPr>
            <w:tcW w:w="1206" w:type="dxa"/>
            <w:shd w:val="clear" w:color="auto" w:fill="FFFFFF"/>
            <w:vAlign w:val="center"/>
          </w:tcPr>
          <w:p w14:paraId="493A3FF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机柜管理功能</w:t>
            </w:r>
          </w:p>
        </w:tc>
        <w:tc>
          <w:tcPr>
            <w:tcW w:w="4167" w:type="dxa"/>
            <w:shd w:val="clear" w:color="auto" w:fill="FFFFFF"/>
            <w:vAlign w:val="center"/>
          </w:tcPr>
          <w:p w14:paraId="32DB7C1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机柜管理系统包括服务器节点BMC管理系统、机柜管理系统或交换节点管理系统</w:t>
            </w:r>
          </w:p>
        </w:tc>
        <w:tc>
          <w:tcPr>
            <w:tcW w:w="1386" w:type="dxa"/>
            <w:shd w:val="clear" w:color="auto" w:fill="FFFFFF"/>
            <w:vAlign w:val="center"/>
          </w:tcPr>
          <w:p w14:paraId="56C4F58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32AC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264D43F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73</w:t>
            </w:r>
          </w:p>
        </w:tc>
        <w:tc>
          <w:tcPr>
            <w:tcW w:w="981" w:type="dxa"/>
            <w:shd w:val="clear" w:color="auto" w:fill="FFFFFF"/>
            <w:vAlign w:val="center"/>
          </w:tcPr>
          <w:p w14:paraId="0AA334C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4E8DD7C8">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6C94C6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机柜通信方式</w:t>
            </w:r>
          </w:p>
        </w:tc>
        <w:tc>
          <w:tcPr>
            <w:tcW w:w="4167" w:type="dxa"/>
            <w:shd w:val="clear" w:color="auto" w:fill="FFFFFF"/>
            <w:vAlign w:val="center"/>
          </w:tcPr>
          <w:p w14:paraId="783B9C6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若配备机柜管理板可实现包括：资产管理、电源模块、功耗管理和液冷漏液检测等功能</w:t>
            </w:r>
          </w:p>
        </w:tc>
        <w:tc>
          <w:tcPr>
            <w:tcW w:w="1386" w:type="dxa"/>
            <w:shd w:val="clear" w:color="auto" w:fill="FFFFFF"/>
            <w:vAlign w:val="center"/>
          </w:tcPr>
          <w:p w14:paraId="1685712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3E9A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89" w:type="dxa"/>
            <w:shd w:val="clear" w:color="auto" w:fill="FFFFFF"/>
            <w:vAlign w:val="center"/>
          </w:tcPr>
          <w:p w14:paraId="0F13091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74</w:t>
            </w:r>
          </w:p>
        </w:tc>
        <w:tc>
          <w:tcPr>
            <w:tcW w:w="981" w:type="dxa"/>
            <w:shd w:val="clear" w:color="auto" w:fill="FFFFFF"/>
            <w:vAlign w:val="center"/>
          </w:tcPr>
          <w:p w14:paraId="280D9E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2D99D05F">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475D74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多集群作业管理</w:t>
            </w:r>
          </w:p>
        </w:tc>
        <w:tc>
          <w:tcPr>
            <w:tcW w:w="4167" w:type="dxa"/>
            <w:shd w:val="clear" w:color="auto" w:fill="FFFFFF"/>
            <w:vAlign w:val="center"/>
          </w:tcPr>
          <w:p w14:paraId="6364B44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支持多集群作业管理功能</w:t>
            </w:r>
          </w:p>
        </w:tc>
        <w:tc>
          <w:tcPr>
            <w:tcW w:w="1386" w:type="dxa"/>
            <w:shd w:val="clear" w:color="auto" w:fill="FFFFFF"/>
            <w:vAlign w:val="center"/>
          </w:tcPr>
          <w:p w14:paraId="52BB990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33EA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4DE3F80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75</w:t>
            </w:r>
          </w:p>
        </w:tc>
        <w:tc>
          <w:tcPr>
            <w:tcW w:w="981" w:type="dxa"/>
            <w:shd w:val="clear" w:color="auto" w:fill="FFFFFF"/>
            <w:vAlign w:val="center"/>
          </w:tcPr>
          <w:p w14:paraId="2073F6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shd w:val="clear" w:color="auto" w:fill="FFFFFF"/>
            <w:vAlign w:val="center"/>
          </w:tcPr>
          <w:p w14:paraId="4B87AB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关键部件安全要求</w:t>
            </w:r>
          </w:p>
        </w:tc>
        <w:tc>
          <w:tcPr>
            <w:tcW w:w="1206" w:type="dxa"/>
            <w:shd w:val="clear" w:color="auto" w:fill="FFFFFF"/>
            <w:vAlign w:val="center"/>
          </w:tcPr>
          <w:p w14:paraId="6BC64C4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★关键部件安全要求</w:t>
            </w:r>
          </w:p>
        </w:tc>
        <w:tc>
          <w:tcPr>
            <w:tcW w:w="4167" w:type="dxa"/>
            <w:shd w:val="clear" w:color="auto" w:fill="FFFFFF"/>
            <w:vAlign w:val="center"/>
          </w:tcPr>
          <w:p w14:paraId="7BEFC82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CPU和操作系统等关键部件应当符合安全可靠测评要求</w:t>
            </w:r>
          </w:p>
        </w:tc>
        <w:tc>
          <w:tcPr>
            <w:tcW w:w="1386" w:type="dxa"/>
            <w:shd w:val="clear" w:color="auto" w:fill="FFFFFF"/>
            <w:vAlign w:val="center"/>
          </w:tcPr>
          <w:p w14:paraId="6CDA13E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5324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162D5A4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76</w:t>
            </w:r>
          </w:p>
        </w:tc>
        <w:tc>
          <w:tcPr>
            <w:tcW w:w="981" w:type="dxa"/>
            <w:shd w:val="clear" w:color="auto" w:fill="FFFFFF"/>
            <w:vAlign w:val="center"/>
          </w:tcPr>
          <w:p w14:paraId="07708F6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restart"/>
            <w:shd w:val="clear" w:color="auto" w:fill="FFFFFF"/>
            <w:vAlign w:val="center"/>
          </w:tcPr>
          <w:p w14:paraId="24A9A1A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固件安全要求</w:t>
            </w:r>
          </w:p>
        </w:tc>
        <w:tc>
          <w:tcPr>
            <w:tcW w:w="1206" w:type="dxa"/>
            <w:shd w:val="clear" w:color="auto" w:fill="FFFFFF"/>
            <w:vAlign w:val="center"/>
          </w:tcPr>
          <w:p w14:paraId="6127395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★故障检测</w:t>
            </w:r>
          </w:p>
        </w:tc>
        <w:tc>
          <w:tcPr>
            <w:tcW w:w="4167" w:type="dxa"/>
            <w:shd w:val="clear" w:color="auto" w:fill="FFFFFF"/>
            <w:vAlign w:val="center"/>
          </w:tcPr>
          <w:p w14:paraId="1946E9F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支持故障检测功能，可以检测到具体的FRU（内存、硬盘等）的故障并发出告警</w:t>
            </w:r>
          </w:p>
        </w:tc>
        <w:tc>
          <w:tcPr>
            <w:tcW w:w="1386" w:type="dxa"/>
            <w:shd w:val="clear" w:color="auto" w:fill="FFFFFF"/>
            <w:vAlign w:val="center"/>
          </w:tcPr>
          <w:p w14:paraId="39F57F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2113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89" w:type="dxa"/>
            <w:shd w:val="clear" w:color="auto" w:fill="FFFFFF"/>
            <w:vAlign w:val="center"/>
          </w:tcPr>
          <w:p w14:paraId="6B1AB3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77</w:t>
            </w:r>
          </w:p>
        </w:tc>
        <w:tc>
          <w:tcPr>
            <w:tcW w:w="981" w:type="dxa"/>
            <w:shd w:val="clear" w:color="auto" w:fill="FFFFFF"/>
            <w:vAlign w:val="center"/>
          </w:tcPr>
          <w:p w14:paraId="3569E3D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14A8A9A6">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E29151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内存故障智能预测和自愈修复</w:t>
            </w:r>
          </w:p>
        </w:tc>
        <w:tc>
          <w:tcPr>
            <w:tcW w:w="4167" w:type="dxa"/>
            <w:shd w:val="clear" w:color="auto" w:fill="FFFFFF"/>
            <w:vAlign w:val="center"/>
          </w:tcPr>
          <w:p w14:paraId="502C210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支持内存故障智能预测和自愈修复，提前自动硬隔离，避免内存故障引起的非预期宕机以及内存寿命的降低</w:t>
            </w:r>
          </w:p>
        </w:tc>
        <w:tc>
          <w:tcPr>
            <w:tcW w:w="1386" w:type="dxa"/>
            <w:shd w:val="clear" w:color="auto" w:fill="FFFFFF"/>
            <w:vAlign w:val="center"/>
          </w:tcPr>
          <w:p w14:paraId="55944D7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0663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221E5AC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78</w:t>
            </w:r>
          </w:p>
        </w:tc>
        <w:tc>
          <w:tcPr>
            <w:tcW w:w="981" w:type="dxa"/>
            <w:shd w:val="clear" w:color="auto" w:fill="FFFFFF"/>
            <w:vAlign w:val="center"/>
          </w:tcPr>
          <w:p w14:paraId="47213D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31E0EEDF">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725EA4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硬盘故障智能预测</w:t>
            </w:r>
          </w:p>
        </w:tc>
        <w:tc>
          <w:tcPr>
            <w:tcW w:w="4167" w:type="dxa"/>
            <w:shd w:val="clear" w:color="auto" w:fill="FFFFFF"/>
            <w:vAlign w:val="center"/>
          </w:tcPr>
          <w:p w14:paraId="0FD9EC8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支持硬盘故障智能预测，基于故障模型预测出硬盘的故障</w:t>
            </w:r>
          </w:p>
        </w:tc>
        <w:tc>
          <w:tcPr>
            <w:tcW w:w="1386" w:type="dxa"/>
            <w:shd w:val="clear" w:color="auto" w:fill="FFFFFF"/>
            <w:vAlign w:val="center"/>
          </w:tcPr>
          <w:p w14:paraId="12B2446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82FE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89" w:type="dxa"/>
            <w:shd w:val="clear" w:color="auto" w:fill="FFFFFF"/>
            <w:vAlign w:val="center"/>
          </w:tcPr>
          <w:p w14:paraId="1918A9F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79</w:t>
            </w:r>
          </w:p>
        </w:tc>
        <w:tc>
          <w:tcPr>
            <w:tcW w:w="981" w:type="dxa"/>
            <w:shd w:val="clear" w:color="auto" w:fill="FFFFFF"/>
            <w:vAlign w:val="center"/>
          </w:tcPr>
          <w:p w14:paraId="43A8B25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5BFB21CD">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2D1876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PCIe链路故障智能诊断</w:t>
            </w:r>
          </w:p>
        </w:tc>
        <w:tc>
          <w:tcPr>
            <w:tcW w:w="4167" w:type="dxa"/>
            <w:shd w:val="clear" w:color="auto" w:fill="FFFFFF"/>
            <w:vAlign w:val="center"/>
          </w:tcPr>
          <w:p w14:paraId="68971C1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支持PCIe链路故障智能诊断，判断出现故障的PCIe链路</w:t>
            </w:r>
          </w:p>
        </w:tc>
        <w:tc>
          <w:tcPr>
            <w:tcW w:w="1386" w:type="dxa"/>
            <w:shd w:val="clear" w:color="auto" w:fill="FFFFFF"/>
            <w:vAlign w:val="center"/>
          </w:tcPr>
          <w:p w14:paraId="42D6FF3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6A20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89" w:type="dxa"/>
            <w:shd w:val="clear" w:color="auto" w:fill="FFFFFF"/>
            <w:vAlign w:val="center"/>
          </w:tcPr>
          <w:p w14:paraId="5E6BE34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80</w:t>
            </w:r>
          </w:p>
        </w:tc>
        <w:tc>
          <w:tcPr>
            <w:tcW w:w="981" w:type="dxa"/>
            <w:shd w:val="clear" w:color="auto" w:fill="FFFFFF"/>
            <w:vAlign w:val="center"/>
          </w:tcPr>
          <w:p w14:paraId="5D4720E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480E26AE">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3150DF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内存故障隔离</w:t>
            </w:r>
          </w:p>
        </w:tc>
        <w:tc>
          <w:tcPr>
            <w:tcW w:w="4167" w:type="dxa"/>
            <w:shd w:val="clear" w:color="auto" w:fill="FFFFFF"/>
            <w:vAlign w:val="center"/>
          </w:tcPr>
          <w:p w14:paraId="433821E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支持内存故障隔离，在内存产生CE故障时，内存地址被隔离成功，服务器正常运行，业务系统不中断</w:t>
            </w:r>
          </w:p>
        </w:tc>
        <w:tc>
          <w:tcPr>
            <w:tcW w:w="1386" w:type="dxa"/>
            <w:shd w:val="clear" w:color="auto" w:fill="FFFFFF"/>
            <w:vAlign w:val="center"/>
          </w:tcPr>
          <w:p w14:paraId="5AC061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FEC8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789" w:type="dxa"/>
            <w:shd w:val="clear" w:color="auto" w:fill="FFFFFF"/>
            <w:vAlign w:val="center"/>
          </w:tcPr>
          <w:p w14:paraId="42D05A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81</w:t>
            </w:r>
          </w:p>
        </w:tc>
        <w:tc>
          <w:tcPr>
            <w:tcW w:w="981" w:type="dxa"/>
            <w:shd w:val="clear" w:color="auto" w:fill="FFFFFF"/>
            <w:vAlign w:val="center"/>
          </w:tcPr>
          <w:p w14:paraId="15018A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172B3345">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5EBC79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内存、PCIe卡的故障精准告警功能</w:t>
            </w:r>
          </w:p>
        </w:tc>
        <w:tc>
          <w:tcPr>
            <w:tcW w:w="4167" w:type="dxa"/>
            <w:shd w:val="clear" w:color="auto" w:fill="FFFFFF"/>
            <w:vAlign w:val="center"/>
          </w:tcPr>
          <w:p w14:paraId="6E40F62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支持内存、PCIe卡的故障精准告警功能，触发告警并明确指示具体的故障位置</w:t>
            </w:r>
          </w:p>
        </w:tc>
        <w:tc>
          <w:tcPr>
            <w:tcW w:w="1386" w:type="dxa"/>
            <w:shd w:val="clear" w:color="auto" w:fill="FFFFFF"/>
            <w:vAlign w:val="center"/>
          </w:tcPr>
          <w:p w14:paraId="0E9A4B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BEB7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3676E4D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82</w:t>
            </w:r>
          </w:p>
        </w:tc>
        <w:tc>
          <w:tcPr>
            <w:tcW w:w="981" w:type="dxa"/>
            <w:shd w:val="clear" w:color="auto" w:fill="FFFFFF"/>
            <w:vAlign w:val="center"/>
          </w:tcPr>
          <w:p w14:paraId="7823F9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35A3E5E3">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38C250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异常下电关键数据保护</w:t>
            </w:r>
          </w:p>
        </w:tc>
        <w:tc>
          <w:tcPr>
            <w:tcW w:w="4167" w:type="dxa"/>
            <w:shd w:val="clear" w:color="auto" w:fill="FFFFFF"/>
            <w:vAlign w:val="center"/>
          </w:tcPr>
          <w:p w14:paraId="1576569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支持异常掉电关键数据保护，支持数据备份恢复机制，防止系统异常掉电导致的数据文件丢失</w:t>
            </w:r>
          </w:p>
        </w:tc>
        <w:tc>
          <w:tcPr>
            <w:tcW w:w="1386" w:type="dxa"/>
            <w:shd w:val="clear" w:color="auto" w:fill="FFFFFF"/>
            <w:vAlign w:val="center"/>
          </w:tcPr>
          <w:p w14:paraId="690EC4C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C53F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89" w:type="dxa"/>
            <w:shd w:val="clear" w:color="auto" w:fill="FFFFFF"/>
            <w:vAlign w:val="center"/>
          </w:tcPr>
          <w:p w14:paraId="24B4390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83</w:t>
            </w:r>
          </w:p>
        </w:tc>
        <w:tc>
          <w:tcPr>
            <w:tcW w:w="981" w:type="dxa"/>
            <w:shd w:val="clear" w:color="auto" w:fill="FFFFFF"/>
            <w:vAlign w:val="center"/>
          </w:tcPr>
          <w:p w14:paraId="4A8EDD9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7F3EA39F">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BBBAF7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BMC/BIOS固件双镜像保护</w:t>
            </w:r>
          </w:p>
        </w:tc>
        <w:tc>
          <w:tcPr>
            <w:tcW w:w="4167" w:type="dxa"/>
            <w:shd w:val="clear" w:color="auto" w:fill="FFFFFF"/>
            <w:vAlign w:val="center"/>
          </w:tcPr>
          <w:p w14:paraId="062CF64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支持BMC/BIOS固件双镜像保护，运行异常时自动切换到备份镜像运行，提升系统稳定性</w:t>
            </w:r>
          </w:p>
        </w:tc>
        <w:tc>
          <w:tcPr>
            <w:tcW w:w="1386" w:type="dxa"/>
            <w:shd w:val="clear" w:color="auto" w:fill="FFFFFF"/>
            <w:vAlign w:val="center"/>
          </w:tcPr>
          <w:p w14:paraId="78C25B7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8AEE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89" w:type="dxa"/>
            <w:shd w:val="clear" w:color="auto" w:fill="FFFFFF"/>
            <w:vAlign w:val="center"/>
          </w:tcPr>
          <w:p w14:paraId="5012B3F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84</w:t>
            </w:r>
          </w:p>
        </w:tc>
        <w:tc>
          <w:tcPr>
            <w:tcW w:w="981" w:type="dxa"/>
            <w:shd w:val="clear" w:color="auto" w:fill="FFFFFF"/>
            <w:vAlign w:val="center"/>
          </w:tcPr>
          <w:p w14:paraId="7EBAB50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5E637B75">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F53C2D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CPU核重启隔离</w:t>
            </w:r>
          </w:p>
        </w:tc>
        <w:tc>
          <w:tcPr>
            <w:tcW w:w="4167" w:type="dxa"/>
            <w:shd w:val="clear" w:color="auto" w:fill="FFFFFF"/>
            <w:vAlign w:val="center"/>
          </w:tcPr>
          <w:p w14:paraId="0D1D693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支持CPU核发生不可纠正故障后，重启后由BIOS隔离该故障核，OS不可见，防止OS再次使用导致系统异常，核0除外</w:t>
            </w:r>
          </w:p>
        </w:tc>
        <w:tc>
          <w:tcPr>
            <w:tcW w:w="1386" w:type="dxa"/>
            <w:shd w:val="clear" w:color="auto" w:fill="FFFFFF"/>
            <w:vAlign w:val="center"/>
          </w:tcPr>
          <w:p w14:paraId="5A8494C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FF15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671494A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85</w:t>
            </w:r>
          </w:p>
        </w:tc>
        <w:tc>
          <w:tcPr>
            <w:tcW w:w="981" w:type="dxa"/>
            <w:shd w:val="clear" w:color="auto" w:fill="FFFFFF"/>
            <w:vAlign w:val="center"/>
          </w:tcPr>
          <w:p w14:paraId="259F939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126D06DE">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130FAE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内存地址隔离</w:t>
            </w:r>
          </w:p>
        </w:tc>
        <w:tc>
          <w:tcPr>
            <w:tcW w:w="4167" w:type="dxa"/>
            <w:shd w:val="clear" w:color="auto" w:fill="FFFFFF"/>
            <w:vAlign w:val="center"/>
          </w:tcPr>
          <w:p w14:paraId="1C56436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在硬件支持的情况下，支持故障内存地址重启后隔离</w:t>
            </w:r>
          </w:p>
        </w:tc>
        <w:tc>
          <w:tcPr>
            <w:tcW w:w="1386" w:type="dxa"/>
            <w:shd w:val="clear" w:color="auto" w:fill="FFFFFF"/>
            <w:vAlign w:val="center"/>
          </w:tcPr>
          <w:p w14:paraId="725864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8017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27A5984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86</w:t>
            </w:r>
          </w:p>
        </w:tc>
        <w:tc>
          <w:tcPr>
            <w:tcW w:w="981" w:type="dxa"/>
            <w:shd w:val="clear" w:color="auto" w:fill="FFFFFF"/>
            <w:vAlign w:val="center"/>
          </w:tcPr>
          <w:p w14:paraId="255F19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0EDE76A0">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90AE3F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内存存储阵列替换</w:t>
            </w:r>
          </w:p>
        </w:tc>
        <w:tc>
          <w:tcPr>
            <w:tcW w:w="4167" w:type="dxa"/>
            <w:shd w:val="clear" w:color="auto" w:fill="FFFFFF"/>
            <w:vAlign w:val="center"/>
          </w:tcPr>
          <w:p w14:paraId="1895E41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在硬件支持的情况下，支持故障内存存储阵列替换</w:t>
            </w:r>
          </w:p>
        </w:tc>
        <w:tc>
          <w:tcPr>
            <w:tcW w:w="1386" w:type="dxa"/>
            <w:shd w:val="clear" w:color="auto" w:fill="FFFFFF"/>
            <w:vAlign w:val="center"/>
          </w:tcPr>
          <w:p w14:paraId="16E9323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0120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57FC170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87</w:t>
            </w:r>
          </w:p>
        </w:tc>
        <w:tc>
          <w:tcPr>
            <w:tcW w:w="981" w:type="dxa"/>
            <w:shd w:val="clear" w:color="auto" w:fill="FFFFFF"/>
            <w:vAlign w:val="center"/>
          </w:tcPr>
          <w:p w14:paraId="4D25218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4F90A2C6">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C649FC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安全启动</w:t>
            </w:r>
          </w:p>
        </w:tc>
        <w:tc>
          <w:tcPr>
            <w:tcW w:w="4167" w:type="dxa"/>
            <w:shd w:val="clear" w:color="auto" w:fill="FFFFFF"/>
            <w:vAlign w:val="center"/>
          </w:tcPr>
          <w:p w14:paraId="0FC4EB5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支持执行环境要求在整个系统启动的过程中，系统应提供一个机制来保护平台的完整性</w:t>
            </w:r>
          </w:p>
        </w:tc>
        <w:tc>
          <w:tcPr>
            <w:tcW w:w="1386" w:type="dxa"/>
            <w:shd w:val="clear" w:color="auto" w:fill="FFFFFF"/>
            <w:vAlign w:val="center"/>
          </w:tcPr>
          <w:p w14:paraId="3526F0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AD2B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3490BD0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88</w:t>
            </w:r>
          </w:p>
        </w:tc>
        <w:tc>
          <w:tcPr>
            <w:tcW w:w="981" w:type="dxa"/>
            <w:shd w:val="clear" w:color="auto" w:fill="FFFFFF"/>
            <w:vAlign w:val="center"/>
          </w:tcPr>
          <w:p w14:paraId="6B93F85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restart"/>
            <w:shd w:val="clear" w:color="auto" w:fill="FFFFFF"/>
            <w:vAlign w:val="center"/>
          </w:tcPr>
          <w:p w14:paraId="60F28EE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系统安全要求</w:t>
            </w:r>
          </w:p>
        </w:tc>
        <w:tc>
          <w:tcPr>
            <w:tcW w:w="1206" w:type="dxa"/>
            <w:shd w:val="clear" w:color="auto" w:fill="FFFFFF"/>
            <w:vAlign w:val="center"/>
          </w:tcPr>
          <w:p w14:paraId="1D1F138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syslog双向鉴别</w:t>
            </w:r>
          </w:p>
        </w:tc>
        <w:tc>
          <w:tcPr>
            <w:tcW w:w="4167" w:type="dxa"/>
            <w:shd w:val="clear" w:color="auto" w:fill="FFFFFF"/>
            <w:vAlign w:val="center"/>
          </w:tcPr>
          <w:p w14:paraId="255A0B8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支持系统日志双向鉴别，对服务器根证书和客户端根证书进行鉴别</w:t>
            </w:r>
          </w:p>
        </w:tc>
        <w:tc>
          <w:tcPr>
            <w:tcW w:w="1386" w:type="dxa"/>
            <w:shd w:val="clear" w:color="auto" w:fill="FFFFFF"/>
            <w:vAlign w:val="center"/>
          </w:tcPr>
          <w:p w14:paraId="20A797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E089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89" w:type="dxa"/>
            <w:shd w:val="clear" w:color="auto" w:fill="FFFFFF"/>
            <w:vAlign w:val="center"/>
          </w:tcPr>
          <w:p w14:paraId="217007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89</w:t>
            </w:r>
          </w:p>
        </w:tc>
        <w:tc>
          <w:tcPr>
            <w:tcW w:w="981" w:type="dxa"/>
            <w:shd w:val="clear" w:color="auto" w:fill="FFFFFF"/>
            <w:vAlign w:val="center"/>
          </w:tcPr>
          <w:p w14:paraId="6A42419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0F1E839E">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C3F136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★弱口令字典检查</w:t>
            </w:r>
          </w:p>
        </w:tc>
        <w:tc>
          <w:tcPr>
            <w:tcW w:w="4167" w:type="dxa"/>
            <w:shd w:val="clear" w:color="auto" w:fill="FFFFFF"/>
            <w:vAlign w:val="center"/>
          </w:tcPr>
          <w:p w14:paraId="6DDC3E0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支持弱口令字典检查功能，出现在弱口令字典中的字符串不能被设置为用户口令</w:t>
            </w:r>
          </w:p>
        </w:tc>
        <w:tc>
          <w:tcPr>
            <w:tcW w:w="1386" w:type="dxa"/>
            <w:shd w:val="clear" w:color="auto" w:fill="FFFFFF"/>
            <w:vAlign w:val="center"/>
          </w:tcPr>
          <w:p w14:paraId="3F4989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7151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7960FB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90</w:t>
            </w:r>
          </w:p>
        </w:tc>
        <w:tc>
          <w:tcPr>
            <w:tcW w:w="981" w:type="dxa"/>
            <w:shd w:val="clear" w:color="auto" w:fill="FFFFFF"/>
            <w:vAlign w:val="center"/>
          </w:tcPr>
          <w:p w14:paraId="20A8411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377F0271">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DE969A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★白名单访问控制</w:t>
            </w:r>
          </w:p>
        </w:tc>
        <w:tc>
          <w:tcPr>
            <w:tcW w:w="4167" w:type="dxa"/>
            <w:shd w:val="clear" w:color="auto" w:fill="FFFFFF"/>
            <w:vAlign w:val="center"/>
          </w:tcPr>
          <w:p w14:paraId="12D5B11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支持基于时间、IP或MAC白名单访问控制</w:t>
            </w:r>
          </w:p>
        </w:tc>
        <w:tc>
          <w:tcPr>
            <w:tcW w:w="1386" w:type="dxa"/>
            <w:shd w:val="clear" w:color="auto" w:fill="FFFFFF"/>
            <w:vAlign w:val="center"/>
          </w:tcPr>
          <w:p w14:paraId="3B3A18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74B8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412B1D4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91</w:t>
            </w:r>
          </w:p>
        </w:tc>
        <w:tc>
          <w:tcPr>
            <w:tcW w:w="981" w:type="dxa"/>
            <w:shd w:val="clear" w:color="auto" w:fill="FFFFFF"/>
            <w:vAlign w:val="center"/>
          </w:tcPr>
          <w:p w14:paraId="3B5F316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2E27C75A">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B764E9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双因素鉴别</w:t>
            </w:r>
          </w:p>
        </w:tc>
        <w:tc>
          <w:tcPr>
            <w:tcW w:w="4167" w:type="dxa"/>
            <w:shd w:val="clear" w:color="auto" w:fill="FFFFFF"/>
            <w:vAlign w:val="center"/>
          </w:tcPr>
          <w:p w14:paraId="703AA86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支持使用客户端证书和证书密码的双因素鉴别方式登录管理系统</w:t>
            </w:r>
          </w:p>
        </w:tc>
        <w:tc>
          <w:tcPr>
            <w:tcW w:w="1386" w:type="dxa"/>
            <w:shd w:val="clear" w:color="auto" w:fill="FFFFFF"/>
            <w:vAlign w:val="center"/>
          </w:tcPr>
          <w:p w14:paraId="06144E7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97B8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89" w:type="dxa"/>
            <w:shd w:val="clear" w:color="auto" w:fill="FFFFFF"/>
            <w:vAlign w:val="center"/>
          </w:tcPr>
          <w:p w14:paraId="2C6885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92</w:t>
            </w:r>
          </w:p>
        </w:tc>
        <w:tc>
          <w:tcPr>
            <w:tcW w:w="981" w:type="dxa"/>
            <w:shd w:val="clear" w:color="auto" w:fill="FFFFFF"/>
            <w:vAlign w:val="center"/>
          </w:tcPr>
          <w:p w14:paraId="2C0D2B9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22511E0E">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20E139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★二次鉴别</w:t>
            </w:r>
          </w:p>
        </w:tc>
        <w:tc>
          <w:tcPr>
            <w:tcW w:w="4167" w:type="dxa"/>
            <w:shd w:val="clear" w:color="auto" w:fill="FFFFFF"/>
            <w:vAlign w:val="center"/>
          </w:tcPr>
          <w:p w14:paraId="1EAA9A4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支持二次鉴别功能。对于用户配置、权限配置、公钥导入等重要的管理操作，已登录用户应通过二次鉴别后，才能执行操作</w:t>
            </w:r>
          </w:p>
        </w:tc>
        <w:tc>
          <w:tcPr>
            <w:tcW w:w="1386" w:type="dxa"/>
            <w:shd w:val="clear" w:color="auto" w:fill="FFFFFF"/>
            <w:vAlign w:val="center"/>
          </w:tcPr>
          <w:p w14:paraId="3112BE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8A3F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89" w:type="dxa"/>
            <w:shd w:val="clear" w:color="auto" w:fill="FFFFFF"/>
            <w:vAlign w:val="center"/>
          </w:tcPr>
          <w:p w14:paraId="0AC990A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93</w:t>
            </w:r>
          </w:p>
        </w:tc>
        <w:tc>
          <w:tcPr>
            <w:tcW w:w="981" w:type="dxa"/>
            <w:shd w:val="clear" w:color="auto" w:fill="FFFFFF"/>
            <w:vAlign w:val="center"/>
          </w:tcPr>
          <w:p w14:paraId="0E033D1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24C630A0">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481528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匿名化用户告警接收邮箱</w:t>
            </w:r>
          </w:p>
        </w:tc>
        <w:tc>
          <w:tcPr>
            <w:tcW w:w="4167" w:type="dxa"/>
            <w:shd w:val="clear" w:color="auto" w:fill="FFFFFF"/>
            <w:vAlign w:val="center"/>
          </w:tcPr>
          <w:p w14:paraId="675532C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支持带外管理系统中的用户告警接收邮箱进行匿名化处理</w:t>
            </w:r>
          </w:p>
        </w:tc>
        <w:tc>
          <w:tcPr>
            <w:tcW w:w="1386" w:type="dxa"/>
            <w:shd w:val="clear" w:color="auto" w:fill="FFFFFF"/>
            <w:vAlign w:val="center"/>
          </w:tcPr>
          <w:p w14:paraId="2EDC3F6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81E7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89" w:type="dxa"/>
            <w:shd w:val="clear" w:color="auto" w:fill="FFFFFF"/>
            <w:vAlign w:val="center"/>
          </w:tcPr>
          <w:p w14:paraId="392FAB8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94</w:t>
            </w:r>
          </w:p>
        </w:tc>
        <w:tc>
          <w:tcPr>
            <w:tcW w:w="981" w:type="dxa"/>
            <w:shd w:val="clear" w:color="auto" w:fill="FFFFFF"/>
            <w:vAlign w:val="center"/>
          </w:tcPr>
          <w:p w14:paraId="35A2AD6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4098F481">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D3E73F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★密码证书安全加密存储</w:t>
            </w:r>
          </w:p>
        </w:tc>
        <w:tc>
          <w:tcPr>
            <w:tcW w:w="4167" w:type="dxa"/>
            <w:shd w:val="clear" w:color="auto" w:fill="FFFFFF"/>
            <w:vAlign w:val="center"/>
          </w:tcPr>
          <w:p w14:paraId="58C6F50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支持对带外管理系统中的用户口令和证书等敏感信息进行加密存储，禁止使用私有的和业界已知不安全的密码算法</w:t>
            </w:r>
          </w:p>
        </w:tc>
        <w:tc>
          <w:tcPr>
            <w:tcW w:w="1386" w:type="dxa"/>
            <w:shd w:val="clear" w:color="auto" w:fill="FFFFFF"/>
            <w:vAlign w:val="center"/>
          </w:tcPr>
          <w:p w14:paraId="3123156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5D2B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89" w:type="dxa"/>
            <w:shd w:val="clear" w:color="auto" w:fill="FFFFFF"/>
            <w:vAlign w:val="center"/>
          </w:tcPr>
          <w:p w14:paraId="52CF70C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95</w:t>
            </w:r>
          </w:p>
        </w:tc>
        <w:tc>
          <w:tcPr>
            <w:tcW w:w="981" w:type="dxa"/>
            <w:shd w:val="clear" w:color="auto" w:fill="FFFFFF"/>
            <w:vAlign w:val="center"/>
          </w:tcPr>
          <w:p w14:paraId="7A16F2A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106B9AF1">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BFA434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★敏感信息安全加密传输</w:t>
            </w:r>
          </w:p>
        </w:tc>
        <w:tc>
          <w:tcPr>
            <w:tcW w:w="4167" w:type="dxa"/>
            <w:shd w:val="clear" w:color="auto" w:fill="FFFFFF"/>
            <w:vAlign w:val="center"/>
          </w:tcPr>
          <w:p w14:paraId="3ECC7E9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支持使用安全的传输加密协议（如SSH或HTTPS等）传输用户的敏感信息</w:t>
            </w:r>
          </w:p>
        </w:tc>
        <w:tc>
          <w:tcPr>
            <w:tcW w:w="1386" w:type="dxa"/>
            <w:shd w:val="clear" w:color="auto" w:fill="FFFFFF"/>
            <w:vAlign w:val="center"/>
          </w:tcPr>
          <w:p w14:paraId="509490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78E3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789" w:type="dxa"/>
            <w:shd w:val="clear" w:color="auto" w:fill="FFFFFF"/>
            <w:vAlign w:val="center"/>
          </w:tcPr>
          <w:p w14:paraId="6202697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96</w:t>
            </w:r>
          </w:p>
        </w:tc>
        <w:tc>
          <w:tcPr>
            <w:tcW w:w="981" w:type="dxa"/>
            <w:shd w:val="clear" w:color="auto" w:fill="FFFFFF"/>
            <w:vAlign w:val="center"/>
          </w:tcPr>
          <w:p w14:paraId="4C6E99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restart"/>
            <w:shd w:val="clear" w:color="auto" w:fill="FFFFFF"/>
            <w:vAlign w:val="center"/>
          </w:tcPr>
          <w:p w14:paraId="073CD1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信息安全要求</w:t>
            </w:r>
          </w:p>
        </w:tc>
        <w:tc>
          <w:tcPr>
            <w:tcW w:w="1206" w:type="dxa"/>
            <w:shd w:val="clear" w:color="auto" w:fill="FFFFFF"/>
            <w:vAlign w:val="center"/>
          </w:tcPr>
          <w:p w14:paraId="377CCBA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★研发过程安全</w:t>
            </w:r>
          </w:p>
        </w:tc>
        <w:tc>
          <w:tcPr>
            <w:tcW w:w="4167" w:type="dxa"/>
            <w:shd w:val="clear" w:color="auto" w:fill="FFFFFF"/>
            <w:vAlign w:val="center"/>
          </w:tcPr>
          <w:p w14:paraId="62C22BD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供应商承诺，生产商已建立从需求、设计、开发、测试、维护端到端的开发流程管理机制，输出和保存开发流程中每个阶段的产品需求清单、设计文档、开发文档、测试记录等材料，保证各个流程可追溯</w:t>
            </w:r>
            <w:r>
              <w:rPr>
                <w:rFonts w:hint="eastAsia"/>
                <w:b/>
                <w:bCs/>
              </w:rPr>
              <w:t>（需提供加盖投标人公章的承诺书</w:t>
            </w:r>
            <w:r>
              <w:rPr>
                <w:rFonts w:hint="eastAsia"/>
                <w:b/>
                <w:bCs/>
                <w:lang w:eastAsia="zh-CN"/>
              </w:rPr>
              <w:t>）</w:t>
            </w:r>
          </w:p>
        </w:tc>
        <w:tc>
          <w:tcPr>
            <w:tcW w:w="1386" w:type="dxa"/>
            <w:shd w:val="clear" w:color="auto" w:fill="FFFFFF"/>
            <w:vAlign w:val="center"/>
          </w:tcPr>
          <w:p w14:paraId="6B617C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31382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89" w:type="dxa"/>
            <w:shd w:val="clear" w:color="auto" w:fill="FFFFFF"/>
            <w:vAlign w:val="center"/>
          </w:tcPr>
          <w:p w14:paraId="3393B35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97</w:t>
            </w:r>
          </w:p>
        </w:tc>
        <w:tc>
          <w:tcPr>
            <w:tcW w:w="981" w:type="dxa"/>
            <w:shd w:val="clear" w:color="auto" w:fill="FFFFFF"/>
            <w:vAlign w:val="center"/>
          </w:tcPr>
          <w:p w14:paraId="422156D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202E407E">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EE78DE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漏洞管理</w:t>
            </w:r>
          </w:p>
        </w:tc>
        <w:tc>
          <w:tcPr>
            <w:tcW w:w="4167" w:type="dxa"/>
            <w:shd w:val="clear" w:color="auto" w:fill="FFFFFF"/>
            <w:vAlign w:val="center"/>
          </w:tcPr>
          <w:p w14:paraId="1FCC3B7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供应商承诺，生产商已建立漏洞全量视图，保证产品版本涉及到的所有漏洞（如驱动程序、BMC软件等）都可以查看</w:t>
            </w:r>
            <w:r>
              <w:rPr>
                <w:rFonts w:hint="eastAsia"/>
                <w:b/>
                <w:bCs/>
              </w:rPr>
              <w:t>（需提供加盖投标人公章的承诺书</w:t>
            </w:r>
            <w:r>
              <w:rPr>
                <w:rFonts w:hint="eastAsia"/>
                <w:b/>
                <w:bCs/>
                <w:lang w:eastAsia="zh-CN"/>
              </w:rPr>
              <w:t>）</w:t>
            </w:r>
          </w:p>
        </w:tc>
        <w:tc>
          <w:tcPr>
            <w:tcW w:w="1386" w:type="dxa"/>
            <w:shd w:val="clear" w:color="auto" w:fill="FFFFFF"/>
            <w:vAlign w:val="center"/>
          </w:tcPr>
          <w:p w14:paraId="79CB903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4034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89" w:type="dxa"/>
            <w:shd w:val="clear" w:color="auto" w:fill="FFFFFF"/>
            <w:vAlign w:val="center"/>
          </w:tcPr>
          <w:p w14:paraId="0A29C80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98</w:t>
            </w:r>
          </w:p>
        </w:tc>
        <w:tc>
          <w:tcPr>
            <w:tcW w:w="981" w:type="dxa"/>
            <w:shd w:val="clear" w:color="auto" w:fill="FFFFFF"/>
            <w:vAlign w:val="center"/>
          </w:tcPr>
          <w:p w14:paraId="721D2BE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78AB1441">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8C645F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网络关键设备服务器要求</w:t>
            </w:r>
          </w:p>
        </w:tc>
        <w:tc>
          <w:tcPr>
            <w:tcW w:w="4167" w:type="dxa"/>
            <w:shd w:val="clear" w:color="auto" w:fill="FFFFFF"/>
            <w:vAlign w:val="center"/>
          </w:tcPr>
          <w:p w14:paraId="02C226B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作为网络关键设备的服务器应符合GB40050的相关规定</w:t>
            </w:r>
          </w:p>
        </w:tc>
        <w:tc>
          <w:tcPr>
            <w:tcW w:w="1386" w:type="dxa"/>
            <w:shd w:val="clear" w:color="auto" w:fill="FFFFFF"/>
            <w:vAlign w:val="center"/>
          </w:tcPr>
          <w:p w14:paraId="2AD0AD0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C256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6" w:hRule="atLeast"/>
        </w:trPr>
        <w:tc>
          <w:tcPr>
            <w:tcW w:w="789" w:type="dxa"/>
            <w:shd w:val="clear" w:color="auto" w:fill="FFFFFF"/>
            <w:vAlign w:val="center"/>
          </w:tcPr>
          <w:p w14:paraId="4DDFFEC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99</w:t>
            </w:r>
          </w:p>
        </w:tc>
        <w:tc>
          <w:tcPr>
            <w:tcW w:w="981" w:type="dxa"/>
            <w:shd w:val="clear" w:color="auto" w:fill="FFFFFF"/>
            <w:vAlign w:val="center"/>
          </w:tcPr>
          <w:p w14:paraId="46D81C5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07DC2987">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C57243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增强要求</w:t>
            </w:r>
          </w:p>
        </w:tc>
        <w:tc>
          <w:tcPr>
            <w:tcW w:w="4167" w:type="dxa"/>
            <w:shd w:val="clear" w:color="auto" w:fill="FFFFFF"/>
            <w:vAlign w:val="center"/>
          </w:tcPr>
          <w:p w14:paraId="3D8577B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嵌入物理可信根，实现设备的信任链构建；b）支持可信平台控制模块（TPCM）；c）支持在固件系统（BMC、BIOS）启动前实现对固件度量的功能，支持物理可信根对BMC固件或BIOS固件进行完整性检测、更新和恢复；d）支持对CPU、网络控制器等关键处理器进行身份识别与度量的功能；e）支持基于处理器或可信计算模块度量的功能；f）所采用的可信密码模块接口应符合GM/T0012的相关规定；g）可信安全管理模块、处理器等硬件载体应通过国家相关部门的认证和许可</w:t>
            </w:r>
          </w:p>
        </w:tc>
        <w:tc>
          <w:tcPr>
            <w:tcW w:w="1386" w:type="dxa"/>
            <w:shd w:val="clear" w:color="auto" w:fill="FFFFFF"/>
            <w:vAlign w:val="center"/>
          </w:tcPr>
          <w:p w14:paraId="760A57B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33A6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89" w:type="dxa"/>
            <w:shd w:val="clear" w:color="auto" w:fill="FFFFFF"/>
            <w:vAlign w:val="center"/>
          </w:tcPr>
          <w:p w14:paraId="3F6457B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100</w:t>
            </w:r>
          </w:p>
        </w:tc>
        <w:tc>
          <w:tcPr>
            <w:tcW w:w="981" w:type="dxa"/>
            <w:shd w:val="clear" w:color="auto" w:fill="FFFFFF"/>
            <w:vAlign w:val="center"/>
          </w:tcPr>
          <w:p w14:paraId="1ADE57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shd w:val="clear" w:color="auto" w:fill="FFFFFF"/>
            <w:vAlign w:val="center"/>
          </w:tcPr>
          <w:p w14:paraId="307C545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物理安全</w:t>
            </w:r>
          </w:p>
        </w:tc>
        <w:tc>
          <w:tcPr>
            <w:tcW w:w="1206" w:type="dxa"/>
            <w:shd w:val="clear" w:color="auto" w:fill="FFFFFF"/>
            <w:vAlign w:val="center"/>
          </w:tcPr>
          <w:p w14:paraId="27CF31F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★物理安全</w:t>
            </w:r>
          </w:p>
        </w:tc>
        <w:tc>
          <w:tcPr>
            <w:tcW w:w="4167" w:type="dxa"/>
            <w:shd w:val="clear" w:color="auto" w:fill="FFFFFF"/>
            <w:vAlign w:val="center"/>
          </w:tcPr>
          <w:p w14:paraId="4E28A07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安全要求应符合GB4943.1的规定</w:t>
            </w:r>
          </w:p>
        </w:tc>
        <w:tc>
          <w:tcPr>
            <w:tcW w:w="1386" w:type="dxa"/>
            <w:shd w:val="clear" w:color="auto" w:fill="FFFFFF"/>
            <w:vAlign w:val="center"/>
          </w:tcPr>
          <w:p w14:paraId="7E73AA8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4422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009C314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101</w:t>
            </w:r>
          </w:p>
        </w:tc>
        <w:tc>
          <w:tcPr>
            <w:tcW w:w="981" w:type="dxa"/>
            <w:shd w:val="clear" w:color="auto" w:fill="FFFFFF"/>
            <w:vAlign w:val="center"/>
          </w:tcPr>
          <w:p w14:paraId="5986CC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shd w:val="clear" w:color="auto" w:fill="FFFFFF"/>
            <w:vAlign w:val="center"/>
          </w:tcPr>
          <w:p w14:paraId="42366C9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限用物质的限量要求</w:t>
            </w:r>
          </w:p>
        </w:tc>
        <w:tc>
          <w:tcPr>
            <w:tcW w:w="1206" w:type="dxa"/>
            <w:shd w:val="clear" w:color="auto" w:fill="FFFFFF"/>
            <w:vAlign w:val="center"/>
          </w:tcPr>
          <w:p w14:paraId="5527EB7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★限用物质的限量要求</w:t>
            </w:r>
          </w:p>
        </w:tc>
        <w:tc>
          <w:tcPr>
            <w:tcW w:w="4167" w:type="dxa"/>
            <w:shd w:val="clear" w:color="auto" w:fill="FFFFFF"/>
            <w:vAlign w:val="center"/>
          </w:tcPr>
          <w:p w14:paraId="3B19EDC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限用物质的限量应符合GB/T26572的要求</w:t>
            </w:r>
          </w:p>
        </w:tc>
        <w:tc>
          <w:tcPr>
            <w:tcW w:w="1386" w:type="dxa"/>
            <w:shd w:val="clear" w:color="auto" w:fill="FFFFFF"/>
            <w:vAlign w:val="center"/>
          </w:tcPr>
          <w:p w14:paraId="0D68A34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00A3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789" w:type="dxa"/>
            <w:shd w:val="clear" w:color="auto" w:fill="FFFFFF"/>
            <w:vAlign w:val="center"/>
          </w:tcPr>
          <w:p w14:paraId="28FCF5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102</w:t>
            </w:r>
          </w:p>
        </w:tc>
        <w:tc>
          <w:tcPr>
            <w:tcW w:w="981" w:type="dxa"/>
            <w:shd w:val="clear" w:color="auto" w:fill="FFFFFF"/>
            <w:vAlign w:val="center"/>
          </w:tcPr>
          <w:p w14:paraId="1DE54E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restart"/>
            <w:shd w:val="clear" w:color="auto" w:fill="FFFFFF"/>
            <w:vAlign w:val="center"/>
          </w:tcPr>
          <w:p w14:paraId="550CF9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CPU性能</w:t>
            </w:r>
          </w:p>
        </w:tc>
        <w:tc>
          <w:tcPr>
            <w:tcW w:w="1206" w:type="dxa"/>
            <w:shd w:val="clear" w:color="auto" w:fill="FFFFFF"/>
            <w:vAlign w:val="center"/>
          </w:tcPr>
          <w:p w14:paraId="65A2535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★CPU主频</w:t>
            </w:r>
          </w:p>
        </w:tc>
        <w:tc>
          <w:tcPr>
            <w:tcW w:w="4167" w:type="dxa"/>
            <w:shd w:val="clear" w:color="auto" w:fill="FFFFFF"/>
            <w:vAlign w:val="center"/>
          </w:tcPr>
          <w:p w14:paraId="65EAE25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≥2.2GHz</w:t>
            </w:r>
          </w:p>
        </w:tc>
        <w:tc>
          <w:tcPr>
            <w:tcW w:w="1386" w:type="dxa"/>
            <w:shd w:val="clear" w:color="auto" w:fill="FFFFFF"/>
            <w:vAlign w:val="center"/>
          </w:tcPr>
          <w:p w14:paraId="433CBB4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11A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2F67115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103</w:t>
            </w:r>
          </w:p>
        </w:tc>
        <w:tc>
          <w:tcPr>
            <w:tcW w:w="981" w:type="dxa"/>
            <w:shd w:val="clear" w:color="auto" w:fill="FFFFFF"/>
            <w:vAlign w:val="center"/>
          </w:tcPr>
          <w:p w14:paraId="693A3C7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continue"/>
            <w:shd w:val="clear" w:color="auto" w:fill="FFFFFF"/>
            <w:vAlign w:val="center"/>
          </w:tcPr>
          <w:p w14:paraId="50CEBF43">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300E57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★单CPU核数</w:t>
            </w:r>
          </w:p>
        </w:tc>
        <w:tc>
          <w:tcPr>
            <w:tcW w:w="4167" w:type="dxa"/>
            <w:shd w:val="clear" w:color="auto" w:fill="FFFFFF"/>
            <w:vAlign w:val="center"/>
          </w:tcPr>
          <w:p w14:paraId="5F2C9AD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≥24核；</w:t>
            </w:r>
            <w:r>
              <w:rPr>
                <w:rFonts w:hint="eastAsia" w:asciiTheme="minorEastAsia" w:hAnsiTheme="minorEastAsia" w:eastAsiaTheme="minorEastAsia" w:cstheme="minorEastAsia"/>
                <w:sz w:val="24"/>
              </w:rPr>
              <w:t>≥2颗</w:t>
            </w:r>
          </w:p>
        </w:tc>
        <w:tc>
          <w:tcPr>
            <w:tcW w:w="1386" w:type="dxa"/>
            <w:shd w:val="clear" w:color="auto" w:fill="FFFFFF"/>
            <w:vAlign w:val="center"/>
          </w:tcPr>
          <w:p w14:paraId="151A15F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62C2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7567EB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104</w:t>
            </w:r>
          </w:p>
        </w:tc>
        <w:tc>
          <w:tcPr>
            <w:tcW w:w="981" w:type="dxa"/>
            <w:shd w:val="clear" w:color="auto" w:fill="FFFFFF"/>
            <w:vAlign w:val="center"/>
          </w:tcPr>
          <w:p w14:paraId="1A85462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continue"/>
            <w:shd w:val="clear" w:color="auto" w:fill="FFFFFF"/>
            <w:vAlign w:val="center"/>
          </w:tcPr>
          <w:p w14:paraId="64E70BC5">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454CD8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★单CPU末级缓存容量</w:t>
            </w:r>
          </w:p>
        </w:tc>
        <w:tc>
          <w:tcPr>
            <w:tcW w:w="4167" w:type="dxa"/>
            <w:shd w:val="clear" w:color="auto" w:fill="FFFFFF"/>
            <w:vAlign w:val="center"/>
          </w:tcPr>
          <w:p w14:paraId="74C1204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≥8MB</w:t>
            </w:r>
          </w:p>
        </w:tc>
        <w:tc>
          <w:tcPr>
            <w:tcW w:w="1386" w:type="dxa"/>
            <w:shd w:val="clear" w:color="auto" w:fill="FFFFFF"/>
            <w:vAlign w:val="center"/>
          </w:tcPr>
          <w:p w14:paraId="311FFA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6F12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789" w:type="dxa"/>
            <w:shd w:val="clear" w:color="auto" w:fill="FFFFFF"/>
            <w:vAlign w:val="center"/>
          </w:tcPr>
          <w:p w14:paraId="1D84A3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105</w:t>
            </w:r>
          </w:p>
        </w:tc>
        <w:tc>
          <w:tcPr>
            <w:tcW w:w="981" w:type="dxa"/>
            <w:shd w:val="clear" w:color="auto" w:fill="FFFFFF"/>
            <w:vAlign w:val="center"/>
          </w:tcPr>
          <w:p w14:paraId="70CAFD9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restart"/>
            <w:shd w:val="clear" w:color="auto" w:fill="FFFFFF"/>
            <w:vAlign w:val="center"/>
          </w:tcPr>
          <w:p w14:paraId="5D2023C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内存性能</w:t>
            </w:r>
          </w:p>
        </w:tc>
        <w:tc>
          <w:tcPr>
            <w:tcW w:w="1206" w:type="dxa"/>
            <w:shd w:val="clear" w:color="auto" w:fill="FFFFFF"/>
            <w:vAlign w:val="center"/>
          </w:tcPr>
          <w:p w14:paraId="4DBCD52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★单内存模块容量</w:t>
            </w:r>
          </w:p>
        </w:tc>
        <w:tc>
          <w:tcPr>
            <w:tcW w:w="4167" w:type="dxa"/>
            <w:shd w:val="clear" w:color="auto" w:fill="FFFFFF"/>
            <w:vAlign w:val="center"/>
          </w:tcPr>
          <w:p w14:paraId="3EEF71D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≥32GB；</w:t>
            </w:r>
          </w:p>
        </w:tc>
        <w:tc>
          <w:tcPr>
            <w:tcW w:w="1386" w:type="dxa"/>
            <w:shd w:val="clear" w:color="auto" w:fill="FFFFFF"/>
            <w:vAlign w:val="center"/>
          </w:tcPr>
          <w:p w14:paraId="2D8CC7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C087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789" w:type="dxa"/>
            <w:shd w:val="clear" w:color="auto" w:fill="FFFFFF"/>
            <w:vAlign w:val="center"/>
          </w:tcPr>
          <w:p w14:paraId="150336B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106</w:t>
            </w:r>
          </w:p>
        </w:tc>
        <w:tc>
          <w:tcPr>
            <w:tcW w:w="981" w:type="dxa"/>
            <w:shd w:val="clear" w:color="auto" w:fill="FFFFFF"/>
            <w:vAlign w:val="center"/>
          </w:tcPr>
          <w:p w14:paraId="7747CC8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continue"/>
            <w:shd w:val="clear" w:color="auto" w:fill="FFFFFF"/>
            <w:vAlign w:val="center"/>
          </w:tcPr>
          <w:p w14:paraId="03497236">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1C03BD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★内存速率</w:t>
            </w:r>
          </w:p>
        </w:tc>
        <w:tc>
          <w:tcPr>
            <w:tcW w:w="4167" w:type="dxa"/>
            <w:shd w:val="clear" w:color="auto" w:fill="FFFFFF"/>
            <w:vAlign w:val="center"/>
          </w:tcPr>
          <w:p w14:paraId="76AC052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≥3200MT/s</w:t>
            </w:r>
          </w:p>
        </w:tc>
        <w:tc>
          <w:tcPr>
            <w:tcW w:w="1386" w:type="dxa"/>
            <w:shd w:val="clear" w:color="auto" w:fill="FFFFFF"/>
            <w:vAlign w:val="center"/>
          </w:tcPr>
          <w:p w14:paraId="2209969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A278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789" w:type="dxa"/>
            <w:shd w:val="clear" w:color="auto" w:fill="FFFFFF"/>
            <w:vAlign w:val="center"/>
          </w:tcPr>
          <w:p w14:paraId="0C099ED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107</w:t>
            </w:r>
          </w:p>
        </w:tc>
        <w:tc>
          <w:tcPr>
            <w:tcW w:w="981" w:type="dxa"/>
            <w:shd w:val="clear" w:color="auto" w:fill="FFFFFF"/>
            <w:vAlign w:val="center"/>
          </w:tcPr>
          <w:p w14:paraId="01CFBD6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shd w:val="clear" w:color="auto" w:fill="FFFFFF"/>
            <w:vAlign w:val="center"/>
          </w:tcPr>
          <w:p w14:paraId="65C64B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存储性能</w:t>
            </w:r>
          </w:p>
        </w:tc>
        <w:tc>
          <w:tcPr>
            <w:tcW w:w="1206" w:type="dxa"/>
            <w:shd w:val="clear" w:color="auto" w:fill="FFFFFF"/>
            <w:vAlign w:val="center"/>
          </w:tcPr>
          <w:p w14:paraId="3248EE9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硬盘转速</w:t>
            </w:r>
          </w:p>
        </w:tc>
        <w:tc>
          <w:tcPr>
            <w:tcW w:w="4167" w:type="dxa"/>
            <w:shd w:val="clear" w:color="auto" w:fill="FFFFFF"/>
            <w:vAlign w:val="center"/>
          </w:tcPr>
          <w:p w14:paraId="38F26DE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安装的硬磁盘转速不小于7200rpm</w:t>
            </w:r>
          </w:p>
        </w:tc>
        <w:tc>
          <w:tcPr>
            <w:tcW w:w="1386" w:type="dxa"/>
            <w:shd w:val="clear" w:color="auto" w:fill="FFFFFF"/>
            <w:vAlign w:val="center"/>
          </w:tcPr>
          <w:p w14:paraId="0A39DD0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1705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2134D44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108</w:t>
            </w:r>
          </w:p>
        </w:tc>
        <w:tc>
          <w:tcPr>
            <w:tcW w:w="981" w:type="dxa"/>
            <w:shd w:val="clear" w:color="auto" w:fill="FFFFFF"/>
            <w:vAlign w:val="center"/>
          </w:tcPr>
          <w:p w14:paraId="2DBCAD2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shd w:val="clear" w:color="auto" w:fill="FFFFFF"/>
            <w:vAlign w:val="center"/>
          </w:tcPr>
          <w:p w14:paraId="4CF49FD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RAID卡性能</w:t>
            </w:r>
          </w:p>
        </w:tc>
        <w:tc>
          <w:tcPr>
            <w:tcW w:w="1206" w:type="dxa"/>
            <w:shd w:val="clear" w:color="auto" w:fill="FFFFFF"/>
            <w:vAlign w:val="center"/>
          </w:tcPr>
          <w:p w14:paraId="772AD58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RAID卡缓存容量大小</w:t>
            </w:r>
          </w:p>
        </w:tc>
        <w:tc>
          <w:tcPr>
            <w:tcW w:w="4167" w:type="dxa"/>
            <w:shd w:val="clear" w:color="auto" w:fill="FFFFFF"/>
            <w:vAlign w:val="center"/>
          </w:tcPr>
          <w:p w14:paraId="02570C3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≥2GB</w:t>
            </w:r>
          </w:p>
        </w:tc>
        <w:tc>
          <w:tcPr>
            <w:tcW w:w="1386" w:type="dxa"/>
            <w:shd w:val="clear" w:color="auto" w:fill="FFFFFF"/>
            <w:vAlign w:val="center"/>
          </w:tcPr>
          <w:p w14:paraId="050EDA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253E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31F9F1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109</w:t>
            </w:r>
          </w:p>
        </w:tc>
        <w:tc>
          <w:tcPr>
            <w:tcW w:w="981" w:type="dxa"/>
            <w:shd w:val="clear" w:color="auto" w:fill="FFFFFF"/>
            <w:vAlign w:val="center"/>
          </w:tcPr>
          <w:p w14:paraId="28EEC25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shd w:val="clear" w:color="auto" w:fill="FFFFFF"/>
            <w:vAlign w:val="center"/>
          </w:tcPr>
          <w:p w14:paraId="56C51E6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FCHBA卡性能</w:t>
            </w:r>
          </w:p>
        </w:tc>
        <w:tc>
          <w:tcPr>
            <w:tcW w:w="1206" w:type="dxa"/>
            <w:shd w:val="clear" w:color="auto" w:fill="FFFFFF"/>
            <w:vAlign w:val="center"/>
          </w:tcPr>
          <w:p w14:paraId="572B4AE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FCHBA卡速率</w:t>
            </w:r>
          </w:p>
        </w:tc>
        <w:tc>
          <w:tcPr>
            <w:tcW w:w="4167" w:type="dxa"/>
            <w:shd w:val="clear" w:color="auto" w:fill="FFFFFF"/>
            <w:vAlign w:val="center"/>
          </w:tcPr>
          <w:p w14:paraId="6F2AF8C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若配备FCHBA卡，单端口最大的连接速率≥8Gb/s（不涉及）</w:t>
            </w:r>
          </w:p>
        </w:tc>
        <w:tc>
          <w:tcPr>
            <w:tcW w:w="1386" w:type="dxa"/>
            <w:shd w:val="clear" w:color="auto" w:fill="FFFFFF"/>
            <w:vAlign w:val="center"/>
          </w:tcPr>
          <w:p w14:paraId="17A74A8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C8E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68475D5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110</w:t>
            </w:r>
          </w:p>
        </w:tc>
        <w:tc>
          <w:tcPr>
            <w:tcW w:w="981" w:type="dxa"/>
            <w:shd w:val="clear" w:color="auto" w:fill="FFFFFF"/>
            <w:vAlign w:val="center"/>
          </w:tcPr>
          <w:p w14:paraId="2107C7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restart"/>
            <w:shd w:val="clear" w:color="auto" w:fill="FFFFFF"/>
            <w:vAlign w:val="center"/>
          </w:tcPr>
          <w:p w14:paraId="4FA4CC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网络性能</w:t>
            </w:r>
          </w:p>
        </w:tc>
        <w:tc>
          <w:tcPr>
            <w:tcW w:w="1206" w:type="dxa"/>
            <w:shd w:val="clear" w:color="auto" w:fill="FFFFFF"/>
            <w:vAlign w:val="center"/>
          </w:tcPr>
          <w:p w14:paraId="537100E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独立网卡速率</w:t>
            </w:r>
          </w:p>
        </w:tc>
        <w:tc>
          <w:tcPr>
            <w:tcW w:w="4167" w:type="dxa"/>
            <w:shd w:val="clear" w:color="auto" w:fill="FFFFFF"/>
            <w:vAlign w:val="center"/>
          </w:tcPr>
          <w:p w14:paraId="7DE73F2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端口速率≥10GE</w:t>
            </w:r>
          </w:p>
        </w:tc>
        <w:tc>
          <w:tcPr>
            <w:tcW w:w="1386" w:type="dxa"/>
            <w:shd w:val="clear" w:color="auto" w:fill="FFFFFF"/>
            <w:vAlign w:val="center"/>
          </w:tcPr>
          <w:p w14:paraId="5C7EFE9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8EEC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6FEF002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111</w:t>
            </w:r>
          </w:p>
        </w:tc>
        <w:tc>
          <w:tcPr>
            <w:tcW w:w="981" w:type="dxa"/>
            <w:shd w:val="clear" w:color="auto" w:fill="FFFFFF"/>
            <w:vAlign w:val="center"/>
          </w:tcPr>
          <w:p w14:paraId="0624630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continue"/>
            <w:shd w:val="clear" w:color="auto" w:fill="FFFFFF"/>
            <w:vAlign w:val="center"/>
          </w:tcPr>
          <w:p w14:paraId="049E106E">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319A5A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板载网卡速率</w:t>
            </w:r>
          </w:p>
        </w:tc>
        <w:tc>
          <w:tcPr>
            <w:tcW w:w="4167" w:type="dxa"/>
            <w:shd w:val="clear" w:color="auto" w:fill="FFFFFF"/>
            <w:vAlign w:val="center"/>
          </w:tcPr>
          <w:p w14:paraId="0CC8A04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端口速率≥1GE</w:t>
            </w:r>
          </w:p>
        </w:tc>
        <w:tc>
          <w:tcPr>
            <w:tcW w:w="1386" w:type="dxa"/>
            <w:shd w:val="clear" w:color="auto" w:fill="FFFFFF"/>
            <w:vAlign w:val="center"/>
          </w:tcPr>
          <w:p w14:paraId="7D4234C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8EE2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789" w:type="dxa"/>
            <w:shd w:val="clear" w:color="auto" w:fill="FFFFFF"/>
            <w:vAlign w:val="center"/>
          </w:tcPr>
          <w:p w14:paraId="10D6E9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112</w:t>
            </w:r>
          </w:p>
        </w:tc>
        <w:tc>
          <w:tcPr>
            <w:tcW w:w="981" w:type="dxa"/>
            <w:shd w:val="clear" w:color="auto" w:fill="FFFFFF"/>
            <w:vAlign w:val="center"/>
          </w:tcPr>
          <w:p w14:paraId="0F1D72B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shd w:val="clear" w:color="auto" w:fill="FFFFFF"/>
            <w:vAlign w:val="center"/>
          </w:tcPr>
          <w:p w14:paraId="7E234A6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电源能耗</w:t>
            </w:r>
          </w:p>
        </w:tc>
        <w:tc>
          <w:tcPr>
            <w:tcW w:w="1206" w:type="dxa"/>
            <w:shd w:val="clear" w:color="auto" w:fill="FFFFFF"/>
            <w:vAlign w:val="center"/>
          </w:tcPr>
          <w:p w14:paraId="7EC5B9A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★电源能耗</w:t>
            </w:r>
          </w:p>
        </w:tc>
        <w:tc>
          <w:tcPr>
            <w:tcW w:w="4167" w:type="dxa"/>
            <w:shd w:val="clear" w:color="auto" w:fill="FFFFFF"/>
            <w:vAlign w:val="center"/>
          </w:tcPr>
          <w:p w14:paraId="7B97245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符合GB/T9813.3的有关规定</w:t>
            </w:r>
          </w:p>
        </w:tc>
        <w:tc>
          <w:tcPr>
            <w:tcW w:w="1386" w:type="dxa"/>
            <w:shd w:val="clear" w:color="auto" w:fill="FFFFFF"/>
            <w:vAlign w:val="center"/>
          </w:tcPr>
          <w:p w14:paraId="659AF5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0733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4C44C3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113</w:t>
            </w:r>
          </w:p>
        </w:tc>
        <w:tc>
          <w:tcPr>
            <w:tcW w:w="981" w:type="dxa"/>
            <w:shd w:val="clear" w:color="auto" w:fill="FFFFFF"/>
            <w:vAlign w:val="center"/>
          </w:tcPr>
          <w:p w14:paraId="631BEE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restart"/>
            <w:shd w:val="clear" w:color="auto" w:fill="FFFFFF"/>
            <w:vAlign w:val="center"/>
          </w:tcPr>
          <w:p w14:paraId="2F8C0B4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部件兼容性要求</w:t>
            </w:r>
          </w:p>
        </w:tc>
        <w:tc>
          <w:tcPr>
            <w:tcW w:w="1206" w:type="dxa"/>
            <w:shd w:val="clear" w:color="auto" w:fill="FFFFFF"/>
            <w:noWrap/>
            <w:vAlign w:val="center"/>
          </w:tcPr>
          <w:p w14:paraId="4A63C45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内存兼容性</w:t>
            </w:r>
          </w:p>
        </w:tc>
        <w:tc>
          <w:tcPr>
            <w:tcW w:w="4167" w:type="dxa"/>
            <w:shd w:val="clear" w:color="auto" w:fill="FFFFFF"/>
            <w:vAlign w:val="center"/>
          </w:tcPr>
          <w:p w14:paraId="709B775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适配3种及以上厂商的内存产品，且均不低于产品支持的内存规格</w:t>
            </w:r>
          </w:p>
        </w:tc>
        <w:tc>
          <w:tcPr>
            <w:tcW w:w="1386" w:type="dxa"/>
            <w:shd w:val="clear" w:color="auto" w:fill="FFFFFF"/>
            <w:vAlign w:val="center"/>
          </w:tcPr>
          <w:p w14:paraId="1DFA138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952B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2ACD526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114</w:t>
            </w:r>
          </w:p>
        </w:tc>
        <w:tc>
          <w:tcPr>
            <w:tcW w:w="981" w:type="dxa"/>
            <w:shd w:val="clear" w:color="auto" w:fill="FFFFFF"/>
            <w:vAlign w:val="center"/>
          </w:tcPr>
          <w:p w14:paraId="780750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7A334DDA">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C295F1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★固态存储兼容性</w:t>
            </w:r>
          </w:p>
        </w:tc>
        <w:tc>
          <w:tcPr>
            <w:tcW w:w="4167" w:type="dxa"/>
            <w:shd w:val="clear" w:color="auto" w:fill="FFFFFF"/>
            <w:vAlign w:val="center"/>
          </w:tcPr>
          <w:p w14:paraId="1DAA1CB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适配3种或以上厂商的固态存储产品，且均不低于产品支持的固态存储设备规格</w:t>
            </w:r>
          </w:p>
        </w:tc>
        <w:tc>
          <w:tcPr>
            <w:tcW w:w="1386" w:type="dxa"/>
            <w:shd w:val="clear" w:color="auto" w:fill="FFFFFF"/>
            <w:vAlign w:val="center"/>
          </w:tcPr>
          <w:p w14:paraId="35FAE1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5514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43A97B5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115</w:t>
            </w:r>
          </w:p>
        </w:tc>
        <w:tc>
          <w:tcPr>
            <w:tcW w:w="981" w:type="dxa"/>
            <w:shd w:val="clear" w:color="auto" w:fill="FFFFFF"/>
            <w:vAlign w:val="center"/>
          </w:tcPr>
          <w:p w14:paraId="451A4D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3F8C2F7E">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C39924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FCHBA卡兼容性</w:t>
            </w:r>
          </w:p>
        </w:tc>
        <w:tc>
          <w:tcPr>
            <w:tcW w:w="4167" w:type="dxa"/>
            <w:shd w:val="clear" w:color="auto" w:fill="FFFFFF"/>
            <w:vAlign w:val="center"/>
          </w:tcPr>
          <w:p w14:paraId="4086A98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FCHBA应适配两种或以上厂商产品</w:t>
            </w:r>
          </w:p>
        </w:tc>
        <w:tc>
          <w:tcPr>
            <w:tcW w:w="1386" w:type="dxa"/>
            <w:shd w:val="clear" w:color="auto" w:fill="FFFFFF"/>
            <w:vAlign w:val="center"/>
          </w:tcPr>
          <w:p w14:paraId="7C380A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345D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0EE7765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116</w:t>
            </w:r>
          </w:p>
        </w:tc>
        <w:tc>
          <w:tcPr>
            <w:tcW w:w="981" w:type="dxa"/>
            <w:shd w:val="clear" w:color="auto" w:fill="FFFFFF"/>
            <w:vAlign w:val="center"/>
          </w:tcPr>
          <w:p w14:paraId="4578852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0CFE592E">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A901AC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RAID卡兼容性</w:t>
            </w:r>
          </w:p>
        </w:tc>
        <w:tc>
          <w:tcPr>
            <w:tcW w:w="4167" w:type="dxa"/>
            <w:shd w:val="clear" w:color="auto" w:fill="FFFFFF"/>
            <w:vAlign w:val="center"/>
          </w:tcPr>
          <w:p w14:paraId="545B724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RAID卡应适配两种或以上厂商产品</w:t>
            </w:r>
          </w:p>
        </w:tc>
        <w:tc>
          <w:tcPr>
            <w:tcW w:w="1386" w:type="dxa"/>
            <w:shd w:val="clear" w:color="auto" w:fill="FFFFFF"/>
            <w:vAlign w:val="center"/>
          </w:tcPr>
          <w:p w14:paraId="5A9AB3A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CE74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3EE9E11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117</w:t>
            </w:r>
          </w:p>
        </w:tc>
        <w:tc>
          <w:tcPr>
            <w:tcW w:w="981" w:type="dxa"/>
            <w:shd w:val="clear" w:color="auto" w:fill="FFFFFF"/>
            <w:vAlign w:val="center"/>
          </w:tcPr>
          <w:p w14:paraId="34B2B1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restart"/>
            <w:shd w:val="clear" w:color="auto" w:fill="FFFFFF"/>
            <w:vAlign w:val="center"/>
          </w:tcPr>
          <w:p w14:paraId="177FDE39">
            <w:pPr>
              <w:widowControl/>
              <w:jc w:val="center"/>
              <w:rPr>
                <w:rFonts w:asciiTheme="minorEastAsia" w:hAnsiTheme="minorEastAsia" w:eastAsiaTheme="minorEastAsia" w:cstheme="minorEastAsia"/>
                <w:kern w:val="0"/>
                <w:sz w:val="24"/>
              </w:rPr>
            </w:pPr>
          </w:p>
        </w:tc>
        <w:tc>
          <w:tcPr>
            <w:tcW w:w="1206" w:type="dxa"/>
            <w:shd w:val="clear" w:color="auto" w:fill="FFFFFF"/>
            <w:vAlign w:val="center"/>
          </w:tcPr>
          <w:p w14:paraId="6CD35BA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★网卡兼容性</w:t>
            </w:r>
          </w:p>
        </w:tc>
        <w:tc>
          <w:tcPr>
            <w:tcW w:w="4167" w:type="dxa"/>
            <w:shd w:val="clear" w:color="auto" w:fill="FFFFFF"/>
            <w:vAlign w:val="center"/>
          </w:tcPr>
          <w:p w14:paraId="0FB33BE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网卡应适配两种或以上厂商产品</w:t>
            </w:r>
          </w:p>
        </w:tc>
        <w:tc>
          <w:tcPr>
            <w:tcW w:w="1386" w:type="dxa"/>
            <w:shd w:val="clear" w:color="auto" w:fill="FFFFFF"/>
            <w:vAlign w:val="center"/>
          </w:tcPr>
          <w:p w14:paraId="33F60D1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A5E9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5825E7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118</w:t>
            </w:r>
          </w:p>
        </w:tc>
        <w:tc>
          <w:tcPr>
            <w:tcW w:w="981" w:type="dxa"/>
            <w:shd w:val="clear" w:color="auto" w:fill="FFFFFF"/>
            <w:vAlign w:val="center"/>
          </w:tcPr>
          <w:p w14:paraId="2CBA28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46B5DC26">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EBC0EA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★功能卡兼容性</w:t>
            </w:r>
          </w:p>
        </w:tc>
        <w:tc>
          <w:tcPr>
            <w:tcW w:w="4167" w:type="dxa"/>
            <w:shd w:val="clear" w:color="auto" w:fill="FFFFFF"/>
            <w:vAlign w:val="center"/>
          </w:tcPr>
          <w:p w14:paraId="07A8255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内置或适配符合PCIe的功能卡，如：网络功能卡、存储功能卡及图形显示功能卡</w:t>
            </w:r>
          </w:p>
        </w:tc>
        <w:tc>
          <w:tcPr>
            <w:tcW w:w="1386" w:type="dxa"/>
            <w:shd w:val="clear" w:color="auto" w:fill="FFFFFF"/>
            <w:vAlign w:val="center"/>
          </w:tcPr>
          <w:p w14:paraId="74F956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4B50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789" w:type="dxa"/>
            <w:shd w:val="clear" w:color="auto" w:fill="FFFFFF"/>
            <w:vAlign w:val="center"/>
          </w:tcPr>
          <w:p w14:paraId="7A67B62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119</w:t>
            </w:r>
          </w:p>
        </w:tc>
        <w:tc>
          <w:tcPr>
            <w:tcW w:w="981" w:type="dxa"/>
            <w:shd w:val="clear" w:color="auto" w:fill="FFFFFF"/>
            <w:vAlign w:val="center"/>
          </w:tcPr>
          <w:p w14:paraId="674DD5A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shd w:val="clear" w:color="auto" w:fill="FFFFFF"/>
            <w:vAlign w:val="center"/>
          </w:tcPr>
          <w:p w14:paraId="6873055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外设兼容性</w:t>
            </w:r>
          </w:p>
        </w:tc>
        <w:tc>
          <w:tcPr>
            <w:tcW w:w="1206" w:type="dxa"/>
            <w:shd w:val="clear" w:color="auto" w:fill="FFFFFF"/>
            <w:vAlign w:val="center"/>
          </w:tcPr>
          <w:p w14:paraId="541AED2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★外设兼容性</w:t>
            </w:r>
          </w:p>
        </w:tc>
        <w:tc>
          <w:tcPr>
            <w:tcW w:w="4167" w:type="dxa"/>
            <w:shd w:val="clear" w:color="auto" w:fill="FFFFFF"/>
            <w:vAlign w:val="center"/>
          </w:tcPr>
          <w:p w14:paraId="636C9E9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兼容多种主流生产商的外部设备，包括显示器、键盘、鼠标、闪存盘、移动硬盘、USB光驱及KVM等，要求使用不同厂商的外部设备时，系统均能正常识别和安装驱动</w:t>
            </w:r>
          </w:p>
        </w:tc>
        <w:tc>
          <w:tcPr>
            <w:tcW w:w="1386" w:type="dxa"/>
            <w:shd w:val="clear" w:color="auto" w:fill="FFFFFF"/>
            <w:vAlign w:val="center"/>
          </w:tcPr>
          <w:p w14:paraId="0B5C605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BBAD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78F773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120</w:t>
            </w:r>
          </w:p>
        </w:tc>
        <w:tc>
          <w:tcPr>
            <w:tcW w:w="981" w:type="dxa"/>
            <w:shd w:val="clear" w:color="auto" w:fill="FFFFFF"/>
            <w:vAlign w:val="center"/>
          </w:tcPr>
          <w:p w14:paraId="2CD2E5C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restart"/>
            <w:shd w:val="clear" w:color="auto" w:fill="FFFFFF"/>
            <w:vAlign w:val="center"/>
          </w:tcPr>
          <w:p w14:paraId="3010FFD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软件兼容性</w:t>
            </w:r>
          </w:p>
        </w:tc>
        <w:tc>
          <w:tcPr>
            <w:tcW w:w="1206" w:type="dxa"/>
            <w:shd w:val="clear" w:color="auto" w:fill="FFFFFF"/>
            <w:vAlign w:val="center"/>
          </w:tcPr>
          <w:p w14:paraId="433C5C3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★数据库兼容</w:t>
            </w:r>
          </w:p>
        </w:tc>
        <w:tc>
          <w:tcPr>
            <w:tcW w:w="4167" w:type="dxa"/>
            <w:shd w:val="clear" w:color="auto" w:fill="FFFFFF"/>
            <w:vAlign w:val="center"/>
          </w:tcPr>
          <w:p w14:paraId="6F8A173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兼容3个及以上厂商的数据库产品</w:t>
            </w:r>
          </w:p>
        </w:tc>
        <w:tc>
          <w:tcPr>
            <w:tcW w:w="1386" w:type="dxa"/>
            <w:shd w:val="clear" w:color="auto" w:fill="FFFFFF"/>
            <w:vAlign w:val="center"/>
          </w:tcPr>
          <w:p w14:paraId="11AFD3B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7EA9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4439317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121</w:t>
            </w:r>
          </w:p>
        </w:tc>
        <w:tc>
          <w:tcPr>
            <w:tcW w:w="981" w:type="dxa"/>
            <w:shd w:val="clear" w:color="auto" w:fill="FFFFFF"/>
            <w:vAlign w:val="center"/>
          </w:tcPr>
          <w:p w14:paraId="413C0A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078FFEC6">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ECC732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★中间件兼容</w:t>
            </w:r>
          </w:p>
        </w:tc>
        <w:tc>
          <w:tcPr>
            <w:tcW w:w="4167" w:type="dxa"/>
            <w:shd w:val="clear" w:color="auto" w:fill="FFFFFF"/>
            <w:vAlign w:val="center"/>
          </w:tcPr>
          <w:p w14:paraId="16FA332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兼容3个及以上厂商的中间件产品</w:t>
            </w:r>
          </w:p>
        </w:tc>
        <w:tc>
          <w:tcPr>
            <w:tcW w:w="1386" w:type="dxa"/>
            <w:shd w:val="clear" w:color="auto" w:fill="FFFFFF"/>
            <w:vAlign w:val="center"/>
          </w:tcPr>
          <w:p w14:paraId="1DF796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6833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031CCE4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122</w:t>
            </w:r>
          </w:p>
        </w:tc>
        <w:tc>
          <w:tcPr>
            <w:tcW w:w="981" w:type="dxa"/>
            <w:shd w:val="clear" w:color="auto" w:fill="FFFFFF"/>
            <w:vAlign w:val="center"/>
          </w:tcPr>
          <w:p w14:paraId="4B23B45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5DE44AED">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FEAE0C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★平台软件兼容</w:t>
            </w:r>
          </w:p>
        </w:tc>
        <w:tc>
          <w:tcPr>
            <w:tcW w:w="4167" w:type="dxa"/>
            <w:shd w:val="clear" w:color="auto" w:fill="FFFFFF"/>
            <w:vAlign w:val="center"/>
          </w:tcPr>
          <w:p w14:paraId="1E7BD8C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兼容3个及以上厂商的大数据平台</w:t>
            </w:r>
          </w:p>
        </w:tc>
        <w:tc>
          <w:tcPr>
            <w:tcW w:w="1386" w:type="dxa"/>
            <w:shd w:val="clear" w:color="auto" w:fill="FFFFFF"/>
            <w:vAlign w:val="center"/>
          </w:tcPr>
          <w:p w14:paraId="2B5D1E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9F3B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10348C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123</w:t>
            </w:r>
          </w:p>
        </w:tc>
        <w:tc>
          <w:tcPr>
            <w:tcW w:w="981" w:type="dxa"/>
            <w:shd w:val="clear" w:color="auto" w:fill="FFFFFF"/>
            <w:vAlign w:val="center"/>
          </w:tcPr>
          <w:p w14:paraId="3AA5937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2E16A75F">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31FD48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虚拟化软件兼容</w:t>
            </w:r>
          </w:p>
        </w:tc>
        <w:tc>
          <w:tcPr>
            <w:tcW w:w="4167" w:type="dxa"/>
            <w:shd w:val="clear" w:color="auto" w:fill="FFFFFF"/>
            <w:vAlign w:val="center"/>
          </w:tcPr>
          <w:p w14:paraId="06B693A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兼容2款及以上虚拟化软件</w:t>
            </w:r>
          </w:p>
        </w:tc>
        <w:tc>
          <w:tcPr>
            <w:tcW w:w="1386" w:type="dxa"/>
            <w:shd w:val="clear" w:color="auto" w:fill="FFFFFF"/>
            <w:vAlign w:val="center"/>
          </w:tcPr>
          <w:p w14:paraId="5B2F8F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7FB8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67B4A47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124</w:t>
            </w:r>
          </w:p>
        </w:tc>
        <w:tc>
          <w:tcPr>
            <w:tcW w:w="981" w:type="dxa"/>
            <w:shd w:val="clear" w:color="auto" w:fill="FFFFFF"/>
            <w:vAlign w:val="center"/>
          </w:tcPr>
          <w:p w14:paraId="542F9C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81" w:type="dxa"/>
            <w:shd w:val="clear" w:color="auto" w:fill="FFFFFF"/>
            <w:vAlign w:val="center"/>
          </w:tcPr>
          <w:p w14:paraId="724F2C8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存储可靠性要求</w:t>
            </w:r>
          </w:p>
        </w:tc>
        <w:tc>
          <w:tcPr>
            <w:tcW w:w="1206" w:type="dxa"/>
            <w:shd w:val="clear" w:color="auto" w:fill="FFFFFF"/>
            <w:vAlign w:val="center"/>
          </w:tcPr>
          <w:p w14:paraId="4D608C9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SATASSD可靠性</w:t>
            </w:r>
          </w:p>
        </w:tc>
        <w:tc>
          <w:tcPr>
            <w:tcW w:w="4167" w:type="dxa"/>
            <w:shd w:val="clear" w:color="auto" w:fill="FFFFFF"/>
            <w:vAlign w:val="center"/>
          </w:tcPr>
          <w:p w14:paraId="6C1FB8F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SSD的m1值（MTBF的不可接受值）不低于200000h</w:t>
            </w:r>
          </w:p>
        </w:tc>
        <w:tc>
          <w:tcPr>
            <w:tcW w:w="1386" w:type="dxa"/>
            <w:shd w:val="clear" w:color="auto" w:fill="FFFFFF"/>
            <w:vAlign w:val="center"/>
          </w:tcPr>
          <w:p w14:paraId="36314AC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C13A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2BF4BF0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125</w:t>
            </w:r>
          </w:p>
        </w:tc>
        <w:tc>
          <w:tcPr>
            <w:tcW w:w="981" w:type="dxa"/>
            <w:shd w:val="clear" w:color="auto" w:fill="FFFFFF"/>
            <w:vAlign w:val="center"/>
          </w:tcPr>
          <w:p w14:paraId="0EBA47D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81" w:type="dxa"/>
            <w:vMerge w:val="restart"/>
            <w:shd w:val="clear" w:color="auto" w:fill="FFFFFF"/>
            <w:vAlign w:val="center"/>
          </w:tcPr>
          <w:p w14:paraId="5C969D2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整机可靠性要求</w:t>
            </w:r>
          </w:p>
        </w:tc>
        <w:tc>
          <w:tcPr>
            <w:tcW w:w="1206" w:type="dxa"/>
            <w:shd w:val="clear" w:color="auto" w:fill="FFFFFF"/>
            <w:vAlign w:val="center"/>
          </w:tcPr>
          <w:p w14:paraId="2366A3A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★整机可靠性</w:t>
            </w:r>
          </w:p>
        </w:tc>
        <w:tc>
          <w:tcPr>
            <w:tcW w:w="4167" w:type="dxa"/>
            <w:shd w:val="clear" w:color="auto" w:fill="FFFFFF"/>
            <w:vAlign w:val="center"/>
          </w:tcPr>
          <w:p w14:paraId="09EB1B0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m1值（MTBF的不可接受值）不得低于30000h</w:t>
            </w:r>
          </w:p>
        </w:tc>
        <w:tc>
          <w:tcPr>
            <w:tcW w:w="1386" w:type="dxa"/>
            <w:shd w:val="clear" w:color="auto" w:fill="FFFFFF"/>
            <w:vAlign w:val="center"/>
          </w:tcPr>
          <w:p w14:paraId="486FB72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CF8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89" w:type="dxa"/>
            <w:shd w:val="clear" w:color="auto" w:fill="FFFFFF"/>
            <w:vAlign w:val="center"/>
          </w:tcPr>
          <w:p w14:paraId="136B518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126</w:t>
            </w:r>
          </w:p>
        </w:tc>
        <w:tc>
          <w:tcPr>
            <w:tcW w:w="981" w:type="dxa"/>
            <w:shd w:val="clear" w:color="auto" w:fill="FFFFFF"/>
            <w:vAlign w:val="center"/>
          </w:tcPr>
          <w:p w14:paraId="5A80F7A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81" w:type="dxa"/>
            <w:vMerge w:val="continue"/>
            <w:shd w:val="clear" w:color="auto" w:fill="FFFFFF"/>
            <w:vAlign w:val="center"/>
          </w:tcPr>
          <w:p w14:paraId="7015927B">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B71D8B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★风扇可靠性</w:t>
            </w:r>
          </w:p>
        </w:tc>
        <w:tc>
          <w:tcPr>
            <w:tcW w:w="4167" w:type="dxa"/>
            <w:shd w:val="clear" w:color="auto" w:fill="FFFFFF"/>
            <w:vAlign w:val="center"/>
          </w:tcPr>
          <w:p w14:paraId="0A8D954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风扇寿命应不低于40000h</w:t>
            </w:r>
          </w:p>
        </w:tc>
        <w:tc>
          <w:tcPr>
            <w:tcW w:w="1386" w:type="dxa"/>
            <w:shd w:val="clear" w:color="auto" w:fill="FFFFFF"/>
            <w:vAlign w:val="center"/>
          </w:tcPr>
          <w:p w14:paraId="42E1587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6C38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3CA45C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127</w:t>
            </w:r>
          </w:p>
        </w:tc>
        <w:tc>
          <w:tcPr>
            <w:tcW w:w="981" w:type="dxa"/>
            <w:shd w:val="clear" w:color="auto" w:fill="FFFFFF"/>
            <w:vAlign w:val="center"/>
          </w:tcPr>
          <w:p w14:paraId="7D1B2E7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81" w:type="dxa"/>
            <w:vMerge w:val="continue"/>
            <w:shd w:val="clear" w:color="auto" w:fill="FFFFFF"/>
            <w:vAlign w:val="center"/>
          </w:tcPr>
          <w:p w14:paraId="1A2396D7">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77DB7D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★部件可靠性</w:t>
            </w:r>
          </w:p>
        </w:tc>
        <w:tc>
          <w:tcPr>
            <w:tcW w:w="4167" w:type="dxa"/>
            <w:shd w:val="clear" w:color="auto" w:fill="FFFFFF"/>
            <w:vAlign w:val="center"/>
          </w:tcPr>
          <w:p w14:paraId="77A1C7E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支持硬盘、电源、风扇热插拔（内置风扇除外）</w:t>
            </w:r>
          </w:p>
        </w:tc>
        <w:tc>
          <w:tcPr>
            <w:tcW w:w="1386" w:type="dxa"/>
            <w:shd w:val="clear" w:color="auto" w:fill="FFFFFF"/>
            <w:vAlign w:val="center"/>
          </w:tcPr>
          <w:p w14:paraId="473E80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605B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89" w:type="dxa"/>
            <w:shd w:val="clear" w:color="auto" w:fill="FFFFFF"/>
            <w:vAlign w:val="center"/>
          </w:tcPr>
          <w:p w14:paraId="53D00A7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128</w:t>
            </w:r>
          </w:p>
        </w:tc>
        <w:tc>
          <w:tcPr>
            <w:tcW w:w="981" w:type="dxa"/>
            <w:shd w:val="clear" w:color="auto" w:fill="FFFFFF"/>
            <w:vAlign w:val="center"/>
          </w:tcPr>
          <w:p w14:paraId="3EB88C7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包装及运输要求</w:t>
            </w:r>
          </w:p>
        </w:tc>
        <w:tc>
          <w:tcPr>
            <w:tcW w:w="981" w:type="dxa"/>
            <w:shd w:val="clear" w:color="auto" w:fill="FFFFFF"/>
            <w:vAlign w:val="center"/>
          </w:tcPr>
          <w:p w14:paraId="66B02F0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包装及运输要求</w:t>
            </w:r>
          </w:p>
        </w:tc>
        <w:tc>
          <w:tcPr>
            <w:tcW w:w="1206" w:type="dxa"/>
            <w:shd w:val="clear" w:color="auto" w:fill="FFFFFF"/>
            <w:vAlign w:val="center"/>
          </w:tcPr>
          <w:p w14:paraId="6742EB9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★标志、包装、运输和贮存</w:t>
            </w:r>
          </w:p>
        </w:tc>
        <w:tc>
          <w:tcPr>
            <w:tcW w:w="4167" w:type="dxa"/>
            <w:shd w:val="clear" w:color="auto" w:fill="FFFFFF"/>
            <w:vAlign w:val="center"/>
          </w:tcPr>
          <w:p w14:paraId="20EDDE9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符合GB/T9813.3和商品包装政府采购需求标准的相关规定</w:t>
            </w:r>
          </w:p>
        </w:tc>
        <w:tc>
          <w:tcPr>
            <w:tcW w:w="1386" w:type="dxa"/>
            <w:shd w:val="clear" w:color="auto" w:fill="FFFFFF"/>
            <w:vAlign w:val="center"/>
          </w:tcPr>
          <w:p w14:paraId="798391A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1A3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789" w:type="dxa"/>
            <w:shd w:val="clear" w:color="auto" w:fill="FFFFFF"/>
            <w:vAlign w:val="center"/>
          </w:tcPr>
          <w:p w14:paraId="439F017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129</w:t>
            </w:r>
          </w:p>
        </w:tc>
        <w:tc>
          <w:tcPr>
            <w:tcW w:w="981" w:type="dxa"/>
            <w:shd w:val="clear" w:color="auto" w:fill="FFFFFF"/>
            <w:vAlign w:val="center"/>
          </w:tcPr>
          <w:p w14:paraId="38C3B36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restart"/>
            <w:shd w:val="clear" w:color="auto" w:fill="FFFFFF"/>
            <w:vAlign w:val="center"/>
          </w:tcPr>
          <w:p w14:paraId="12B93AB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服务响应</w:t>
            </w:r>
          </w:p>
        </w:tc>
        <w:tc>
          <w:tcPr>
            <w:tcW w:w="1206" w:type="dxa"/>
            <w:shd w:val="clear" w:color="auto" w:fill="FFFFFF"/>
            <w:vAlign w:val="center"/>
          </w:tcPr>
          <w:p w14:paraId="68E5380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★服务响应</w:t>
            </w:r>
          </w:p>
        </w:tc>
        <w:tc>
          <w:tcPr>
            <w:tcW w:w="4167" w:type="dxa"/>
            <w:shd w:val="clear" w:color="auto" w:fill="FFFFFF"/>
            <w:vAlign w:val="center"/>
          </w:tcPr>
          <w:p w14:paraId="07FF162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提供电话、电子邮件、远程连接等多种形式服务；b）提供同城4h、异地12h技术响应服务，2个工作日解决问题，对于未能解决的问题和故障应提供可行的升级方案，并提供周转设备；c）建立全国技术服务体系和服务团体，符合专业服务体系标准要求，提供原厂中文服务；d）服务周期内提供产品的维修、换件和升级服务</w:t>
            </w:r>
          </w:p>
        </w:tc>
        <w:tc>
          <w:tcPr>
            <w:tcW w:w="1386" w:type="dxa"/>
            <w:shd w:val="clear" w:color="auto" w:fill="FFFFFF"/>
            <w:vAlign w:val="center"/>
          </w:tcPr>
          <w:p w14:paraId="1412E9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649D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4E6B01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130</w:t>
            </w:r>
          </w:p>
        </w:tc>
        <w:tc>
          <w:tcPr>
            <w:tcW w:w="981" w:type="dxa"/>
            <w:shd w:val="clear" w:color="auto" w:fill="FFFFFF"/>
            <w:vAlign w:val="center"/>
          </w:tcPr>
          <w:p w14:paraId="37B8BE8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684E99CF">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FEA5AF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★培训服务</w:t>
            </w:r>
          </w:p>
        </w:tc>
        <w:tc>
          <w:tcPr>
            <w:tcW w:w="4167" w:type="dxa"/>
            <w:shd w:val="clear" w:color="auto" w:fill="FFFFFF"/>
            <w:vAlign w:val="center"/>
          </w:tcPr>
          <w:p w14:paraId="7B1A659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供应商提供培训材料、产品手册、培训视频等培训相关内容</w:t>
            </w:r>
          </w:p>
        </w:tc>
        <w:tc>
          <w:tcPr>
            <w:tcW w:w="1386" w:type="dxa"/>
            <w:shd w:val="clear" w:color="auto" w:fill="FFFFFF"/>
            <w:vAlign w:val="center"/>
          </w:tcPr>
          <w:p w14:paraId="022539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F035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789" w:type="dxa"/>
            <w:shd w:val="clear" w:color="auto" w:fill="FFFFFF"/>
            <w:vAlign w:val="center"/>
          </w:tcPr>
          <w:p w14:paraId="0799BBC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131</w:t>
            </w:r>
          </w:p>
        </w:tc>
        <w:tc>
          <w:tcPr>
            <w:tcW w:w="981" w:type="dxa"/>
            <w:shd w:val="clear" w:color="auto" w:fill="FFFFFF"/>
            <w:vAlign w:val="center"/>
          </w:tcPr>
          <w:p w14:paraId="1C89425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shd w:val="clear" w:color="auto" w:fill="FFFFFF"/>
            <w:vAlign w:val="center"/>
          </w:tcPr>
          <w:p w14:paraId="5B13BC1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服务周期</w:t>
            </w:r>
          </w:p>
        </w:tc>
        <w:tc>
          <w:tcPr>
            <w:tcW w:w="1206" w:type="dxa"/>
            <w:shd w:val="clear" w:color="auto" w:fill="FFFFFF"/>
            <w:vAlign w:val="center"/>
          </w:tcPr>
          <w:p w14:paraId="604927B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★服务周期</w:t>
            </w:r>
          </w:p>
        </w:tc>
        <w:tc>
          <w:tcPr>
            <w:tcW w:w="4167" w:type="dxa"/>
            <w:shd w:val="clear" w:color="auto" w:fill="FFFFFF"/>
            <w:vAlign w:val="center"/>
          </w:tcPr>
          <w:p w14:paraId="45103ED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产品免费服务周期（含换件和维修）应不小于6年；b）设备停产后继续提供质量保障服务（含备品备件），服务终止时间与最后一批设备交付时间间隔不低于6年；c）产品停止服务时间应提前1年告知客户；d）产品发布日期需在技术文件或者技术白皮书中明确</w:t>
            </w:r>
          </w:p>
        </w:tc>
        <w:tc>
          <w:tcPr>
            <w:tcW w:w="1386" w:type="dxa"/>
            <w:shd w:val="clear" w:color="auto" w:fill="FFFFFF"/>
            <w:vAlign w:val="center"/>
          </w:tcPr>
          <w:p w14:paraId="24B405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9CD8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89" w:type="dxa"/>
            <w:shd w:val="clear" w:color="auto" w:fill="FFFFFF"/>
            <w:vAlign w:val="center"/>
          </w:tcPr>
          <w:p w14:paraId="7E7D219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132</w:t>
            </w:r>
          </w:p>
        </w:tc>
        <w:tc>
          <w:tcPr>
            <w:tcW w:w="981" w:type="dxa"/>
            <w:shd w:val="clear" w:color="auto" w:fill="FFFFFF"/>
            <w:vAlign w:val="center"/>
          </w:tcPr>
          <w:p w14:paraId="662E6A8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restart"/>
            <w:shd w:val="clear" w:color="auto" w:fill="FFFFFF"/>
            <w:vAlign w:val="center"/>
          </w:tcPr>
          <w:p w14:paraId="082EA66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服务工具要求</w:t>
            </w:r>
          </w:p>
        </w:tc>
        <w:tc>
          <w:tcPr>
            <w:tcW w:w="1206" w:type="dxa"/>
            <w:shd w:val="clear" w:color="auto" w:fill="FFFFFF"/>
            <w:vAlign w:val="center"/>
          </w:tcPr>
          <w:p w14:paraId="526D991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★工具要求</w:t>
            </w:r>
          </w:p>
        </w:tc>
        <w:tc>
          <w:tcPr>
            <w:tcW w:w="4167" w:type="dxa"/>
            <w:shd w:val="clear" w:color="auto" w:fill="FFFFFF"/>
            <w:vAlign w:val="center"/>
          </w:tcPr>
          <w:p w14:paraId="7806035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供应商提供设置服务器硬件、辅助操作系统安装等功能的辅助工具和管理软件。且随附软件应具有合法授权或版权</w:t>
            </w:r>
          </w:p>
        </w:tc>
        <w:tc>
          <w:tcPr>
            <w:tcW w:w="1386" w:type="dxa"/>
            <w:shd w:val="clear" w:color="auto" w:fill="FFFFFF"/>
            <w:vAlign w:val="center"/>
          </w:tcPr>
          <w:p w14:paraId="4CD8D4C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82DA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789" w:type="dxa"/>
            <w:shd w:val="clear" w:color="auto" w:fill="FFFFFF"/>
            <w:vAlign w:val="center"/>
          </w:tcPr>
          <w:p w14:paraId="2257FB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133</w:t>
            </w:r>
          </w:p>
        </w:tc>
        <w:tc>
          <w:tcPr>
            <w:tcW w:w="981" w:type="dxa"/>
            <w:shd w:val="clear" w:color="auto" w:fill="FFFFFF"/>
            <w:vAlign w:val="center"/>
          </w:tcPr>
          <w:p w14:paraId="59DA929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7BE9D57D">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84B415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辅助工具</w:t>
            </w:r>
          </w:p>
        </w:tc>
        <w:tc>
          <w:tcPr>
            <w:tcW w:w="4167" w:type="dxa"/>
            <w:shd w:val="clear" w:color="auto" w:fill="FFFFFF"/>
            <w:vAlign w:val="center"/>
          </w:tcPr>
          <w:p w14:paraId="29B9BE4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支持如下功能a）本地的数据备份和还原功能；b）网络的数据备份和还原功能；c）通用服务器操作系统的自动安装功能；d）服务器所配硬件需要的驱动程序和系统补丁</w:t>
            </w:r>
          </w:p>
        </w:tc>
        <w:tc>
          <w:tcPr>
            <w:tcW w:w="1386" w:type="dxa"/>
            <w:shd w:val="clear" w:color="auto" w:fill="FFFFFF"/>
            <w:vAlign w:val="center"/>
          </w:tcPr>
          <w:p w14:paraId="3B4B6B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0B6F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89" w:type="dxa"/>
            <w:shd w:val="clear" w:color="auto" w:fill="FFFFFF"/>
            <w:vAlign w:val="center"/>
          </w:tcPr>
          <w:p w14:paraId="0F1F785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134</w:t>
            </w:r>
          </w:p>
        </w:tc>
        <w:tc>
          <w:tcPr>
            <w:tcW w:w="981" w:type="dxa"/>
            <w:shd w:val="clear" w:color="auto" w:fill="FFFFFF"/>
            <w:vAlign w:val="center"/>
          </w:tcPr>
          <w:p w14:paraId="3D0916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0D2AA168">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C5F58F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★驱动安装升级指引</w:t>
            </w:r>
          </w:p>
        </w:tc>
        <w:tc>
          <w:tcPr>
            <w:tcW w:w="4167" w:type="dxa"/>
            <w:shd w:val="clear" w:color="auto" w:fill="FFFFFF"/>
            <w:vAlign w:val="center"/>
          </w:tcPr>
          <w:p w14:paraId="4AC5F6B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供应商提供出厂安装的配件所需的驱动程序，形式包括但不限于驱动光盘、驱动下载链接等。其他配件应提供指引</w:t>
            </w:r>
          </w:p>
        </w:tc>
        <w:tc>
          <w:tcPr>
            <w:tcW w:w="1386" w:type="dxa"/>
            <w:shd w:val="clear" w:color="auto" w:fill="FFFFFF"/>
            <w:vAlign w:val="center"/>
          </w:tcPr>
          <w:p w14:paraId="5E4D581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AE4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39C1846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135</w:t>
            </w:r>
          </w:p>
        </w:tc>
        <w:tc>
          <w:tcPr>
            <w:tcW w:w="981" w:type="dxa"/>
            <w:shd w:val="clear" w:color="auto" w:fill="FFFFFF"/>
            <w:vAlign w:val="center"/>
          </w:tcPr>
          <w:p w14:paraId="2A69AC4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51EE2C77">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4FF196D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随机附开盖工具</w:t>
            </w:r>
          </w:p>
        </w:tc>
        <w:tc>
          <w:tcPr>
            <w:tcW w:w="4167" w:type="dxa"/>
            <w:shd w:val="clear" w:color="auto" w:fill="FFFFFF"/>
            <w:vAlign w:val="center"/>
          </w:tcPr>
          <w:p w14:paraId="0EEF66D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随服务器打包提供开机箱工具</w:t>
            </w:r>
          </w:p>
        </w:tc>
        <w:tc>
          <w:tcPr>
            <w:tcW w:w="1386" w:type="dxa"/>
            <w:shd w:val="clear" w:color="auto" w:fill="FFFFFF"/>
            <w:vAlign w:val="center"/>
          </w:tcPr>
          <w:p w14:paraId="0F6EE4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528F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789" w:type="dxa"/>
            <w:shd w:val="clear" w:color="auto" w:fill="FFFFFF"/>
            <w:vAlign w:val="center"/>
          </w:tcPr>
          <w:p w14:paraId="56C31E8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136</w:t>
            </w:r>
          </w:p>
        </w:tc>
        <w:tc>
          <w:tcPr>
            <w:tcW w:w="981" w:type="dxa"/>
            <w:shd w:val="clear" w:color="auto" w:fill="FFFFFF"/>
            <w:vAlign w:val="center"/>
          </w:tcPr>
          <w:p w14:paraId="119C08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1F9927B6">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0250A2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代码迁移工具</w:t>
            </w:r>
          </w:p>
        </w:tc>
        <w:tc>
          <w:tcPr>
            <w:tcW w:w="4167" w:type="dxa"/>
            <w:shd w:val="clear" w:color="auto" w:fill="FFFFFF"/>
            <w:vAlign w:val="center"/>
          </w:tcPr>
          <w:p w14:paraId="32F6BC4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从其他CPU架构到当前服务器CPU架构的软件迁移工具产品，支持软件包迁移评估，对满足产品重构要求的软件包，能重构为当前服务器CPU架构的软件包。提供源码迁移功能，检查分析C/C++/Fortran/Go/解释型语言/汇编等源码文件，基于产品功能给出迁移指导</w:t>
            </w:r>
          </w:p>
        </w:tc>
        <w:tc>
          <w:tcPr>
            <w:tcW w:w="1386" w:type="dxa"/>
            <w:shd w:val="clear" w:color="auto" w:fill="FFFFFF"/>
            <w:vAlign w:val="center"/>
          </w:tcPr>
          <w:p w14:paraId="0DBB6C0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24E4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789" w:type="dxa"/>
            <w:shd w:val="clear" w:color="auto" w:fill="FFFFFF"/>
            <w:vAlign w:val="center"/>
          </w:tcPr>
          <w:p w14:paraId="1EE6D18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137</w:t>
            </w:r>
          </w:p>
        </w:tc>
        <w:tc>
          <w:tcPr>
            <w:tcW w:w="981" w:type="dxa"/>
            <w:shd w:val="clear" w:color="auto" w:fill="FFFFFF"/>
            <w:vAlign w:val="center"/>
          </w:tcPr>
          <w:p w14:paraId="18D8BBC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5A74494E">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4DDD85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性能分析工具</w:t>
            </w:r>
          </w:p>
        </w:tc>
        <w:tc>
          <w:tcPr>
            <w:tcW w:w="4167" w:type="dxa"/>
            <w:shd w:val="clear" w:color="auto" w:fill="FFFFFF"/>
            <w:vAlign w:val="center"/>
          </w:tcPr>
          <w:p w14:paraId="5BCFF12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供应商提供支持当前服务器CPU架构的性能分析工具产品，支持系统性能分析、Java性能分析和系统诊断，可分析系统或应用在CPU、内存、IO、网络等方面的性能，并给出优化建议</w:t>
            </w:r>
          </w:p>
        </w:tc>
        <w:tc>
          <w:tcPr>
            <w:tcW w:w="1386" w:type="dxa"/>
            <w:shd w:val="clear" w:color="auto" w:fill="FFFFFF"/>
            <w:vAlign w:val="center"/>
          </w:tcPr>
          <w:p w14:paraId="33027AA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0EDC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89" w:type="dxa"/>
            <w:shd w:val="clear" w:color="auto" w:fill="FFFFFF"/>
            <w:vAlign w:val="center"/>
          </w:tcPr>
          <w:p w14:paraId="373648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138</w:t>
            </w:r>
          </w:p>
        </w:tc>
        <w:tc>
          <w:tcPr>
            <w:tcW w:w="981" w:type="dxa"/>
            <w:shd w:val="clear" w:color="auto" w:fill="FFFFFF"/>
            <w:vAlign w:val="center"/>
          </w:tcPr>
          <w:p w14:paraId="2D17BF4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1789AC32">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8BC020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跨架构平台应用兼容</w:t>
            </w:r>
          </w:p>
        </w:tc>
        <w:tc>
          <w:tcPr>
            <w:tcW w:w="4167" w:type="dxa"/>
            <w:shd w:val="clear" w:color="auto" w:fill="FFFFFF"/>
            <w:vAlign w:val="center"/>
          </w:tcPr>
          <w:p w14:paraId="72EF58B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跨CPU架构平台应用兼容工具，可兼容一种或者一种以上不同架构平台的应用</w:t>
            </w:r>
          </w:p>
        </w:tc>
        <w:tc>
          <w:tcPr>
            <w:tcW w:w="1386" w:type="dxa"/>
            <w:shd w:val="clear" w:color="auto" w:fill="FFFFFF"/>
            <w:vAlign w:val="center"/>
          </w:tcPr>
          <w:p w14:paraId="56DBD7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E947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2ED83FE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139</w:t>
            </w:r>
          </w:p>
        </w:tc>
        <w:tc>
          <w:tcPr>
            <w:tcW w:w="981" w:type="dxa"/>
            <w:shd w:val="clear" w:color="auto" w:fill="FFFFFF"/>
            <w:vAlign w:val="center"/>
          </w:tcPr>
          <w:p w14:paraId="3B37D12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380444D6">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5E233C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★管理软件</w:t>
            </w:r>
          </w:p>
        </w:tc>
        <w:tc>
          <w:tcPr>
            <w:tcW w:w="4167" w:type="dxa"/>
            <w:shd w:val="clear" w:color="auto" w:fill="FFFFFF"/>
            <w:vAlign w:val="center"/>
          </w:tcPr>
          <w:p w14:paraId="41B5A6B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具备资源管理、系统管理、性能监控、健康监控、基于网络控制、报警设置功能</w:t>
            </w:r>
          </w:p>
        </w:tc>
        <w:tc>
          <w:tcPr>
            <w:tcW w:w="1386" w:type="dxa"/>
            <w:shd w:val="clear" w:color="auto" w:fill="FFFFFF"/>
            <w:vAlign w:val="center"/>
          </w:tcPr>
          <w:p w14:paraId="6E2D2F5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C10E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89" w:type="dxa"/>
            <w:shd w:val="clear" w:color="auto" w:fill="FFFFFF"/>
            <w:vAlign w:val="center"/>
          </w:tcPr>
          <w:p w14:paraId="33D3B5F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140</w:t>
            </w:r>
          </w:p>
        </w:tc>
        <w:tc>
          <w:tcPr>
            <w:tcW w:w="981" w:type="dxa"/>
            <w:shd w:val="clear" w:color="auto" w:fill="FFFFFF"/>
            <w:vAlign w:val="center"/>
          </w:tcPr>
          <w:p w14:paraId="07E2B84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restart"/>
            <w:shd w:val="clear" w:color="auto" w:fill="FFFFFF"/>
            <w:vAlign w:val="center"/>
          </w:tcPr>
          <w:p w14:paraId="7ADAB7A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增值服务</w:t>
            </w:r>
          </w:p>
        </w:tc>
        <w:tc>
          <w:tcPr>
            <w:tcW w:w="1206" w:type="dxa"/>
            <w:shd w:val="clear" w:color="auto" w:fill="FFFFFF"/>
            <w:vAlign w:val="center"/>
          </w:tcPr>
          <w:p w14:paraId="3D09369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★厂家升级产品软件与扩容服务</w:t>
            </w:r>
          </w:p>
        </w:tc>
        <w:tc>
          <w:tcPr>
            <w:tcW w:w="4167" w:type="dxa"/>
            <w:shd w:val="clear" w:color="auto" w:fill="FFFFFF"/>
            <w:vAlign w:val="center"/>
          </w:tcPr>
          <w:p w14:paraId="3D066D6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供应商提供原厂级的部件/软件产品升级和扩容能力</w:t>
            </w:r>
          </w:p>
        </w:tc>
        <w:tc>
          <w:tcPr>
            <w:tcW w:w="1386" w:type="dxa"/>
            <w:shd w:val="clear" w:color="auto" w:fill="FFFFFF"/>
            <w:vAlign w:val="center"/>
          </w:tcPr>
          <w:p w14:paraId="0AAE435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1767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0F54649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141</w:t>
            </w:r>
          </w:p>
        </w:tc>
        <w:tc>
          <w:tcPr>
            <w:tcW w:w="981" w:type="dxa"/>
            <w:shd w:val="clear" w:color="auto" w:fill="FFFFFF"/>
            <w:vAlign w:val="center"/>
          </w:tcPr>
          <w:p w14:paraId="06EAF9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67E84AE8">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A4A439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服务保障升级</w:t>
            </w:r>
          </w:p>
        </w:tc>
        <w:tc>
          <w:tcPr>
            <w:tcW w:w="4167" w:type="dxa"/>
            <w:shd w:val="clear" w:color="auto" w:fill="FFFFFF"/>
            <w:vAlign w:val="center"/>
          </w:tcPr>
          <w:p w14:paraId="3A9BF0A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供应商有偿提供远程技术支持、软件授权服务、备件更换服务、现场支撑服务</w:t>
            </w:r>
          </w:p>
        </w:tc>
        <w:tc>
          <w:tcPr>
            <w:tcW w:w="1386" w:type="dxa"/>
            <w:shd w:val="clear" w:color="auto" w:fill="FFFFFF"/>
            <w:vAlign w:val="center"/>
          </w:tcPr>
          <w:p w14:paraId="0BC820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09BA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89" w:type="dxa"/>
            <w:shd w:val="clear" w:color="auto" w:fill="FFFFFF"/>
            <w:vAlign w:val="center"/>
          </w:tcPr>
          <w:p w14:paraId="467900C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142</w:t>
            </w:r>
          </w:p>
        </w:tc>
        <w:tc>
          <w:tcPr>
            <w:tcW w:w="981" w:type="dxa"/>
            <w:shd w:val="clear" w:color="auto" w:fill="FFFFFF"/>
            <w:vAlign w:val="center"/>
          </w:tcPr>
          <w:p w14:paraId="4E3AFA1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43A8BD06">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88E3AB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★提供上门服务</w:t>
            </w:r>
          </w:p>
        </w:tc>
        <w:tc>
          <w:tcPr>
            <w:tcW w:w="4167" w:type="dxa"/>
            <w:shd w:val="clear" w:color="auto" w:fill="FFFFFF"/>
            <w:vAlign w:val="center"/>
          </w:tcPr>
          <w:p w14:paraId="49ED600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供应商具备提供上门服务的能力</w:t>
            </w:r>
          </w:p>
        </w:tc>
        <w:tc>
          <w:tcPr>
            <w:tcW w:w="1386" w:type="dxa"/>
            <w:shd w:val="clear" w:color="auto" w:fill="FFFFFF"/>
            <w:vAlign w:val="center"/>
          </w:tcPr>
          <w:p w14:paraId="249A9A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F9C5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89" w:type="dxa"/>
            <w:shd w:val="clear" w:color="auto" w:fill="FFFFFF"/>
            <w:vAlign w:val="center"/>
          </w:tcPr>
          <w:p w14:paraId="3F2B8E1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143</w:t>
            </w:r>
          </w:p>
        </w:tc>
        <w:tc>
          <w:tcPr>
            <w:tcW w:w="981" w:type="dxa"/>
            <w:shd w:val="clear" w:color="auto" w:fill="FFFFFF"/>
            <w:vAlign w:val="center"/>
          </w:tcPr>
          <w:p w14:paraId="03C1D17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69747340">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547E95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业务场景性能优化服务及整体架构升级服务</w:t>
            </w:r>
          </w:p>
        </w:tc>
        <w:tc>
          <w:tcPr>
            <w:tcW w:w="4167" w:type="dxa"/>
            <w:shd w:val="clear" w:color="auto" w:fill="FFFFFF"/>
            <w:vAlign w:val="center"/>
          </w:tcPr>
          <w:p w14:paraId="2BD0D4F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供应商提供针对特定业务场景性能优化服务及整体架构升级服务</w:t>
            </w:r>
          </w:p>
        </w:tc>
        <w:tc>
          <w:tcPr>
            <w:tcW w:w="1386" w:type="dxa"/>
            <w:shd w:val="clear" w:color="auto" w:fill="FFFFFF"/>
            <w:vAlign w:val="center"/>
          </w:tcPr>
          <w:p w14:paraId="0CEB8C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1BA4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89" w:type="dxa"/>
            <w:shd w:val="clear" w:color="auto" w:fill="FFFFFF"/>
            <w:vAlign w:val="center"/>
          </w:tcPr>
          <w:p w14:paraId="0D20878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144</w:t>
            </w:r>
          </w:p>
        </w:tc>
        <w:tc>
          <w:tcPr>
            <w:tcW w:w="981" w:type="dxa"/>
            <w:shd w:val="clear" w:color="auto" w:fill="FFFFFF"/>
            <w:vAlign w:val="center"/>
          </w:tcPr>
          <w:p w14:paraId="7227722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供保要求</w:t>
            </w:r>
          </w:p>
        </w:tc>
        <w:tc>
          <w:tcPr>
            <w:tcW w:w="981" w:type="dxa"/>
            <w:vMerge w:val="restart"/>
            <w:shd w:val="clear" w:color="auto" w:fill="FFFFFF"/>
            <w:vAlign w:val="center"/>
          </w:tcPr>
          <w:p w14:paraId="760B494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供应链质量</w:t>
            </w:r>
          </w:p>
        </w:tc>
        <w:tc>
          <w:tcPr>
            <w:tcW w:w="1206" w:type="dxa"/>
            <w:shd w:val="clear" w:color="auto" w:fill="FFFFFF"/>
            <w:vAlign w:val="center"/>
          </w:tcPr>
          <w:p w14:paraId="5E408AE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★抗干扰性</w:t>
            </w:r>
          </w:p>
        </w:tc>
        <w:tc>
          <w:tcPr>
            <w:tcW w:w="4167" w:type="dxa"/>
            <w:shd w:val="clear" w:color="auto" w:fill="FFFFFF"/>
            <w:vAlign w:val="center"/>
          </w:tcPr>
          <w:p w14:paraId="5E3A2F8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当产品部件出现供应风险时，应通知客户并提供风险应对方案确保产品的服务保障，必要时应停止相关受影响产品的销售</w:t>
            </w:r>
          </w:p>
        </w:tc>
        <w:tc>
          <w:tcPr>
            <w:tcW w:w="1386" w:type="dxa"/>
            <w:shd w:val="clear" w:color="auto" w:fill="FFFFFF"/>
            <w:vAlign w:val="center"/>
          </w:tcPr>
          <w:p w14:paraId="642EA3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6840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2A9A00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145</w:t>
            </w:r>
          </w:p>
        </w:tc>
        <w:tc>
          <w:tcPr>
            <w:tcW w:w="981" w:type="dxa"/>
            <w:shd w:val="clear" w:color="auto" w:fill="FFFFFF"/>
            <w:vAlign w:val="center"/>
          </w:tcPr>
          <w:p w14:paraId="68D673F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供保要求</w:t>
            </w:r>
          </w:p>
        </w:tc>
        <w:tc>
          <w:tcPr>
            <w:tcW w:w="981" w:type="dxa"/>
            <w:vMerge w:val="continue"/>
            <w:shd w:val="clear" w:color="auto" w:fill="FFFFFF"/>
            <w:vAlign w:val="center"/>
          </w:tcPr>
          <w:p w14:paraId="324CC9D7">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27494C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★供应能力证明</w:t>
            </w:r>
          </w:p>
        </w:tc>
        <w:tc>
          <w:tcPr>
            <w:tcW w:w="4167" w:type="dxa"/>
            <w:shd w:val="clear" w:color="auto" w:fill="FFFFFF"/>
            <w:vAlign w:val="center"/>
          </w:tcPr>
          <w:p w14:paraId="1D83119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b/>
                <w:bCs/>
                <w:kern w:val="0"/>
                <w:sz w:val="24"/>
              </w:rPr>
              <w:t>供应商提供供应链稳定承诺书，确保产品的部件在产品服务周期内稳定供货（需提供加盖投标人公章的承诺书，否则作无效投标处理）</w:t>
            </w:r>
          </w:p>
        </w:tc>
        <w:tc>
          <w:tcPr>
            <w:tcW w:w="1386" w:type="dxa"/>
            <w:shd w:val="clear" w:color="auto" w:fill="FFFFFF"/>
            <w:vAlign w:val="center"/>
          </w:tcPr>
          <w:p w14:paraId="3718DAE6">
            <w:pPr>
              <w:widowControl/>
              <w:jc w:val="center"/>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kern w:val="0"/>
                <w:sz w:val="24"/>
              </w:rPr>
              <w:t>是</w:t>
            </w:r>
          </w:p>
        </w:tc>
      </w:tr>
      <w:tr w14:paraId="05CCE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5652CF2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146</w:t>
            </w:r>
          </w:p>
        </w:tc>
        <w:tc>
          <w:tcPr>
            <w:tcW w:w="981" w:type="dxa"/>
            <w:shd w:val="clear" w:color="auto" w:fill="FFFFFF"/>
            <w:vAlign w:val="center"/>
          </w:tcPr>
          <w:p w14:paraId="7D7B1D5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vAlign w:val="center"/>
          </w:tcPr>
          <w:p w14:paraId="3ED06B7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中央处理器</w:t>
            </w:r>
          </w:p>
        </w:tc>
        <w:tc>
          <w:tcPr>
            <w:tcW w:w="1206" w:type="dxa"/>
            <w:shd w:val="clear" w:color="auto" w:fill="FFFFFF"/>
            <w:vAlign w:val="center"/>
          </w:tcPr>
          <w:p w14:paraId="21DEAA8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 加解密功能</w:t>
            </w:r>
          </w:p>
        </w:tc>
        <w:tc>
          <w:tcPr>
            <w:tcW w:w="4167" w:type="dxa"/>
            <w:shd w:val="clear" w:color="auto" w:fill="FFFFFF"/>
            <w:vAlign w:val="center"/>
          </w:tcPr>
          <w:p w14:paraId="163C45F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投标产品所配备的CPU（中央处理器）支持TEE可信执行环境，实现虚拟机在内存读写时的自动加解密功能。</w:t>
            </w:r>
            <w:r>
              <w:rPr>
                <w:rFonts w:hint="eastAsia" w:asciiTheme="minorEastAsia" w:hAnsiTheme="minorEastAsia" w:eastAsiaTheme="minorEastAsia" w:cstheme="minorEastAsia"/>
                <w:kern w:val="0"/>
                <w:sz w:val="24"/>
                <w:lang w:val="en-US" w:eastAsia="zh-CN"/>
              </w:rPr>
              <w:t>需</w:t>
            </w:r>
            <w:r>
              <w:rPr>
                <w:rFonts w:hint="eastAsia" w:asciiTheme="minorEastAsia" w:hAnsiTheme="minorEastAsia" w:eastAsiaTheme="minorEastAsia" w:cstheme="minorEastAsia"/>
                <w:kern w:val="0"/>
                <w:sz w:val="24"/>
              </w:rPr>
              <w:t>提供投标产品所配备的CPU（中央处理器）具有上述密码技术特性的证明材料</w:t>
            </w:r>
          </w:p>
        </w:tc>
        <w:tc>
          <w:tcPr>
            <w:tcW w:w="1386" w:type="dxa"/>
            <w:shd w:val="clear" w:color="auto" w:fill="FFFFFF"/>
            <w:vAlign w:val="center"/>
          </w:tcPr>
          <w:p w14:paraId="1F6261B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7F019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9" w:type="dxa"/>
            <w:shd w:val="clear" w:color="auto" w:fill="FFFFFF"/>
            <w:vAlign w:val="center"/>
          </w:tcPr>
          <w:p w14:paraId="350B13E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147</w:t>
            </w:r>
          </w:p>
        </w:tc>
        <w:tc>
          <w:tcPr>
            <w:tcW w:w="981" w:type="dxa"/>
            <w:shd w:val="clear" w:color="auto" w:fill="FFFFFF"/>
            <w:vAlign w:val="center"/>
          </w:tcPr>
          <w:p w14:paraId="4A58C1F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vAlign w:val="center"/>
          </w:tcPr>
          <w:p w14:paraId="35DD4FB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中央处理器</w:t>
            </w:r>
          </w:p>
        </w:tc>
        <w:tc>
          <w:tcPr>
            <w:tcW w:w="1206" w:type="dxa"/>
            <w:shd w:val="clear" w:color="auto" w:fill="FFFFFF"/>
            <w:vAlign w:val="center"/>
          </w:tcPr>
          <w:p w14:paraId="129BD2B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#超线程技术</w:t>
            </w:r>
          </w:p>
        </w:tc>
        <w:tc>
          <w:tcPr>
            <w:tcW w:w="4167" w:type="dxa"/>
            <w:shd w:val="clear" w:color="auto" w:fill="FFFFFF"/>
            <w:vAlign w:val="center"/>
          </w:tcPr>
          <w:p w14:paraId="36A56C4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shd w:val="clear" w:color="auto" w:fill="FFFFFF" w:themeFill="background1"/>
              </w:rPr>
              <w:t>产品所配备的CPU（中央处理器）需支持且配置超线程技术</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w:t>
            </w:r>
            <w:r>
              <w:rPr>
                <w:rFonts w:hint="eastAsia" w:asciiTheme="minorEastAsia" w:hAnsiTheme="minorEastAsia" w:eastAsiaTheme="minorEastAsia" w:cstheme="minorEastAsia"/>
                <w:kern w:val="0"/>
                <w:sz w:val="24"/>
              </w:rPr>
              <w:t xml:space="preserve">提供投标产品所配备的CPU（中央处理器）具有上述技术特性的证明材料 </w:t>
            </w:r>
            <w:r>
              <w:rPr>
                <w:rFonts w:hint="eastAsia" w:asciiTheme="minorEastAsia" w:hAnsiTheme="minorEastAsia" w:eastAsiaTheme="minorEastAsia" w:cstheme="minorEastAsia"/>
                <w:kern w:val="0"/>
                <w:sz w:val="24"/>
                <w:shd w:val="clear" w:color="auto" w:fill="FFFFFF" w:themeFill="background1"/>
              </w:rPr>
              <w:t>；</w:t>
            </w:r>
          </w:p>
        </w:tc>
        <w:tc>
          <w:tcPr>
            <w:tcW w:w="1386" w:type="dxa"/>
            <w:shd w:val="clear" w:color="auto" w:fill="FFFFFF"/>
            <w:vAlign w:val="center"/>
          </w:tcPr>
          <w:p w14:paraId="228D6D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bl>
    <w:p w14:paraId="75FA4EBA">
      <w:pPr>
        <w:pStyle w:val="14"/>
        <w:ind w:firstLine="480"/>
        <w:rPr>
          <w:rFonts w:asciiTheme="minorEastAsia" w:hAnsiTheme="minorEastAsia" w:eastAsiaTheme="minorEastAsia" w:cstheme="minorEastAsia"/>
          <w:szCs w:val="24"/>
        </w:rPr>
      </w:pPr>
    </w:p>
    <w:p w14:paraId="3B141DEF">
      <w:pPr>
        <w:pStyle w:val="2"/>
        <w:numPr>
          <w:ilvl w:val="0"/>
          <w:numId w:val="2"/>
        </w:numPr>
        <w:ind w:left="442" w:hanging="442"/>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临床科研基础数据库与儿科专科专病数据库服务器2</w:t>
      </w:r>
    </w:p>
    <w:tbl>
      <w:tblPr>
        <w:tblStyle w:val="15"/>
        <w:tblW w:w="9414" w:type="dxa"/>
        <w:tblInd w:w="-4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729"/>
        <w:gridCol w:w="981"/>
        <w:gridCol w:w="981"/>
        <w:gridCol w:w="1206"/>
        <w:gridCol w:w="4137"/>
        <w:gridCol w:w="1380"/>
      </w:tblGrid>
      <w:tr w14:paraId="398E0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85" w:hRule="atLeast"/>
        </w:trPr>
        <w:tc>
          <w:tcPr>
            <w:tcW w:w="729" w:type="dxa"/>
            <w:shd w:val="clear" w:color="auto" w:fill="FFFFFF"/>
            <w:vAlign w:val="center"/>
          </w:tcPr>
          <w:p w14:paraId="669F0E3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序号</w:t>
            </w:r>
          </w:p>
        </w:tc>
        <w:tc>
          <w:tcPr>
            <w:tcW w:w="981" w:type="dxa"/>
            <w:shd w:val="clear" w:color="auto" w:fill="FFFFFF"/>
            <w:vAlign w:val="center"/>
          </w:tcPr>
          <w:p w14:paraId="1E60B3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指标分类</w:t>
            </w:r>
          </w:p>
        </w:tc>
        <w:tc>
          <w:tcPr>
            <w:tcW w:w="981" w:type="dxa"/>
            <w:shd w:val="clear" w:color="auto" w:fill="FFFFFF"/>
            <w:vAlign w:val="center"/>
          </w:tcPr>
          <w:p w14:paraId="15BBE75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一级指标</w:t>
            </w:r>
          </w:p>
        </w:tc>
        <w:tc>
          <w:tcPr>
            <w:tcW w:w="1206" w:type="dxa"/>
            <w:shd w:val="clear" w:color="auto" w:fill="FFFFFF"/>
            <w:vAlign w:val="center"/>
          </w:tcPr>
          <w:p w14:paraId="2E825E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二级指标</w:t>
            </w:r>
          </w:p>
        </w:tc>
        <w:tc>
          <w:tcPr>
            <w:tcW w:w="4137" w:type="dxa"/>
            <w:shd w:val="clear" w:color="auto" w:fill="FFFFFF"/>
            <w:vAlign w:val="center"/>
          </w:tcPr>
          <w:p w14:paraId="3BEF20A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指标要求</w:t>
            </w:r>
          </w:p>
        </w:tc>
        <w:tc>
          <w:tcPr>
            <w:tcW w:w="1380" w:type="dxa"/>
            <w:shd w:val="clear" w:color="auto" w:fill="FFFFFF"/>
            <w:vAlign w:val="center"/>
          </w:tcPr>
          <w:p w14:paraId="1F55C4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是否提供证明材料</w:t>
            </w:r>
          </w:p>
        </w:tc>
      </w:tr>
      <w:tr w14:paraId="7196B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29" w:type="dxa"/>
            <w:shd w:val="clear" w:color="auto" w:fill="FFFFFF"/>
            <w:vAlign w:val="center"/>
          </w:tcPr>
          <w:p w14:paraId="09AFE05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w:t>
            </w:r>
          </w:p>
        </w:tc>
        <w:tc>
          <w:tcPr>
            <w:tcW w:w="981" w:type="dxa"/>
            <w:shd w:val="clear" w:color="auto" w:fill="FFFFFF"/>
            <w:vAlign w:val="center"/>
          </w:tcPr>
          <w:p w14:paraId="1C9528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shd w:val="clear" w:color="auto" w:fill="FFFFFF"/>
            <w:vAlign w:val="center"/>
          </w:tcPr>
          <w:p w14:paraId="3E5AAE7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CPU规格</w:t>
            </w:r>
          </w:p>
        </w:tc>
        <w:tc>
          <w:tcPr>
            <w:tcW w:w="1206" w:type="dxa"/>
            <w:shd w:val="clear" w:color="auto" w:fill="FFFFFF"/>
            <w:vAlign w:val="center"/>
          </w:tcPr>
          <w:p w14:paraId="062FB13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★CPU信息</w:t>
            </w:r>
          </w:p>
        </w:tc>
        <w:tc>
          <w:tcPr>
            <w:tcW w:w="4137" w:type="dxa"/>
            <w:shd w:val="clear" w:color="auto" w:fill="FFFFFF"/>
            <w:vAlign w:val="center"/>
          </w:tcPr>
          <w:p w14:paraId="4984DAF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供应商应给出CPU信息，包含CPU型号、物理核心数、主频、末级缓存容量、线程数、热设计功耗及支持内存的最高速率、通道数和位宽</w:t>
            </w:r>
          </w:p>
        </w:tc>
        <w:tc>
          <w:tcPr>
            <w:tcW w:w="1380" w:type="dxa"/>
            <w:shd w:val="clear" w:color="auto" w:fill="FFFFFF"/>
            <w:vAlign w:val="center"/>
          </w:tcPr>
          <w:p w14:paraId="113596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A4FD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29" w:type="dxa"/>
            <w:shd w:val="clear" w:color="auto" w:fill="FFFFFF"/>
            <w:vAlign w:val="center"/>
          </w:tcPr>
          <w:p w14:paraId="338989B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981" w:type="dxa"/>
            <w:shd w:val="clear" w:color="auto" w:fill="FFFFFF"/>
            <w:vAlign w:val="center"/>
          </w:tcPr>
          <w:p w14:paraId="3AE0C3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7B0A009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主板规格</w:t>
            </w:r>
          </w:p>
        </w:tc>
        <w:tc>
          <w:tcPr>
            <w:tcW w:w="1206" w:type="dxa"/>
            <w:shd w:val="clear" w:color="auto" w:fill="FFFFFF"/>
            <w:vAlign w:val="center"/>
          </w:tcPr>
          <w:p w14:paraId="2C450F5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★主板支持的CPU和内存情况</w:t>
            </w:r>
          </w:p>
        </w:tc>
        <w:tc>
          <w:tcPr>
            <w:tcW w:w="4137" w:type="dxa"/>
            <w:shd w:val="clear" w:color="auto" w:fill="FFFFFF"/>
            <w:vAlign w:val="center"/>
          </w:tcPr>
          <w:p w14:paraId="27D0350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供应商给出主板支持的CPU和内存的型号数量</w:t>
            </w:r>
          </w:p>
        </w:tc>
        <w:tc>
          <w:tcPr>
            <w:tcW w:w="1380" w:type="dxa"/>
            <w:shd w:val="clear" w:color="auto" w:fill="FFFFFF"/>
            <w:vAlign w:val="center"/>
          </w:tcPr>
          <w:p w14:paraId="2BA3B1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DC68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38AB85A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w:t>
            </w:r>
          </w:p>
        </w:tc>
        <w:tc>
          <w:tcPr>
            <w:tcW w:w="981" w:type="dxa"/>
            <w:shd w:val="clear" w:color="auto" w:fill="FFFFFF"/>
            <w:vAlign w:val="center"/>
          </w:tcPr>
          <w:p w14:paraId="748ABC7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F294360">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2AA516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★主板内存槽数量</w:t>
            </w:r>
          </w:p>
        </w:tc>
        <w:tc>
          <w:tcPr>
            <w:tcW w:w="4137" w:type="dxa"/>
            <w:shd w:val="clear" w:color="auto" w:fill="FFFFFF"/>
            <w:vAlign w:val="center"/>
          </w:tcPr>
          <w:p w14:paraId="2B83A51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非板载内存的可扩展插槽数量应≥4个</w:t>
            </w:r>
          </w:p>
        </w:tc>
        <w:tc>
          <w:tcPr>
            <w:tcW w:w="1380" w:type="dxa"/>
            <w:shd w:val="clear" w:color="auto" w:fill="FFFFFF"/>
            <w:vAlign w:val="center"/>
          </w:tcPr>
          <w:p w14:paraId="423E46F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23A2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29" w:type="dxa"/>
            <w:shd w:val="clear" w:color="auto" w:fill="FFFFFF"/>
            <w:vAlign w:val="center"/>
          </w:tcPr>
          <w:p w14:paraId="49F5309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w:t>
            </w:r>
          </w:p>
        </w:tc>
        <w:tc>
          <w:tcPr>
            <w:tcW w:w="981" w:type="dxa"/>
            <w:shd w:val="clear" w:color="auto" w:fill="FFFFFF"/>
            <w:vAlign w:val="center"/>
          </w:tcPr>
          <w:p w14:paraId="1114C6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319F58C">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FE74DD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★主板存储接口</w:t>
            </w:r>
          </w:p>
        </w:tc>
        <w:tc>
          <w:tcPr>
            <w:tcW w:w="4137" w:type="dxa"/>
            <w:shd w:val="clear" w:color="auto" w:fill="FFFFFF"/>
            <w:vAlign w:val="center"/>
          </w:tcPr>
          <w:p w14:paraId="3A25B90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至少支持SATA、SAS、M.2、U.2等存储接口中的1种</w:t>
            </w:r>
          </w:p>
        </w:tc>
        <w:tc>
          <w:tcPr>
            <w:tcW w:w="1380" w:type="dxa"/>
            <w:shd w:val="clear" w:color="auto" w:fill="FFFFFF"/>
            <w:vAlign w:val="center"/>
          </w:tcPr>
          <w:p w14:paraId="1EC7FAE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3EBA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12B4684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w:t>
            </w:r>
          </w:p>
        </w:tc>
        <w:tc>
          <w:tcPr>
            <w:tcW w:w="981" w:type="dxa"/>
            <w:shd w:val="clear" w:color="auto" w:fill="FFFFFF"/>
            <w:vAlign w:val="center"/>
          </w:tcPr>
          <w:p w14:paraId="755D7ED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6D08459B">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B711FC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★PCIe插槽接口</w:t>
            </w:r>
          </w:p>
        </w:tc>
        <w:tc>
          <w:tcPr>
            <w:tcW w:w="4137" w:type="dxa"/>
            <w:shd w:val="clear" w:color="auto" w:fill="FFFFFF"/>
            <w:vAlign w:val="center"/>
          </w:tcPr>
          <w:p w14:paraId="0C69C6C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符合PCIe3.0或以上的高速串行计算机扩展总线标准，PCIe的接口速率与位宽需保证向下兼容</w:t>
            </w:r>
          </w:p>
        </w:tc>
        <w:tc>
          <w:tcPr>
            <w:tcW w:w="1380" w:type="dxa"/>
            <w:shd w:val="clear" w:color="auto" w:fill="FFFFFF"/>
            <w:vAlign w:val="center"/>
          </w:tcPr>
          <w:p w14:paraId="7DC210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A54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29" w:type="dxa"/>
            <w:shd w:val="clear" w:color="auto" w:fill="FFFFFF"/>
            <w:vAlign w:val="center"/>
          </w:tcPr>
          <w:p w14:paraId="02E7656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w:t>
            </w:r>
          </w:p>
        </w:tc>
        <w:tc>
          <w:tcPr>
            <w:tcW w:w="981" w:type="dxa"/>
            <w:shd w:val="clear" w:color="auto" w:fill="FFFFFF"/>
            <w:vAlign w:val="center"/>
          </w:tcPr>
          <w:p w14:paraId="1A9A4D8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42B41A5">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324AF8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★主板PCIe插槽数量及规格</w:t>
            </w:r>
          </w:p>
        </w:tc>
        <w:tc>
          <w:tcPr>
            <w:tcW w:w="4137" w:type="dxa"/>
            <w:shd w:val="clear" w:color="auto" w:fill="FFFFFF"/>
            <w:vAlign w:val="center"/>
          </w:tcPr>
          <w:p w14:paraId="486BBC0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a）高度大于44.45mm双路或以上服务器PCIe插槽或接口应≥5个；</w:t>
            </w:r>
          </w:p>
          <w:p w14:paraId="12C4D1A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b）单路服务器PCIe插槽或接口应≥4个，可通过扩展卡进行插槽扩展</w:t>
            </w:r>
          </w:p>
        </w:tc>
        <w:tc>
          <w:tcPr>
            <w:tcW w:w="1380" w:type="dxa"/>
            <w:shd w:val="clear" w:color="auto" w:fill="FFFFFF"/>
            <w:vAlign w:val="center"/>
          </w:tcPr>
          <w:p w14:paraId="0FEF1D0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4C5C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99" w:hRule="atLeast"/>
        </w:trPr>
        <w:tc>
          <w:tcPr>
            <w:tcW w:w="729" w:type="dxa"/>
            <w:shd w:val="clear" w:color="auto" w:fill="FFFFFF"/>
            <w:vAlign w:val="center"/>
          </w:tcPr>
          <w:p w14:paraId="69A65E2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w:t>
            </w:r>
          </w:p>
        </w:tc>
        <w:tc>
          <w:tcPr>
            <w:tcW w:w="981" w:type="dxa"/>
            <w:shd w:val="clear" w:color="auto" w:fill="FFFFFF"/>
            <w:vAlign w:val="center"/>
          </w:tcPr>
          <w:p w14:paraId="5BBE4F3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1E30D1D3">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719000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特殊孔位及接口</w:t>
            </w:r>
          </w:p>
        </w:tc>
        <w:tc>
          <w:tcPr>
            <w:tcW w:w="4137" w:type="dxa"/>
            <w:shd w:val="clear" w:color="auto" w:fill="FFFFFF"/>
            <w:vAlign w:val="center"/>
          </w:tcPr>
          <w:p w14:paraId="1F1FF96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服务器机箱内主板可根据用户实际使用需求支持安装多功能导入装置板卡，机箱内需预留多功能导入装置板卡安装位置，容量不小于55mm×45mm×15mm（长×宽×高，单位毫米）；b）服务器主板可根据用户实际使用需求预留满足USB2.0或USB3.0数据传输规范的接口，工作电压5V，采用USB2.0时，最大过电流应不小于0.5A，采用USB3.0时，最大过电流应不小于1A</w:t>
            </w:r>
          </w:p>
        </w:tc>
        <w:tc>
          <w:tcPr>
            <w:tcW w:w="1380" w:type="dxa"/>
            <w:shd w:val="clear" w:color="auto" w:fill="FFFFFF"/>
            <w:vAlign w:val="center"/>
          </w:tcPr>
          <w:p w14:paraId="64E629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9727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17A33DB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981" w:type="dxa"/>
            <w:shd w:val="clear" w:color="auto" w:fill="FFFFFF"/>
            <w:vAlign w:val="center"/>
          </w:tcPr>
          <w:p w14:paraId="6958CBC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C57509A">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701A70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板载网络接口</w:t>
            </w:r>
          </w:p>
        </w:tc>
        <w:tc>
          <w:tcPr>
            <w:tcW w:w="4137" w:type="dxa"/>
            <w:shd w:val="clear" w:color="auto" w:fill="FFFFFF"/>
            <w:vAlign w:val="center"/>
          </w:tcPr>
          <w:p w14:paraId="1C1E640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若支持板载网络接口应≥2个1GE网口</w:t>
            </w:r>
          </w:p>
        </w:tc>
        <w:tc>
          <w:tcPr>
            <w:tcW w:w="1380" w:type="dxa"/>
            <w:shd w:val="clear" w:color="auto" w:fill="FFFFFF"/>
            <w:vAlign w:val="center"/>
          </w:tcPr>
          <w:p w14:paraId="6171C4F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54CE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62B70EA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w:t>
            </w:r>
          </w:p>
        </w:tc>
        <w:tc>
          <w:tcPr>
            <w:tcW w:w="981" w:type="dxa"/>
            <w:shd w:val="clear" w:color="auto" w:fill="FFFFFF"/>
            <w:vAlign w:val="center"/>
          </w:tcPr>
          <w:p w14:paraId="0DBE0E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BC3D984">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1B57AA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主板OCP插槽数量</w:t>
            </w:r>
          </w:p>
        </w:tc>
        <w:tc>
          <w:tcPr>
            <w:tcW w:w="4137" w:type="dxa"/>
            <w:shd w:val="clear" w:color="auto" w:fill="FFFFFF"/>
            <w:vAlign w:val="center"/>
          </w:tcPr>
          <w:p w14:paraId="4865824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支持OCP2.0及以上插槽的数量≥1个</w:t>
            </w:r>
          </w:p>
        </w:tc>
        <w:tc>
          <w:tcPr>
            <w:tcW w:w="1380" w:type="dxa"/>
            <w:shd w:val="clear" w:color="auto" w:fill="FFFFFF"/>
            <w:vAlign w:val="center"/>
          </w:tcPr>
          <w:p w14:paraId="4038F2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AADE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29" w:type="dxa"/>
            <w:shd w:val="clear" w:color="auto" w:fill="FFFFFF"/>
            <w:vAlign w:val="center"/>
          </w:tcPr>
          <w:p w14:paraId="652DB47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w:t>
            </w:r>
          </w:p>
        </w:tc>
        <w:tc>
          <w:tcPr>
            <w:tcW w:w="981" w:type="dxa"/>
            <w:shd w:val="clear" w:color="auto" w:fill="FFFFFF"/>
            <w:vAlign w:val="center"/>
          </w:tcPr>
          <w:p w14:paraId="234C920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64D4980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内存规格</w:t>
            </w:r>
          </w:p>
        </w:tc>
        <w:tc>
          <w:tcPr>
            <w:tcW w:w="1206" w:type="dxa"/>
            <w:shd w:val="clear" w:color="auto" w:fill="FFFFFF"/>
            <w:vAlign w:val="center"/>
          </w:tcPr>
          <w:p w14:paraId="5B5E736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★内存数量</w:t>
            </w:r>
          </w:p>
        </w:tc>
        <w:tc>
          <w:tcPr>
            <w:tcW w:w="4137" w:type="dxa"/>
            <w:shd w:val="clear" w:color="auto" w:fill="FFFFFF"/>
            <w:vAlign w:val="center"/>
          </w:tcPr>
          <w:p w14:paraId="59F57EE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w:t>
            </w:r>
          </w:p>
        </w:tc>
        <w:tc>
          <w:tcPr>
            <w:tcW w:w="1380" w:type="dxa"/>
            <w:shd w:val="clear" w:color="auto" w:fill="FFFFFF"/>
            <w:vAlign w:val="center"/>
          </w:tcPr>
          <w:p w14:paraId="46ED5D5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62F4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729" w:type="dxa"/>
            <w:shd w:val="clear" w:color="auto" w:fill="FFFFFF"/>
            <w:vAlign w:val="center"/>
          </w:tcPr>
          <w:p w14:paraId="24C81A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w:t>
            </w:r>
          </w:p>
        </w:tc>
        <w:tc>
          <w:tcPr>
            <w:tcW w:w="981" w:type="dxa"/>
            <w:shd w:val="clear" w:color="auto" w:fill="FFFFFF"/>
            <w:vAlign w:val="center"/>
          </w:tcPr>
          <w:p w14:paraId="35162D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6307EC7">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A9F01C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★内存规格</w:t>
            </w:r>
          </w:p>
        </w:tc>
        <w:tc>
          <w:tcPr>
            <w:tcW w:w="4137" w:type="dxa"/>
            <w:shd w:val="clear" w:color="auto" w:fill="FFFFFF"/>
            <w:vAlign w:val="center"/>
          </w:tcPr>
          <w:p w14:paraId="75FF769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≥DDR4</w:t>
            </w:r>
          </w:p>
        </w:tc>
        <w:tc>
          <w:tcPr>
            <w:tcW w:w="1380" w:type="dxa"/>
            <w:shd w:val="clear" w:color="auto" w:fill="FFFFFF"/>
            <w:vAlign w:val="center"/>
          </w:tcPr>
          <w:p w14:paraId="4328125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711E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29" w:type="dxa"/>
            <w:shd w:val="clear" w:color="auto" w:fill="FFFFFF"/>
            <w:vAlign w:val="center"/>
          </w:tcPr>
          <w:p w14:paraId="30D6BC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w:t>
            </w:r>
          </w:p>
        </w:tc>
        <w:tc>
          <w:tcPr>
            <w:tcW w:w="981" w:type="dxa"/>
            <w:shd w:val="clear" w:color="auto" w:fill="FFFFFF"/>
            <w:vAlign w:val="center"/>
          </w:tcPr>
          <w:p w14:paraId="70BB492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1386F502">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B99513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★内存通道</w:t>
            </w:r>
          </w:p>
        </w:tc>
        <w:tc>
          <w:tcPr>
            <w:tcW w:w="4137" w:type="dxa"/>
            <w:shd w:val="clear" w:color="auto" w:fill="FFFFFF"/>
            <w:vAlign w:val="center"/>
          </w:tcPr>
          <w:p w14:paraId="0D44B45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支持多个内存接口通道，每个通道可支持1DPC或2DPC，当支持2DPC时，印制电路板上应具备插槽的序号标识，具体通道数应在随机文件中明确</w:t>
            </w:r>
          </w:p>
        </w:tc>
        <w:tc>
          <w:tcPr>
            <w:tcW w:w="1380" w:type="dxa"/>
            <w:shd w:val="clear" w:color="auto" w:fill="FFFFFF"/>
            <w:vAlign w:val="center"/>
          </w:tcPr>
          <w:p w14:paraId="364D5B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EE22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3B59630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w:t>
            </w:r>
          </w:p>
        </w:tc>
        <w:tc>
          <w:tcPr>
            <w:tcW w:w="981" w:type="dxa"/>
            <w:shd w:val="clear" w:color="auto" w:fill="FFFFFF"/>
            <w:vAlign w:val="center"/>
          </w:tcPr>
          <w:p w14:paraId="783C352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7F63AE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存储规格</w:t>
            </w:r>
          </w:p>
        </w:tc>
        <w:tc>
          <w:tcPr>
            <w:tcW w:w="1206" w:type="dxa"/>
            <w:shd w:val="clear" w:color="auto" w:fill="FFFFFF"/>
            <w:vAlign w:val="center"/>
          </w:tcPr>
          <w:p w14:paraId="7A27C1B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硬盘类型</w:t>
            </w:r>
          </w:p>
        </w:tc>
        <w:tc>
          <w:tcPr>
            <w:tcW w:w="4137" w:type="dxa"/>
            <w:shd w:val="clear" w:color="auto" w:fill="FFFFFF"/>
            <w:vAlign w:val="center"/>
          </w:tcPr>
          <w:p w14:paraId="68E0478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供应商给出服务器支持硬磁盘和固态盘类型及规格</w:t>
            </w:r>
          </w:p>
        </w:tc>
        <w:tc>
          <w:tcPr>
            <w:tcW w:w="1380" w:type="dxa"/>
            <w:shd w:val="clear" w:color="auto" w:fill="FFFFFF"/>
            <w:vAlign w:val="center"/>
          </w:tcPr>
          <w:p w14:paraId="6C2F4BA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5662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29" w:type="dxa"/>
            <w:shd w:val="clear" w:color="auto" w:fill="FFFFFF"/>
            <w:vAlign w:val="center"/>
          </w:tcPr>
          <w:p w14:paraId="744CE8A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w:t>
            </w:r>
          </w:p>
        </w:tc>
        <w:tc>
          <w:tcPr>
            <w:tcW w:w="981" w:type="dxa"/>
            <w:shd w:val="clear" w:color="auto" w:fill="FFFFFF"/>
            <w:vAlign w:val="center"/>
          </w:tcPr>
          <w:p w14:paraId="5F9ED2F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6F29840E">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80FD4D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★硬磁盘实配容量</w:t>
            </w:r>
          </w:p>
        </w:tc>
        <w:tc>
          <w:tcPr>
            <w:tcW w:w="4137" w:type="dxa"/>
            <w:shd w:val="clear" w:color="auto" w:fill="FFFFFF"/>
            <w:vAlign w:val="center"/>
          </w:tcPr>
          <w:p w14:paraId="20029BB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硬盘1：≥960G SATA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硬盘2：≥3.2T NVMe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硬盘3：≥8T 7.2K SATA硬磁盘</w:t>
            </w:r>
          </w:p>
        </w:tc>
        <w:tc>
          <w:tcPr>
            <w:tcW w:w="1380" w:type="dxa"/>
            <w:shd w:val="clear" w:color="auto" w:fill="FFFFFF"/>
            <w:vAlign w:val="center"/>
          </w:tcPr>
          <w:p w14:paraId="59229DB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D04C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29" w:type="dxa"/>
            <w:shd w:val="clear" w:color="auto" w:fill="FFFFFF"/>
            <w:vAlign w:val="center"/>
          </w:tcPr>
          <w:p w14:paraId="2EB9B9C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w:t>
            </w:r>
          </w:p>
        </w:tc>
        <w:tc>
          <w:tcPr>
            <w:tcW w:w="981" w:type="dxa"/>
            <w:shd w:val="clear" w:color="auto" w:fill="FFFFFF"/>
            <w:vAlign w:val="center"/>
          </w:tcPr>
          <w:p w14:paraId="22F24A9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FE2E39E">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870A3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硬盘接口类型</w:t>
            </w:r>
          </w:p>
        </w:tc>
        <w:tc>
          <w:tcPr>
            <w:tcW w:w="4137" w:type="dxa"/>
            <w:shd w:val="clear" w:color="auto" w:fill="FFFFFF"/>
            <w:vAlign w:val="center"/>
          </w:tcPr>
          <w:p w14:paraId="544357E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a）若配备硬磁盘，应提供SAS3.0或SATA3.0及以上接口；b）若配备固态盘，应提供至少1种类型固态盘接口，如UFS、SATA、PCIe等</w:t>
            </w:r>
          </w:p>
        </w:tc>
        <w:tc>
          <w:tcPr>
            <w:tcW w:w="1380" w:type="dxa"/>
            <w:shd w:val="clear" w:color="auto" w:fill="FFFFFF"/>
            <w:vAlign w:val="center"/>
          </w:tcPr>
          <w:p w14:paraId="5F83D83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675C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29" w:type="dxa"/>
            <w:shd w:val="clear" w:color="auto" w:fill="FFFFFF"/>
            <w:vAlign w:val="center"/>
          </w:tcPr>
          <w:p w14:paraId="2D43BE4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w:t>
            </w:r>
          </w:p>
        </w:tc>
        <w:tc>
          <w:tcPr>
            <w:tcW w:w="981" w:type="dxa"/>
            <w:shd w:val="clear" w:color="auto" w:fill="FFFFFF"/>
            <w:vAlign w:val="center"/>
          </w:tcPr>
          <w:p w14:paraId="3B6E54E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B5AAF4B">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6FD239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★硬盘实配数量</w:t>
            </w:r>
          </w:p>
        </w:tc>
        <w:tc>
          <w:tcPr>
            <w:tcW w:w="4137" w:type="dxa"/>
            <w:shd w:val="clear" w:color="auto" w:fill="FFFFFF"/>
            <w:vAlign w:val="center"/>
          </w:tcPr>
          <w:p w14:paraId="24845C4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硬盘1：≥2块960G SATA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硬盘2：≥2块3.2T NVMe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硬盘3：≥4块8T 7.2K SATA；</w:t>
            </w:r>
          </w:p>
        </w:tc>
        <w:tc>
          <w:tcPr>
            <w:tcW w:w="1380" w:type="dxa"/>
            <w:shd w:val="clear" w:color="auto" w:fill="FFFFFF"/>
            <w:vAlign w:val="center"/>
          </w:tcPr>
          <w:p w14:paraId="47AF34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40F0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296" w:hRule="atLeast"/>
        </w:trPr>
        <w:tc>
          <w:tcPr>
            <w:tcW w:w="729" w:type="dxa"/>
            <w:shd w:val="clear" w:color="auto" w:fill="FFFFFF"/>
            <w:vAlign w:val="center"/>
          </w:tcPr>
          <w:p w14:paraId="5354875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17</w:t>
            </w:r>
          </w:p>
        </w:tc>
        <w:tc>
          <w:tcPr>
            <w:tcW w:w="981" w:type="dxa"/>
            <w:shd w:val="clear" w:color="auto" w:fill="FFFFFF"/>
            <w:vAlign w:val="center"/>
          </w:tcPr>
          <w:p w14:paraId="1CA3AD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59645769">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4468B7D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★硬盘插槽数量及规格</w:t>
            </w:r>
          </w:p>
        </w:tc>
        <w:tc>
          <w:tcPr>
            <w:tcW w:w="4137" w:type="dxa"/>
            <w:shd w:val="clear" w:color="auto" w:fill="FFFFFF"/>
            <w:vAlign w:val="center"/>
          </w:tcPr>
          <w:p w14:paraId="3C58F59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供应商应给出配置的硬盘尺寸，如2.5英寸、3.5英寸硬磁盘；b）机箱高度为88.9mm的服务器可支持的硬盘数量应≥8块，机箱高度为44.45mm的服务器可支持的硬盘数量应≥4块。c）存储型服务器可支持硬盘数量应≥24块</w:t>
            </w:r>
          </w:p>
        </w:tc>
        <w:tc>
          <w:tcPr>
            <w:tcW w:w="1380" w:type="dxa"/>
            <w:shd w:val="clear" w:color="auto" w:fill="FFFFFF"/>
            <w:vAlign w:val="center"/>
          </w:tcPr>
          <w:p w14:paraId="4E62AC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082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29" w:type="dxa"/>
            <w:shd w:val="clear" w:color="auto" w:fill="FFFFFF"/>
            <w:vAlign w:val="center"/>
          </w:tcPr>
          <w:p w14:paraId="1E48AE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18</w:t>
            </w:r>
          </w:p>
        </w:tc>
        <w:tc>
          <w:tcPr>
            <w:tcW w:w="981" w:type="dxa"/>
            <w:shd w:val="clear" w:color="auto" w:fill="FFFFFF"/>
            <w:vAlign w:val="center"/>
          </w:tcPr>
          <w:p w14:paraId="7CB244D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6D634E0D">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383338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硬盘其他参数要求</w:t>
            </w:r>
          </w:p>
        </w:tc>
        <w:tc>
          <w:tcPr>
            <w:tcW w:w="4137" w:type="dxa"/>
            <w:shd w:val="clear" w:color="auto" w:fill="FFFFFF"/>
            <w:vAlign w:val="center"/>
          </w:tcPr>
          <w:p w14:paraId="5627399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drawing>
                <wp:anchor distT="0" distB="0" distL="114300" distR="114300" simplePos="0" relativeHeight="251668480" behindDoc="0" locked="0" layoutInCell="1" allowOverlap="1">
                  <wp:simplePos x="0" y="0"/>
                  <wp:positionH relativeFrom="column">
                    <wp:posOffset>9525</wp:posOffset>
                  </wp:positionH>
                  <wp:positionV relativeFrom="paragraph">
                    <wp:posOffset>471170</wp:posOffset>
                  </wp:positionV>
                  <wp:extent cx="76200" cy="47625"/>
                  <wp:effectExtent l="0" t="0" r="0" b="0"/>
                  <wp:wrapNone/>
                  <wp:docPr id="10" name="图片 10"/>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5"/>
                          <a:stretch>
                            <a:fillRect/>
                          </a:stretch>
                        </pic:blipFill>
                        <pic:spPr>
                          <a:xfrm>
                            <a:off x="0" y="0"/>
                            <a:ext cx="76200" cy="47625"/>
                          </a:xfrm>
                          <a:prstGeom prst="rect">
                            <a:avLst/>
                          </a:prstGeom>
                          <a:noFill/>
                          <a:ln>
                            <a:noFill/>
                          </a:ln>
                        </pic:spPr>
                      </pic:pic>
                    </a:graphicData>
                  </a:graphic>
                </wp:anchor>
              </w:drawing>
            </w:r>
            <w:r>
              <w:rPr>
                <w:rFonts w:hint="eastAsia" w:asciiTheme="minorEastAsia" w:hAnsiTheme="minorEastAsia" w:eastAsiaTheme="minorEastAsia" w:cstheme="minorEastAsia"/>
                <w:kern w:val="0"/>
                <w:sz w:val="24"/>
              </w:rPr>
              <w:t>a）机械硬盘准备时间应≤30s；侧面固定螺丝孔数量可为4孔或6孔；工作状态环境温度应满足5℃55℃,其他参数应符合GB/T12628的相关规定；b）若服务器支持固态盘，固态盘符合SJ/T11654相关规定</w:t>
            </w:r>
          </w:p>
        </w:tc>
        <w:tc>
          <w:tcPr>
            <w:tcW w:w="1380" w:type="dxa"/>
            <w:shd w:val="clear" w:color="auto" w:fill="FFFFFF"/>
            <w:vAlign w:val="center"/>
          </w:tcPr>
          <w:p w14:paraId="47B3C00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928B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29" w:type="dxa"/>
            <w:shd w:val="clear" w:color="auto" w:fill="FFFFFF"/>
            <w:vAlign w:val="center"/>
          </w:tcPr>
          <w:p w14:paraId="5F4BD06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19</w:t>
            </w:r>
          </w:p>
        </w:tc>
        <w:tc>
          <w:tcPr>
            <w:tcW w:w="981" w:type="dxa"/>
            <w:shd w:val="clear" w:color="auto" w:fill="FFFFFF"/>
            <w:vAlign w:val="center"/>
          </w:tcPr>
          <w:p w14:paraId="484D38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shd w:val="clear" w:color="auto" w:fill="FFFFFF"/>
            <w:vAlign w:val="center"/>
          </w:tcPr>
          <w:p w14:paraId="01746C4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RAID卡规格（若支持RAID卡）</w:t>
            </w:r>
          </w:p>
        </w:tc>
        <w:tc>
          <w:tcPr>
            <w:tcW w:w="1206" w:type="dxa"/>
            <w:shd w:val="clear" w:color="auto" w:fill="FFFFFF"/>
            <w:vAlign w:val="center"/>
          </w:tcPr>
          <w:p w14:paraId="7E888D2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RAID卡支持的SAS接口数</w:t>
            </w:r>
          </w:p>
        </w:tc>
        <w:tc>
          <w:tcPr>
            <w:tcW w:w="4137" w:type="dxa"/>
            <w:shd w:val="clear" w:color="auto" w:fill="FFFFFF"/>
            <w:vAlign w:val="center"/>
          </w:tcPr>
          <w:p w14:paraId="00A99BE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1380" w:type="dxa"/>
            <w:shd w:val="clear" w:color="auto" w:fill="FFFFFF"/>
            <w:vAlign w:val="center"/>
          </w:tcPr>
          <w:p w14:paraId="391E423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B97A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29" w:type="dxa"/>
            <w:shd w:val="clear" w:color="auto" w:fill="FFFFFF"/>
            <w:vAlign w:val="center"/>
          </w:tcPr>
          <w:p w14:paraId="4A6236A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20</w:t>
            </w:r>
          </w:p>
        </w:tc>
        <w:tc>
          <w:tcPr>
            <w:tcW w:w="981" w:type="dxa"/>
            <w:shd w:val="clear" w:color="auto" w:fill="FFFFFF"/>
            <w:vAlign w:val="center"/>
          </w:tcPr>
          <w:p w14:paraId="01F2169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shd w:val="clear" w:color="auto" w:fill="FFFFFF"/>
            <w:vAlign w:val="center"/>
          </w:tcPr>
          <w:p w14:paraId="2472FA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SAS直通卡规格（若支持SAS直通卡）</w:t>
            </w:r>
          </w:p>
        </w:tc>
        <w:tc>
          <w:tcPr>
            <w:tcW w:w="1206" w:type="dxa"/>
            <w:shd w:val="clear" w:color="auto" w:fill="FFFFFF"/>
            <w:vAlign w:val="center"/>
          </w:tcPr>
          <w:p w14:paraId="2442F2B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SAS直通卡SAS接口数量</w:t>
            </w:r>
          </w:p>
        </w:tc>
        <w:tc>
          <w:tcPr>
            <w:tcW w:w="4137" w:type="dxa"/>
            <w:shd w:val="clear" w:color="auto" w:fill="FFFFFF"/>
            <w:vAlign w:val="center"/>
          </w:tcPr>
          <w:p w14:paraId="384256F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≥0</w:t>
            </w:r>
          </w:p>
        </w:tc>
        <w:tc>
          <w:tcPr>
            <w:tcW w:w="1380" w:type="dxa"/>
            <w:shd w:val="clear" w:color="auto" w:fill="FFFFFF"/>
            <w:vAlign w:val="center"/>
          </w:tcPr>
          <w:p w14:paraId="765E970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9101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29" w:type="dxa"/>
            <w:shd w:val="clear" w:color="auto" w:fill="FFFFFF"/>
            <w:vAlign w:val="center"/>
          </w:tcPr>
          <w:p w14:paraId="57178C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21</w:t>
            </w:r>
          </w:p>
        </w:tc>
        <w:tc>
          <w:tcPr>
            <w:tcW w:w="981" w:type="dxa"/>
            <w:shd w:val="clear" w:color="auto" w:fill="FFFFFF"/>
            <w:vAlign w:val="center"/>
          </w:tcPr>
          <w:p w14:paraId="696142F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shd w:val="clear" w:color="auto" w:fill="FFFFFF"/>
            <w:vAlign w:val="center"/>
          </w:tcPr>
          <w:p w14:paraId="029831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HBA卡规格（若支HBA直通卡）</w:t>
            </w:r>
          </w:p>
        </w:tc>
        <w:tc>
          <w:tcPr>
            <w:tcW w:w="1206" w:type="dxa"/>
            <w:shd w:val="clear" w:color="auto" w:fill="FFFFFF"/>
            <w:vAlign w:val="center"/>
          </w:tcPr>
          <w:p w14:paraId="20654D8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HBA卡端口数量</w:t>
            </w:r>
          </w:p>
        </w:tc>
        <w:tc>
          <w:tcPr>
            <w:tcW w:w="4137" w:type="dxa"/>
            <w:shd w:val="clear" w:color="auto" w:fill="FFFFFF"/>
            <w:vAlign w:val="center"/>
          </w:tcPr>
          <w:p w14:paraId="707AC21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≥0</w:t>
            </w:r>
          </w:p>
        </w:tc>
        <w:tc>
          <w:tcPr>
            <w:tcW w:w="1380" w:type="dxa"/>
            <w:shd w:val="clear" w:color="auto" w:fill="FFFFFF"/>
            <w:vAlign w:val="center"/>
          </w:tcPr>
          <w:p w14:paraId="455D616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552A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5A62555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22</w:t>
            </w:r>
          </w:p>
        </w:tc>
        <w:tc>
          <w:tcPr>
            <w:tcW w:w="981" w:type="dxa"/>
            <w:shd w:val="clear" w:color="auto" w:fill="FFFFFF"/>
            <w:vAlign w:val="center"/>
          </w:tcPr>
          <w:p w14:paraId="16BA773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2E42F62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网络规格</w:t>
            </w:r>
          </w:p>
        </w:tc>
        <w:tc>
          <w:tcPr>
            <w:tcW w:w="1206" w:type="dxa"/>
            <w:shd w:val="clear" w:color="auto" w:fill="FFFFFF"/>
            <w:vAlign w:val="center"/>
          </w:tcPr>
          <w:p w14:paraId="55EC275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★网口速率和数量</w:t>
            </w:r>
          </w:p>
        </w:tc>
        <w:tc>
          <w:tcPr>
            <w:tcW w:w="4137" w:type="dxa"/>
            <w:shd w:val="clear" w:color="auto" w:fill="FFFFFF"/>
            <w:vAlign w:val="center"/>
          </w:tcPr>
          <w:p w14:paraId="50FAC51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配置10GE光口≥4个（满配10GE多模光模块）</w:t>
            </w:r>
          </w:p>
          <w:p w14:paraId="0E16D3C4">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配置1GE电口≥2个</w:t>
            </w:r>
          </w:p>
        </w:tc>
        <w:tc>
          <w:tcPr>
            <w:tcW w:w="1380" w:type="dxa"/>
            <w:shd w:val="clear" w:color="auto" w:fill="FFFFFF"/>
            <w:vAlign w:val="center"/>
          </w:tcPr>
          <w:p w14:paraId="7B20ED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F96A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29" w:type="dxa"/>
            <w:shd w:val="clear" w:color="auto" w:fill="FFFFFF"/>
            <w:vAlign w:val="center"/>
          </w:tcPr>
          <w:p w14:paraId="32F902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23</w:t>
            </w:r>
          </w:p>
        </w:tc>
        <w:tc>
          <w:tcPr>
            <w:tcW w:w="981" w:type="dxa"/>
            <w:shd w:val="clear" w:color="auto" w:fill="FFFFFF"/>
            <w:vAlign w:val="center"/>
          </w:tcPr>
          <w:p w14:paraId="232D9A7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5E11764">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4A9BB1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存储型服务器网口速率和数量</w:t>
            </w:r>
          </w:p>
        </w:tc>
        <w:tc>
          <w:tcPr>
            <w:tcW w:w="4137" w:type="dxa"/>
            <w:shd w:val="clear" w:color="auto" w:fill="FFFFFF"/>
            <w:vAlign w:val="center"/>
          </w:tcPr>
          <w:p w14:paraId="5A750F4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存储型服务器1GE 网口数量≥2 个，10GE 以上网口数量≥2个（不涉及）</w:t>
            </w:r>
          </w:p>
        </w:tc>
        <w:tc>
          <w:tcPr>
            <w:tcW w:w="1380" w:type="dxa"/>
            <w:shd w:val="clear" w:color="auto" w:fill="FFFFFF"/>
            <w:vAlign w:val="center"/>
          </w:tcPr>
          <w:p w14:paraId="7CA9E9F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6BAD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35B25DE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24</w:t>
            </w:r>
          </w:p>
        </w:tc>
        <w:tc>
          <w:tcPr>
            <w:tcW w:w="981" w:type="dxa"/>
            <w:shd w:val="clear" w:color="auto" w:fill="FFFFFF"/>
            <w:vAlign w:val="center"/>
          </w:tcPr>
          <w:p w14:paraId="7F47BD6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6F7F0841">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658D26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独立网卡网口数量</w:t>
            </w:r>
          </w:p>
        </w:tc>
        <w:tc>
          <w:tcPr>
            <w:tcW w:w="4137" w:type="dxa"/>
            <w:shd w:val="clear" w:color="auto" w:fill="FFFFFF"/>
            <w:vAlign w:val="center"/>
          </w:tcPr>
          <w:p w14:paraId="49E91B1C">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配备10GE独立网卡，独立网卡网口数量≥2</w:t>
            </w:r>
          </w:p>
        </w:tc>
        <w:tc>
          <w:tcPr>
            <w:tcW w:w="1380" w:type="dxa"/>
            <w:shd w:val="clear" w:color="auto" w:fill="FFFFFF"/>
            <w:vAlign w:val="center"/>
          </w:tcPr>
          <w:p w14:paraId="273BBD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E9E8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50CD38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25</w:t>
            </w:r>
          </w:p>
        </w:tc>
        <w:tc>
          <w:tcPr>
            <w:tcW w:w="981" w:type="dxa"/>
            <w:shd w:val="clear" w:color="auto" w:fill="FFFFFF"/>
            <w:vAlign w:val="center"/>
          </w:tcPr>
          <w:p w14:paraId="2E92533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19580C24">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098DF8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独立网卡接口类型</w:t>
            </w:r>
          </w:p>
        </w:tc>
        <w:tc>
          <w:tcPr>
            <w:tcW w:w="4137" w:type="dxa"/>
            <w:shd w:val="clear" w:color="auto" w:fill="FFFFFF"/>
            <w:vAlign w:val="center"/>
          </w:tcPr>
          <w:p w14:paraId="6C88D85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支持RJ45/QSFP/SFP等</w:t>
            </w:r>
          </w:p>
        </w:tc>
        <w:tc>
          <w:tcPr>
            <w:tcW w:w="1380" w:type="dxa"/>
            <w:shd w:val="clear" w:color="auto" w:fill="FFFFFF"/>
            <w:vAlign w:val="center"/>
          </w:tcPr>
          <w:p w14:paraId="423104C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B575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32BB22C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26</w:t>
            </w:r>
          </w:p>
        </w:tc>
        <w:tc>
          <w:tcPr>
            <w:tcW w:w="981" w:type="dxa"/>
            <w:shd w:val="clear" w:color="auto" w:fill="FFFFFF"/>
            <w:vAlign w:val="center"/>
          </w:tcPr>
          <w:p w14:paraId="5AE3FF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14412B3">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85861D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板载网卡接口类型</w:t>
            </w:r>
          </w:p>
        </w:tc>
        <w:tc>
          <w:tcPr>
            <w:tcW w:w="4137" w:type="dxa"/>
            <w:shd w:val="clear" w:color="auto" w:fill="FFFFFF"/>
            <w:vAlign w:val="center"/>
          </w:tcPr>
          <w:p w14:paraId="0B757D0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支持RJ45/QSFP/SFP等</w:t>
            </w:r>
          </w:p>
        </w:tc>
        <w:tc>
          <w:tcPr>
            <w:tcW w:w="1380" w:type="dxa"/>
            <w:shd w:val="clear" w:color="auto" w:fill="FFFFFF"/>
            <w:vAlign w:val="center"/>
          </w:tcPr>
          <w:p w14:paraId="36F572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5496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1FCDD7D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27</w:t>
            </w:r>
          </w:p>
        </w:tc>
        <w:tc>
          <w:tcPr>
            <w:tcW w:w="981" w:type="dxa"/>
            <w:shd w:val="clear" w:color="auto" w:fill="FFFFFF"/>
            <w:vAlign w:val="center"/>
          </w:tcPr>
          <w:p w14:paraId="4764114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51C3139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外部接口规格</w:t>
            </w:r>
          </w:p>
        </w:tc>
        <w:tc>
          <w:tcPr>
            <w:tcW w:w="1206" w:type="dxa"/>
            <w:shd w:val="clear" w:color="auto" w:fill="FFFFFF"/>
            <w:vAlign w:val="center"/>
          </w:tcPr>
          <w:p w14:paraId="57A02D4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★显示接口</w:t>
            </w:r>
          </w:p>
        </w:tc>
        <w:tc>
          <w:tcPr>
            <w:tcW w:w="4137" w:type="dxa"/>
            <w:shd w:val="clear" w:color="auto" w:fill="FFFFFF"/>
            <w:vAlign w:val="center"/>
          </w:tcPr>
          <w:p w14:paraId="1954033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显示接口类型应≥1种，如：VGA、DP、HDMI等</w:t>
            </w:r>
          </w:p>
        </w:tc>
        <w:tc>
          <w:tcPr>
            <w:tcW w:w="1380" w:type="dxa"/>
            <w:shd w:val="clear" w:color="auto" w:fill="FFFFFF"/>
            <w:vAlign w:val="center"/>
          </w:tcPr>
          <w:p w14:paraId="44355A0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5834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29" w:type="dxa"/>
            <w:shd w:val="clear" w:color="auto" w:fill="FFFFFF"/>
            <w:vAlign w:val="center"/>
          </w:tcPr>
          <w:p w14:paraId="70A503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28</w:t>
            </w:r>
          </w:p>
        </w:tc>
        <w:tc>
          <w:tcPr>
            <w:tcW w:w="981" w:type="dxa"/>
            <w:shd w:val="clear" w:color="auto" w:fill="FFFFFF"/>
            <w:vAlign w:val="center"/>
          </w:tcPr>
          <w:p w14:paraId="7D17EE4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236340DF">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8B2C51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★USB接口</w:t>
            </w:r>
          </w:p>
        </w:tc>
        <w:tc>
          <w:tcPr>
            <w:tcW w:w="4137" w:type="dxa"/>
            <w:shd w:val="clear" w:color="auto" w:fill="FFFFFF"/>
            <w:vAlign w:val="center"/>
          </w:tcPr>
          <w:p w14:paraId="2018666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配备USB接口，如USB2.0、USB3.0等</w:t>
            </w:r>
          </w:p>
        </w:tc>
        <w:tc>
          <w:tcPr>
            <w:tcW w:w="1380" w:type="dxa"/>
            <w:shd w:val="clear" w:color="auto" w:fill="FFFFFF"/>
            <w:vAlign w:val="center"/>
          </w:tcPr>
          <w:p w14:paraId="4ABA3F2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87D7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2AC4AB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29</w:t>
            </w:r>
          </w:p>
        </w:tc>
        <w:tc>
          <w:tcPr>
            <w:tcW w:w="981" w:type="dxa"/>
            <w:shd w:val="clear" w:color="auto" w:fill="FFFFFF"/>
            <w:vAlign w:val="center"/>
          </w:tcPr>
          <w:p w14:paraId="684ADB8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6DD928FD">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32D01C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特殊接口及孔位</w:t>
            </w:r>
          </w:p>
        </w:tc>
        <w:tc>
          <w:tcPr>
            <w:tcW w:w="4137" w:type="dxa"/>
            <w:shd w:val="clear" w:color="auto" w:fill="FFFFFF"/>
            <w:vAlign w:val="center"/>
          </w:tcPr>
          <w:p w14:paraId="16ABC0A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前面板预留1个专用USB母座接口孔位</w:t>
            </w:r>
          </w:p>
        </w:tc>
        <w:tc>
          <w:tcPr>
            <w:tcW w:w="1380" w:type="dxa"/>
            <w:shd w:val="clear" w:color="auto" w:fill="FFFFFF"/>
            <w:vAlign w:val="center"/>
          </w:tcPr>
          <w:p w14:paraId="4F6DC2C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C01A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29" w:type="dxa"/>
            <w:shd w:val="clear" w:color="auto" w:fill="FFFFFF"/>
            <w:vAlign w:val="center"/>
          </w:tcPr>
          <w:p w14:paraId="4E6E3A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30</w:t>
            </w:r>
          </w:p>
        </w:tc>
        <w:tc>
          <w:tcPr>
            <w:tcW w:w="981" w:type="dxa"/>
            <w:shd w:val="clear" w:color="auto" w:fill="FFFFFF"/>
            <w:vAlign w:val="center"/>
          </w:tcPr>
          <w:p w14:paraId="094AC93B">
            <w:pPr>
              <w:widowControl/>
              <w:jc w:val="center"/>
              <w:rPr>
                <w:rFonts w:asciiTheme="minorEastAsia" w:hAnsiTheme="minorEastAsia" w:eastAsiaTheme="minorEastAsia" w:cstheme="minorEastAsia"/>
                <w:kern w:val="0"/>
                <w:sz w:val="24"/>
              </w:rPr>
            </w:pPr>
          </w:p>
        </w:tc>
        <w:tc>
          <w:tcPr>
            <w:tcW w:w="981" w:type="dxa"/>
            <w:vMerge w:val="continue"/>
            <w:shd w:val="clear" w:color="auto" w:fill="FFFFFF"/>
            <w:vAlign w:val="center"/>
          </w:tcPr>
          <w:p w14:paraId="561E27C9">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8A5C5C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其他接口</w:t>
            </w:r>
          </w:p>
        </w:tc>
        <w:tc>
          <w:tcPr>
            <w:tcW w:w="4137" w:type="dxa"/>
            <w:shd w:val="clear" w:color="auto" w:fill="FFFFFF"/>
            <w:vAlign w:val="center"/>
          </w:tcPr>
          <w:p w14:paraId="1C11D23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a）串口数量≥1个，并可实现GB/T6107或GB/T26803.2的相关功能；b）服务器主机前面板可根据用户实际使用需求预留1个专用USB母座接口孔位</w:t>
            </w:r>
          </w:p>
        </w:tc>
        <w:tc>
          <w:tcPr>
            <w:tcW w:w="1380" w:type="dxa"/>
            <w:shd w:val="clear" w:color="auto" w:fill="FFFFFF"/>
            <w:vAlign w:val="center"/>
          </w:tcPr>
          <w:p w14:paraId="115AADB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9F6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4BD023B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31</w:t>
            </w:r>
          </w:p>
        </w:tc>
        <w:tc>
          <w:tcPr>
            <w:tcW w:w="981" w:type="dxa"/>
            <w:shd w:val="clear" w:color="auto" w:fill="FFFFFF"/>
            <w:vAlign w:val="center"/>
          </w:tcPr>
          <w:p w14:paraId="5CFF136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6388555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电源规格</w:t>
            </w:r>
          </w:p>
        </w:tc>
        <w:tc>
          <w:tcPr>
            <w:tcW w:w="1206" w:type="dxa"/>
            <w:shd w:val="clear" w:color="auto" w:fill="FFFFFF"/>
            <w:vAlign w:val="center"/>
          </w:tcPr>
          <w:p w14:paraId="77BA54A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电源冗余模式</w:t>
            </w:r>
          </w:p>
        </w:tc>
        <w:tc>
          <w:tcPr>
            <w:tcW w:w="4137" w:type="dxa"/>
            <w:shd w:val="clear" w:color="auto" w:fill="FFFFFF"/>
            <w:vAlign w:val="center"/>
          </w:tcPr>
          <w:p w14:paraId="65E4354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整机电源模块按1+1冗余或N+1冗余配置</w:t>
            </w:r>
          </w:p>
        </w:tc>
        <w:tc>
          <w:tcPr>
            <w:tcW w:w="1380" w:type="dxa"/>
            <w:shd w:val="clear" w:color="auto" w:fill="FFFFFF"/>
            <w:vAlign w:val="center"/>
          </w:tcPr>
          <w:p w14:paraId="75B163F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B518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3985B57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w:t>
            </w:r>
          </w:p>
        </w:tc>
        <w:tc>
          <w:tcPr>
            <w:tcW w:w="981" w:type="dxa"/>
            <w:shd w:val="clear" w:color="auto" w:fill="FFFFFF"/>
            <w:vAlign w:val="center"/>
          </w:tcPr>
          <w:p w14:paraId="4170CB0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53D20251">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1671DC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★电源模块数量</w:t>
            </w:r>
          </w:p>
        </w:tc>
        <w:tc>
          <w:tcPr>
            <w:tcW w:w="4137" w:type="dxa"/>
            <w:shd w:val="clear" w:color="auto" w:fill="FFFFFF"/>
            <w:vAlign w:val="center"/>
          </w:tcPr>
          <w:p w14:paraId="39EEC1A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1380" w:type="dxa"/>
            <w:shd w:val="clear" w:color="auto" w:fill="FFFFFF"/>
            <w:vAlign w:val="center"/>
          </w:tcPr>
          <w:p w14:paraId="22252F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3D61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1101F34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33</w:t>
            </w:r>
          </w:p>
        </w:tc>
        <w:tc>
          <w:tcPr>
            <w:tcW w:w="981" w:type="dxa"/>
            <w:shd w:val="clear" w:color="auto" w:fill="FFFFFF"/>
            <w:vAlign w:val="center"/>
          </w:tcPr>
          <w:p w14:paraId="327C3C2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1454D96">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C45637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★电源功率</w:t>
            </w:r>
          </w:p>
        </w:tc>
        <w:tc>
          <w:tcPr>
            <w:tcW w:w="4137" w:type="dxa"/>
            <w:shd w:val="clear" w:color="auto" w:fill="FFFFFF"/>
            <w:vAlign w:val="center"/>
          </w:tcPr>
          <w:p w14:paraId="65BD999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电源模块功率应有一定冗余，满足处理器满载时的需求</w:t>
            </w:r>
          </w:p>
        </w:tc>
        <w:tc>
          <w:tcPr>
            <w:tcW w:w="1380" w:type="dxa"/>
            <w:shd w:val="clear" w:color="auto" w:fill="FFFFFF"/>
            <w:vAlign w:val="center"/>
          </w:tcPr>
          <w:p w14:paraId="2B72EE2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FB10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29" w:type="dxa"/>
            <w:shd w:val="clear" w:color="auto" w:fill="FFFFFF"/>
            <w:vAlign w:val="center"/>
          </w:tcPr>
          <w:p w14:paraId="3399845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34</w:t>
            </w:r>
          </w:p>
        </w:tc>
        <w:tc>
          <w:tcPr>
            <w:tcW w:w="981" w:type="dxa"/>
            <w:shd w:val="clear" w:color="auto" w:fill="FFFFFF"/>
            <w:vAlign w:val="center"/>
          </w:tcPr>
          <w:p w14:paraId="7919507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6C581F68">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7C2582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电源指示灯</w:t>
            </w:r>
          </w:p>
        </w:tc>
        <w:tc>
          <w:tcPr>
            <w:tcW w:w="4137" w:type="dxa"/>
            <w:shd w:val="clear" w:color="auto" w:fill="FFFFFF"/>
            <w:vAlign w:val="center"/>
          </w:tcPr>
          <w:p w14:paraId="1B212DD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配备电源指示灯，指示待机、工作异常等状态</w:t>
            </w:r>
          </w:p>
        </w:tc>
        <w:tc>
          <w:tcPr>
            <w:tcW w:w="1380" w:type="dxa"/>
            <w:shd w:val="clear" w:color="auto" w:fill="FFFFFF"/>
            <w:vAlign w:val="center"/>
          </w:tcPr>
          <w:p w14:paraId="20DFEC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48B4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729" w:type="dxa"/>
            <w:shd w:val="clear" w:color="auto" w:fill="FFFFFF"/>
            <w:vAlign w:val="center"/>
          </w:tcPr>
          <w:p w14:paraId="2EB298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35</w:t>
            </w:r>
          </w:p>
        </w:tc>
        <w:tc>
          <w:tcPr>
            <w:tcW w:w="981" w:type="dxa"/>
            <w:shd w:val="clear" w:color="auto" w:fill="FFFFFF"/>
            <w:vAlign w:val="center"/>
          </w:tcPr>
          <w:p w14:paraId="46CEC04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62DAFCB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整机规格</w:t>
            </w:r>
          </w:p>
        </w:tc>
        <w:tc>
          <w:tcPr>
            <w:tcW w:w="1206" w:type="dxa"/>
            <w:shd w:val="clear" w:color="auto" w:fill="FFFFFF"/>
            <w:vAlign w:val="center"/>
          </w:tcPr>
          <w:p w14:paraId="274A96A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★外观和结构</w:t>
            </w:r>
          </w:p>
        </w:tc>
        <w:tc>
          <w:tcPr>
            <w:tcW w:w="4137" w:type="dxa"/>
            <w:shd w:val="clear" w:color="auto" w:fill="FFFFFF"/>
            <w:vAlign w:val="center"/>
          </w:tcPr>
          <w:p w14:paraId="5DDAC1C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服务器的零部件应紧固无松动，可插拔部件应可靠连接，开关、按钮和其他控制部件应灵活可靠，布局应方便使用；b）产品表面不应有明显的凹痕、划伤、裂缝、变形和污染等。表面涂层均匀，不应起泡、龟裂、脱落和磨损，金属零部件无锈蚀及其它机械损伤；c）产品表面说明功能的文字、符号和标志应清晰、端正且牢固；d）应在服务器的显著位置提供运行状态的指示功能，并在技术文件或者技术白皮书中明确具体含义；e）机架、机箱的尺寸应符合通用机柜的安装要求，插入总线插座的电路板接口外形尺寸应符合有关总线标准的规定，将机箱固定在机柜上，机箱底面最大下垂变形不得干涉相邻机体；f）服务器尺寸具体要求在技术文件或者技术白皮书中明确</w:t>
            </w:r>
          </w:p>
        </w:tc>
        <w:tc>
          <w:tcPr>
            <w:tcW w:w="1380" w:type="dxa"/>
            <w:shd w:val="clear" w:color="auto" w:fill="FFFFFF"/>
            <w:vAlign w:val="center"/>
          </w:tcPr>
          <w:p w14:paraId="6034D6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DE89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29" w:type="dxa"/>
            <w:shd w:val="clear" w:color="auto" w:fill="FFFFFF"/>
            <w:vAlign w:val="center"/>
          </w:tcPr>
          <w:p w14:paraId="1E1C02C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36</w:t>
            </w:r>
          </w:p>
        </w:tc>
        <w:tc>
          <w:tcPr>
            <w:tcW w:w="981" w:type="dxa"/>
            <w:shd w:val="clear" w:color="auto" w:fill="FFFFFF"/>
            <w:vAlign w:val="center"/>
          </w:tcPr>
          <w:p w14:paraId="5B65FA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227AC4E4">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EE9FE2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★尺寸（高×宽×深）</w:t>
            </w:r>
          </w:p>
        </w:tc>
        <w:tc>
          <w:tcPr>
            <w:tcW w:w="4137" w:type="dxa"/>
            <w:shd w:val="clear" w:color="auto" w:fill="FFFFFF"/>
            <w:vAlign w:val="center"/>
          </w:tcPr>
          <w:p w14:paraId="4E60A2B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供应商给出产品尺寸；设计应遵循标准化、系列化的要求；机箱的内部结构符合通用部件的安装需要</w:t>
            </w:r>
          </w:p>
        </w:tc>
        <w:tc>
          <w:tcPr>
            <w:tcW w:w="1380" w:type="dxa"/>
            <w:shd w:val="clear" w:color="auto" w:fill="FFFFFF"/>
            <w:vAlign w:val="center"/>
          </w:tcPr>
          <w:p w14:paraId="776C359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DCFE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29" w:type="dxa"/>
            <w:shd w:val="clear" w:color="auto" w:fill="FFFFFF"/>
            <w:vAlign w:val="center"/>
          </w:tcPr>
          <w:p w14:paraId="63DCC4F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37</w:t>
            </w:r>
          </w:p>
        </w:tc>
        <w:tc>
          <w:tcPr>
            <w:tcW w:w="981" w:type="dxa"/>
            <w:shd w:val="clear" w:color="auto" w:fill="FFFFFF"/>
            <w:vAlign w:val="center"/>
          </w:tcPr>
          <w:p w14:paraId="4B88BEB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37A6380">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A67C01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服务器导轨</w:t>
            </w:r>
          </w:p>
        </w:tc>
        <w:tc>
          <w:tcPr>
            <w:tcW w:w="4137" w:type="dxa"/>
            <w:shd w:val="clear" w:color="auto" w:fill="FFFFFF"/>
            <w:vAlign w:val="center"/>
          </w:tcPr>
          <w:p w14:paraId="3493F0D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供应商给出导轨尺寸、安装方式等信息</w:t>
            </w:r>
          </w:p>
        </w:tc>
        <w:tc>
          <w:tcPr>
            <w:tcW w:w="1380" w:type="dxa"/>
            <w:shd w:val="clear" w:color="auto" w:fill="FFFFFF"/>
            <w:vAlign w:val="center"/>
          </w:tcPr>
          <w:p w14:paraId="2CD0B47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3250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29" w:type="dxa"/>
            <w:shd w:val="clear" w:color="auto" w:fill="FFFFFF"/>
            <w:vAlign w:val="center"/>
          </w:tcPr>
          <w:p w14:paraId="5CF3E8D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38</w:t>
            </w:r>
          </w:p>
        </w:tc>
        <w:tc>
          <w:tcPr>
            <w:tcW w:w="981" w:type="dxa"/>
            <w:shd w:val="clear" w:color="auto" w:fill="FFFFFF"/>
            <w:vAlign w:val="center"/>
          </w:tcPr>
          <w:p w14:paraId="07F247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1C43C8B5">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A46444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CPU个数与机柜高度单位（U）比</w:t>
            </w:r>
          </w:p>
        </w:tc>
        <w:tc>
          <w:tcPr>
            <w:tcW w:w="4137" w:type="dxa"/>
            <w:shd w:val="clear" w:color="auto" w:fill="FFFFFF"/>
            <w:vAlign w:val="center"/>
          </w:tcPr>
          <w:p w14:paraId="76D4745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供应商给出CPU个数与机柜高度</w:t>
            </w:r>
          </w:p>
        </w:tc>
        <w:tc>
          <w:tcPr>
            <w:tcW w:w="1380" w:type="dxa"/>
            <w:shd w:val="clear" w:color="auto" w:fill="FFFFFF"/>
            <w:vAlign w:val="center"/>
          </w:tcPr>
          <w:p w14:paraId="3F181FD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0DBB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29" w:type="dxa"/>
            <w:shd w:val="clear" w:color="auto" w:fill="FFFFFF"/>
            <w:vAlign w:val="center"/>
          </w:tcPr>
          <w:p w14:paraId="0298BA4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39</w:t>
            </w:r>
          </w:p>
        </w:tc>
        <w:tc>
          <w:tcPr>
            <w:tcW w:w="981" w:type="dxa"/>
            <w:shd w:val="clear" w:color="auto" w:fill="FFFFFF"/>
            <w:vAlign w:val="center"/>
          </w:tcPr>
          <w:p w14:paraId="20F093F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CC7F246">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1DB7D5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★环境适应性</w:t>
            </w:r>
          </w:p>
        </w:tc>
        <w:tc>
          <w:tcPr>
            <w:tcW w:w="4137" w:type="dxa"/>
            <w:shd w:val="clear" w:color="auto" w:fill="FFFFFF"/>
            <w:vAlign w:val="center"/>
          </w:tcPr>
          <w:p w14:paraId="0EF97F3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气候环境适应性应符合GB/T9813.3的有关规定，工作温度10~35℃,贮存运输温度-40～55℃;工作相对湿度35%～80%，贮存运输相对湿度20％～93%（40℃）;大气压86～106kPa</w:t>
            </w:r>
          </w:p>
        </w:tc>
        <w:tc>
          <w:tcPr>
            <w:tcW w:w="1380" w:type="dxa"/>
            <w:shd w:val="clear" w:color="auto" w:fill="FFFFFF"/>
            <w:vAlign w:val="center"/>
          </w:tcPr>
          <w:p w14:paraId="40C5BB5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70DA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29" w:type="dxa"/>
            <w:shd w:val="clear" w:color="auto" w:fill="FFFFFF"/>
            <w:vAlign w:val="center"/>
          </w:tcPr>
          <w:p w14:paraId="48FE182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40</w:t>
            </w:r>
          </w:p>
        </w:tc>
        <w:tc>
          <w:tcPr>
            <w:tcW w:w="981" w:type="dxa"/>
            <w:shd w:val="clear" w:color="auto" w:fill="FFFFFF"/>
            <w:vAlign w:val="center"/>
          </w:tcPr>
          <w:p w14:paraId="434BDF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070110D">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176722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特殊机型环境适应性</w:t>
            </w:r>
          </w:p>
        </w:tc>
        <w:tc>
          <w:tcPr>
            <w:tcW w:w="4137" w:type="dxa"/>
            <w:shd w:val="clear" w:color="auto" w:fill="FFFFFF"/>
            <w:vAlign w:val="center"/>
          </w:tcPr>
          <w:p w14:paraId="1378FCA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边缘应用服务器，工作环境温度宜为0～45℃,短期工作可承受环境温度宜为-5～55℃,液冷服务器贮存运输温度宜为-30～55℃</w:t>
            </w:r>
          </w:p>
        </w:tc>
        <w:tc>
          <w:tcPr>
            <w:tcW w:w="1380" w:type="dxa"/>
            <w:shd w:val="clear" w:color="auto" w:fill="FFFFFF"/>
            <w:vAlign w:val="center"/>
          </w:tcPr>
          <w:p w14:paraId="16C2262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1A3F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1E38DA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41</w:t>
            </w:r>
          </w:p>
        </w:tc>
        <w:tc>
          <w:tcPr>
            <w:tcW w:w="981" w:type="dxa"/>
            <w:shd w:val="clear" w:color="auto" w:fill="FFFFFF"/>
            <w:vAlign w:val="center"/>
          </w:tcPr>
          <w:p w14:paraId="4C90F6B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AE3BFD8">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BB5BE4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★机械环境适应性</w:t>
            </w:r>
          </w:p>
        </w:tc>
        <w:tc>
          <w:tcPr>
            <w:tcW w:w="4137" w:type="dxa"/>
            <w:shd w:val="clear" w:color="auto" w:fill="FFFFFF"/>
            <w:vAlign w:val="center"/>
          </w:tcPr>
          <w:p w14:paraId="4A166A6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机械环境适应性应符合GB/T9813.3的有关规定</w:t>
            </w:r>
          </w:p>
        </w:tc>
        <w:tc>
          <w:tcPr>
            <w:tcW w:w="1380" w:type="dxa"/>
            <w:shd w:val="clear" w:color="auto" w:fill="FFFFFF"/>
            <w:vAlign w:val="center"/>
          </w:tcPr>
          <w:p w14:paraId="1E4E21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827E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29" w:type="dxa"/>
            <w:shd w:val="clear" w:color="auto" w:fill="FFFFFF"/>
            <w:vAlign w:val="center"/>
          </w:tcPr>
          <w:p w14:paraId="49A9AAC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42</w:t>
            </w:r>
          </w:p>
        </w:tc>
        <w:tc>
          <w:tcPr>
            <w:tcW w:w="981" w:type="dxa"/>
            <w:shd w:val="clear" w:color="auto" w:fill="FFFFFF"/>
            <w:vAlign w:val="center"/>
          </w:tcPr>
          <w:p w14:paraId="1A0567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E646E81">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4E795B2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★噪声</w:t>
            </w:r>
          </w:p>
        </w:tc>
        <w:tc>
          <w:tcPr>
            <w:tcW w:w="4137" w:type="dxa"/>
            <w:shd w:val="clear" w:color="auto" w:fill="FFFFFF"/>
            <w:vAlign w:val="center"/>
          </w:tcPr>
          <w:p w14:paraId="33B6FEF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符合GB/T9813.3的有关规定，在产品说明中给出具体测试值塔式服务器噪声在空闲状态下≤50dB</w:t>
            </w:r>
          </w:p>
        </w:tc>
        <w:tc>
          <w:tcPr>
            <w:tcW w:w="1380" w:type="dxa"/>
            <w:shd w:val="clear" w:color="auto" w:fill="FFFFFF"/>
            <w:vAlign w:val="center"/>
          </w:tcPr>
          <w:p w14:paraId="546E11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D2A7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729" w:type="dxa"/>
            <w:shd w:val="clear" w:color="auto" w:fill="FFFFFF"/>
            <w:vAlign w:val="center"/>
          </w:tcPr>
          <w:p w14:paraId="34683CC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43</w:t>
            </w:r>
          </w:p>
        </w:tc>
        <w:tc>
          <w:tcPr>
            <w:tcW w:w="981" w:type="dxa"/>
            <w:shd w:val="clear" w:color="auto" w:fill="FFFFFF"/>
            <w:vAlign w:val="center"/>
          </w:tcPr>
          <w:p w14:paraId="004BD9B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6130218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AI计算单元规格</w:t>
            </w:r>
          </w:p>
        </w:tc>
        <w:tc>
          <w:tcPr>
            <w:tcW w:w="1206" w:type="dxa"/>
            <w:shd w:val="clear" w:color="auto" w:fill="FFFFFF"/>
            <w:vAlign w:val="center"/>
          </w:tcPr>
          <w:p w14:paraId="06184B2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AI计算单元</w:t>
            </w:r>
          </w:p>
        </w:tc>
        <w:tc>
          <w:tcPr>
            <w:tcW w:w="4137" w:type="dxa"/>
            <w:shd w:val="clear" w:color="auto" w:fill="FFFFFF"/>
            <w:vAlign w:val="center"/>
          </w:tcPr>
          <w:p w14:paraId="6C3E2C2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AI计算单元应符合如下要求：a）具备人工智能加速处理器，计算精度至少支持FP16、BF16、FP32、FP64、INT8和INT16等中的1种；b）单推理卡或模块，具备视频解析、文本识别、语音分析等推理能力；在视觉场景下配备可直接调用的接口实现视觉计算加速，路数不小于64（1080P30FPS）</w:t>
            </w:r>
          </w:p>
        </w:tc>
        <w:tc>
          <w:tcPr>
            <w:tcW w:w="1380" w:type="dxa"/>
            <w:shd w:val="clear" w:color="auto" w:fill="FFFFFF"/>
            <w:vAlign w:val="center"/>
          </w:tcPr>
          <w:p w14:paraId="3F41B2F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DF4D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784971C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44</w:t>
            </w:r>
          </w:p>
        </w:tc>
        <w:tc>
          <w:tcPr>
            <w:tcW w:w="981" w:type="dxa"/>
            <w:shd w:val="clear" w:color="auto" w:fill="FFFFFF"/>
            <w:vAlign w:val="center"/>
          </w:tcPr>
          <w:p w14:paraId="6FE322F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29BAACA6">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80115E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一键式迁移</w:t>
            </w:r>
          </w:p>
        </w:tc>
        <w:tc>
          <w:tcPr>
            <w:tcW w:w="4137" w:type="dxa"/>
            <w:shd w:val="clear" w:color="auto" w:fill="FFFFFF"/>
            <w:vAlign w:val="center"/>
          </w:tcPr>
          <w:p w14:paraId="6078C35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若服务器配备AI计算单元，提供训练脚本迁移工具</w:t>
            </w:r>
          </w:p>
        </w:tc>
        <w:tc>
          <w:tcPr>
            <w:tcW w:w="1380" w:type="dxa"/>
            <w:shd w:val="clear" w:color="auto" w:fill="FFFFFF"/>
            <w:vAlign w:val="center"/>
          </w:tcPr>
          <w:p w14:paraId="23E2F6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E9AC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729" w:type="dxa"/>
            <w:shd w:val="clear" w:color="auto" w:fill="FFFFFF"/>
            <w:vAlign w:val="center"/>
          </w:tcPr>
          <w:p w14:paraId="6CDFE5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45</w:t>
            </w:r>
          </w:p>
        </w:tc>
        <w:tc>
          <w:tcPr>
            <w:tcW w:w="981" w:type="dxa"/>
            <w:shd w:val="clear" w:color="auto" w:fill="FFFFFF"/>
            <w:vAlign w:val="center"/>
          </w:tcPr>
          <w:p w14:paraId="5AA3D5B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4DD2AD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机柜规格</w:t>
            </w:r>
          </w:p>
        </w:tc>
        <w:tc>
          <w:tcPr>
            <w:tcW w:w="1206" w:type="dxa"/>
            <w:shd w:val="clear" w:color="auto" w:fill="FFFFFF"/>
            <w:vAlign w:val="center"/>
          </w:tcPr>
          <w:p w14:paraId="50D7C1C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★机柜尺寸</w:t>
            </w:r>
          </w:p>
        </w:tc>
        <w:tc>
          <w:tcPr>
            <w:tcW w:w="4137" w:type="dxa"/>
            <w:shd w:val="clear" w:color="auto" w:fill="FFFFFF"/>
            <w:vAlign w:val="center"/>
          </w:tcPr>
          <w:p w14:paraId="28D0AE0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供应商给出长度、高度和深度</w:t>
            </w:r>
          </w:p>
        </w:tc>
        <w:tc>
          <w:tcPr>
            <w:tcW w:w="1380" w:type="dxa"/>
            <w:shd w:val="clear" w:color="auto" w:fill="FFFFFF"/>
            <w:vAlign w:val="center"/>
          </w:tcPr>
          <w:p w14:paraId="75675C5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A6D7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29" w:type="dxa"/>
            <w:shd w:val="clear" w:color="auto" w:fill="FFFFFF"/>
            <w:vAlign w:val="center"/>
          </w:tcPr>
          <w:p w14:paraId="073231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46</w:t>
            </w:r>
          </w:p>
        </w:tc>
        <w:tc>
          <w:tcPr>
            <w:tcW w:w="981" w:type="dxa"/>
            <w:shd w:val="clear" w:color="auto" w:fill="FFFFFF"/>
            <w:vAlign w:val="center"/>
          </w:tcPr>
          <w:p w14:paraId="7BCA642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93E723B">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DE42A3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机柜管理板</w:t>
            </w:r>
          </w:p>
        </w:tc>
        <w:tc>
          <w:tcPr>
            <w:tcW w:w="4137" w:type="dxa"/>
            <w:shd w:val="clear" w:color="auto" w:fill="FFFFFF"/>
            <w:vAlign w:val="center"/>
          </w:tcPr>
          <w:p w14:paraId="72B0111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配备机柜管理板</w:t>
            </w:r>
          </w:p>
        </w:tc>
        <w:tc>
          <w:tcPr>
            <w:tcW w:w="1380" w:type="dxa"/>
            <w:shd w:val="clear" w:color="auto" w:fill="FFFFFF"/>
            <w:vAlign w:val="center"/>
          </w:tcPr>
          <w:p w14:paraId="7CAAD7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1934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29" w:type="dxa"/>
            <w:shd w:val="clear" w:color="auto" w:fill="FFFFFF"/>
            <w:vAlign w:val="center"/>
          </w:tcPr>
          <w:p w14:paraId="5C8FB27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47</w:t>
            </w:r>
          </w:p>
        </w:tc>
        <w:tc>
          <w:tcPr>
            <w:tcW w:w="981" w:type="dxa"/>
            <w:shd w:val="clear" w:color="auto" w:fill="FFFFFF"/>
            <w:vAlign w:val="center"/>
          </w:tcPr>
          <w:p w14:paraId="05A5CCD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630C1EA1">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E7FA03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机柜电源规格</w:t>
            </w:r>
          </w:p>
        </w:tc>
        <w:tc>
          <w:tcPr>
            <w:tcW w:w="4137" w:type="dxa"/>
            <w:shd w:val="clear" w:color="auto" w:fill="FFFFFF"/>
            <w:vAlign w:val="center"/>
          </w:tcPr>
          <w:p w14:paraId="1B4C6B4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a）机柜电源支持集中供电，电源输入≥2路且支持自动切换；b）机柜电源模块支持N+1冗余配置，电源模块可独立更换</w:t>
            </w:r>
          </w:p>
        </w:tc>
        <w:tc>
          <w:tcPr>
            <w:tcW w:w="1380" w:type="dxa"/>
            <w:shd w:val="clear" w:color="auto" w:fill="FFFFFF"/>
            <w:vAlign w:val="center"/>
          </w:tcPr>
          <w:p w14:paraId="62F46E0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A674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037E7A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48</w:t>
            </w:r>
          </w:p>
        </w:tc>
        <w:tc>
          <w:tcPr>
            <w:tcW w:w="981" w:type="dxa"/>
            <w:shd w:val="clear" w:color="auto" w:fill="FFFFFF"/>
            <w:vAlign w:val="center"/>
          </w:tcPr>
          <w:p w14:paraId="774C28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0277DD5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主板功能</w:t>
            </w:r>
          </w:p>
        </w:tc>
        <w:tc>
          <w:tcPr>
            <w:tcW w:w="1206" w:type="dxa"/>
            <w:shd w:val="clear" w:color="auto" w:fill="FFFFFF"/>
            <w:vAlign w:val="center"/>
          </w:tcPr>
          <w:p w14:paraId="15F4BBE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★主板外部接口种类</w:t>
            </w:r>
          </w:p>
        </w:tc>
        <w:tc>
          <w:tcPr>
            <w:tcW w:w="4137" w:type="dxa"/>
            <w:shd w:val="clear" w:color="auto" w:fill="FFFFFF"/>
            <w:vAlign w:val="center"/>
          </w:tcPr>
          <w:p w14:paraId="38D46A4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支持USB、显示、管理等接口，如：VGA、DP、HDMI、USB3.0、PS/2接口、BMC管理端口</w:t>
            </w:r>
          </w:p>
        </w:tc>
        <w:tc>
          <w:tcPr>
            <w:tcW w:w="1380" w:type="dxa"/>
            <w:shd w:val="clear" w:color="auto" w:fill="FFFFFF"/>
            <w:vAlign w:val="center"/>
          </w:tcPr>
          <w:p w14:paraId="55A2BE3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E033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3755A36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49</w:t>
            </w:r>
          </w:p>
        </w:tc>
        <w:tc>
          <w:tcPr>
            <w:tcW w:w="981" w:type="dxa"/>
            <w:shd w:val="clear" w:color="auto" w:fill="FFFFFF"/>
            <w:vAlign w:val="center"/>
          </w:tcPr>
          <w:p w14:paraId="3AA0526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0959F061">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43B5638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主板防烧板设计</w:t>
            </w:r>
          </w:p>
        </w:tc>
        <w:tc>
          <w:tcPr>
            <w:tcW w:w="4137" w:type="dxa"/>
            <w:shd w:val="clear" w:color="auto" w:fill="FFFFFF"/>
            <w:vAlign w:val="center"/>
          </w:tcPr>
          <w:p w14:paraId="2D831F5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支持主板防烧板设计，保证电源故障后不扩散</w:t>
            </w:r>
          </w:p>
        </w:tc>
        <w:tc>
          <w:tcPr>
            <w:tcW w:w="1380" w:type="dxa"/>
            <w:shd w:val="clear" w:color="auto" w:fill="FFFFFF"/>
            <w:vAlign w:val="center"/>
          </w:tcPr>
          <w:p w14:paraId="43EDA4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A642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206049C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50</w:t>
            </w:r>
          </w:p>
        </w:tc>
        <w:tc>
          <w:tcPr>
            <w:tcW w:w="981" w:type="dxa"/>
            <w:shd w:val="clear" w:color="auto" w:fill="FFFFFF"/>
            <w:vAlign w:val="center"/>
          </w:tcPr>
          <w:p w14:paraId="0731380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02B715D7">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E00A9A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扩展功能</w:t>
            </w:r>
          </w:p>
        </w:tc>
        <w:tc>
          <w:tcPr>
            <w:tcW w:w="4137" w:type="dxa"/>
            <w:shd w:val="clear" w:color="auto" w:fill="FFFFFF"/>
            <w:vAlign w:val="center"/>
          </w:tcPr>
          <w:p w14:paraId="4F86382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实现至少一种扩展功能，如存储功能卡、显示功能卡、运算加速功能卡及网络功能卡等扩展功能</w:t>
            </w:r>
          </w:p>
        </w:tc>
        <w:tc>
          <w:tcPr>
            <w:tcW w:w="1380" w:type="dxa"/>
            <w:shd w:val="clear" w:color="auto" w:fill="FFFFFF"/>
            <w:vAlign w:val="center"/>
          </w:tcPr>
          <w:p w14:paraId="7F2CA64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12FE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29" w:type="dxa"/>
            <w:shd w:val="clear" w:color="auto" w:fill="FFFFFF"/>
            <w:vAlign w:val="center"/>
          </w:tcPr>
          <w:p w14:paraId="78A2200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51</w:t>
            </w:r>
          </w:p>
        </w:tc>
        <w:tc>
          <w:tcPr>
            <w:tcW w:w="981" w:type="dxa"/>
            <w:shd w:val="clear" w:color="auto" w:fill="FFFFFF"/>
            <w:vAlign w:val="center"/>
          </w:tcPr>
          <w:p w14:paraId="47A4914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shd w:val="clear" w:color="auto" w:fill="FFFFFF"/>
            <w:vAlign w:val="center"/>
          </w:tcPr>
          <w:p w14:paraId="39E5208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网络功能</w:t>
            </w:r>
          </w:p>
        </w:tc>
        <w:tc>
          <w:tcPr>
            <w:tcW w:w="1206" w:type="dxa"/>
            <w:shd w:val="clear" w:color="auto" w:fill="FFFFFF"/>
            <w:vAlign w:val="center"/>
          </w:tcPr>
          <w:p w14:paraId="3E9FC33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★网络功能</w:t>
            </w:r>
          </w:p>
        </w:tc>
        <w:tc>
          <w:tcPr>
            <w:tcW w:w="4137" w:type="dxa"/>
            <w:shd w:val="clear" w:color="auto" w:fill="FFFFFF"/>
            <w:vAlign w:val="center"/>
          </w:tcPr>
          <w:p w14:paraId="6B88830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支持网络连接、网络访问、数据交换和网络管控功能</w:t>
            </w:r>
          </w:p>
        </w:tc>
        <w:tc>
          <w:tcPr>
            <w:tcW w:w="1380" w:type="dxa"/>
            <w:shd w:val="clear" w:color="auto" w:fill="FFFFFF"/>
            <w:vAlign w:val="center"/>
          </w:tcPr>
          <w:p w14:paraId="3344C9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36A4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29" w:type="dxa"/>
            <w:shd w:val="clear" w:color="auto" w:fill="FFFFFF"/>
            <w:vAlign w:val="center"/>
          </w:tcPr>
          <w:p w14:paraId="4579C42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52</w:t>
            </w:r>
          </w:p>
        </w:tc>
        <w:tc>
          <w:tcPr>
            <w:tcW w:w="981" w:type="dxa"/>
            <w:shd w:val="clear" w:color="auto" w:fill="FFFFFF"/>
            <w:vAlign w:val="center"/>
          </w:tcPr>
          <w:p w14:paraId="6433047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2B3FE7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CPU功能</w:t>
            </w:r>
          </w:p>
        </w:tc>
        <w:tc>
          <w:tcPr>
            <w:tcW w:w="1206" w:type="dxa"/>
            <w:shd w:val="clear" w:color="auto" w:fill="FFFFFF"/>
            <w:vAlign w:val="center"/>
          </w:tcPr>
          <w:p w14:paraId="6A2D228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★计算处理</w:t>
            </w:r>
          </w:p>
        </w:tc>
        <w:tc>
          <w:tcPr>
            <w:tcW w:w="4137" w:type="dxa"/>
            <w:shd w:val="clear" w:color="auto" w:fill="FFFFFF"/>
            <w:vAlign w:val="center"/>
          </w:tcPr>
          <w:p w14:paraId="3F3B145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支持通用计算及虚拟化功能。处理器需集成整型计算单元、浮点计算单元、内存控制器、I/O模块等，处理器与存储部件、网络部件、I/O部件等组成计算系统，提供数据处理、网络接入等计算相关功能</w:t>
            </w:r>
          </w:p>
        </w:tc>
        <w:tc>
          <w:tcPr>
            <w:tcW w:w="1380" w:type="dxa"/>
            <w:shd w:val="clear" w:color="auto" w:fill="FFFFFF"/>
            <w:vAlign w:val="center"/>
          </w:tcPr>
          <w:p w14:paraId="23E2117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7A29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202E707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53</w:t>
            </w:r>
          </w:p>
        </w:tc>
        <w:tc>
          <w:tcPr>
            <w:tcW w:w="981" w:type="dxa"/>
            <w:shd w:val="clear" w:color="auto" w:fill="FFFFFF"/>
            <w:vAlign w:val="center"/>
          </w:tcPr>
          <w:p w14:paraId="0E2DFE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3C29D7F2">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8D112E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★密码算法实现</w:t>
            </w:r>
          </w:p>
        </w:tc>
        <w:tc>
          <w:tcPr>
            <w:tcW w:w="4137" w:type="dxa"/>
            <w:shd w:val="clear" w:color="auto" w:fill="FFFFFF"/>
            <w:vAlign w:val="center"/>
          </w:tcPr>
          <w:p w14:paraId="65C4962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CPU芯片应符合GM/T0008的相关规定，或芯片密码模块应符合GB/T37092或GM/T0028的相关规定</w:t>
            </w:r>
          </w:p>
        </w:tc>
        <w:tc>
          <w:tcPr>
            <w:tcW w:w="1380" w:type="dxa"/>
            <w:shd w:val="clear" w:color="auto" w:fill="FFFFFF"/>
            <w:vAlign w:val="center"/>
          </w:tcPr>
          <w:p w14:paraId="1120317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C94B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729" w:type="dxa"/>
            <w:shd w:val="clear" w:color="auto" w:fill="FFFFFF"/>
            <w:vAlign w:val="center"/>
          </w:tcPr>
          <w:p w14:paraId="6805A6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54</w:t>
            </w:r>
          </w:p>
        </w:tc>
        <w:tc>
          <w:tcPr>
            <w:tcW w:w="981" w:type="dxa"/>
            <w:shd w:val="clear" w:color="auto" w:fill="FFFFFF"/>
            <w:vAlign w:val="center"/>
          </w:tcPr>
          <w:p w14:paraId="5CB8F44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14FD52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存储功能</w:t>
            </w:r>
          </w:p>
        </w:tc>
        <w:tc>
          <w:tcPr>
            <w:tcW w:w="1206" w:type="dxa"/>
            <w:shd w:val="clear" w:color="auto" w:fill="FFFFFF"/>
            <w:vAlign w:val="center"/>
          </w:tcPr>
          <w:p w14:paraId="65628F4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内存校验</w:t>
            </w:r>
          </w:p>
        </w:tc>
        <w:tc>
          <w:tcPr>
            <w:tcW w:w="4137" w:type="dxa"/>
            <w:shd w:val="clear" w:color="auto" w:fill="FFFFFF"/>
            <w:vAlign w:val="center"/>
          </w:tcPr>
          <w:p w14:paraId="7D07ADE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支持内存校验或内存增强型纠错功能</w:t>
            </w:r>
          </w:p>
        </w:tc>
        <w:tc>
          <w:tcPr>
            <w:tcW w:w="1380" w:type="dxa"/>
            <w:shd w:val="clear" w:color="auto" w:fill="FFFFFF"/>
            <w:vAlign w:val="center"/>
          </w:tcPr>
          <w:p w14:paraId="01D9B68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8AE3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29" w:type="dxa"/>
            <w:shd w:val="clear" w:color="auto" w:fill="FFFFFF"/>
            <w:vAlign w:val="center"/>
          </w:tcPr>
          <w:p w14:paraId="176541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55</w:t>
            </w:r>
          </w:p>
        </w:tc>
        <w:tc>
          <w:tcPr>
            <w:tcW w:w="981" w:type="dxa"/>
            <w:shd w:val="clear" w:color="auto" w:fill="FFFFFF"/>
            <w:vAlign w:val="center"/>
          </w:tcPr>
          <w:p w14:paraId="6AE931D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75F2B8F3">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C991CE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SATASSDNAND健康状态上报</w:t>
            </w:r>
          </w:p>
        </w:tc>
        <w:tc>
          <w:tcPr>
            <w:tcW w:w="4137" w:type="dxa"/>
            <w:shd w:val="clear" w:color="auto" w:fill="FFFFFF"/>
            <w:vAlign w:val="center"/>
          </w:tcPr>
          <w:p w14:paraId="2D2DAE2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支持关键外部存储器（硬磁盘、SSD等）的健康状态上报并进行故障诊断</w:t>
            </w:r>
          </w:p>
        </w:tc>
        <w:tc>
          <w:tcPr>
            <w:tcW w:w="1380" w:type="dxa"/>
            <w:shd w:val="clear" w:color="auto" w:fill="FFFFFF"/>
            <w:vAlign w:val="center"/>
          </w:tcPr>
          <w:p w14:paraId="6C1EA6A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497C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29" w:type="dxa"/>
            <w:shd w:val="clear" w:color="auto" w:fill="FFFFFF"/>
            <w:vAlign w:val="center"/>
          </w:tcPr>
          <w:p w14:paraId="144431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56</w:t>
            </w:r>
          </w:p>
        </w:tc>
        <w:tc>
          <w:tcPr>
            <w:tcW w:w="981" w:type="dxa"/>
            <w:shd w:val="clear" w:color="auto" w:fill="FFFFFF"/>
            <w:vAlign w:val="center"/>
          </w:tcPr>
          <w:p w14:paraId="29543DA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6EB73BDC">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B1B37D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SATASSD单die故障隔离</w:t>
            </w:r>
          </w:p>
        </w:tc>
        <w:tc>
          <w:tcPr>
            <w:tcW w:w="4137" w:type="dxa"/>
            <w:shd w:val="clear" w:color="auto" w:fill="FFFFFF"/>
            <w:vAlign w:val="center"/>
          </w:tcPr>
          <w:p w14:paraId="488F47E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支持SSD关键外部存储器中单存储晶元故障隔离</w:t>
            </w:r>
          </w:p>
        </w:tc>
        <w:tc>
          <w:tcPr>
            <w:tcW w:w="1380" w:type="dxa"/>
            <w:shd w:val="clear" w:color="auto" w:fill="FFFFFF"/>
            <w:vAlign w:val="center"/>
          </w:tcPr>
          <w:p w14:paraId="7A7A22C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FF78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29" w:type="dxa"/>
            <w:shd w:val="clear" w:color="auto" w:fill="FFFFFF"/>
            <w:vAlign w:val="center"/>
          </w:tcPr>
          <w:p w14:paraId="6748CC5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57</w:t>
            </w:r>
          </w:p>
        </w:tc>
        <w:tc>
          <w:tcPr>
            <w:tcW w:w="981" w:type="dxa"/>
            <w:shd w:val="clear" w:color="auto" w:fill="FFFFFF"/>
            <w:vAlign w:val="center"/>
          </w:tcPr>
          <w:p w14:paraId="1C842EF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2FB5E1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RAID卡功能</w:t>
            </w:r>
          </w:p>
        </w:tc>
        <w:tc>
          <w:tcPr>
            <w:tcW w:w="1206" w:type="dxa"/>
            <w:shd w:val="clear" w:color="auto" w:fill="FFFFFF"/>
            <w:vAlign w:val="center"/>
          </w:tcPr>
          <w:p w14:paraId="28D49F0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RAID卡配置及RAID级别支持</w:t>
            </w:r>
          </w:p>
        </w:tc>
        <w:tc>
          <w:tcPr>
            <w:tcW w:w="4137" w:type="dxa"/>
            <w:shd w:val="clear" w:color="auto" w:fill="FFFFFF"/>
            <w:vAlign w:val="center"/>
          </w:tcPr>
          <w:p w14:paraId="1B528E1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RAID模式支持RAID0/1/10/5；</w:t>
            </w:r>
          </w:p>
        </w:tc>
        <w:tc>
          <w:tcPr>
            <w:tcW w:w="1380" w:type="dxa"/>
            <w:shd w:val="clear" w:color="auto" w:fill="FFFFFF"/>
            <w:vAlign w:val="center"/>
          </w:tcPr>
          <w:p w14:paraId="7175985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96C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2C8F879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58</w:t>
            </w:r>
          </w:p>
        </w:tc>
        <w:tc>
          <w:tcPr>
            <w:tcW w:w="981" w:type="dxa"/>
            <w:shd w:val="clear" w:color="auto" w:fill="FFFFFF"/>
            <w:vAlign w:val="center"/>
          </w:tcPr>
          <w:p w14:paraId="3C10C23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0972EAC5">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DDF196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RAID卡BBU单元</w:t>
            </w:r>
          </w:p>
        </w:tc>
        <w:tc>
          <w:tcPr>
            <w:tcW w:w="4137" w:type="dxa"/>
            <w:shd w:val="clear" w:color="auto" w:fill="FFFFFF"/>
            <w:vAlign w:val="center"/>
          </w:tcPr>
          <w:p w14:paraId="5FC3AF1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RAID卡支持电池或电容备份单元</w:t>
            </w:r>
          </w:p>
        </w:tc>
        <w:tc>
          <w:tcPr>
            <w:tcW w:w="1380" w:type="dxa"/>
            <w:shd w:val="clear" w:color="auto" w:fill="FFFFFF"/>
            <w:vAlign w:val="center"/>
          </w:tcPr>
          <w:p w14:paraId="4FCBBA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4658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29" w:type="dxa"/>
            <w:shd w:val="clear" w:color="auto" w:fill="FFFFFF"/>
            <w:vAlign w:val="center"/>
          </w:tcPr>
          <w:p w14:paraId="40800F4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59</w:t>
            </w:r>
          </w:p>
        </w:tc>
        <w:tc>
          <w:tcPr>
            <w:tcW w:w="981" w:type="dxa"/>
            <w:shd w:val="clear" w:color="auto" w:fill="FFFFFF"/>
            <w:vAlign w:val="center"/>
          </w:tcPr>
          <w:p w14:paraId="278299C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shd w:val="clear" w:color="auto" w:fill="FFFFFF"/>
            <w:vAlign w:val="center"/>
          </w:tcPr>
          <w:p w14:paraId="6A6A79B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光驱功能</w:t>
            </w:r>
          </w:p>
        </w:tc>
        <w:tc>
          <w:tcPr>
            <w:tcW w:w="1206" w:type="dxa"/>
            <w:shd w:val="clear" w:color="auto" w:fill="FFFFFF"/>
            <w:vAlign w:val="center"/>
          </w:tcPr>
          <w:p w14:paraId="7B17710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光驱类型（是否支持RW，以及光盘类型CD/DVD）</w:t>
            </w:r>
          </w:p>
        </w:tc>
        <w:tc>
          <w:tcPr>
            <w:tcW w:w="4137" w:type="dxa"/>
            <w:shd w:val="clear" w:color="auto" w:fill="FFFFFF"/>
            <w:vAlign w:val="center"/>
          </w:tcPr>
          <w:p w14:paraId="0ECF496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若配备光驱，应提供光驱的安装形式（如内置、外置）、光驱读写类型（如只读、可刻录等）、光盘类型的兼容列表（如CD-ROM、CD-RW、DVD±RW等）</w:t>
            </w:r>
          </w:p>
        </w:tc>
        <w:tc>
          <w:tcPr>
            <w:tcW w:w="1380" w:type="dxa"/>
            <w:shd w:val="clear" w:color="auto" w:fill="FFFFFF"/>
            <w:vAlign w:val="center"/>
          </w:tcPr>
          <w:p w14:paraId="04FF1C4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0077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6199317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60</w:t>
            </w:r>
          </w:p>
        </w:tc>
        <w:tc>
          <w:tcPr>
            <w:tcW w:w="981" w:type="dxa"/>
            <w:shd w:val="clear" w:color="auto" w:fill="FFFFFF"/>
            <w:vAlign w:val="center"/>
          </w:tcPr>
          <w:p w14:paraId="69081B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72B37B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电源功能</w:t>
            </w:r>
          </w:p>
        </w:tc>
        <w:tc>
          <w:tcPr>
            <w:tcW w:w="1206" w:type="dxa"/>
            <w:shd w:val="clear" w:color="auto" w:fill="FFFFFF"/>
            <w:vAlign w:val="center"/>
          </w:tcPr>
          <w:p w14:paraId="5B7C0EB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★电源热插拔</w:t>
            </w:r>
          </w:p>
        </w:tc>
        <w:tc>
          <w:tcPr>
            <w:tcW w:w="4137" w:type="dxa"/>
            <w:shd w:val="clear" w:color="auto" w:fill="FFFFFF"/>
            <w:vAlign w:val="center"/>
          </w:tcPr>
          <w:p w14:paraId="3F58B9D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整机电源模块应具备热插拔功能</w:t>
            </w:r>
          </w:p>
        </w:tc>
        <w:tc>
          <w:tcPr>
            <w:tcW w:w="1380" w:type="dxa"/>
            <w:shd w:val="clear" w:color="auto" w:fill="FFFFFF"/>
            <w:vAlign w:val="center"/>
          </w:tcPr>
          <w:p w14:paraId="4CBDDDE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AB60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5B95607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61</w:t>
            </w:r>
          </w:p>
        </w:tc>
        <w:tc>
          <w:tcPr>
            <w:tcW w:w="981" w:type="dxa"/>
            <w:shd w:val="clear" w:color="auto" w:fill="FFFFFF"/>
            <w:vAlign w:val="center"/>
          </w:tcPr>
          <w:p w14:paraId="01BF84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19FE6BD9">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F92E72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★电源过流保护</w:t>
            </w:r>
          </w:p>
        </w:tc>
        <w:tc>
          <w:tcPr>
            <w:tcW w:w="4137" w:type="dxa"/>
            <w:shd w:val="clear" w:color="auto" w:fill="FFFFFF"/>
            <w:vAlign w:val="center"/>
          </w:tcPr>
          <w:p w14:paraId="532B1C0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支持过流及短路保护的功能</w:t>
            </w:r>
          </w:p>
        </w:tc>
        <w:tc>
          <w:tcPr>
            <w:tcW w:w="1380" w:type="dxa"/>
            <w:shd w:val="clear" w:color="auto" w:fill="FFFFFF"/>
            <w:vAlign w:val="center"/>
          </w:tcPr>
          <w:p w14:paraId="68E1B12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32F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29" w:type="dxa"/>
            <w:shd w:val="clear" w:color="auto" w:fill="FFFFFF"/>
            <w:vAlign w:val="center"/>
          </w:tcPr>
          <w:p w14:paraId="53C04A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62</w:t>
            </w:r>
          </w:p>
        </w:tc>
        <w:tc>
          <w:tcPr>
            <w:tcW w:w="981" w:type="dxa"/>
            <w:shd w:val="clear" w:color="auto" w:fill="FFFFFF"/>
            <w:vAlign w:val="center"/>
          </w:tcPr>
          <w:p w14:paraId="183A4B2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495580B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整机功能</w:t>
            </w:r>
          </w:p>
        </w:tc>
        <w:tc>
          <w:tcPr>
            <w:tcW w:w="1206" w:type="dxa"/>
            <w:shd w:val="clear" w:color="auto" w:fill="FFFFFF"/>
            <w:vAlign w:val="center"/>
          </w:tcPr>
          <w:p w14:paraId="33D15C0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★散热方式</w:t>
            </w:r>
          </w:p>
        </w:tc>
        <w:tc>
          <w:tcPr>
            <w:tcW w:w="4137" w:type="dxa"/>
            <w:shd w:val="clear" w:color="auto" w:fill="FFFFFF"/>
            <w:vAlign w:val="center"/>
          </w:tcPr>
          <w:p w14:paraId="5238383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支持风冷或液冷等散热方式</w:t>
            </w:r>
          </w:p>
        </w:tc>
        <w:tc>
          <w:tcPr>
            <w:tcW w:w="1380" w:type="dxa"/>
            <w:shd w:val="clear" w:color="auto" w:fill="FFFFFF"/>
            <w:vAlign w:val="center"/>
          </w:tcPr>
          <w:p w14:paraId="2E93E62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3912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21E56D7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63</w:t>
            </w:r>
          </w:p>
        </w:tc>
        <w:tc>
          <w:tcPr>
            <w:tcW w:w="981" w:type="dxa"/>
            <w:shd w:val="clear" w:color="auto" w:fill="FFFFFF"/>
            <w:vAlign w:val="center"/>
          </w:tcPr>
          <w:p w14:paraId="407008B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4A02ABFF">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FA5DFE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其他功能</w:t>
            </w:r>
          </w:p>
        </w:tc>
        <w:tc>
          <w:tcPr>
            <w:tcW w:w="4137" w:type="dxa"/>
            <w:shd w:val="clear" w:color="auto" w:fill="FFFFFF"/>
            <w:vAlign w:val="center"/>
          </w:tcPr>
          <w:p w14:paraId="63A5CED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a）支持关键部件冗余（包括电源、风扇等）；b）支持熔断保护与恢复功能</w:t>
            </w:r>
          </w:p>
        </w:tc>
        <w:tc>
          <w:tcPr>
            <w:tcW w:w="1380" w:type="dxa"/>
            <w:shd w:val="clear" w:color="auto" w:fill="FFFFFF"/>
            <w:vAlign w:val="center"/>
          </w:tcPr>
          <w:p w14:paraId="5D8EF33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8931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436" w:hRule="atLeast"/>
        </w:trPr>
        <w:tc>
          <w:tcPr>
            <w:tcW w:w="729" w:type="dxa"/>
            <w:shd w:val="clear" w:color="auto" w:fill="FFFFFF"/>
            <w:vAlign w:val="center"/>
          </w:tcPr>
          <w:p w14:paraId="7E36257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64</w:t>
            </w:r>
          </w:p>
        </w:tc>
        <w:tc>
          <w:tcPr>
            <w:tcW w:w="981" w:type="dxa"/>
            <w:shd w:val="clear" w:color="auto" w:fill="FFFFFF"/>
            <w:vAlign w:val="center"/>
          </w:tcPr>
          <w:p w14:paraId="3C27195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shd w:val="clear" w:color="auto" w:fill="FFFFFF"/>
            <w:vAlign w:val="center"/>
          </w:tcPr>
          <w:p w14:paraId="5D93C54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管理系统功能</w:t>
            </w:r>
          </w:p>
        </w:tc>
        <w:tc>
          <w:tcPr>
            <w:tcW w:w="1206" w:type="dxa"/>
            <w:shd w:val="clear" w:color="auto" w:fill="FFFFFF"/>
            <w:vAlign w:val="center"/>
          </w:tcPr>
          <w:p w14:paraId="7D70E9A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★BMC固件基础功能</w:t>
            </w:r>
          </w:p>
        </w:tc>
        <w:tc>
          <w:tcPr>
            <w:tcW w:w="4137" w:type="dxa"/>
            <w:shd w:val="clear" w:color="auto" w:fill="FFFFFF"/>
            <w:vAlign w:val="center"/>
          </w:tcPr>
          <w:p w14:paraId="5F2746E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支持DHCP设置网络功能；2）支持静态IP设置网络功能；3）支持设备日志记录，包括但不限于登录日志、操作日志和报警日志等功能；4）支持日志信息导出和记录删除功能；5）支持通过管理接口向外输出准确的报警信息功能；6）设备的BMC管理软件应能够按报警的严重程度进行区分；7）支持IPMI2.0、SNMP或Redfish等接口功能；8）支持键盘、鼠标和视频的重定向、文本控制台的重定向、远程虚拟媒体、高可靠的硬件监控和管理功能；9）支持基于网络开启、关闭和重启设备的功能，并查询当前设备开机运行状态；10）支持故障提示功能，并可通过接口读取服务器故障信息；11）支持基于网络的固件更新功能，包括BMC和BIOS等；12）支持基于网络安装操作系统的功能，并可通过网络控制台访问设备；13）支持通过本地的硬盘或光驱等存储设备，基于网络完成设备的操作系统安装功能；14）支持通过浏览器打开管理界面并登录功能；15）支持设置口令策略功能；16）支持访问权限设置功能，并通过日志记录访问事件；17）支持对出厂默认的用户名及口令进行安全保护功能，并提供默认口令修改提示；18）支持读取设备主板的工作环境温度功能；19）支持读取服务器CPU等核心器件的温度功能；20）支持通过外部管理工具进行BMC参数设置的功能，并可基于网络通过外部管理工具对BMC进行管理；21）应支持固件版本查询、固件升级22）支持基于网络实现开关机和复位控制的功能；23)BMC启动时间应不超过180s，实现功能包括网络、IPMI、散热、传感器服务可用；24）支持BMC固件设置的恢复出厂功能</w:t>
            </w:r>
          </w:p>
        </w:tc>
        <w:tc>
          <w:tcPr>
            <w:tcW w:w="1380" w:type="dxa"/>
            <w:shd w:val="clear" w:color="auto" w:fill="FFFFFF"/>
            <w:vAlign w:val="center"/>
          </w:tcPr>
          <w:p w14:paraId="2B198FC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C289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729" w:type="dxa"/>
            <w:shd w:val="clear" w:color="auto" w:fill="FFFFFF"/>
            <w:vAlign w:val="center"/>
          </w:tcPr>
          <w:p w14:paraId="268DBC4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65</w:t>
            </w:r>
          </w:p>
        </w:tc>
        <w:tc>
          <w:tcPr>
            <w:tcW w:w="981" w:type="dxa"/>
            <w:shd w:val="clear" w:color="auto" w:fill="FFFFFF"/>
            <w:vAlign w:val="center"/>
          </w:tcPr>
          <w:p w14:paraId="475374C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1A039D36">
            <w:pPr>
              <w:widowControl/>
              <w:jc w:val="center"/>
              <w:rPr>
                <w:rFonts w:asciiTheme="minorEastAsia" w:hAnsiTheme="minorEastAsia" w:eastAsiaTheme="minorEastAsia" w:cstheme="minorEastAsia"/>
                <w:kern w:val="0"/>
                <w:sz w:val="24"/>
              </w:rPr>
            </w:pPr>
          </w:p>
        </w:tc>
        <w:tc>
          <w:tcPr>
            <w:tcW w:w="1206" w:type="dxa"/>
            <w:shd w:val="clear" w:color="auto" w:fill="FFFFFF"/>
            <w:vAlign w:val="center"/>
          </w:tcPr>
          <w:p w14:paraId="2273A2D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BMC固件增强功能</w:t>
            </w:r>
          </w:p>
        </w:tc>
        <w:tc>
          <w:tcPr>
            <w:tcW w:w="4137" w:type="dxa"/>
            <w:shd w:val="clear" w:color="auto" w:fill="FFFFFF"/>
            <w:vAlign w:val="center"/>
          </w:tcPr>
          <w:p w14:paraId="60DE577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a）网络控制、安装提供图形访问界面网络；b）设备的BMC管理软件界面显示报警信息，且能够按报警的严重程度进行区分；c）WebGUI采用BMC端口直连，平均响应时间为≤1s</w:t>
            </w:r>
          </w:p>
        </w:tc>
        <w:tc>
          <w:tcPr>
            <w:tcW w:w="1380" w:type="dxa"/>
            <w:shd w:val="clear" w:color="auto" w:fill="FFFFFF"/>
            <w:vAlign w:val="center"/>
          </w:tcPr>
          <w:p w14:paraId="0167F2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C5A1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0" w:hRule="atLeast"/>
        </w:trPr>
        <w:tc>
          <w:tcPr>
            <w:tcW w:w="729" w:type="dxa"/>
            <w:shd w:val="clear" w:color="auto" w:fill="FFFFFF"/>
            <w:vAlign w:val="center"/>
          </w:tcPr>
          <w:p w14:paraId="3A9A215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66</w:t>
            </w:r>
          </w:p>
        </w:tc>
        <w:tc>
          <w:tcPr>
            <w:tcW w:w="981" w:type="dxa"/>
            <w:shd w:val="clear" w:color="auto" w:fill="FFFFFF"/>
            <w:vAlign w:val="center"/>
          </w:tcPr>
          <w:p w14:paraId="3A226CE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306F78AD">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4794711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★BIOS固件基础功能</w:t>
            </w:r>
          </w:p>
        </w:tc>
        <w:tc>
          <w:tcPr>
            <w:tcW w:w="4137" w:type="dxa"/>
            <w:shd w:val="clear" w:color="auto" w:fill="FFFFFF"/>
            <w:vAlign w:val="center"/>
          </w:tcPr>
          <w:p w14:paraId="2A1BFA9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查看固件版本、内存信息、主板信息、处理器信息和系统时间信息功能；b）支持上电初始化界面显示CPU信息、内存信息、固件版本和部分快捷键信息功能；c）支持设置界面中英文显示切换功能；d）支持查看PCIe设备信息，SATA设备信息功能；e）支持操作系统安装和引导功能，应并向操作系统提供计算机主板信息和服务接口；f）支持设置启动顺序，并按照设置的启动顺序启动功能；g）支持安全启动功能；h）支持设置口令、修改口令、验证口令功能；i）支持板载显示控制或独立显卡的显示控制功能；j）支持RAID识别和启动功能；k）支持串口重定向功能；l）支持固件更新功能；m）支持BIOS固件设置的恢复出厂功能；n）支持网络引导启用和关闭功能</w:t>
            </w:r>
          </w:p>
        </w:tc>
        <w:tc>
          <w:tcPr>
            <w:tcW w:w="1380" w:type="dxa"/>
            <w:shd w:val="clear" w:color="auto" w:fill="FFFFFF"/>
            <w:vAlign w:val="center"/>
          </w:tcPr>
          <w:p w14:paraId="2622C90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5E77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729" w:type="dxa"/>
            <w:shd w:val="clear" w:color="auto" w:fill="FFFFFF"/>
            <w:vAlign w:val="center"/>
          </w:tcPr>
          <w:p w14:paraId="1F7E9A4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67</w:t>
            </w:r>
          </w:p>
        </w:tc>
        <w:tc>
          <w:tcPr>
            <w:tcW w:w="981" w:type="dxa"/>
            <w:shd w:val="clear" w:color="auto" w:fill="FFFFFF"/>
            <w:vAlign w:val="center"/>
          </w:tcPr>
          <w:p w14:paraId="56EF5B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1C9BF188">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447136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★远程控制</w:t>
            </w:r>
          </w:p>
        </w:tc>
        <w:tc>
          <w:tcPr>
            <w:tcW w:w="4137" w:type="dxa"/>
            <w:shd w:val="clear" w:color="auto" w:fill="FFFFFF"/>
            <w:vAlign w:val="center"/>
          </w:tcPr>
          <w:p w14:paraId="5531850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支持远程关机和重新启动功能</w:t>
            </w:r>
          </w:p>
        </w:tc>
        <w:tc>
          <w:tcPr>
            <w:tcW w:w="1380" w:type="dxa"/>
            <w:shd w:val="clear" w:color="auto" w:fill="FFFFFF"/>
            <w:vAlign w:val="center"/>
          </w:tcPr>
          <w:p w14:paraId="0594D5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E32E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29" w:type="dxa"/>
            <w:shd w:val="clear" w:color="auto" w:fill="FFFFFF"/>
            <w:vAlign w:val="center"/>
          </w:tcPr>
          <w:p w14:paraId="20D4877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68</w:t>
            </w:r>
          </w:p>
        </w:tc>
        <w:tc>
          <w:tcPr>
            <w:tcW w:w="981" w:type="dxa"/>
            <w:shd w:val="clear" w:color="auto" w:fill="FFFFFF"/>
            <w:vAlign w:val="center"/>
          </w:tcPr>
          <w:p w14:paraId="53414EB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7FD5020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操作系统及驱动功能</w:t>
            </w:r>
          </w:p>
        </w:tc>
        <w:tc>
          <w:tcPr>
            <w:tcW w:w="1206" w:type="dxa"/>
            <w:shd w:val="clear" w:color="auto" w:fill="FFFFFF"/>
            <w:vAlign w:val="center"/>
          </w:tcPr>
          <w:p w14:paraId="4EBAE18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★操作系统及驱动的升级</w:t>
            </w:r>
          </w:p>
        </w:tc>
        <w:tc>
          <w:tcPr>
            <w:tcW w:w="4137" w:type="dxa"/>
            <w:shd w:val="clear" w:color="auto" w:fill="FFFFFF"/>
            <w:vAlign w:val="center"/>
          </w:tcPr>
          <w:p w14:paraId="407356A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支持通过网络、闪存盘对操作系统、驱动进行升级</w:t>
            </w:r>
          </w:p>
        </w:tc>
        <w:tc>
          <w:tcPr>
            <w:tcW w:w="1380" w:type="dxa"/>
            <w:shd w:val="clear" w:color="auto" w:fill="FFFFFF"/>
            <w:vAlign w:val="center"/>
          </w:tcPr>
          <w:p w14:paraId="235079C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B094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29" w:type="dxa"/>
            <w:shd w:val="clear" w:color="auto" w:fill="FFFFFF"/>
            <w:vAlign w:val="center"/>
          </w:tcPr>
          <w:p w14:paraId="2987B1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69</w:t>
            </w:r>
          </w:p>
        </w:tc>
        <w:tc>
          <w:tcPr>
            <w:tcW w:w="981" w:type="dxa"/>
            <w:shd w:val="clear" w:color="auto" w:fill="FFFFFF"/>
            <w:vAlign w:val="center"/>
          </w:tcPr>
          <w:p w14:paraId="3B9754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1BDA5B1B">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FB87AE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操作系统及驱动的备份还原</w:t>
            </w:r>
          </w:p>
        </w:tc>
        <w:tc>
          <w:tcPr>
            <w:tcW w:w="4137" w:type="dxa"/>
            <w:shd w:val="clear" w:color="auto" w:fill="FFFFFF"/>
            <w:vAlign w:val="center"/>
          </w:tcPr>
          <w:p w14:paraId="74D7A4F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支持操作系统备份及还原功能</w:t>
            </w:r>
          </w:p>
        </w:tc>
        <w:tc>
          <w:tcPr>
            <w:tcW w:w="1380" w:type="dxa"/>
            <w:shd w:val="clear" w:color="auto" w:fill="FFFFFF"/>
            <w:vAlign w:val="center"/>
          </w:tcPr>
          <w:p w14:paraId="180846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0D4A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29" w:type="dxa"/>
            <w:shd w:val="clear" w:color="auto" w:fill="FFFFFF"/>
            <w:vAlign w:val="center"/>
          </w:tcPr>
          <w:p w14:paraId="7C05989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70</w:t>
            </w:r>
          </w:p>
        </w:tc>
        <w:tc>
          <w:tcPr>
            <w:tcW w:w="981" w:type="dxa"/>
            <w:shd w:val="clear" w:color="auto" w:fill="FFFFFF"/>
            <w:vAlign w:val="center"/>
          </w:tcPr>
          <w:p w14:paraId="7343258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702C15CE">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AE54BF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★操作系统功能</w:t>
            </w:r>
          </w:p>
        </w:tc>
        <w:tc>
          <w:tcPr>
            <w:tcW w:w="4137" w:type="dxa"/>
            <w:shd w:val="clear" w:color="auto" w:fill="FFFFFF"/>
            <w:vAlign w:val="center"/>
          </w:tcPr>
          <w:p w14:paraId="4CCEC16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a）支持访问控制、安全审计、网络接入鉴别等功能；b）操作系统其他功能应满足操作系统政府采购需求标准中加*的指标要求</w:t>
            </w:r>
          </w:p>
        </w:tc>
        <w:tc>
          <w:tcPr>
            <w:tcW w:w="1380" w:type="dxa"/>
            <w:shd w:val="clear" w:color="auto" w:fill="FFFFFF"/>
            <w:vAlign w:val="center"/>
          </w:tcPr>
          <w:p w14:paraId="68E6104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0308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18D6DF5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71</w:t>
            </w:r>
          </w:p>
        </w:tc>
        <w:tc>
          <w:tcPr>
            <w:tcW w:w="981" w:type="dxa"/>
            <w:shd w:val="clear" w:color="auto" w:fill="FFFFFF"/>
            <w:vAlign w:val="center"/>
          </w:tcPr>
          <w:p w14:paraId="0FF7CF4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shd w:val="clear" w:color="auto" w:fill="FFFFFF"/>
            <w:vAlign w:val="center"/>
          </w:tcPr>
          <w:p w14:paraId="69DE482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中文信息处理功能</w:t>
            </w:r>
          </w:p>
        </w:tc>
        <w:tc>
          <w:tcPr>
            <w:tcW w:w="1206" w:type="dxa"/>
            <w:shd w:val="clear" w:color="auto" w:fill="FFFFFF"/>
            <w:vAlign w:val="center"/>
          </w:tcPr>
          <w:p w14:paraId="20A0FFB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★中文信息处理</w:t>
            </w:r>
          </w:p>
        </w:tc>
        <w:tc>
          <w:tcPr>
            <w:tcW w:w="4137" w:type="dxa"/>
            <w:shd w:val="clear" w:color="auto" w:fill="FFFFFF"/>
            <w:vAlign w:val="center"/>
          </w:tcPr>
          <w:p w14:paraId="2A99454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符合GB18030的有关规定</w:t>
            </w:r>
          </w:p>
        </w:tc>
        <w:tc>
          <w:tcPr>
            <w:tcW w:w="1380" w:type="dxa"/>
            <w:shd w:val="clear" w:color="auto" w:fill="FFFFFF"/>
            <w:vAlign w:val="center"/>
          </w:tcPr>
          <w:p w14:paraId="382329C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4034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48AA2BE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72</w:t>
            </w:r>
          </w:p>
        </w:tc>
        <w:tc>
          <w:tcPr>
            <w:tcW w:w="981" w:type="dxa"/>
            <w:shd w:val="clear" w:color="auto" w:fill="FFFFFF"/>
            <w:vAlign w:val="center"/>
          </w:tcPr>
          <w:p w14:paraId="542F6A9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650770B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机柜功能</w:t>
            </w:r>
          </w:p>
        </w:tc>
        <w:tc>
          <w:tcPr>
            <w:tcW w:w="1206" w:type="dxa"/>
            <w:shd w:val="clear" w:color="auto" w:fill="FFFFFF"/>
            <w:vAlign w:val="center"/>
          </w:tcPr>
          <w:p w14:paraId="66E337A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机柜管理功能</w:t>
            </w:r>
          </w:p>
        </w:tc>
        <w:tc>
          <w:tcPr>
            <w:tcW w:w="4137" w:type="dxa"/>
            <w:shd w:val="clear" w:color="auto" w:fill="FFFFFF"/>
            <w:vAlign w:val="center"/>
          </w:tcPr>
          <w:p w14:paraId="5C2279E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机柜管理系统包括服务器节点BMC管理系统、机柜管理系统或交换节点管理系统</w:t>
            </w:r>
          </w:p>
        </w:tc>
        <w:tc>
          <w:tcPr>
            <w:tcW w:w="1380" w:type="dxa"/>
            <w:shd w:val="clear" w:color="auto" w:fill="FFFFFF"/>
            <w:vAlign w:val="center"/>
          </w:tcPr>
          <w:p w14:paraId="0A9D24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EFAF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2F8D16B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73</w:t>
            </w:r>
          </w:p>
        </w:tc>
        <w:tc>
          <w:tcPr>
            <w:tcW w:w="981" w:type="dxa"/>
            <w:shd w:val="clear" w:color="auto" w:fill="FFFFFF"/>
            <w:vAlign w:val="center"/>
          </w:tcPr>
          <w:p w14:paraId="0052781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293416C4">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93C1FA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机柜通信方式</w:t>
            </w:r>
          </w:p>
        </w:tc>
        <w:tc>
          <w:tcPr>
            <w:tcW w:w="4137" w:type="dxa"/>
            <w:shd w:val="clear" w:color="auto" w:fill="FFFFFF"/>
            <w:vAlign w:val="center"/>
          </w:tcPr>
          <w:p w14:paraId="7DA91C1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若配备机柜管理板可实现包括：资产管理、电源模块、功耗管理和液冷漏液检测等功能</w:t>
            </w:r>
          </w:p>
        </w:tc>
        <w:tc>
          <w:tcPr>
            <w:tcW w:w="1380" w:type="dxa"/>
            <w:shd w:val="clear" w:color="auto" w:fill="FFFFFF"/>
            <w:vAlign w:val="center"/>
          </w:tcPr>
          <w:p w14:paraId="28216B2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4D97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27A6EBB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74</w:t>
            </w:r>
          </w:p>
        </w:tc>
        <w:tc>
          <w:tcPr>
            <w:tcW w:w="981" w:type="dxa"/>
            <w:shd w:val="clear" w:color="auto" w:fill="FFFFFF"/>
            <w:vAlign w:val="center"/>
          </w:tcPr>
          <w:p w14:paraId="2CBE4B8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37E2DDB0">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7E0D14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多集群作业管理</w:t>
            </w:r>
          </w:p>
        </w:tc>
        <w:tc>
          <w:tcPr>
            <w:tcW w:w="4137" w:type="dxa"/>
            <w:shd w:val="clear" w:color="auto" w:fill="FFFFFF"/>
            <w:vAlign w:val="center"/>
          </w:tcPr>
          <w:p w14:paraId="038575B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支持多集群作业管理功能</w:t>
            </w:r>
          </w:p>
        </w:tc>
        <w:tc>
          <w:tcPr>
            <w:tcW w:w="1380" w:type="dxa"/>
            <w:shd w:val="clear" w:color="auto" w:fill="FFFFFF"/>
            <w:vAlign w:val="center"/>
          </w:tcPr>
          <w:p w14:paraId="0F787FE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A79A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29" w:type="dxa"/>
            <w:shd w:val="clear" w:color="auto" w:fill="FFFFFF"/>
            <w:vAlign w:val="center"/>
          </w:tcPr>
          <w:p w14:paraId="335851D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75</w:t>
            </w:r>
          </w:p>
        </w:tc>
        <w:tc>
          <w:tcPr>
            <w:tcW w:w="981" w:type="dxa"/>
            <w:shd w:val="clear" w:color="auto" w:fill="FFFFFF"/>
            <w:vAlign w:val="center"/>
          </w:tcPr>
          <w:p w14:paraId="1CCCEE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shd w:val="clear" w:color="auto" w:fill="FFFFFF"/>
            <w:vAlign w:val="center"/>
          </w:tcPr>
          <w:p w14:paraId="5E01D08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关键部件安全要求</w:t>
            </w:r>
          </w:p>
        </w:tc>
        <w:tc>
          <w:tcPr>
            <w:tcW w:w="1206" w:type="dxa"/>
            <w:shd w:val="clear" w:color="auto" w:fill="FFFFFF"/>
            <w:vAlign w:val="center"/>
          </w:tcPr>
          <w:p w14:paraId="0BBE81C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★关键部件安全要求</w:t>
            </w:r>
          </w:p>
        </w:tc>
        <w:tc>
          <w:tcPr>
            <w:tcW w:w="4137" w:type="dxa"/>
            <w:shd w:val="clear" w:color="auto" w:fill="FFFFFF"/>
            <w:vAlign w:val="center"/>
          </w:tcPr>
          <w:p w14:paraId="1E6BA6C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CPU和操作系统等关键部件应当符合安全可靠测评要求</w:t>
            </w:r>
          </w:p>
        </w:tc>
        <w:tc>
          <w:tcPr>
            <w:tcW w:w="1380" w:type="dxa"/>
            <w:shd w:val="clear" w:color="auto" w:fill="FFFFFF"/>
            <w:vAlign w:val="center"/>
          </w:tcPr>
          <w:p w14:paraId="6D37E6F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AE9E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29" w:type="dxa"/>
            <w:shd w:val="clear" w:color="auto" w:fill="FFFFFF"/>
            <w:vAlign w:val="center"/>
          </w:tcPr>
          <w:p w14:paraId="76F9898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76</w:t>
            </w:r>
          </w:p>
        </w:tc>
        <w:tc>
          <w:tcPr>
            <w:tcW w:w="981" w:type="dxa"/>
            <w:shd w:val="clear" w:color="auto" w:fill="FFFFFF"/>
            <w:vAlign w:val="center"/>
          </w:tcPr>
          <w:p w14:paraId="663EC20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restart"/>
            <w:shd w:val="clear" w:color="auto" w:fill="FFFFFF"/>
            <w:vAlign w:val="center"/>
          </w:tcPr>
          <w:p w14:paraId="468A01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固件安全要求</w:t>
            </w:r>
          </w:p>
        </w:tc>
        <w:tc>
          <w:tcPr>
            <w:tcW w:w="1206" w:type="dxa"/>
            <w:shd w:val="clear" w:color="auto" w:fill="FFFFFF"/>
            <w:vAlign w:val="center"/>
          </w:tcPr>
          <w:p w14:paraId="14647FD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★故障检测</w:t>
            </w:r>
          </w:p>
        </w:tc>
        <w:tc>
          <w:tcPr>
            <w:tcW w:w="4137" w:type="dxa"/>
            <w:shd w:val="clear" w:color="auto" w:fill="FFFFFF"/>
            <w:vAlign w:val="center"/>
          </w:tcPr>
          <w:p w14:paraId="31E8AD6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支持故障检测功能，可以检测到具体的FRU（内存、硬盘等）的故障并发出告警</w:t>
            </w:r>
          </w:p>
        </w:tc>
        <w:tc>
          <w:tcPr>
            <w:tcW w:w="1380" w:type="dxa"/>
            <w:shd w:val="clear" w:color="auto" w:fill="FFFFFF"/>
            <w:vAlign w:val="center"/>
          </w:tcPr>
          <w:p w14:paraId="3A9D70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8072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29" w:type="dxa"/>
            <w:shd w:val="clear" w:color="auto" w:fill="FFFFFF"/>
            <w:vAlign w:val="center"/>
          </w:tcPr>
          <w:p w14:paraId="725BC0E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77</w:t>
            </w:r>
          </w:p>
        </w:tc>
        <w:tc>
          <w:tcPr>
            <w:tcW w:w="981" w:type="dxa"/>
            <w:shd w:val="clear" w:color="auto" w:fill="FFFFFF"/>
            <w:vAlign w:val="center"/>
          </w:tcPr>
          <w:p w14:paraId="78C52D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5F205485">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FEE55E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内存故障智能预测和自愈修复</w:t>
            </w:r>
          </w:p>
        </w:tc>
        <w:tc>
          <w:tcPr>
            <w:tcW w:w="4137" w:type="dxa"/>
            <w:shd w:val="clear" w:color="auto" w:fill="FFFFFF"/>
            <w:vAlign w:val="center"/>
          </w:tcPr>
          <w:p w14:paraId="76985AD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支持内存故障智能预测和自愈修复，提前自动硬隔离，避免内存故障引起的非预期宕机以及内存寿命的降低</w:t>
            </w:r>
          </w:p>
        </w:tc>
        <w:tc>
          <w:tcPr>
            <w:tcW w:w="1380" w:type="dxa"/>
            <w:shd w:val="clear" w:color="auto" w:fill="FFFFFF"/>
            <w:vAlign w:val="center"/>
          </w:tcPr>
          <w:p w14:paraId="3550E9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FC5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29" w:type="dxa"/>
            <w:shd w:val="clear" w:color="auto" w:fill="FFFFFF"/>
            <w:vAlign w:val="center"/>
          </w:tcPr>
          <w:p w14:paraId="0526874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78</w:t>
            </w:r>
          </w:p>
        </w:tc>
        <w:tc>
          <w:tcPr>
            <w:tcW w:w="981" w:type="dxa"/>
            <w:shd w:val="clear" w:color="auto" w:fill="FFFFFF"/>
            <w:vAlign w:val="center"/>
          </w:tcPr>
          <w:p w14:paraId="45738A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7C08C55B">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1FD758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硬盘故障智能预测</w:t>
            </w:r>
          </w:p>
        </w:tc>
        <w:tc>
          <w:tcPr>
            <w:tcW w:w="4137" w:type="dxa"/>
            <w:shd w:val="clear" w:color="auto" w:fill="FFFFFF"/>
            <w:vAlign w:val="center"/>
          </w:tcPr>
          <w:p w14:paraId="384272B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支持硬盘故障智能预测，基于故障模型预测出硬盘的故障</w:t>
            </w:r>
          </w:p>
        </w:tc>
        <w:tc>
          <w:tcPr>
            <w:tcW w:w="1380" w:type="dxa"/>
            <w:shd w:val="clear" w:color="auto" w:fill="FFFFFF"/>
            <w:vAlign w:val="center"/>
          </w:tcPr>
          <w:p w14:paraId="3B501E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D9B6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29" w:type="dxa"/>
            <w:shd w:val="clear" w:color="auto" w:fill="FFFFFF"/>
            <w:vAlign w:val="center"/>
          </w:tcPr>
          <w:p w14:paraId="420CC84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79</w:t>
            </w:r>
          </w:p>
        </w:tc>
        <w:tc>
          <w:tcPr>
            <w:tcW w:w="981" w:type="dxa"/>
            <w:shd w:val="clear" w:color="auto" w:fill="FFFFFF"/>
            <w:vAlign w:val="center"/>
          </w:tcPr>
          <w:p w14:paraId="656AAEC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21F55FC9">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E72393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PCIe链路故障智能诊断</w:t>
            </w:r>
          </w:p>
        </w:tc>
        <w:tc>
          <w:tcPr>
            <w:tcW w:w="4137" w:type="dxa"/>
            <w:shd w:val="clear" w:color="auto" w:fill="FFFFFF"/>
            <w:vAlign w:val="center"/>
          </w:tcPr>
          <w:p w14:paraId="2FC705A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支持PCIe链路故障智能诊断，判断出现故障的PCIe链路</w:t>
            </w:r>
          </w:p>
        </w:tc>
        <w:tc>
          <w:tcPr>
            <w:tcW w:w="1380" w:type="dxa"/>
            <w:shd w:val="clear" w:color="auto" w:fill="FFFFFF"/>
            <w:vAlign w:val="center"/>
          </w:tcPr>
          <w:p w14:paraId="206A13C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73DC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29" w:type="dxa"/>
            <w:shd w:val="clear" w:color="auto" w:fill="FFFFFF"/>
            <w:vAlign w:val="center"/>
          </w:tcPr>
          <w:p w14:paraId="4780D14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80</w:t>
            </w:r>
          </w:p>
        </w:tc>
        <w:tc>
          <w:tcPr>
            <w:tcW w:w="981" w:type="dxa"/>
            <w:shd w:val="clear" w:color="auto" w:fill="FFFFFF"/>
            <w:vAlign w:val="center"/>
          </w:tcPr>
          <w:p w14:paraId="2779FA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32929E90">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4983518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内存故障隔离</w:t>
            </w:r>
          </w:p>
        </w:tc>
        <w:tc>
          <w:tcPr>
            <w:tcW w:w="4137" w:type="dxa"/>
            <w:shd w:val="clear" w:color="auto" w:fill="FFFFFF"/>
            <w:vAlign w:val="center"/>
          </w:tcPr>
          <w:p w14:paraId="22FEFA2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支持内存故障隔离，在内存产生CE故障时，内存地址被隔离成功，服务器正常运行，业务系统不中断</w:t>
            </w:r>
          </w:p>
        </w:tc>
        <w:tc>
          <w:tcPr>
            <w:tcW w:w="1380" w:type="dxa"/>
            <w:shd w:val="clear" w:color="auto" w:fill="FFFFFF"/>
            <w:vAlign w:val="center"/>
          </w:tcPr>
          <w:p w14:paraId="25269B4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6FAA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29" w:type="dxa"/>
            <w:shd w:val="clear" w:color="auto" w:fill="FFFFFF"/>
            <w:vAlign w:val="center"/>
          </w:tcPr>
          <w:p w14:paraId="413893F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81</w:t>
            </w:r>
          </w:p>
        </w:tc>
        <w:tc>
          <w:tcPr>
            <w:tcW w:w="981" w:type="dxa"/>
            <w:shd w:val="clear" w:color="auto" w:fill="FFFFFF"/>
            <w:vAlign w:val="center"/>
          </w:tcPr>
          <w:p w14:paraId="1B8288C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449CC872">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D0B551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内存、PCIe卡的故障精准告警功能</w:t>
            </w:r>
          </w:p>
        </w:tc>
        <w:tc>
          <w:tcPr>
            <w:tcW w:w="4137" w:type="dxa"/>
            <w:shd w:val="clear" w:color="auto" w:fill="FFFFFF"/>
            <w:vAlign w:val="center"/>
          </w:tcPr>
          <w:p w14:paraId="54AF6E2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支持内存、PCIe卡的故障精准告警功能，触发告警并明确指示具体的故障位置</w:t>
            </w:r>
          </w:p>
        </w:tc>
        <w:tc>
          <w:tcPr>
            <w:tcW w:w="1380" w:type="dxa"/>
            <w:shd w:val="clear" w:color="auto" w:fill="FFFFFF"/>
            <w:vAlign w:val="center"/>
          </w:tcPr>
          <w:p w14:paraId="1C96E94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1710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70B6901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82</w:t>
            </w:r>
          </w:p>
        </w:tc>
        <w:tc>
          <w:tcPr>
            <w:tcW w:w="981" w:type="dxa"/>
            <w:shd w:val="clear" w:color="auto" w:fill="FFFFFF"/>
            <w:vAlign w:val="center"/>
          </w:tcPr>
          <w:p w14:paraId="3D0F5E7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1597F6CE">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FD187C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异常下电关键数据保护</w:t>
            </w:r>
          </w:p>
        </w:tc>
        <w:tc>
          <w:tcPr>
            <w:tcW w:w="4137" w:type="dxa"/>
            <w:shd w:val="clear" w:color="auto" w:fill="FFFFFF"/>
            <w:vAlign w:val="center"/>
          </w:tcPr>
          <w:p w14:paraId="62B2C6F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支持异常掉电关键数据保护，支持数据备份恢复机制，防止系统异常掉电导致的数据文件丢失</w:t>
            </w:r>
          </w:p>
        </w:tc>
        <w:tc>
          <w:tcPr>
            <w:tcW w:w="1380" w:type="dxa"/>
            <w:shd w:val="clear" w:color="auto" w:fill="FFFFFF"/>
            <w:vAlign w:val="center"/>
          </w:tcPr>
          <w:p w14:paraId="0A02D1A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ABDA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29" w:type="dxa"/>
            <w:shd w:val="clear" w:color="auto" w:fill="FFFFFF"/>
            <w:vAlign w:val="center"/>
          </w:tcPr>
          <w:p w14:paraId="3C23CD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83</w:t>
            </w:r>
          </w:p>
        </w:tc>
        <w:tc>
          <w:tcPr>
            <w:tcW w:w="981" w:type="dxa"/>
            <w:shd w:val="clear" w:color="auto" w:fill="FFFFFF"/>
            <w:vAlign w:val="center"/>
          </w:tcPr>
          <w:p w14:paraId="7097090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6605A8DE">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049CB0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BMC/BIOS固件双镜像保护</w:t>
            </w:r>
          </w:p>
        </w:tc>
        <w:tc>
          <w:tcPr>
            <w:tcW w:w="4137" w:type="dxa"/>
            <w:shd w:val="clear" w:color="auto" w:fill="FFFFFF"/>
            <w:vAlign w:val="center"/>
          </w:tcPr>
          <w:p w14:paraId="77C8BAC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支持BMC/BIOS固件双镜像保护，运行异常时自动切换到备份镜像运行，提升系统稳定性</w:t>
            </w:r>
          </w:p>
        </w:tc>
        <w:tc>
          <w:tcPr>
            <w:tcW w:w="1380" w:type="dxa"/>
            <w:shd w:val="clear" w:color="auto" w:fill="FFFFFF"/>
            <w:vAlign w:val="center"/>
          </w:tcPr>
          <w:p w14:paraId="2BC2B6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9A6F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29" w:type="dxa"/>
            <w:shd w:val="clear" w:color="auto" w:fill="FFFFFF"/>
            <w:vAlign w:val="center"/>
          </w:tcPr>
          <w:p w14:paraId="309F15D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84</w:t>
            </w:r>
          </w:p>
        </w:tc>
        <w:tc>
          <w:tcPr>
            <w:tcW w:w="981" w:type="dxa"/>
            <w:shd w:val="clear" w:color="auto" w:fill="FFFFFF"/>
            <w:vAlign w:val="center"/>
          </w:tcPr>
          <w:p w14:paraId="5EC411B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760826A9">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E0D845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CPU核重启隔离</w:t>
            </w:r>
          </w:p>
        </w:tc>
        <w:tc>
          <w:tcPr>
            <w:tcW w:w="4137" w:type="dxa"/>
            <w:shd w:val="clear" w:color="auto" w:fill="FFFFFF"/>
            <w:vAlign w:val="center"/>
          </w:tcPr>
          <w:p w14:paraId="562B4F6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支持CPU核发生不可纠正故障后，重启后由BIOS隔离该故障核，OS不可见，防止OS再次使用导致系统异常，核0除外</w:t>
            </w:r>
          </w:p>
        </w:tc>
        <w:tc>
          <w:tcPr>
            <w:tcW w:w="1380" w:type="dxa"/>
            <w:shd w:val="clear" w:color="auto" w:fill="FFFFFF"/>
            <w:vAlign w:val="center"/>
          </w:tcPr>
          <w:p w14:paraId="7C4A7C6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E5EE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4E57404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85</w:t>
            </w:r>
          </w:p>
        </w:tc>
        <w:tc>
          <w:tcPr>
            <w:tcW w:w="981" w:type="dxa"/>
            <w:shd w:val="clear" w:color="auto" w:fill="FFFFFF"/>
            <w:vAlign w:val="center"/>
          </w:tcPr>
          <w:p w14:paraId="247ED16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4AFF27AC">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83DF1F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内存地址隔离</w:t>
            </w:r>
          </w:p>
        </w:tc>
        <w:tc>
          <w:tcPr>
            <w:tcW w:w="4137" w:type="dxa"/>
            <w:shd w:val="clear" w:color="auto" w:fill="FFFFFF"/>
            <w:vAlign w:val="center"/>
          </w:tcPr>
          <w:p w14:paraId="130F47D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在硬件支持的情况下，支持故障内存地址重启后隔离</w:t>
            </w:r>
          </w:p>
        </w:tc>
        <w:tc>
          <w:tcPr>
            <w:tcW w:w="1380" w:type="dxa"/>
            <w:shd w:val="clear" w:color="auto" w:fill="FFFFFF"/>
            <w:vAlign w:val="center"/>
          </w:tcPr>
          <w:p w14:paraId="4D8473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2F43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29" w:type="dxa"/>
            <w:shd w:val="clear" w:color="auto" w:fill="FFFFFF"/>
            <w:vAlign w:val="center"/>
          </w:tcPr>
          <w:p w14:paraId="2774D1A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86</w:t>
            </w:r>
          </w:p>
        </w:tc>
        <w:tc>
          <w:tcPr>
            <w:tcW w:w="981" w:type="dxa"/>
            <w:shd w:val="clear" w:color="auto" w:fill="FFFFFF"/>
            <w:vAlign w:val="center"/>
          </w:tcPr>
          <w:p w14:paraId="3F263D8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08BC6408">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9F8ACB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内存存储阵列替换</w:t>
            </w:r>
          </w:p>
        </w:tc>
        <w:tc>
          <w:tcPr>
            <w:tcW w:w="4137" w:type="dxa"/>
            <w:shd w:val="clear" w:color="auto" w:fill="FFFFFF"/>
            <w:vAlign w:val="center"/>
          </w:tcPr>
          <w:p w14:paraId="163C9C4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在硬件支持的情况下，支持故障内存存储阵列替换</w:t>
            </w:r>
          </w:p>
        </w:tc>
        <w:tc>
          <w:tcPr>
            <w:tcW w:w="1380" w:type="dxa"/>
            <w:shd w:val="clear" w:color="auto" w:fill="FFFFFF"/>
            <w:vAlign w:val="center"/>
          </w:tcPr>
          <w:p w14:paraId="70A77EC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0B2E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70F33F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87</w:t>
            </w:r>
          </w:p>
        </w:tc>
        <w:tc>
          <w:tcPr>
            <w:tcW w:w="981" w:type="dxa"/>
            <w:shd w:val="clear" w:color="auto" w:fill="FFFFFF"/>
            <w:vAlign w:val="center"/>
          </w:tcPr>
          <w:p w14:paraId="3133D8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62575CD2">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54177F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安全启动</w:t>
            </w:r>
          </w:p>
        </w:tc>
        <w:tc>
          <w:tcPr>
            <w:tcW w:w="4137" w:type="dxa"/>
            <w:shd w:val="clear" w:color="auto" w:fill="FFFFFF"/>
            <w:vAlign w:val="center"/>
          </w:tcPr>
          <w:p w14:paraId="280E687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支持执行环境要求在整个系统启动的过程中，系统应提供一个机制来保护平台的完整性</w:t>
            </w:r>
          </w:p>
        </w:tc>
        <w:tc>
          <w:tcPr>
            <w:tcW w:w="1380" w:type="dxa"/>
            <w:shd w:val="clear" w:color="auto" w:fill="FFFFFF"/>
            <w:vAlign w:val="center"/>
          </w:tcPr>
          <w:p w14:paraId="632017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E911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29" w:type="dxa"/>
            <w:shd w:val="clear" w:color="auto" w:fill="FFFFFF"/>
            <w:vAlign w:val="center"/>
          </w:tcPr>
          <w:p w14:paraId="2A4D9D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88</w:t>
            </w:r>
          </w:p>
        </w:tc>
        <w:tc>
          <w:tcPr>
            <w:tcW w:w="981" w:type="dxa"/>
            <w:shd w:val="clear" w:color="auto" w:fill="FFFFFF"/>
            <w:vAlign w:val="center"/>
          </w:tcPr>
          <w:p w14:paraId="7471A3B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restart"/>
            <w:shd w:val="clear" w:color="auto" w:fill="FFFFFF"/>
            <w:vAlign w:val="center"/>
          </w:tcPr>
          <w:p w14:paraId="5BC191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系统安全要求</w:t>
            </w:r>
          </w:p>
        </w:tc>
        <w:tc>
          <w:tcPr>
            <w:tcW w:w="1206" w:type="dxa"/>
            <w:shd w:val="clear" w:color="auto" w:fill="FFFFFF"/>
            <w:vAlign w:val="center"/>
          </w:tcPr>
          <w:p w14:paraId="7BC9213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syslog双向鉴别</w:t>
            </w:r>
          </w:p>
        </w:tc>
        <w:tc>
          <w:tcPr>
            <w:tcW w:w="4137" w:type="dxa"/>
            <w:shd w:val="clear" w:color="auto" w:fill="FFFFFF"/>
            <w:vAlign w:val="center"/>
          </w:tcPr>
          <w:p w14:paraId="4A3230D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支持系统日志双向鉴别，对服务器根证书和客户端根证书进行鉴别</w:t>
            </w:r>
          </w:p>
        </w:tc>
        <w:tc>
          <w:tcPr>
            <w:tcW w:w="1380" w:type="dxa"/>
            <w:shd w:val="clear" w:color="auto" w:fill="FFFFFF"/>
            <w:vAlign w:val="center"/>
          </w:tcPr>
          <w:p w14:paraId="7DED268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B371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715BBB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89</w:t>
            </w:r>
          </w:p>
        </w:tc>
        <w:tc>
          <w:tcPr>
            <w:tcW w:w="981" w:type="dxa"/>
            <w:shd w:val="clear" w:color="auto" w:fill="FFFFFF"/>
            <w:vAlign w:val="center"/>
          </w:tcPr>
          <w:p w14:paraId="0D7D620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7E929993">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B22570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★弱口令字典检查</w:t>
            </w:r>
          </w:p>
        </w:tc>
        <w:tc>
          <w:tcPr>
            <w:tcW w:w="4137" w:type="dxa"/>
            <w:shd w:val="clear" w:color="auto" w:fill="FFFFFF"/>
            <w:vAlign w:val="center"/>
          </w:tcPr>
          <w:p w14:paraId="2B8B672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支持弱口令字典检查功能，出现在弱口令字典中的字符串不能被设置为用户口令</w:t>
            </w:r>
          </w:p>
        </w:tc>
        <w:tc>
          <w:tcPr>
            <w:tcW w:w="1380" w:type="dxa"/>
            <w:shd w:val="clear" w:color="auto" w:fill="FFFFFF"/>
            <w:vAlign w:val="center"/>
          </w:tcPr>
          <w:p w14:paraId="02DD55A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122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4F4C4C5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90</w:t>
            </w:r>
          </w:p>
        </w:tc>
        <w:tc>
          <w:tcPr>
            <w:tcW w:w="981" w:type="dxa"/>
            <w:shd w:val="clear" w:color="auto" w:fill="FFFFFF"/>
            <w:vAlign w:val="center"/>
          </w:tcPr>
          <w:p w14:paraId="71C5DF8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6E60A823">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19EC2A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★白名单访问控制</w:t>
            </w:r>
          </w:p>
        </w:tc>
        <w:tc>
          <w:tcPr>
            <w:tcW w:w="4137" w:type="dxa"/>
            <w:shd w:val="clear" w:color="auto" w:fill="FFFFFF"/>
            <w:vAlign w:val="center"/>
          </w:tcPr>
          <w:p w14:paraId="7331ACF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支持基于时间、IP或MAC白名单访问控制</w:t>
            </w:r>
          </w:p>
        </w:tc>
        <w:tc>
          <w:tcPr>
            <w:tcW w:w="1380" w:type="dxa"/>
            <w:shd w:val="clear" w:color="auto" w:fill="FFFFFF"/>
            <w:vAlign w:val="center"/>
          </w:tcPr>
          <w:p w14:paraId="64011A5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0FC2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3D1790C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91</w:t>
            </w:r>
          </w:p>
        </w:tc>
        <w:tc>
          <w:tcPr>
            <w:tcW w:w="981" w:type="dxa"/>
            <w:shd w:val="clear" w:color="auto" w:fill="FFFFFF"/>
            <w:vAlign w:val="center"/>
          </w:tcPr>
          <w:p w14:paraId="31957B7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08DD06B5">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C6B526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双因素鉴别</w:t>
            </w:r>
          </w:p>
        </w:tc>
        <w:tc>
          <w:tcPr>
            <w:tcW w:w="4137" w:type="dxa"/>
            <w:shd w:val="clear" w:color="auto" w:fill="FFFFFF"/>
            <w:vAlign w:val="center"/>
          </w:tcPr>
          <w:p w14:paraId="6C41BFF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支持使用客户端证书和证书密码的双因素鉴别方式登录管理系统</w:t>
            </w:r>
          </w:p>
        </w:tc>
        <w:tc>
          <w:tcPr>
            <w:tcW w:w="1380" w:type="dxa"/>
            <w:shd w:val="clear" w:color="auto" w:fill="FFFFFF"/>
            <w:vAlign w:val="center"/>
          </w:tcPr>
          <w:p w14:paraId="6BC548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F26B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29" w:type="dxa"/>
            <w:shd w:val="clear" w:color="auto" w:fill="FFFFFF"/>
            <w:vAlign w:val="center"/>
          </w:tcPr>
          <w:p w14:paraId="5501B41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92</w:t>
            </w:r>
          </w:p>
        </w:tc>
        <w:tc>
          <w:tcPr>
            <w:tcW w:w="981" w:type="dxa"/>
            <w:shd w:val="clear" w:color="auto" w:fill="FFFFFF"/>
            <w:vAlign w:val="center"/>
          </w:tcPr>
          <w:p w14:paraId="042005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67A2E9CC">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B60E17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★二次鉴别</w:t>
            </w:r>
          </w:p>
        </w:tc>
        <w:tc>
          <w:tcPr>
            <w:tcW w:w="4137" w:type="dxa"/>
            <w:shd w:val="clear" w:color="auto" w:fill="FFFFFF"/>
            <w:vAlign w:val="center"/>
          </w:tcPr>
          <w:p w14:paraId="04E5005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支持二次鉴别功能。对于用户配置、权限配置、公钥导入等重要的管理操作，已登录用户应通过二次鉴别后，才能执行操作</w:t>
            </w:r>
          </w:p>
        </w:tc>
        <w:tc>
          <w:tcPr>
            <w:tcW w:w="1380" w:type="dxa"/>
            <w:shd w:val="clear" w:color="auto" w:fill="FFFFFF"/>
            <w:vAlign w:val="center"/>
          </w:tcPr>
          <w:p w14:paraId="58388BA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ACF1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29" w:type="dxa"/>
            <w:shd w:val="clear" w:color="auto" w:fill="FFFFFF"/>
            <w:vAlign w:val="center"/>
          </w:tcPr>
          <w:p w14:paraId="38DA3EE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93</w:t>
            </w:r>
          </w:p>
        </w:tc>
        <w:tc>
          <w:tcPr>
            <w:tcW w:w="981" w:type="dxa"/>
            <w:shd w:val="clear" w:color="auto" w:fill="FFFFFF"/>
            <w:vAlign w:val="center"/>
          </w:tcPr>
          <w:p w14:paraId="05CB120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492CDC19">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4ACC0A3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匿名化用户告警接收邮箱</w:t>
            </w:r>
          </w:p>
        </w:tc>
        <w:tc>
          <w:tcPr>
            <w:tcW w:w="4137" w:type="dxa"/>
            <w:shd w:val="clear" w:color="auto" w:fill="FFFFFF"/>
            <w:vAlign w:val="center"/>
          </w:tcPr>
          <w:p w14:paraId="78EA977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支持带外管理系统中的用户告警接收邮箱进行匿名化处理</w:t>
            </w:r>
          </w:p>
        </w:tc>
        <w:tc>
          <w:tcPr>
            <w:tcW w:w="1380" w:type="dxa"/>
            <w:shd w:val="clear" w:color="auto" w:fill="FFFFFF"/>
            <w:vAlign w:val="center"/>
          </w:tcPr>
          <w:p w14:paraId="2880CE6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F9A3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29" w:type="dxa"/>
            <w:shd w:val="clear" w:color="auto" w:fill="FFFFFF"/>
            <w:vAlign w:val="center"/>
          </w:tcPr>
          <w:p w14:paraId="573953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94</w:t>
            </w:r>
          </w:p>
        </w:tc>
        <w:tc>
          <w:tcPr>
            <w:tcW w:w="981" w:type="dxa"/>
            <w:shd w:val="clear" w:color="auto" w:fill="FFFFFF"/>
            <w:vAlign w:val="center"/>
          </w:tcPr>
          <w:p w14:paraId="4696A3D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67A19E2B">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880CED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★密码证书安全加密存储</w:t>
            </w:r>
          </w:p>
        </w:tc>
        <w:tc>
          <w:tcPr>
            <w:tcW w:w="4137" w:type="dxa"/>
            <w:shd w:val="clear" w:color="auto" w:fill="FFFFFF"/>
            <w:vAlign w:val="center"/>
          </w:tcPr>
          <w:p w14:paraId="7994F6D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支持对带外管理系统中的用户口令和证书等敏感信息进行加密存储，禁止使用私有的和业界已知不安全的密码算法</w:t>
            </w:r>
          </w:p>
        </w:tc>
        <w:tc>
          <w:tcPr>
            <w:tcW w:w="1380" w:type="dxa"/>
            <w:shd w:val="clear" w:color="auto" w:fill="FFFFFF"/>
            <w:vAlign w:val="center"/>
          </w:tcPr>
          <w:p w14:paraId="7D272F9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6F24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29" w:type="dxa"/>
            <w:shd w:val="clear" w:color="auto" w:fill="FFFFFF"/>
            <w:vAlign w:val="center"/>
          </w:tcPr>
          <w:p w14:paraId="0682426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95</w:t>
            </w:r>
          </w:p>
        </w:tc>
        <w:tc>
          <w:tcPr>
            <w:tcW w:w="981" w:type="dxa"/>
            <w:shd w:val="clear" w:color="auto" w:fill="FFFFFF"/>
            <w:vAlign w:val="center"/>
          </w:tcPr>
          <w:p w14:paraId="1EA8A8E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4E6F823A">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9712C9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★敏感信息安全加密传输</w:t>
            </w:r>
          </w:p>
        </w:tc>
        <w:tc>
          <w:tcPr>
            <w:tcW w:w="4137" w:type="dxa"/>
            <w:shd w:val="clear" w:color="auto" w:fill="FFFFFF"/>
            <w:vAlign w:val="center"/>
          </w:tcPr>
          <w:p w14:paraId="732DC16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支持使用安全的传输加密协议（如SSH或HTTPS等）传输用户的敏感信息</w:t>
            </w:r>
          </w:p>
        </w:tc>
        <w:tc>
          <w:tcPr>
            <w:tcW w:w="1380" w:type="dxa"/>
            <w:shd w:val="clear" w:color="auto" w:fill="FFFFFF"/>
            <w:vAlign w:val="center"/>
          </w:tcPr>
          <w:p w14:paraId="111853D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4D4B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29" w:type="dxa"/>
            <w:shd w:val="clear" w:color="auto" w:fill="FFFFFF"/>
            <w:vAlign w:val="center"/>
          </w:tcPr>
          <w:p w14:paraId="12FB34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96</w:t>
            </w:r>
          </w:p>
        </w:tc>
        <w:tc>
          <w:tcPr>
            <w:tcW w:w="981" w:type="dxa"/>
            <w:shd w:val="clear" w:color="auto" w:fill="FFFFFF"/>
            <w:vAlign w:val="center"/>
          </w:tcPr>
          <w:p w14:paraId="33C2630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restart"/>
            <w:shd w:val="clear" w:color="auto" w:fill="FFFFFF"/>
            <w:vAlign w:val="center"/>
          </w:tcPr>
          <w:p w14:paraId="0D7A92B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信息安全要求</w:t>
            </w:r>
          </w:p>
        </w:tc>
        <w:tc>
          <w:tcPr>
            <w:tcW w:w="1206" w:type="dxa"/>
            <w:shd w:val="clear" w:color="auto" w:fill="FFFFFF"/>
            <w:vAlign w:val="center"/>
          </w:tcPr>
          <w:p w14:paraId="525C6FD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★研发过程安全</w:t>
            </w:r>
          </w:p>
        </w:tc>
        <w:tc>
          <w:tcPr>
            <w:tcW w:w="4137" w:type="dxa"/>
            <w:shd w:val="clear" w:color="auto" w:fill="FFFFFF"/>
            <w:vAlign w:val="center"/>
          </w:tcPr>
          <w:p w14:paraId="68069FD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供应商承诺，生产商已建立从需求、设计、开发、测试、维护端到端的开发流程管理机制，输出和保存开发流程中每个阶段的产品需求清单、设计文档、开发文档、测试记录等材料，保证各个流程可追溯</w:t>
            </w:r>
            <w:r>
              <w:rPr>
                <w:rFonts w:hint="eastAsia"/>
                <w:b/>
                <w:bCs/>
              </w:rPr>
              <w:t>（需提供加盖投标人公章的承诺书</w:t>
            </w:r>
            <w:r>
              <w:rPr>
                <w:rFonts w:hint="eastAsia"/>
                <w:b/>
                <w:bCs/>
                <w:lang w:eastAsia="zh-CN"/>
              </w:rPr>
              <w:t>）</w:t>
            </w:r>
          </w:p>
        </w:tc>
        <w:tc>
          <w:tcPr>
            <w:tcW w:w="1380" w:type="dxa"/>
            <w:shd w:val="clear" w:color="auto" w:fill="FFFFFF"/>
            <w:vAlign w:val="center"/>
          </w:tcPr>
          <w:p w14:paraId="037CFCF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4A40F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29" w:type="dxa"/>
            <w:shd w:val="clear" w:color="auto" w:fill="FFFFFF"/>
            <w:vAlign w:val="center"/>
          </w:tcPr>
          <w:p w14:paraId="242607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97</w:t>
            </w:r>
          </w:p>
        </w:tc>
        <w:tc>
          <w:tcPr>
            <w:tcW w:w="981" w:type="dxa"/>
            <w:shd w:val="clear" w:color="auto" w:fill="FFFFFF"/>
            <w:vAlign w:val="center"/>
          </w:tcPr>
          <w:p w14:paraId="728B67E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23ECD01B">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34F997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漏洞管理</w:t>
            </w:r>
          </w:p>
        </w:tc>
        <w:tc>
          <w:tcPr>
            <w:tcW w:w="4137" w:type="dxa"/>
            <w:shd w:val="clear" w:color="auto" w:fill="FFFFFF"/>
            <w:vAlign w:val="center"/>
          </w:tcPr>
          <w:p w14:paraId="2BFCC1F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供应商承诺，生产商已建立漏洞全量视图，保证产品版本涉及到的所有漏洞（如驱动程序、BMC软件等）都可以查看</w:t>
            </w:r>
            <w:r>
              <w:rPr>
                <w:rFonts w:hint="eastAsia"/>
                <w:b/>
                <w:bCs/>
              </w:rPr>
              <w:t>（需提供加盖投标人公章的承诺书</w:t>
            </w:r>
            <w:r>
              <w:rPr>
                <w:rFonts w:hint="eastAsia"/>
                <w:b/>
                <w:bCs/>
                <w:lang w:eastAsia="zh-CN"/>
              </w:rPr>
              <w:t>）</w:t>
            </w:r>
          </w:p>
        </w:tc>
        <w:tc>
          <w:tcPr>
            <w:tcW w:w="1380" w:type="dxa"/>
            <w:shd w:val="clear" w:color="auto" w:fill="FFFFFF"/>
            <w:vAlign w:val="center"/>
          </w:tcPr>
          <w:p w14:paraId="70FEC30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59655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29" w:type="dxa"/>
            <w:shd w:val="clear" w:color="auto" w:fill="FFFFFF"/>
            <w:vAlign w:val="center"/>
          </w:tcPr>
          <w:p w14:paraId="21D2802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98</w:t>
            </w:r>
          </w:p>
        </w:tc>
        <w:tc>
          <w:tcPr>
            <w:tcW w:w="981" w:type="dxa"/>
            <w:shd w:val="clear" w:color="auto" w:fill="FFFFFF"/>
            <w:vAlign w:val="center"/>
          </w:tcPr>
          <w:p w14:paraId="364806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353D6E5A">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1D7A48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网络关键设备服务器要求</w:t>
            </w:r>
          </w:p>
        </w:tc>
        <w:tc>
          <w:tcPr>
            <w:tcW w:w="4137" w:type="dxa"/>
            <w:shd w:val="clear" w:color="auto" w:fill="FFFFFF"/>
            <w:vAlign w:val="center"/>
          </w:tcPr>
          <w:p w14:paraId="617935B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作为网络关键设备的服务器应符合GB40050的相关规定</w:t>
            </w:r>
          </w:p>
        </w:tc>
        <w:tc>
          <w:tcPr>
            <w:tcW w:w="1380" w:type="dxa"/>
            <w:shd w:val="clear" w:color="auto" w:fill="FFFFFF"/>
            <w:vAlign w:val="center"/>
          </w:tcPr>
          <w:p w14:paraId="3A8E11F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5294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76" w:hRule="atLeast"/>
        </w:trPr>
        <w:tc>
          <w:tcPr>
            <w:tcW w:w="729" w:type="dxa"/>
            <w:shd w:val="clear" w:color="auto" w:fill="FFFFFF"/>
            <w:vAlign w:val="center"/>
          </w:tcPr>
          <w:p w14:paraId="2CA06D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99</w:t>
            </w:r>
          </w:p>
        </w:tc>
        <w:tc>
          <w:tcPr>
            <w:tcW w:w="981" w:type="dxa"/>
            <w:shd w:val="clear" w:color="auto" w:fill="FFFFFF"/>
            <w:vAlign w:val="center"/>
          </w:tcPr>
          <w:p w14:paraId="0304F01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23237ABD">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37BE4B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增强要求</w:t>
            </w:r>
          </w:p>
        </w:tc>
        <w:tc>
          <w:tcPr>
            <w:tcW w:w="4137" w:type="dxa"/>
            <w:shd w:val="clear" w:color="auto" w:fill="FFFFFF"/>
            <w:vAlign w:val="center"/>
          </w:tcPr>
          <w:p w14:paraId="7BC1973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嵌入物理可信根，实现设备的信任链构建；b）支持可信平台控制模块（TPCM）；c）支持在固件系统（BMC、BIOS）启动前实现对固件度量的功能，支持物理可信根对BMC固件或BIOS固件进行完整性检测、更新和恢复；d）支持对CPU、网络控制器等关键处理器进行身份识别与度量的功能；e）支持基于处理器或可信计算模块度量的功能；f）所采用的可信密码模块接口应符合GM/T0012的相关规定；g）可信安全管理模块、处理器等硬件载体应通过国家相关部门的认证和许可</w:t>
            </w:r>
          </w:p>
        </w:tc>
        <w:tc>
          <w:tcPr>
            <w:tcW w:w="1380" w:type="dxa"/>
            <w:shd w:val="clear" w:color="auto" w:fill="FFFFFF"/>
            <w:vAlign w:val="center"/>
          </w:tcPr>
          <w:p w14:paraId="632DF3F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A056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729" w:type="dxa"/>
            <w:shd w:val="clear" w:color="auto" w:fill="FFFFFF"/>
            <w:vAlign w:val="center"/>
          </w:tcPr>
          <w:p w14:paraId="490EAF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100</w:t>
            </w:r>
          </w:p>
        </w:tc>
        <w:tc>
          <w:tcPr>
            <w:tcW w:w="981" w:type="dxa"/>
            <w:shd w:val="clear" w:color="auto" w:fill="FFFFFF"/>
            <w:vAlign w:val="center"/>
          </w:tcPr>
          <w:p w14:paraId="2163197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shd w:val="clear" w:color="auto" w:fill="FFFFFF"/>
            <w:vAlign w:val="center"/>
          </w:tcPr>
          <w:p w14:paraId="6F28E3E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物理安全</w:t>
            </w:r>
          </w:p>
        </w:tc>
        <w:tc>
          <w:tcPr>
            <w:tcW w:w="1206" w:type="dxa"/>
            <w:shd w:val="clear" w:color="auto" w:fill="FFFFFF"/>
            <w:vAlign w:val="center"/>
          </w:tcPr>
          <w:p w14:paraId="52C3687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★物理安全</w:t>
            </w:r>
          </w:p>
        </w:tc>
        <w:tc>
          <w:tcPr>
            <w:tcW w:w="4137" w:type="dxa"/>
            <w:shd w:val="clear" w:color="auto" w:fill="FFFFFF"/>
            <w:vAlign w:val="center"/>
          </w:tcPr>
          <w:p w14:paraId="65EA230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安全要求应符合GB4943.1的规定</w:t>
            </w:r>
          </w:p>
        </w:tc>
        <w:tc>
          <w:tcPr>
            <w:tcW w:w="1380" w:type="dxa"/>
            <w:shd w:val="clear" w:color="auto" w:fill="FFFFFF"/>
            <w:vAlign w:val="center"/>
          </w:tcPr>
          <w:p w14:paraId="31DEF4A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0ABE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4FE3A2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101</w:t>
            </w:r>
          </w:p>
        </w:tc>
        <w:tc>
          <w:tcPr>
            <w:tcW w:w="981" w:type="dxa"/>
            <w:shd w:val="clear" w:color="auto" w:fill="FFFFFF"/>
            <w:vAlign w:val="center"/>
          </w:tcPr>
          <w:p w14:paraId="09F4ED2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shd w:val="clear" w:color="auto" w:fill="FFFFFF"/>
            <w:vAlign w:val="center"/>
          </w:tcPr>
          <w:p w14:paraId="7542BA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限用物质的限量要求</w:t>
            </w:r>
          </w:p>
        </w:tc>
        <w:tc>
          <w:tcPr>
            <w:tcW w:w="1206" w:type="dxa"/>
            <w:shd w:val="clear" w:color="auto" w:fill="FFFFFF"/>
            <w:vAlign w:val="center"/>
          </w:tcPr>
          <w:p w14:paraId="0ED375F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★限用物质的限量要求</w:t>
            </w:r>
          </w:p>
        </w:tc>
        <w:tc>
          <w:tcPr>
            <w:tcW w:w="4137" w:type="dxa"/>
            <w:shd w:val="clear" w:color="auto" w:fill="FFFFFF"/>
            <w:vAlign w:val="center"/>
          </w:tcPr>
          <w:p w14:paraId="272A8E0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限用物质的限量应符合GB/T26572的要求</w:t>
            </w:r>
          </w:p>
        </w:tc>
        <w:tc>
          <w:tcPr>
            <w:tcW w:w="1380" w:type="dxa"/>
            <w:shd w:val="clear" w:color="auto" w:fill="FFFFFF"/>
            <w:vAlign w:val="center"/>
          </w:tcPr>
          <w:p w14:paraId="65C11CB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BEB4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729" w:type="dxa"/>
            <w:shd w:val="clear" w:color="auto" w:fill="FFFFFF"/>
            <w:vAlign w:val="center"/>
          </w:tcPr>
          <w:p w14:paraId="079360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102</w:t>
            </w:r>
          </w:p>
        </w:tc>
        <w:tc>
          <w:tcPr>
            <w:tcW w:w="981" w:type="dxa"/>
            <w:shd w:val="clear" w:color="auto" w:fill="FFFFFF"/>
            <w:vAlign w:val="center"/>
          </w:tcPr>
          <w:p w14:paraId="72174D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restart"/>
            <w:shd w:val="clear" w:color="auto" w:fill="FFFFFF"/>
            <w:vAlign w:val="center"/>
          </w:tcPr>
          <w:p w14:paraId="1C93D3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CPU性能</w:t>
            </w:r>
          </w:p>
        </w:tc>
        <w:tc>
          <w:tcPr>
            <w:tcW w:w="1206" w:type="dxa"/>
            <w:shd w:val="clear" w:color="auto" w:fill="FFFFFF"/>
            <w:vAlign w:val="center"/>
          </w:tcPr>
          <w:p w14:paraId="6C8C4A1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★CPU主频</w:t>
            </w:r>
          </w:p>
        </w:tc>
        <w:tc>
          <w:tcPr>
            <w:tcW w:w="4137" w:type="dxa"/>
            <w:shd w:val="clear" w:color="auto" w:fill="FFFFFF"/>
            <w:vAlign w:val="center"/>
          </w:tcPr>
          <w:p w14:paraId="263D2C9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≥2.2GHz</w:t>
            </w:r>
          </w:p>
        </w:tc>
        <w:tc>
          <w:tcPr>
            <w:tcW w:w="1380" w:type="dxa"/>
            <w:shd w:val="clear" w:color="auto" w:fill="FFFFFF"/>
            <w:vAlign w:val="center"/>
          </w:tcPr>
          <w:p w14:paraId="50131F9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A6B6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1814D6F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103</w:t>
            </w:r>
          </w:p>
        </w:tc>
        <w:tc>
          <w:tcPr>
            <w:tcW w:w="981" w:type="dxa"/>
            <w:shd w:val="clear" w:color="auto" w:fill="FFFFFF"/>
            <w:vAlign w:val="center"/>
          </w:tcPr>
          <w:p w14:paraId="0D61160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continue"/>
            <w:shd w:val="clear" w:color="auto" w:fill="FFFFFF"/>
            <w:vAlign w:val="center"/>
          </w:tcPr>
          <w:p w14:paraId="185F7E9B">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5644EE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★单CPU核数</w:t>
            </w:r>
          </w:p>
        </w:tc>
        <w:tc>
          <w:tcPr>
            <w:tcW w:w="4137" w:type="dxa"/>
            <w:shd w:val="clear" w:color="auto" w:fill="FFFFFF"/>
            <w:vAlign w:val="center"/>
          </w:tcPr>
          <w:p w14:paraId="585FD3B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≥24核；</w:t>
            </w:r>
            <w:r>
              <w:rPr>
                <w:rFonts w:hint="eastAsia" w:asciiTheme="minorEastAsia" w:hAnsiTheme="minorEastAsia" w:eastAsiaTheme="minorEastAsia" w:cstheme="minorEastAsia"/>
                <w:sz w:val="24"/>
              </w:rPr>
              <w:t>≥2颗</w:t>
            </w:r>
          </w:p>
        </w:tc>
        <w:tc>
          <w:tcPr>
            <w:tcW w:w="1380" w:type="dxa"/>
            <w:shd w:val="clear" w:color="auto" w:fill="FFFFFF"/>
            <w:vAlign w:val="center"/>
          </w:tcPr>
          <w:p w14:paraId="2F4047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846C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57D483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104</w:t>
            </w:r>
          </w:p>
        </w:tc>
        <w:tc>
          <w:tcPr>
            <w:tcW w:w="981" w:type="dxa"/>
            <w:shd w:val="clear" w:color="auto" w:fill="FFFFFF"/>
            <w:vAlign w:val="center"/>
          </w:tcPr>
          <w:p w14:paraId="16874D7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continue"/>
            <w:shd w:val="clear" w:color="auto" w:fill="FFFFFF"/>
            <w:vAlign w:val="center"/>
          </w:tcPr>
          <w:p w14:paraId="5570A77A">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78F213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★单CPU末级缓存容量</w:t>
            </w:r>
          </w:p>
        </w:tc>
        <w:tc>
          <w:tcPr>
            <w:tcW w:w="4137" w:type="dxa"/>
            <w:shd w:val="clear" w:color="auto" w:fill="FFFFFF"/>
            <w:vAlign w:val="center"/>
          </w:tcPr>
          <w:p w14:paraId="2236082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≥8MB</w:t>
            </w:r>
          </w:p>
        </w:tc>
        <w:tc>
          <w:tcPr>
            <w:tcW w:w="1380" w:type="dxa"/>
            <w:shd w:val="clear" w:color="auto" w:fill="FFFFFF"/>
            <w:vAlign w:val="center"/>
          </w:tcPr>
          <w:p w14:paraId="3207E6E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EC8C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03" w:hRule="atLeast"/>
        </w:trPr>
        <w:tc>
          <w:tcPr>
            <w:tcW w:w="729" w:type="dxa"/>
            <w:shd w:val="clear" w:color="auto" w:fill="FFFFFF"/>
            <w:vAlign w:val="center"/>
          </w:tcPr>
          <w:p w14:paraId="626ADA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105</w:t>
            </w:r>
          </w:p>
        </w:tc>
        <w:tc>
          <w:tcPr>
            <w:tcW w:w="981" w:type="dxa"/>
            <w:shd w:val="clear" w:color="auto" w:fill="FFFFFF"/>
            <w:vAlign w:val="center"/>
          </w:tcPr>
          <w:p w14:paraId="3718DC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restart"/>
            <w:shd w:val="clear" w:color="auto" w:fill="FFFFFF"/>
            <w:vAlign w:val="center"/>
          </w:tcPr>
          <w:p w14:paraId="616885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内存性能</w:t>
            </w:r>
          </w:p>
        </w:tc>
        <w:tc>
          <w:tcPr>
            <w:tcW w:w="1206" w:type="dxa"/>
            <w:shd w:val="clear" w:color="auto" w:fill="FFFFFF"/>
            <w:vAlign w:val="center"/>
          </w:tcPr>
          <w:p w14:paraId="079E514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★单内存模块容量</w:t>
            </w:r>
          </w:p>
        </w:tc>
        <w:tc>
          <w:tcPr>
            <w:tcW w:w="4137" w:type="dxa"/>
            <w:shd w:val="clear" w:color="auto" w:fill="FFFFFF"/>
            <w:vAlign w:val="center"/>
          </w:tcPr>
          <w:p w14:paraId="28C7B1E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≥32GB；</w:t>
            </w:r>
          </w:p>
        </w:tc>
        <w:tc>
          <w:tcPr>
            <w:tcW w:w="1380" w:type="dxa"/>
            <w:shd w:val="clear" w:color="auto" w:fill="FFFFFF"/>
            <w:vAlign w:val="center"/>
          </w:tcPr>
          <w:p w14:paraId="1D577FD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EC95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729" w:type="dxa"/>
            <w:shd w:val="clear" w:color="auto" w:fill="FFFFFF"/>
            <w:vAlign w:val="center"/>
          </w:tcPr>
          <w:p w14:paraId="70D8B9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106</w:t>
            </w:r>
          </w:p>
        </w:tc>
        <w:tc>
          <w:tcPr>
            <w:tcW w:w="981" w:type="dxa"/>
            <w:shd w:val="clear" w:color="auto" w:fill="FFFFFF"/>
            <w:vAlign w:val="center"/>
          </w:tcPr>
          <w:p w14:paraId="3E7FC5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continue"/>
            <w:shd w:val="clear" w:color="auto" w:fill="FFFFFF"/>
            <w:vAlign w:val="center"/>
          </w:tcPr>
          <w:p w14:paraId="0EA932D8">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8B90AB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★内存速率</w:t>
            </w:r>
          </w:p>
        </w:tc>
        <w:tc>
          <w:tcPr>
            <w:tcW w:w="4137" w:type="dxa"/>
            <w:shd w:val="clear" w:color="auto" w:fill="FFFFFF"/>
            <w:vAlign w:val="center"/>
          </w:tcPr>
          <w:p w14:paraId="7348396D">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≥3200MT/s</w:t>
            </w:r>
          </w:p>
        </w:tc>
        <w:tc>
          <w:tcPr>
            <w:tcW w:w="1380" w:type="dxa"/>
            <w:shd w:val="clear" w:color="auto" w:fill="FFFFFF"/>
            <w:vAlign w:val="center"/>
          </w:tcPr>
          <w:p w14:paraId="0CD88F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6374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29" w:type="dxa"/>
            <w:shd w:val="clear" w:color="auto" w:fill="FFFFFF"/>
            <w:vAlign w:val="center"/>
          </w:tcPr>
          <w:p w14:paraId="7A755E2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107</w:t>
            </w:r>
          </w:p>
        </w:tc>
        <w:tc>
          <w:tcPr>
            <w:tcW w:w="981" w:type="dxa"/>
            <w:shd w:val="clear" w:color="auto" w:fill="FFFFFF"/>
            <w:vAlign w:val="center"/>
          </w:tcPr>
          <w:p w14:paraId="07951F4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shd w:val="clear" w:color="auto" w:fill="FFFFFF"/>
            <w:vAlign w:val="center"/>
          </w:tcPr>
          <w:p w14:paraId="1F4551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存储性能</w:t>
            </w:r>
          </w:p>
        </w:tc>
        <w:tc>
          <w:tcPr>
            <w:tcW w:w="1206" w:type="dxa"/>
            <w:shd w:val="clear" w:color="auto" w:fill="FFFFFF"/>
            <w:vAlign w:val="center"/>
          </w:tcPr>
          <w:p w14:paraId="0A8203F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硬盘转速</w:t>
            </w:r>
          </w:p>
        </w:tc>
        <w:tc>
          <w:tcPr>
            <w:tcW w:w="4137" w:type="dxa"/>
            <w:shd w:val="clear" w:color="auto" w:fill="FFFFFF"/>
            <w:vAlign w:val="center"/>
          </w:tcPr>
          <w:p w14:paraId="0B8111E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安装的硬磁盘转速不小于7200rpm</w:t>
            </w:r>
          </w:p>
        </w:tc>
        <w:tc>
          <w:tcPr>
            <w:tcW w:w="1380" w:type="dxa"/>
            <w:shd w:val="clear" w:color="auto" w:fill="FFFFFF"/>
            <w:vAlign w:val="center"/>
          </w:tcPr>
          <w:p w14:paraId="5688C3F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AFC2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65063B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108</w:t>
            </w:r>
          </w:p>
        </w:tc>
        <w:tc>
          <w:tcPr>
            <w:tcW w:w="981" w:type="dxa"/>
            <w:shd w:val="clear" w:color="auto" w:fill="FFFFFF"/>
            <w:vAlign w:val="center"/>
          </w:tcPr>
          <w:p w14:paraId="5CEE465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shd w:val="clear" w:color="auto" w:fill="FFFFFF"/>
            <w:vAlign w:val="center"/>
          </w:tcPr>
          <w:p w14:paraId="674564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RAID卡性能</w:t>
            </w:r>
          </w:p>
        </w:tc>
        <w:tc>
          <w:tcPr>
            <w:tcW w:w="1206" w:type="dxa"/>
            <w:shd w:val="clear" w:color="auto" w:fill="FFFFFF"/>
            <w:vAlign w:val="center"/>
          </w:tcPr>
          <w:p w14:paraId="2DE9539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RAID卡缓存容量大小</w:t>
            </w:r>
          </w:p>
        </w:tc>
        <w:tc>
          <w:tcPr>
            <w:tcW w:w="4137" w:type="dxa"/>
            <w:shd w:val="clear" w:color="auto" w:fill="FFFFFF"/>
            <w:vAlign w:val="center"/>
          </w:tcPr>
          <w:p w14:paraId="1A403DD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≥2GB</w:t>
            </w:r>
          </w:p>
        </w:tc>
        <w:tc>
          <w:tcPr>
            <w:tcW w:w="1380" w:type="dxa"/>
            <w:shd w:val="clear" w:color="auto" w:fill="FFFFFF"/>
            <w:vAlign w:val="center"/>
          </w:tcPr>
          <w:p w14:paraId="7A2252C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1D5D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1AF3469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109</w:t>
            </w:r>
          </w:p>
        </w:tc>
        <w:tc>
          <w:tcPr>
            <w:tcW w:w="981" w:type="dxa"/>
            <w:shd w:val="clear" w:color="auto" w:fill="FFFFFF"/>
            <w:vAlign w:val="center"/>
          </w:tcPr>
          <w:p w14:paraId="7AB0225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shd w:val="clear" w:color="auto" w:fill="FFFFFF"/>
            <w:vAlign w:val="center"/>
          </w:tcPr>
          <w:p w14:paraId="02001CC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FCHBA卡性能</w:t>
            </w:r>
          </w:p>
        </w:tc>
        <w:tc>
          <w:tcPr>
            <w:tcW w:w="1206" w:type="dxa"/>
            <w:shd w:val="clear" w:color="auto" w:fill="FFFFFF"/>
            <w:vAlign w:val="center"/>
          </w:tcPr>
          <w:p w14:paraId="7144630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FCHBA卡速率</w:t>
            </w:r>
          </w:p>
        </w:tc>
        <w:tc>
          <w:tcPr>
            <w:tcW w:w="4137" w:type="dxa"/>
            <w:shd w:val="clear" w:color="auto" w:fill="FFFFFF"/>
            <w:vAlign w:val="center"/>
          </w:tcPr>
          <w:p w14:paraId="02EBF2B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若配备FCHBA卡，单端口最大的连接速率≥8Gb/s（不涉及）</w:t>
            </w:r>
          </w:p>
        </w:tc>
        <w:tc>
          <w:tcPr>
            <w:tcW w:w="1380" w:type="dxa"/>
            <w:shd w:val="clear" w:color="auto" w:fill="FFFFFF"/>
            <w:vAlign w:val="center"/>
          </w:tcPr>
          <w:p w14:paraId="5C8DFFF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4E5B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1B6B186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110</w:t>
            </w:r>
          </w:p>
        </w:tc>
        <w:tc>
          <w:tcPr>
            <w:tcW w:w="981" w:type="dxa"/>
            <w:shd w:val="clear" w:color="auto" w:fill="FFFFFF"/>
            <w:vAlign w:val="center"/>
          </w:tcPr>
          <w:p w14:paraId="4B8B098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restart"/>
            <w:shd w:val="clear" w:color="auto" w:fill="FFFFFF"/>
            <w:vAlign w:val="center"/>
          </w:tcPr>
          <w:p w14:paraId="40890F5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网络性能</w:t>
            </w:r>
          </w:p>
        </w:tc>
        <w:tc>
          <w:tcPr>
            <w:tcW w:w="1206" w:type="dxa"/>
            <w:shd w:val="clear" w:color="auto" w:fill="FFFFFF"/>
            <w:vAlign w:val="center"/>
          </w:tcPr>
          <w:p w14:paraId="011831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独立网卡速率</w:t>
            </w:r>
          </w:p>
        </w:tc>
        <w:tc>
          <w:tcPr>
            <w:tcW w:w="4137" w:type="dxa"/>
            <w:shd w:val="clear" w:color="auto" w:fill="FFFFFF"/>
            <w:vAlign w:val="center"/>
          </w:tcPr>
          <w:p w14:paraId="726D242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端口速率≥10GE</w:t>
            </w:r>
          </w:p>
        </w:tc>
        <w:tc>
          <w:tcPr>
            <w:tcW w:w="1380" w:type="dxa"/>
            <w:shd w:val="clear" w:color="auto" w:fill="FFFFFF"/>
            <w:vAlign w:val="center"/>
          </w:tcPr>
          <w:p w14:paraId="1ABF97C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B90D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41E2A0F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111</w:t>
            </w:r>
          </w:p>
        </w:tc>
        <w:tc>
          <w:tcPr>
            <w:tcW w:w="981" w:type="dxa"/>
            <w:shd w:val="clear" w:color="auto" w:fill="FFFFFF"/>
            <w:vAlign w:val="center"/>
          </w:tcPr>
          <w:p w14:paraId="2FE0888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continue"/>
            <w:shd w:val="clear" w:color="auto" w:fill="FFFFFF"/>
            <w:vAlign w:val="center"/>
          </w:tcPr>
          <w:p w14:paraId="7255FAE3">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0A2B7D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板载网卡速率</w:t>
            </w:r>
          </w:p>
        </w:tc>
        <w:tc>
          <w:tcPr>
            <w:tcW w:w="4137" w:type="dxa"/>
            <w:shd w:val="clear" w:color="auto" w:fill="FFFFFF"/>
            <w:vAlign w:val="center"/>
          </w:tcPr>
          <w:p w14:paraId="0CCDF39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端口速率≥1GE</w:t>
            </w:r>
          </w:p>
        </w:tc>
        <w:tc>
          <w:tcPr>
            <w:tcW w:w="1380" w:type="dxa"/>
            <w:shd w:val="clear" w:color="auto" w:fill="FFFFFF"/>
            <w:vAlign w:val="center"/>
          </w:tcPr>
          <w:p w14:paraId="25D42EB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9802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29" w:type="dxa"/>
            <w:shd w:val="clear" w:color="auto" w:fill="FFFFFF"/>
            <w:vAlign w:val="center"/>
          </w:tcPr>
          <w:p w14:paraId="4EE929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112</w:t>
            </w:r>
          </w:p>
        </w:tc>
        <w:tc>
          <w:tcPr>
            <w:tcW w:w="981" w:type="dxa"/>
            <w:shd w:val="clear" w:color="auto" w:fill="FFFFFF"/>
            <w:vAlign w:val="center"/>
          </w:tcPr>
          <w:p w14:paraId="579F21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shd w:val="clear" w:color="auto" w:fill="FFFFFF"/>
            <w:vAlign w:val="center"/>
          </w:tcPr>
          <w:p w14:paraId="1A18BA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电源能耗</w:t>
            </w:r>
          </w:p>
        </w:tc>
        <w:tc>
          <w:tcPr>
            <w:tcW w:w="1206" w:type="dxa"/>
            <w:shd w:val="clear" w:color="auto" w:fill="FFFFFF"/>
            <w:vAlign w:val="center"/>
          </w:tcPr>
          <w:p w14:paraId="679A7B6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★电源能耗</w:t>
            </w:r>
          </w:p>
        </w:tc>
        <w:tc>
          <w:tcPr>
            <w:tcW w:w="4137" w:type="dxa"/>
            <w:shd w:val="clear" w:color="auto" w:fill="FFFFFF"/>
            <w:vAlign w:val="center"/>
          </w:tcPr>
          <w:p w14:paraId="0B2A3A0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符合GB/T9813.3的有关规定</w:t>
            </w:r>
          </w:p>
        </w:tc>
        <w:tc>
          <w:tcPr>
            <w:tcW w:w="1380" w:type="dxa"/>
            <w:shd w:val="clear" w:color="auto" w:fill="FFFFFF"/>
            <w:vAlign w:val="center"/>
          </w:tcPr>
          <w:p w14:paraId="60177D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6C58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60B5DC9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113</w:t>
            </w:r>
          </w:p>
        </w:tc>
        <w:tc>
          <w:tcPr>
            <w:tcW w:w="981" w:type="dxa"/>
            <w:shd w:val="clear" w:color="auto" w:fill="FFFFFF"/>
            <w:vAlign w:val="center"/>
          </w:tcPr>
          <w:p w14:paraId="4AD8436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restart"/>
            <w:shd w:val="clear" w:color="auto" w:fill="FFFFFF"/>
            <w:vAlign w:val="center"/>
          </w:tcPr>
          <w:p w14:paraId="5A0C994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部件兼容性要求</w:t>
            </w:r>
          </w:p>
        </w:tc>
        <w:tc>
          <w:tcPr>
            <w:tcW w:w="1206" w:type="dxa"/>
            <w:shd w:val="clear" w:color="auto" w:fill="FFFFFF"/>
            <w:noWrap/>
            <w:vAlign w:val="center"/>
          </w:tcPr>
          <w:p w14:paraId="14AA404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内存兼容性</w:t>
            </w:r>
          </w:p>
        </w:tc>
        <w:tc>
          <w:tcPr>
            <w:tcW w:w="4137" w:type="dxa"/>
            <w:shd w:val="clear" w:color="auto" w:fill="FFFFFF"/>
            <w:vAlign w:val="center"/>
          </w:tcPr>
          <w:p w14:paraId="03628A6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适配3种及以上厂商的内存产品，且均不低于产品支持的内存规格</w:t>
            </w:r>
          </w:p>
        </w:tc>
        <w:tc>
          <w:tcPr>
            <w:tcW w:w="1380" w:type="dxa"/>
            <w:shd w:val="clear" w:color="auto" w:fill="FFFFFF"/>
            <w:vAlign w:val="center"/>
          </w:tcPr>
          <w:p w14:paraId="1384D7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3890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299CD56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114</w:t>
            </w:r>
          </w:p>
        </w:tc>
        <w:tc>
          <w:tcPr>
            <w:tcW w:w="981" w:type="dxa"/>
            <w:shd w:val="clear" w:color="auto" w:fill="FFFFFF"/>
            <w:vAlign w:val="center"/>
          </w:tcPr>
          <w:p w14:paraId="22D347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2B381E4D">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1A9651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★固态存储兼容性</w:t>
            </w:r>
          </w:p>
        </w:tc>
        <w:tc>
          <w:tcPr>
            <w:tcW w:w="4137" w:type="dxa"/>
            <w:shd w:val="clear" w:color="auto" w:fill="FFFFFF"/>
            <w:vAlign w:val="center"/>
          </w:tcPr>
          <w:p w14:paraId="239E90D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适配3种或以上厂商的固态存储产品，且均不低于产品支持的固态存储设备规格</w:t>
            </w:r>
          </w:p>
        </w:tc>
        <w:tc>
          <w:tcPr>
            <w:tcW w:w="1380" w:type="dxa"/>
            <w:shd w:val="clear" w:color="auto" w:fill="FFFFFF"/>
            <w:vAlign w:val="center"/>
          </w:tcPr>
          <w:p w14:paraId="646400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EBFF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7D3D633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115</w:t>
            </w:r>
          </w:p>
        </w:tc>
        <w:tc>
          <w:tcPr>
            <w:tcW w:w="981" w:type="dxa"/>
            <w:shd w:val="clear" w:color="auto" w:fill="FFFFFF"/>
            <w:vAlign w:val="center"/>
          </w:tcPr>
          <w:p w14:paraId="29B0F2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0B420D89">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3D8301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FCHBA卡兼容性</w:t>
            </w:r>
          </w:p>
        </w:tc>
        <w:tc>
          <w:tcPr>
            <w:tcW w:w="4137" w:type="dxa"/>
            <w:shd w:val="clear" w:color="auto" w:fill="FFFFFF"/>
            <w:vAlign w:val="center"/>
          </w:tcPr>
          <w:p w14:paraId="2549CFB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FCHBA应适配两种或以上厂商产品</w:t>
            </w:r>
          </w:p>
        </w:tc>
        <w:tc>
          <w:tcPr>
            <w:tcW w:w="1380" w:type="dxa"/>
            <w:shd w:val="clear" w:color="auto" w:fill="FFFFFF"/>
            <w:vAlign w:val="center"/>
          </w:tcPr>
          <w:p w14:paraId="42EAE0D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B508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3576D0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116</w:t>
            </w:r>
          </w:p>
        </w:tc>
        <w:tc>
          <w:tcPr>
            <w:tcW w:w="981" w:type="dxa"/>
            <w:shd w:val="clear" w:color="auto" w:fill="FFFFFF"/>
            <w:vAlign w:val="center"/>
          </w:tcPr>
          <w:p w14:paraId="4034222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34A7F941">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0B5A2A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RAID卡兼容性</w:t>
            </w:r>
          </w:p>
        </w:tc>
        <w:tc>
          <w:tcPr>
            <w:tcW w:w="4137" w:type="dxa"/>
            <w:shd w:val="clear" w:color="auto" w:fill="FFFFFF"/>
            <w:vAlign w:val="center"/>
          </w:tcPr>
          <w:p w14:paraId="09826F4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RAID卡应适配两种或以上厂商产品</w:t>
            </w:r>
          </w:p>
        </w:tc>
        <w:tc>
          <w:tcPr>
            <w:tcW w:w="1380" w:type="dxa"/>
            <w:shd w:val="clear" w:color="auto" w:fill="FFFFFF"/>
            <w:vAlign w:val="center"/>
          </w:tcPr>
          <w:p w14:paraId="229F4C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F265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7A50DCC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117</w:t>
            </w:r>
          </w:p>
        </w:tc>
        <w:tc>
          <w:tcPr>
            <w:tcW w:w="981" w:type="dxa"/>
            <w:shd w:val="clear" w:color="auto" w:fill="FFFFFF"/>
            <w:vAlign w:val="center"/>
          </w:tcPr>
          <w:p w14:paraId="41D0CE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restart"/>
            <w:shd w:val="clear" w:color="auto" w:fill="FFFFFF"/>
            <w:vAlign w:val="center"/>
          </w:tcPr>
          <w:p w14:paraId="32ECF431">
            <w:pPr>
              <w:widowControl/>
              <w:jc w:val="center"/>
              <w:rPr>
                <w:rFonts w:asciiTheme="minorEastAsia" w:hAnsiTheme="minorEastAsia" w:eastAsiaTheme="minorEastAsia" w:cstheme="minorEastAsia"/>
                <w:kern w:val="0"/>
                <w:sz w:val="24"/>
              </w:rPr>
            </w:pPr>
          </w:p>
        </w:tc>
        <w:tc>
          <w:tcPr>
            <w:tcW w:w="1206" w:type="dxa"/>
            <w:shd w:val="clear" w:color="auto" w:fill="FFFFFF"/>
            <w:vAlign w:val="center"/>
          </w:tcPr>
          <w:p w14:paraId="39C1918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★网卡兼容性</w:t>
            </w:r>
          </w:p>
        </w:tc>
        <w:tc>
          <w:tcPr>
            <w:tcW w:w="4137" w:type="dxa"/>
            <w:shd w:val="clear" w:color="auto" w:fill="FFFFFF"/>
            <w:vAlign w:val="center"/>
          </w:tcPr>
          <w:p w14:paraId="1ABC14D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网卡应适配两种或以上厂商产品</w:t>
            </w:r>
          </w:p>
        </w:tc>
        <w:tc>
          <w:tcPr>
            <w:tcW w:w="1380" w:type="dxa"/>
            <w:shd w:val="clear" w:color="auto" w:fill="FFFFFF"/>
            <w:vAlign w:val="center"/>
          </w:tcPr>
          <w:p w14:paraId="7F43DA8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50E2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29" w:type="dxa"/>
            <w:shd w:val="clear" w:color="auto" w:fill="FFFFFF"/>
            <w:vAlign w:val="center"/>
          </w:tcPr>
          <w:p w14:paraId="4348606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118</w:t>
            </w:r>
          </w:p>
        </w:tc>
        <w:tc>
          <w:tcPr>
            <w:tcW w:w="981" w:type="dxa"/>
            <w:shd w:val="clear" w:color="auto" w:fill="FFFFFF"/>
            <w:vAlign w:val="center"/>
          </w:tcPr>
          <w:p w14:paraId="4A6842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6D416CA4">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F0DAD4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★功能卡兼容性</w:t>
            </w:r>
          </w:p>
        </w:tc>
        <w:tc>
          <w:tcPr>
            <w:tcW w:w="4137" w:type="dxa"/>
            <w:shd w:val="clear" w:color="auto" w:fill="FFFFFF"/>
            <w:vAlign w:val="center"/>
          </w:tcPr>
          <w:p w14:paraId="252A132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内置或适配符合PCIe的功能卡，如：网络功能卡、存储功能卡及图形显示功能卡</w:t>
            </w:r>
          </w:p>
        </w:tc>
        <w:tc>
          <w:tcPr>
            <w:tcW w:w="1380" w:type="dxa"/>
            <w:shd w:val="clear" w:color="auto" w:fill="FFFFFF"/>
            <w:vAlign w:val="center"/>
          </w:tcPr>
          <w:p w14:paraId="4298D1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6A1E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29" w:type="dxa"/>
            <w:shd w:val="clear" w:color="auto" w:fill="FFFFFF"/>
            <w:vAlign w:val="center"/>
          </w:tcPr>
          <w:p w14:paraId="02A040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119</w:t>
            </w:r>
          </w:p>
        </w:tc>
        <w:tc>
          <w:tcPr>
            <w:tcW w:w="981" w:type="dxa"/>
            <w:shd w:val="clear" w:color="auto" w:fill="FFFFFF"/>
            <w:vAlign w:val="center"/>
          </w:tcPr>
          <w:p w14:paraId="1B6D24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shd w:val="clear" w:color="auto" w:fill="FFFFFF"/>
            <w:vAlign w:val="center"/>
          </w:tcPr>
          <w:p w14:paraId="2BD7FD2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外设兼容性</w:t>
            </w:r>
          </w:p>
        </w:tc>
        <w:tc>
          <w:tcPr>
            <w:tcW w:w="1206" w:type="dxa"/>
            <w:shd w:val="clear" w:color="auto" w:fill="FFFFFF"/>
            <w:vAlign w:val="center"/>
          </w:tcPr>
          <w:p w14:paraId="3454F93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★外设兼容性</w:t>
            </w:r>
          </w:p>
        </w:tc>
        <w:tc>
          <w:tcPr>
            <w:tcW w:w="4137" w:type="dxa"/>
            <w:shd w:val="clear" w:color="auto" w:fill="FFFFFF"/>
            <w:vAlign w:val="center"/>
          </w:tcPr>
          <w:p w14:paraId="2F94A73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兼容多种主流生产商的外部设备，包括显示器、键盘、鼠标、闪存盘、移动硬盘、USB光驱及KVM等，要求使用不同厂商的外部设备时，系统均能正常识别和安装驱动</w:t>
            </w:r>
          </w:p>
        </w:tc>
        <w:tc>
          <w:tcPr>
            <w:tcW w:w="1380" w:type="dxa"/>
            <w:shd w:val="clear" w:color="auto" w:fill="FFFFFF"/>
            <w:vAlign w:val="center"/>
          </w:tcPr>
          <w:p w14:paraId="490C93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A496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5ED80D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120</w:t>
            </w:r>
          </w:p>
        </w:tc>
        <w:tc>
          <w:tcPr>
            <w:tcW w:w="981" w:type="dxa"/>
            <w:shd w:val="clear" w:color="auto" w:fill="FFFFFF"/>
            <w:vAlign w:val="center"/>
          </w:tcPr>
          <w:p w14:paraId="27155E4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restart"/>
            <w:shd w:val="clear" w:color="auto" w:fill="FFFFFF"/>
            <w:vAlign w:val="center"/>
          </w:tcPr>
          <w:p w14:paraId="2C48F04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软件兼容性</w:t>
            </w:r>
          </w:p>
        </w:tc>
        <w:tc>
          <w:tcPr>
            <w:tcW w:w="1206" w:type="dxa"/>
            <w:shd w:val="clear" w:color="auto" w:fill="FFFFFF"/>
            <w:vAlign w:val="center"/>
          </w:tcPr>
          <w:p w14:paraId="557F74B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★数据库兼容</w:t>
            </w:r>
          </w:p>
        </w:tc>
        <w:tc>
          <w:tcPr>
            <w:tcW w:w="4137" w:type="dxa"/>
            <w:shd w:val="clear" w:color="auto" w:fill="FFFFFF"/>
            <w:vAlign w:val="center"/>
          </w:tcPr>
          <w:p w14:paraId="123FDF0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兼容3个及以上厂商的数据库产品</w:t>
            </w:r>
          </w:p>
        </w:tc>
        <w:tc>
          <w:tcPr>
            <w:tcW w:w="1380" w:type="dxa"/>
            <w:shd w:val="clear" w:color="auto" w:fill="FFFFFF"/>
            <w:vAlign w:val="center"/>
          </w:tcPr>
          <w:p w14:paraId="044790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3111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3E57B9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121</w:t>
            </w:r>
          </w:p>
        </w:tc>
        <w:tc>
          <w:tcPr>
            <w:tcW w:w="981" w:type="dxa"/>
            <w:shd w:val="clear" w:color="auto" w:fill="FFFFFF"/>
            <w:vAlign w:val="center"/>
          </w:tcPr>
          <w:p w14:paraId="49552AA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75B94881">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C0FCB1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★中间件兼容</w:t>
            </w:r>
          </w:p>
        </w:tc>
        <w:tc>
          <w:tcPr>
            <w:tcW w:w="4137" w:type="dxa"/>
            <w:shd w:val="clear" w:color="auto" w:fill="FFFFFF"/>
            <w:vAlign w:val="center"/>
          </w:tcPr>
          <w:p w14:paraId="1C1162D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兼容3个及以上厂商的中间件产品</w:t>
            </w:r>
          </w:p>
        </w:tc>
        <w:tc>
          <w:tcPr>
            <w:tcW w:w="1380" w:type="dxa"/>
            <w:shd w:val="clear" w:color="auto" w:fill="FFFFFF"/>
            <w:vAlign w:val="center"/>
          </w:tcPr>
          <w:p w14:paraId="1A871FB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82B1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2B8DB30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122</w:t>
            </w:r>
          </w:p>
        </w:tc>
        <w:tc>
          <w:tcPr>
            <w:tcW w:w="981" w:type="dxa"/>
            <w:shd w:val="clear" w:color="auto" w:fill="FFFFFF"/>
            <w:vAlign w:val="center"/>
          </w:tcPr>
          <w:p w14:paraId="1A63CAA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2480F7C3">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E6D87B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★平台软件兼容</w:t>
            </w:r>
          </w:p>
        </w:tc>
        <w:tc>
          <w:tcPr>
            <w:tcW w:w="4137" w:type="dxa"/>
            <w:shd w:val="clear" w:color="auto" w:fill="FFFFFF"/>
            <w:vAlign w:val="center"/>
          </w:tcPr>
          <w:p w14:paraId="325D3B3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兼容3个及以上厂商的大数据平台</w:t>
            </w:r>
          </w:p>
        </w:tc>
        <w:tc>
          <w:tcPr>
            <w:tcW w:w="1380" w:type="dxa"/>
            <w:shd w:val="clear" w:color="auto" w:fill="FFFFFF"/>
            <w:vAlign w:val="center"/>
          </w:tcPr>
          <w:p w14:paraId="2B267E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2876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06047AA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123</w:t>
            </w:r>
          </w:p>
        </w:tc>
        <w:tc>
          <w:tcPr>
            <w:tcW w:w="981" w:type="dxa"/>
            <w:shd w:val="clear" w:color="auto" w:fill="FFFFFF"/>
            <w:vAlign w:val="center"/>
          </w:tcPr>
          <w:p w14:paraId="307BB1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0015532E">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CC9977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虚拟化软件兼容</w:t>
            </w:r>
          </w:p>
        </w:tc>
        <w:tc>
          <w:tcPr>
            <w:tcW w:w="4137" w:type="dxa"/>
            <w:shd w:val="clear" w:color="auto" w:fill="FFFFFF"/>
            <w:vAlign w:val="center"/>
          </w:tcPr>
          <w:p w14:paraId="712482C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兼容2款及以上虚拟化软件</w:t>
            </w:r>
          </w:p>
        </w:tc>
        <w:tc>
          <w:tcPr>
            <w:tcW w:w="1380" w:type="dxa"/>
            <w:shd w:val="clear" w:color="auto" w:fill="FFFFFF"/>
            <w:vAlign w:val="center"/>
          </w:tcPr>
          <w:p w14:paraId="3DC69FA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EE18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72CBCA2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124</w:t>
            </w:r>
          </w:p>
        </w:tc>
        <w:tc>
          <w:tcPr>
            <w:tcW w:w="981" w:type="dxa"/>
            <w:shd w:val="clear" w:color="auto" w:fill="FFFFFF"/>
            <w:vAlign w:val="center"/>
          </w:tcPr>
          <w:p w14:paraId="31EA1E7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81" w:type="dxa"/>
            <w:shd w:val="clear" w:color="auto" w:fill="FFFFFF"/>
            <w:vAlign w:val="center"/>
          </w:tcPr>
          <w:p w14:paraId="652D51B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存储可靠性要求</w:t>
            </w:r>
          </w:p>
        </w:tc>
        <w:tc>
          <w:tcPr>
            <w:tcW w:w="1206" w:type="dxa"/>
            <w:shd w:val="clear" w:color="auto" w:fill="FFFFFF"/>
            <w:vAlign w:val="center"/>
          </w:tcPr>
          <w:p w14:paraId="2660D26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SATASSD可靠性</w:t>
            </w:r>
          </w:p>
        </w:tc>
        <w:tc>
          <w:tcPr>
            <w:tcW w:w="4137" w:type="dxa"/>
            <w:shd w:val="clear" w:color="auto" w:fill="FFFFFF"/>
            <w:vAlign w:val="center"/>
          </w:tcPr>
          <w:p w14:paraId="501902B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SSD的m1值（MTBF的不可接受值）不低于200000h</w:t>
            </w:r>
          </w:p>
        </w:tc>
        <w:tc>
          <w:tcPr>
            <w:tcW w:w="1380" w:type="dxa"/>
            <w:shd w:val="clear" w:color="auto" w:fill="FFFFFF"/>
            <w:vAlign w:val="center"/>
          </w:tcPr>
          <w:p w14:paraId="02E64F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3B0D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29" w:type="dxa"/>
            <w:shd w:val="clear" w:color="auto" w:fill="FFFFFF"/>
            <w:vAlign w:val="center"/>
          </w:tcPr>
          <w:p w14:paraId="489C91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125</w:t>
            </w:r>
          </w:p>
        </w:tc>
        <w:tc>
          <w:tcPr>
            <w:tcW w:w="981" w:type="dxa"/>
            <w:shd w:val="clear" w:color="auto" w:fill="FFFFFF"/>
            <w:vAlign w:val="center"/>
          </w:tcPr>
          <w:p w14:paraId="76151D5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81" w:type="dxa"/>
            <w:vMerge w:val="restart"/>
            <w:shd w:val="clear" w:color="auto" w:fill="FFFFFF"/>
            <w:vAlign w:val="center"/>
          </w:tcPr>
          <w:p w14:paraId="2EE1784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整机可靠性要求</w:t>
            </w:r>
          </w:p>
        </w:tc>
        <w:tc>
          <w:tcPr>
            <w:tcW w:w="1206" w:type="dxa"/>
            <w:shd w:val="clear" w:color="auto" w:fill="FFFFFF"/>
            <w:vAlign w:val="center"/>
          </w:tcPr>
          <w:p w14:paraId="7077340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★整机可靠性</w:t>
            </w:r>
          </w:p>
        </w:tc>
        <w:tc>
          <w:tcPr>
            <w:tcW w:w="4137" w:type="dxa"/>
            <w:shd w:val="clear" w:color="auto" w:fill="FFFFFF"/>
            <w:vAlign w:val="center"/>
          </w:tcPr>
          <w:p w14:paraId="1B9F446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m1值（MTBF的不可接受值）不得低于30000h</w:t>
            </w:r>
          </w:p>
        </w:tc>
        <w:tc>
          <w:tcPr>
            <w:tcW w:w="1380" w:type="dxa"/>
            <w:shd w:val="clear" w:color="auto" w:fill="FFFFFF"/>
            <w:vAlign w:val="center"/>
          </w:tcPr>
          <w:p w14:paraId="02AABD2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2C3D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00652F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126</w:t>
            </w:r>
          </w:p>
        </w:tc>
        <w:tc>
          <w:tcPr>
            <w:tcW w:w="981" w:type="dxa"/>
            <w:shd w:val="clear" w:color="auto" w:fill="FFFFFF"/>
            <w:vAlign w:val="center"/>
          </w:tcPr>
          <w:p w14:paraId="39DD68C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81" w:type="dxa"/>
            <w:vMerge w:val="continue"/>
            <w:shd w:val="clear" w:color="auto" w:fill="FFFFFF"/>
            <w:vAlign w:val="center"/>
          </w:tcPr>
          <w:p w14:paraId="540BD487">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96C6B6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★风扇可靠性</w:t>
            </w:r>
          </w:p>
        </w:tc>
        <w:tc>
          <w:tcPr>
            <w:tcW w:w="4137" w:type="dxa"/>
            <w:shd w:val="clear" w:color="auto" w:fill="FFFFFF"/>
            <w:vAlign w:val="center"/>
          </w:tcPr>
          <w:p w14:paraId="5E805D9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风扇寿命应不低于40000h</w:t>
            </w:r>
          </w:p>
        </w:tc>
        <w:tc>
          <w:tcPr>
            <w:tcW w:w="1380" w:type="dxa"/>
            <w:shd w:val="clear" w:color="auto" w:fill="FFFFFF"/>
            <w:vAlign w:val="center"/>
          </w:tcPr>
          <w:p w14:paraId="42F7526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9FDB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29" w:type="dxa"/>
            <w:shd w:val="clear" w:color="auto" w:fill="FFFFFF"/>
            <w:vAlign w:val="center"/>
          </w:tcPr>
          <w:p w14:paraId="79E216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127</w:t>
            </w:r>
          </w:p>
        </w:tc>
        <w:tc>
          <w:tcPr>
            <w:tcW w:w="981" w:type="dxa"/>
            <w:shd w:val="clear" w:color="auto" w:fill="FFFFFF"/>
            <w:vAlign w:val="center"/>
          </w:tcPr>
          <w:p w14:paraId="6D36755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81" w:type="dxa"/>
            <w:vMerge w:val="continue"/>
            <w:shd w:val="clear" w:color="auto" w:fill="FFFFFF"/>
            <w:vAlign w:val="center"/>
          </w:tcPr>
          <w:p w14:paraId="6869035B">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782A72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★部件可靠性</w:t>
            </w:r>
          </w:p>
        </w:tc>
        <w:tc>
          <w:tcPr>
            <w:tcW w:w="4137" w:type="dxa"/>
            <w:shd w:val="clear" w:color="auto" w:fill="FFFFFF"/>
            <w:vAlign w:val="center"/>
          </w:tcPr>
          <w:p w14:paraId="0EE27D3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支持硬盘、电源、风扇热插拔（内置风扇除外）</w:t>
            </w:r>
          </w:p>
        </w:tc>
        <w:tc>
          <w:tcPr>
            <w:tcW w:w="1380" w:type="dxa"/>
            <w:shd w:val="clear" w:color="auto" w:fill="FFFFFF"/>
            <w:vAlign w:val="center"/>
          </w:tcPr>
          <w:p w14:paraId="0CB894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EC21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29" w:type="dxa"/>
            <w:shd w:val="clear" w:color="auto" w:fill="FFFFFF"/>
            <w:vAlign w:val="center"/>
          </w:tcPr>
          <w:p w14:paraId="5B92D1F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128</w:t>
            </w:r>
          </w:p>
        </w:tc>
        <w:tc>
          <w:tcPr>
            <w:tcW w:w="981" w:type="dxa"/>
            <w:shd w:val="clear" w:color="auto" w:fill="FFFFFF"/>
            <w:vAlign w:val="center"/>
          </w:tcPr>
          <w:p w14:paraId="6EA9555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包装及运输要求</w:t>
            </w:r>
          </w:p>
        </w:tc>
        <w:tc>
          <w:tcPr>
            <w:tcW w:w="981" w:type="dxa"/>
            <w:shd w:val="clear" w:color="auto" w:fill="FFFFFF"/>
            <w:vAlign w:val="center"/>
          </w:tcPr>
          <w:p w14:paraId="2F4F6DA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包装及运输要求</w:t>
            </w:r>
          </w:p>
        </w:tc>
        <w:tc>
          <w:tcPr>
            <w:tcW w:w="1206" w:type="dxa"/>
            <w:shd w:val="clear" w:color="auto" w:fill="FFFFFF"/>
            <w:vAlign w:val="center"/>
          </w:tcPr>
          <w:p w14:paraId="620FF0A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★标志、包装、运输和贮存</w:t>
            </w:r>
          </w:p>
        </w:tc>
        <w:tc>
          <w:tcPr>
            <w:tcW w:w="4137" w:type="dxa"/>
            <w:shd w:val="clear" w:color="auto" w:fill="FFFFFF"/>
            <w:vAlign w:val="center"/>
          </w:tcPr>
          <w:p w14:paraId="762514A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符合GB/T9813.3和商品包装政府采购需求标准的相关规定</w:t>
            </w:r>
          </w:p>
        </w:tc>
        <w:tc>
          <w:tcPr>
            <w:tcW w:w="1380" w:type="dxa"/>
            <w:shd w:val="clear" w:color="auto" w:fill="FFFFFF"/>
            <w:vAlign w:val="center"/>
          </w:tcPr>
          <w:p w14:paraId="0480FF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A321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729" w:type="dxa"/>
            <w:shd w:val="clear" w:color="auto" w:fill="FFFFFF"/>
            <w:vAlign w:val="center"/>
          </w:tcPr>
          <w:p w14:paraId="2C478FD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129</w:t>
            </w:r>
          </w:p>
        </w:tc>
        <w:tc>
          <w:tcPr>
            <w:tcW w:w="981" w:type="dxa"/>
            <w:shd w:val="clear" w:color="auto" w:fill="FFFFFF"/>
            <w:vAlign w:val="center"/>
          </w:tcPr>
          <w:p w14:paraId="61CF5A1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restart"/>
            <w:shd w:val="clear" w:color="auto" w:fill="FFFFFF"/>
            <w:vAlign w:val="center"/>
          </w:tcPr>
          <w:p w14:paraId="082F332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服务响应</w:t>
            </w:r>
          </w:p>
        </w:tc>
        <w:tc>
          <w:tcPr>
            <w:tcW w:w="1206" w:type="dxa"/>
            <w:shd w:val="clear" w:color="auto" w:fill="FFFFFF"/>
            <w:vAlign w:val="center"/>
          </w:tcPr>
          <w:p w14:paraId="4EC8601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★服务响应</w:t>
            </w:r>
          </w:p>
        </w:tc>
        <w:tc>
          <w:tcPr>
            <w:tcW w:w="4137" w:type="dxa"/>
            <w:shd w:val="clear" w:color="auto" w:fill="FFFFFF"/>
            <w:vAlign w:val="center"/>
          </w:tcPr>
          <w:p w14:paraId="65E081D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提供电话、电子邮件、远程连接等多种形式服务；b）提供同城4h、异地12h技术响应服务，2个工作日解决问题，对于未能解决的问题和故障应提供可行的升级方案，并提供周转设备；c）建立全国技术服务体系和服务团体，符合专业服务体系标准要求，提供原厂中文服务；d）服务周期内提供产品的维修、换件和升级服务</w:t>
            </w:r>
          </w:p>
        </w:tc>
        <w:tc>
          <w:tcPr>
            <w:tcW w:w="1380" w:type="dxa"/>
            <w:shd w:val="clear" w:color="auto" w:fill="FFFFFF"/>
            <w:vAlign w:val="center"/>
          </w:tcPr>
          <w:p w14:paraId="61652B6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E62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7B04089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130</w:t>
            </w:r>
          </w:p>
        </w:tc>
        <w:tc>
          <w:tcPr>
            <w:tcW w:w="981" w:type="dxa"/>
            <w:shd w:val="clear" w:color="auto" w:fill="FFFFFF"/>
            <w:vAlign w:val="center"/>
          </w:tcPr>
          <w:p w14:paraId="1FD9BF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7CBCC437">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8C7842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★培训服务</w:t>
            </w:r>
          </w:p>
        </w:tc>
        <w:tc>
          <w:tcPr>
            <w:tcW w:w="4137" w:type="dxa"/>
            <w:shd w:val="clear" w:color="auto" w:fill="FFFFFF"/>
            <w:vAlign w:val="center"/>
          </w:tcPr>
          <w:p w14:paraId="725984D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供应商提供培训材料、产品手册、培训视频等培训相关内容</w:t>
            </w:r>
          </w:p>
        </w:tc>
        <w:tc>
          <w:tcPr>
            <w:tcW w:w="1380" w:type="dxa"/>
            <w:shd w:val="clear" w:color="auto" w:fill="FFFFFF"/>
            <w:vAlign w:val="center"/>
          </w:tcPr>
          <w:p w14:paraId="03E0AC6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0218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296" w:hRule="atLeast"/>
        </w:trPr>
        <w:tc>
          <w:tcPr>
            <w:tcW w:w="729" w:type="dxa"/>
            <w:shd w:val="clear" w:color="auto" w:fill="FFFFFF"/>
            <w:vAlign w:val="center"/>
          </w:tcPr>
          <w:p w14:paraId="7312ED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131</w:t>
            </w:r>
          </w:p>
        </w:tc>
        <w:tc>
          <w:tcPr>
            <w:tcW w:w="981" w:type="dxa"/>
            <w:shd w:val="clear" w:color="auto" w:fill="FFFFFF"/>
            <w:vAlign w:val="center"/>
          </w:tcPr>
          <w:p w14:paraId="17AFF7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shd w:val="clear" w:color="auto" w:fill="FFFFFF"/>
            <w:vAlign w:val="center"/>
          </w:tcPr>
          <w:p w14:paraId="1CD596C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服务周期</w:t>
            </w:r>
          </w:p>
        </w:tc>
        <w:tc>
          <w:tcPr>
            <w:tcW w:w="1206" w:type="dxa"/>
            <w:shd w:val="clear" w:color="auto" w:fill="FFFFFF"/>
            <w:vAlign w:val="center"/>
          </w:tcPr>
          <w:p w14:paraId="33662C4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★服务周期</w:t>
            </w:r>
          </w:p>
        </w:tc>
        <w:tc>
          <w:tcPr>
            <w:tcW w:w="4137" w:type="dxa"/>
            <w:shd w:val="clear" w:color="auto" w:fill="FFFFFF"/>
            <w:vAlign w:val="center"/>
          </w:tcPr>
          <w:p w14:paraId="2DF1975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产品免费服务周期（含换件和维修）应不小于6年；b）设备停产后继续提供质量保障服务（含备品备件），服务终止时间与最后一批设备交付时间间隔不低于6年；c）产品停止服务时间应提前1年告知客户；d）产品发布日期需在技术文件或者技术白皮书中明确</w:t>
            </w:r>
          </w:p>
        </w:tc>
        <w:tc>
          <w:tcPr>
            <w:tcW w:w="1380" w:type="dxa"/>
            <w:shd w:val="clear" w:color="auto" w:fill="FFFFFF"/>
            <w:vAlign w:val="center"/>
          </w:tcPr>
          <w:p w14:paraId="063F35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5B19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29" w:type="dxa"/>
            <w:shd w:val="clear" w:color="auto" w:fill="FFFFFF"/>
            <w:vAlign w:val="center"/>
          </w:tcPr>
          <w:p w14:paraId="4194C6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132</w:t>
            </w:r>
          </w:p>
        </w:tc>
        <w:tc>
          <w:tcPr>
            <w:tcW w:w="981" w:type="dxa"/>
            <w:shd w:val="clear" w:color="auto" w:fill="FFFFFF"/>
            <w:vAlign w:val="center"/>
          </w:tcPr>
          <w:p w14:paraId="41548AA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restart"/>
            <w:shd w:val="clear" w:color="auto" w:fill="FFFFFF"/>
            <w:vAlign w:val="center"/>
          </w:tcPr>
          <w:p w14:paraId="719EBCB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服务工具要求</w:t>
            </w:r>
          </w:p>
        </w:tc>
        <w:tc>
          <w:tcPr>
            <w:tcW w:w="1206" w:type="dxa"/>
            <w:shd w:val="clear" w:color="auto" w:fill="FFFFFF"/>
            <w:vAlign w:val="center"/>
          </w:tcPr>
          <w:p w14:paraId="607C89A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★工具要求</w:t>
            </w:r>
          </w:p>
        </w:tc>
        <w:tc>
          <w:tcPr>
            <w:tcW w:w="4137" w:type="dxa"/>
            <w:shd w:val="clear" w:color="auto" w:fill="FFFFFF"/>
            <w:vAlign w:val="center"/>
          </w:tcPr>
          <w:p w14:paraId="396C687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供应商提供设置服务器硬件、辅助操作系统安装等功能的辅助工具和管理软件。且随附软件应具有合法授权或版权</w:t>
            </w:r>
          </w:p>
        </w:tc>
        <w:tc>
          <w:tcPr>
            <w:tcW w:w="1380" w:type="dxa"/>
            <w:shd w:val="clear" w:color="auto" w:fill="FFFFFF"/>
            <w:vAlign w:val="center"/>
          </w:tcPr>
          <w:p w14:paraId="464C0D6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CDD6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29" w:type="dxa"/>
            <w:shd w:val="clear" w:color="auto" w:fill="FFFFFF"/>
            <w:vAlign w:val="center"/>
          </w:tcPr>
          <w:p w14:paraId="079070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133</w:t>
            </w:r>
          </w:p>
        </w:tc>
        <w:tc>
          <w:tcPr>
            <w:tcW w:w="981" w:type="dxa"/>
            <w:shd w:val="clear" w:color="auto" w:fill="FFFFFF"/>
            <w:vAlign w:val="center"/>
          </w:tcPr>
          <w:p w14:paraId="50EBF62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5F92D9B2">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736B69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辅助工具</w:t>
            </w:r>
          </w:p>
        </w:tc>
        <w:tc>
          <w:tcPr>
            <w:tcW w:w="4137" w:type="dxa"/>
            <w:shd w:val="clear" w:color="auto" w:fill="FFFFFF"/>
            <w:vAlign w:val="center"/>
          </w:tcPr>
          <w:p w14:paraId="6E7B2B1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支持如下功能a）本地的数据备份和还原功能；b）网络的数据备份和还原功能；c）通用服务器操作系统的自动安装功能；d）服务器所配硬件需要的驱动程序和系统补丁</w:t>
            </w:r>
          </w:p>
        </w:tc>
        <w:tc>
          <w:tcPr>
            <w:tcW w:w="1380" w:type="dxa"/>
            <w:shd w:val="clear" w:color="auto" w:fill="FFFFFF"/>
            <w:vAlign w:val="center"/>
          </w:tcPr>
          <w:p w14:paraId="5CC36AC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D19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29" w:type="dxa"/>
            <w:shd w:val="clear" w:color="auto" w:fill="FFFFFF"/>
            <w:vAlign w:val="center"/>
          </w:tcPr>
          <w:p w14:paraId="5DD1C84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134</w:t>
            </w:r>
          </w:p>
        </w:tc>
        <w:tc>
          <w:tcPr>
            <w:tcW w:w="981" w:type="dxa"/>
            <w:shd w:val="clear" w:color="auto" w:fill="FFFFFF"/>
            <w:vAlign w:val="center"/>
          </w:tcPr>
          <w:p w14:paraId="7DDC390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1B5E66D0">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A062CB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★驱动安装升级指引</w:t>
            </w:r>
          </w:p>
        </w:tc>
        <w:tc>
          <w:tcPr>
            <w:tcW w:w="4137" w:type="dxa"/>
            <w:shd w:val="clear" w:color="auto" w:fill="FFFFFF"/>
            <w:vAlign w:val="center"/>
          </w:tcPr>
          <w:p w14:paraId="4BF777D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供应商提供出厂安装的配件所需的驱动程序，形式包括但不限于驱动光盘、驱动下载链接等。其他配件应提供指引</w:t>
            </w:r>
          </w:p>
        </w:tc>
        <w:tc>
          <w:tcPr>
            <w:tcW w:w="1380" w:type="dxa"/>
            <w:shd w:val="clear" w:color="auto" w:fill="FFFFFF"/>
            <w:vAlign w:val="center"/>
          </w:tcPr>
          <w:p w14:paraId="207A89D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605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60BF0B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135</w:t>
            </w:r>
          </w:p>
        </w:tc>
        <w:tc>
          <w:tcPr>
            <w:tcW w:w="981" w:type="dxa"/>
            <w:shd w:val="clear" w:color="auto" w:fill="FFFFFF"/>
            <w:vAlign w:val="center"/>
          </w:tcPr>
          <w:p w14:paraId="6ADA73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43AAEAEB">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F74977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随机附开盖工具</w:t>
            </w:r>
          </w:p>
        </w:tc>
        <w:tc>
          <w:tcPr>
            <w:tcW w:w="4137" w:type="dxa"/>
            <w:shd w:val="clear" w:color="auto" w:fill="FFFFFF"/>
            <w:vAlign w:val="center"/>
          </w:tcPr>
          <w:p w14:paraId="0B7F7EA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随服务器打包提供开机箱工具</w:t>
            </w:r>
          </w:p>
        </w:tc>
        <w:tc>
          <w:tcPr>
            <w:tcW w:w="1380" w:type="dxa"/>
            <w:shd w:val="clear" w:color="auto" w:fill="FFFFFF"/>
            <w:vAlign w:val="center"/>
          </w:tcPr>
          <w:p w14:paraId="712E0E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2A9E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729" w:type="dxa"/>
            <w:shd w:val="clear" w:color="auto" w:fill="FFFFFF"/>
            <w:vAlign w:val="center"/>
          </w:tcPr>
          <w:p w14:paraId="53B80E4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136</w:t>
            </w:r>
          </w:p>
        </w:tc>
        <w:tc>
          <w:tcPr>
            <w:tcW w:w="981" w:type="dxa"/>
            <w:shd w:val="clear" w:color="auto" w:fill="FFFFFF"/>
            <w:vAlign w:val="center"/>
          </w:tcPr>
          <w:p w14:paraId="15A9BAE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3DBA2A30">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4BD365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代码迁移工具</w:t>
            </w:r>
          </w:p>
        </w:tc>
        <w:tc>
          <w:tcPr>
            <w:tcW w:w="4137" w:type="dxa"/>
            <w:shd w:val="clear" w:color="auto" w:fill="FFFFFF"/>
            <w:vAlign w:val="center"/>
          </w:tcPr>
          <w:p w14:paraId="3F65CE2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从其他CPU架构到当前服务器CPU架构的软件迁移工具产品，支持软件包迁移评估，对满足产品重构要求的软件包，能重构为当前服务器CPU架构的软件包。提供源码迁移功能，检查分析C/C++/Fortran/Go/解释型语言/汇编等源码文件，基于产品功能给出迁移指导</w:t>
            </w:r>
          </w:p>
        </w:tc>
        <w:tc>
          <w:tcPr>
            <w:tcW w:w="1380" w:type="dxa"/>
            <w:shd w:val="clear" w:color="auto" w:fill="FFFFFF"/>
            <w:vAlign w:val="center"/>
          </w:tcPr>
          <w:p w14:paraId="14365B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5360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29" w:type="dxa"/>
            <w:shd w:val="clear" w:color="auto" w:fill="FFFFFF"/>
            <w:vAlign w:val="center"/>
          </w:tcPr>
          <w:p w14:paraId="52BB835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137</w:t>
            </w:r>
          </w:p>
        </w:tc>
        <w:tc>
          <w:tcPr>
            <w:tcW w:w="981" w:type="dxa"/>
            <w:shd w:val="clear" w:color="auto" w:fill="FFFFFF"/>
            <w:vAlign w:val="center"/>
          </w:tcPr>
          <w:p w14:paraId="704C7CC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177ABB39">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86C95E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性能分析工具</w:t>
            </w:r>
          </w:p>
        </w:tc>
        <w:tc>
          <w:tcPr>
            <w:tcW w:w="4137" w:type="dxa"/>
            <w:shd w:val="clear" w:color="auto" w:fill="FFFFFF"/>
            <w:vAlign w:val="center"/>
          </w:tcPr>
          <w:p w14:paraId="1471A4D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供应商提供支持当前服务器CPU架构的性能分析工具产品，支持系统性能分析、Java性能分析和系统诊断，可分析系统或应用在CPU、内存、IO、网络等方面的性能，并给出优化建议</w:t>
            </w:r>
          </w:p>
        </w:tc>
        <w:tc>
          <w:tcPr>
            <w:tcW w:w="1380" w:type="dxa"/>
            <w:shd w:val="clear" w:color="auto" w:fill="FFFFFF"/>
            <w:vAlign w:val="center"/>
          </w:tcPr>
          <w:p w14:paraId="0D87D7D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5F08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03417B6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138</w:t>
            </w:r>
          </w:p>
        </w:tc>
        <w:tc>
          <w:tcPr>
            <w:tcW w:w="981" w:type="dxa"/>
            <w:shd w:val="clear" w:color="auto" w:fill="FFFFFF"/>
            <w:vAlign w:val="center"/>
          </w:tcPr>
          <w:p w14:paraId="00CF442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2C24BF8C">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5A25F0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跨架构平台应用兼容</w:t>
            </w:r>
          </w:p>
        </w:tc>
        <w:tc>
          <w:tcPr>
            <w:tcW w:w="4137" w:type="dxa"/>
            <w:shd w:val="clear" w:color="auto" w:fill="FFFFFF"/>
            <w:vAlign w:val="center"/>
          </w:tcPr>
          <w:p w14:paraId="314D941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跨CPU架构平台应用兼容工具，可兼容一种或者一种以上不同架构平台的应用</w:t>
            </w:r>
          </w:p>
        </w:tc>
        <w:tc>
          <w:tcPr>
            <w:tcW w:w="1380" w:type="dxa"/>
            <w:shd w:val="clear" w:color="auto" w:fill="FFFFFF"/>
            <w:vAlign w:val="center"/>
          </w:tcPr>
          <w:p w14:paraId="2E8B47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41EB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0C0F71E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139</w:t>
            </w:r>
          </w:p>
        </w:tc>
        <w:tc>
          <w:tcPr>
            <w:tcW w:w="981" w:type="dxa"/>
            <w:shd w:val="clear" w:color="auto" w:fill="FFFFFF"/>
            <w:vAlign w:val="center"/>
          </w:tcPr>
          <w:p w14:paraId="51A4FEC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5E272E1A">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0DA3EB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★管理软件</w:t>
            </w:r>
          </w:p>
        </w:tc>
        <w:tc>
          <w:tcPr>
            <w:tcW w:w="4137" w:type="dxa"/>
            <w:shd w:val="clear" w:color="auto" w:fill="FFFFFF"/>
            <w:vAlign w:val="center"/>
          </w:tcPr>
          <w:p w14:paraId="31DCE8A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具备资源管理、系统管理、性能监控、健康监控、基于网络控制、报警设置功能</w:t>
            </w:r>
          </w:p>
        </w:tc>
        <w:tc>
          <w:tcPr>
            <w:tcW w:w="1380" w:type="dxa"/>
            <w:shd w:val="clear" w:color="auto" w:fill="FFFFFF"/>
            <w:vAlign w:val="center"/>
          </w:tcPr>
          <w:p w14:paraId="656344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4732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29" w:type="dxa"/>
            <w:shd w:val="clear" w:color="auto" w:fill="FFFFFF"/>
            <w:vAlign w:val="center"/>
          </w:tcPr>
          <w:p w14:paraId="1134ACE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140</w:t>
            </w:r>
          </w:p>
        </w:tc>
        <w:tc>
          <w:tcPr>
            <w:tcW w:w="981" w:type="dxa"/>
            <w:shd w:val="clear" w:color="auto" w:fill="FFFFFF"/>
            <w:vAlign w:val="center"/>
          </w:tcPr>
          <w:p w14:paraId="579A8F0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restart"/>
            <w:shd w:val="clear" w:color="auto" w:fill="FFFFFF"/>
            <w:vAlign w:val="center"/>
          </w:tcPr>
          <w:p w14:paraId="3EB38DA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增值服务</w:t>
            </w:r>
          </w:p>
        </w:tc>
        <w:tc>
          <w:tcPr>
            <w:tcW w:w="1206" w:type="dxa"/>
            <w:shd w:val="clear" w:color="auto" w:fill="FFFFFF"/>
            <w:vAlign w:val="center"/>
          </w:tcPr>
          <w:p w14:paraId="3E557EB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★厂家升级产品软件与扩容服务</w:t>
            </w:r>
          </w:p>
        </w:tc>
        <w:tc>
          <w:tcPr>
            <w:tcW w:w="4137" w:type="dxa"/>
            <w:shd w:val="clear" w:color="auto" w:fill="FFFFFF"/>
            <w:vAlign w:val="center"/>
          </w:tcPr>
          <w:p w14:paraId="11EC24D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供应商提供原厂级的部件/软件产品升级和扩容能力</w:t>
            </w:r>
          </w:p>
        </w:tc>
        <w:tc>
          <w:tcPr>
            <w:tcW w:w="1380" w:type="dxa"/>
            <w:shd w:val="clear" w:color="auto" w:fill="FFFFFF"/>
            <w:vAlign w:val="center"/>
          </w:tcPr>
          <w:p w14:paraId="444EAC0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B391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1C3437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141</w:t>
            </w:r>
          </w:p>
        </w:tc>
        <w:tc>
          <w:tcPr>
            <w:tcW w:w="981" w:type="dxa"/>
            <w:shd w:val="clear" w:color="auto" w:fill="FFFFFF"/>
            <w:vAlign w:val="center"/>
          </w:tcPr>
          <w:p w14:paraId="672A587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7353F2D9">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C3B361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服务保障升级</w:t>
            </w:r>
          </w:p>
        </w:tc>
        <w:tc>
          <w:tcPr>
            <w:tcW w:w="4137" w:type="dxa"/>
            <w:shd w:val="clear" w:color="auto" w:fill="FFFFFF"/>
            <w:vAlign w:val="center"/>
          </w:tcPr>
          <w:p w14:paraId="06056E5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供应商有偿提供远程技术支持、软件授权服务、备件更换服务、现场支撑服务</w:t>
            </w:r>
          </w:p>
        </w:tc>
        <w:tc>
          <w:tcPr>
            <w:tcW w:w="1380" w:type="dxa"/>
            <w:shd w:val="clear" w:color="auto" w:fill="FFFFFF"/>
            <w:vAlign w:val="center"/>
          </w:tcPr>
          <w:p w14:paraId="443CC9B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2226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6DEFD5B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142</w:t>
            </w:r>
          </w:p>
        </w:tc>
        <w:tc>
          <w:tcPr>
            <w:tcW w:w="981" w:type="dxa"/>
            <w:shd w:val="clear" w:color="auto" w:fill="FFFFFF"/>
            <w:vAlign w:val="center"/>
          </w:tcPr>
          <w:p w14:paraId="2A6CB3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60B01F9E">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668CCC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★提供上门服务</w:t>
            </w:r>
          </w:p>
        </w:tc>
        <w:tc>
          <w:tcPr>
            <w:tcW w:w="4137" w:type="dxa"/>
            <w:shd w:val="clear" w:color="auto" w:fill="FFFFFF"/>
            <w:vAlign w:val="center"/>
          </w:tcPr>
          <w:p w14:paraId="31304A0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供应商具备提供上门服务的能力</w:t>
            </w:r>
          </w:p>
        </w:tc>
        <w:tc>
          <w:tcPr>
            <w:tcW w:w="1380" w:type="dxa"/>
            <w:shd w:val="clear" w:color="auto" w:fill="FFFFFF"/>
            <w:vAlign w:val="center"/>
          </w:tcPr>
          <w:p w14:paraId="5AE7AFD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FD9B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29" w:type="dxa"/>
            <w:shd w:val="clear" w:color="auto" w:fill="FFFFFF"/>
            <w:vAlign w:val="center"/>
          </w:tcPr>
          <w:p w14:paraId="314EA9D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143</w:t>
            </w:r>
          </w:p>
        </w:tc>
        <w:tc>
          <w:tcPr>
            <w:tcW w:w="981" w:type="dxa"/>
            <w:shd w:val="clear" w:color="auto" w:fill="FFFFFF"/>
            <w:vAlign w:val="center"/>
          </w:tcPr>
          <w:p w14:paraId="232B848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02842C55">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E1ACA6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业务场景性能优化服务及整体架构升级服务</w:t>
            </w:r>
          </w:p>
        </w:tc>
        <w:tc>
          <w:tcPr>
            <w:tcW w:w="4137" w:type="dxa"/>
            <w:shd w:val="clear" w:color="auto" w:fill="FFFFFF"/>
            <w:vAlign w:val="center"/>
          </w:tcPr>
          <w:p w14:paraId="2EB5E7C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供应商提供针对特定业务场景性能优化服务及整体架构升级服务</w:t>
            </w:r>
          </w:p>
        </w:tc>
        <w:tc>
          <w:tcPr>
            <w:tcW w:w="1380" w:type="dxa"/>
            <w:shd w:val="clear" w:color="auto" w:fill="FFFFFF"/>
            <w:vAlign w:val="center"/>
          </w:tcPr>
          <w:p w14:paraId="424C4D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B627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29" w:type="dxa"/>
            <w:shd w:val="clear" w:color="auto" w:fill="FFFFFF"/>
            <w:vAlign w:val="center"/>
          </w:tcPr>
          <w:p w14:paraId="56D171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144</w:t>
            </w:r>
          </w:p>
        </w:tc>
        <w:tc>
          <w:tcPr>
            <w:tcW w:w="981" w:type="dxa"/>
            <w:shd w:val="clear" w:color="auto" w:fill="FFFFFF"/>
            <w:vAlign w:val="center"/>
          </w:tcPr>
          <w:p w14:paraId="7D0C371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供保要求</w:t>
            </w:r>
          </w:p>
        </w:tc>
        <w:tc>
          <w:tcPr>
            <w:tcW w:w="981" w:type="dxa"/>
            <w:vMerge w:val="restart"/>
            <w:shd w:val="clear" w:color="auto" w:fill="FFFFFF"/>
            <w:vAlign w:val="center"/>
          </w:tcPr>
          <w:p w14:paraId="5AD7E93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供应链质量</w:t>
            </w:r>
          </w:p>
        </w:tc>
        <w:tc>
          <w:tcPr>
            <w:tcW w:w="1206" w:type="dxa"/>
            <w:shd w:val="clear" w:color="auto" w:fill="FFFFFF"/>
            <w:vAlign w:val="center"/>
          </w:tcPr>
          <w:p w14:paraId="7114BAC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★抗干扰性</w:t>
            </w:r>
          </w:p>
        </w:tc>
        <w:tc>
          <w:tcPr>
            <w:tcW w:w="4137" w:type="dxa"/>
            <w:shd w:val="clear" w:color="auto" w:fill="FFFFFF"/>
            <w:vAlign w:val="center"/>
          </w:tcPr>
          <w:p w14:paraId="2B2FAED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当产品部件出现供应风险时，应通知客户并提供风险应对方案确保产品的服务保障，必要时应停止相关受影响产品的销售</w:t>
            </w:r>
          </w:p>
        </w:tc>
        <w:tc>
          <w:tcPr>
            <w:tcW w:w="1380" w:type="dxa"/>
            <w:shd w:val="clear" w:color="auto" w:fill="FFFFFF"/>
            <w:vAlign w:val="center"/>
          </w:tcPr>
          <w:p w14:paraId="0EC05F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0781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72E3E24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145</w:t>
            </w:r>
          </w:p>
        </w:tc>
        <w:tc>
          <w:tcPr>
            <w:tcW w:w="981" w:type="dxa"/>
            <w:shd w:val="clear" w:color="auto" w:fill="FFFFFF"/>
            <w:vAlign w:val="center"/>
          </w:tcPr>
          <w:p w14:paraId="6E1D97F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供保要求</w:t>
            </w:r>
          </w:p>
        </w:tc>
        <w:tc>
          <w:tcPr>
            <w:tcW w:w="981" w:type="dxa"/>
            <w:vMerge w:val="continue"/>
            <w:shd w:val="clear" w:color="auto" w:fill="FFFFFF"/>
            <w:vAlign w:val="center"/>
          </w:tcPr>
          <w:p w14:paraId="350A6FA2">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F1BB32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★供应能力证明</w:t>
            </w:r>
          </w:p>
        </w:tc>
        <w:tc>
          <w:tcPr>
            <w:tcW w:w="4137" w:type="dxa"/>
            <w:shd w:val="clear" w:color="auto" w:fill="FFFFFF"/>
            <w:vAlign w:val="center"/>
          </w:tcPr>
          <w:p w14:paraId="4E96A87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b/>
                <w:bCs/>
                <w:kern w:val="0"/>
                <w:sz w:val="24"/>
              </w:rPr>
              <w:t>供应商提供供应链稳定承诺书，确保产品的部件在产品服务周期内稳定供货（需提供加盖投标人公章的承诺书，否则作无效投标处理）</w:t>
            </w:r>
          </w:p>
        </w:tc>
        <w:tc>
          <w:tcPr>
            <w:tcW w:w="1380" w:type="dxa"/>
            <w:shd w:val="clear" w:color="auto" w:fill="FFFFFF"/>
            <w:vAlign w:val="center"/>
          </w:tcPr>
          <w:p w14:paraId="4C31BF9B">
            <w:pPr>
              <w:widowControl/>
              <w:jc w:val="center"/>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kern w:val="0"/>
                <w:sz w:val="24"/>
              </w:rPr>
              <w:t>是</w:t>
            </w:r>
          </w:p>
        </w:tc>
      </w:tr>
      <w:tr w14:paraId="07D89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29" w:type="dxa"/>
            <w:shd w:val="clear" w:color="auto" w:fill="FFFFFF"/>
            <w:vAlign w:val="center"/>
          </w:tcPr>
          <w:p w14:paraId="0DD198C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146</w:t>
            </w:r>
          </w:p>
        </w:tc>
        <w:tc>
          <w:tcPr>
            <w:tcW w:w="981" w:type="dxa"/>
            <w:shd w:val="clear" w:color="auto" w:fill="FFFFFF"/>
            <w:vAlign w:val="center"/>
          </w:tcPr>
          <w:p w14:paraId="1086F16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vAlign w:val="center"/>
          </w:tcPr>
          <w:p w14:paraId="7AB9525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中央处理器</w:t>
            </w:r>
          </w:p>
        </w:tc>
        <w:tc>
          <w:tcPr>
            <w:tcW w:w="1206" w:type="dxa"/>
            <w:shd w:val="clear" w:color="auto" w:fill="FFFFFF"/>
            <w:vAlign w:val="center"/>
          </w:tcPr>
          <w:p w14:paraId="0DF3A34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 加解密功能</w:t>
            </w:r>
          </w:p>
        </w:tc>
        <w:tc>
          <w:tcPr>
            <w:tcW w:w="4137" w:type="dxa"/>
            <w:shd w:val="clear" w:color="auto" w:fill="FFFFFF"/>
            <w:vAlign w:val="center"/>
          </w:tcPr>
          <w:p w14:paraId="6D5943F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投标产品所配备的CPU（中央处理器）支持TEE可信执行环境，实现虚拟机在内存读写时的自动加解密功能。需提供投标产品所配备的CPU（中央处理器）具有上述密码技术特性的证明材料</w:t>
            </w:r>
          </w:p>
        </w:tc>
        <w:tc>
          <w:tcPr>
            <w:tcW w:w="1380" w:type="dxa"/>
            <w:shd w:val="clear" w:color="auto" w:fill="FFFFFF"/>
            <w:vAlign w:val="center"/>
          </w:tcPr>
          <w:p w14:paraId="71530F4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06036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29" w:type="dxa"/>
            <w:shd w:val="clear" w:color="auto" w:fill="FFFFFF"/>
            <w:vAlign w:val="center"/>
          </w:tcPr>
          <w:p w14:paraId="46F38C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147</w:t>
            </w:r>
          </w:p>
        </w:tc>
        <w:tc>
          <w:tcPr>
            <w:tcW w:w="981" w:type="dxa"/>
            <w:shd w:val="clear" w:color="auto" w:fill="FFFFFF"/>
            <w:vAlign w:val="center"/>
          </w:tcPr>
          <w:p w14:paraId="6250DAC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vAlign w:val="center"/>
          </w:tcPr>
          <w:p w14:paraId="789C29B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中央处理器</w:t>
            </w:r>
          </w:p>
        </w:tc>
        <w:tc>
          <w:tcPr>
            <w:tcW w:w="1206" w:type="dxa"/>
            <w:shd w:val="clear" w:color="auto" w:fill="FFFFFF"/>
            <w:vAlign w:val="center"/>
          </w:tcPr>
          <w:p w14:paraId="6F6BA6C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#超线程技术</w:t>
            </w:r>
          </w:p>
        </w:tc>
        <w:tc>
          <w:tcPr>
            <w:tcW w:w="4137" w:type="dxa"/>
            <w:shd w:val="clear" w:color="auto" w:fill="FFFFFF"/>
            <w:vAlign w:val="center"/>
          </w:tcPr>
          <w:p w14:paraId="453F28C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shd w:val="clear" w:color="auto" w:fill="FFFFFF" w:themeFill="background1"/>
              </w:rPr>
              <w:t>产品所配备的CPU（中央处理器）需支持且配置超线程技术</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lang w:val="en-US" w:eastAsia="zh-CN"/>
              </w:rPr>
              <w:t>需</w:t>
            </w:r>
            <w:r>
              <w:rPr>
                <w:rFonts w:hint="eastAsia" w:asciiTheme="minorEastAsia" w:hAnsiTheme="minorEastAsia" w:eastAsiaTheme="minorEastAsia" w:cstheme="minorEastAsia"/>
                <w:kern w:val="0"/>
                <w:sz w:val="24"/>
              </w:rPr>
              <w:t xml:space="preserve">提供投标产品所配备的CPU（中央处理器）具有上述技术特性的证明材料 </w:t>
            </w:r>
            <w:r>
              <w:rPr>
                <w:rFonts w:hint="eastAsia" w:asciiTheme="minorEastAsia" w:hAnsiTheme="minorEastAsia" w:eastAsiaTheme="minorEastAsia" w:cstheme="minorEastAsia"/>
                <w:kern w:val="0"/>
                <w:sz w:val="24"/>
                <w:shd w:val="clear" w:color="auto" w:fill="FFFFFF" w:themeFill="background1"/>
              </w:rPr>
              <w:t>；</w:t>
            </w:r>
          </w:p>
        </w:tc>
        <w:tc>
          <w:tcPr>
            <w:tcW w:w="1380" w:type="dxa"/>
            <w:shd w:val="clear" w:color="auto" w:fill="FFFFFF"/>
            <w:vAlign w:val="center"/>
          </w:tcPr>
          <w:p w14:paraId="6D38FB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bl>
    <w:p w14:paraId="47975ABB">
      <w:pPr>
        <w:pStyle w:val="14"/>
        <w:ind w:firstLine="480"/>
        <w:rPr>
          <w:rFonts w:asciiTheme="minorEastAsia" w:hAnsiTheme="minorEastAsia" w:eastAsiaTheme="minorEastAsia" w:cstheme="minorEastAsia"/>
          <w:szCs w:val="24"/>
        </w:rPr>
      </w:pPr>
    </w:p>
    <w:p w14:paraId="17B55945">
      <w:pPr>
        <w:pStyle w:val="2"/>
        <w:numPr>
          <w:ilvl w:val="0"/>
          <w:numId w:val="2"/>
        </w:numPr>
        <w:ind w:left="442" w:hanging="442"/>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其他应用物理服务器</w:t>
      </w:r>
    </w:p>
    <w:tbl>
      <w:tblPr>
        <w:tblStyle w:val="15"/>
        <w:tblW w:w="9486" w:type="dxa"/>
        <w:tblInd w:w="-4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744"/>
        <w:gridCol w:w="981"/>
        <w:gridCol w:w="981"/>
        <w:gridCol w:w="1206"/>
        <w:gridCol w:w="4077"/>
        <w:gridCol w:w="1497"/>
      </w:tblGrid>
      <w:tr w14:paraId="6D2A2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44" w:type="dxa"/>
            <w:shd w:val="clear" w:color="auto" w:fill="FFFFFF"/>
            <w:vAlign w:val="center"/>
          </w:tcPr>
          <w:p w14:paraId="360332D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序号</w:t>
            </w:r>
          </w:p>
        </w:tc>
        <w:tc>
          <w:tcPr>
            <w:tcW w:w="981" w:type="dxa"/>
            <w:shd w:val="clear" w:color="auto" w:fill="FFFFFF"/>
            <w:vAlign w:val="center"/>
          </w:tcPr>
          <w:p w14:paraId="5344446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指标分类</w:t>
            </w:r>
          </w:p>
        </w:tc>
        <w:tc>
          <w:tcPr>
            <w:tcW w:w="981" w:type="dxa"/>
            <w:shd w:val="clear" w:color="auto" w:fill="FFFFFF"/>
            <w:vAlign w:val="center"/>
          </w:tcPr>
          <w:p w14:paraId="25D7D9B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一级指标</w:t>
            </w:r>
          </w:p>
        </w:tc>
        <w:tc>
          <w:tcPr>
            <w:tcW w:w="1206" w:type="dxa"/>
            <w:shd w:val="clear" w:color="auto" w:fill="FFFFFF"/>
            <w:vAlign w:val="center"/>
          </w:tcPr>
          <w:p w14:paraId="78A55E5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二级指标</w:t>
            </w:r>
          </w:p>
        </w:tc>
        <w:tc>
          <w:tcPr>
            <w:tcW w:w="4077" w:type="dxa"/>
            <w:shd w:val="clear" w:color="auto" w:fill="FFFFFF"/>
            <w:vAlign w:val="center"/>
          </w:tcPr>
          <w:p w14:paraId="50CF79C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指标要求</w:t>
            </w:r>
          </w:p>
        </w:tc>
        <w:tc>
          <w:tcPr>
            <w:tcW w:w="1497" w:type="dxa"/>
            <w:shd w:val="clear" w:color="auto" w:fill="FFFFFF"/>
            <w:vAlign w:val="center"/>
          </w:tcPr>
          <w:p w14:paraId="3061C79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是否提供证明材料</w:t>
            </w:r>
          </w:p>
        </w:tc>
      </w:tr>
      <w:tr w14:paraId="72FB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454CEF8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w:t>
            </w:r>
          </w:p>
        </w:tc>
        <w:tc>
          <w:tcPr>
            <w:tcW w:w="981" w:type="dxa"/>
            <w:shd w:val="clear" w:color="auto" w:fill="FFFFFF"/>
            <w:vAlign w:val="center"/>
          </w:tcPr>
          <w:p w14:paraId="510B2D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shd w:val="clear" w:color="auto" w:fill="FFFFFF"/>
            <w:vAlign w:val="center"/>
          </w:tcPr>
          <w:p w14:paraId="05F60A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CPU规格</w:t>
            </w:r>
          </w:p>
        </w:tc>
        <w:tc>
          <w:tcPr>
            <w:tcW w:w="1206" w:type="dxa"/>
            <w:shd w:val="clear" w:color="auto" w:fill="FFFFFF"/>
            <w:vAlign w:val="center"/>
          </w:tcPr>
          <w:p w14:paraId="2C80784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★CPU信息</w:t>
            </w:r>
          </w:p>
        </w:tc>
        <w:tc>
          <w:tcPr>
            <w:tcW w:w="4077" w:type="dxa"/>
            <w:shd w:val="clear" w:color="auto" w:fill="FFFFFF"/>
            <w:vAlign w:val="center"/>
          </w:tcPr>
          <w:p w14:paraId="3144D99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供应商应给出CPU信息，包含CPU型号、物理核心数、主频、末级缓存容量、线程数、热设计功耗及支持内存的最高速率、通道数和位宽</w:t>
            </w:r>
          </w:p>
        </w:tc>
        <w:tc>
          <w:tcPr>
            <w:tcW w:w="1497" w:type="dxa"/>
            <w:shd w:val="clear" w:color="auto" w:fill="FFFFFF"/>
            <w:vAlign w:val="center"/>
          </w:tcPr>
          <w:p w14:paraId="56665C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0C6B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44" w:type="dxa"/>
            <w:shd w:val="clear" w:color="auto" w:fill="FFFFFF"/>
            <w:vAlign w:val="center"/>
          </w:tcPr>
          <w:p w14:paraId="65D9BA4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981" w:type="dxa"/>
            <w:shd w:val="clear" w:color="auto" w:fill="FFFFFF"/>
            <w:vAlign w:val="center"/>
          </w:tcPr>
          <w:p w14:paraId="124A697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51EC35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主板规格</w:t>
            </w:r>
          </w:p>
        </w:tc>
        <w:tc>
          <w:tcPr>
            <w:tcW w:w="1206" w:type="dxa"/>
            <w:shd w:val="clear" w:color="auto" w:fill="FFFFFF"/>
            <w:vAlign w:val="center"/>
          </w:tcPr>
          <w:p w14:paraId="12EEAB0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★主板支持的CPU和内存情况</w:t>
            </w:r>
          </w:p>
        </w:tc>
        <w:tc>
          <w:tcPr>
            <w:tcW w:w="4077" w:type="dxa"/>
            <w:shd w:val="clear" w:color="auto" w:fill="FFFFFF"/>
            <w:vAlign w:val="center"/>
          </w:tcPr>
          <w:p w14:paraId="1DBE790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供应商给出主板支持的CPU和内存的型号数量</w:t>
            </w:r>
          </w:p>
        </w:tc>
        <w:tc>
          <w:tcPr>
            <w:tcW w:w="1497" w:type="dxa"/>
            <w:shd w:val="clear" w:color="auto" w:fill="FFFFFF"/>
            <w:vAlign w:val="center"/>
          </w:tcPr>
          <w:p w14:paraId="3A68226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E5F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49B057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w:t>
            </w:r>
          </w:p>
        </w:tc>
        <w:tc>
          <w:tcPr>
            <w:tcW w:w="981" w:type="dxa"/>
            <w:shd w:val="clear" w:color="auto" w:fill="FFFFFF"/>
            <w:vAlign w:val="center"/>
          </w:tcPr>
          <w:p w14:paraId="688F560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A0F334B">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BCAF91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★主板内存槽数量</w:t>
            </w:r>
          </w:p>
        </w:tc>
        <w:tc>
          <w:tcPr>
            <w:tcW w:w="4077" w:type="dxa"/>
            <w:shd w:val="clear" w:color="auto" w:fill="FFFFFF"/>
            <w:vAlign w:val="center"/>
          </w:tcPr>
          <w:p w14:paraId="4ADC8F0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非板载内存的可扩展插槽数量应≥4个</w:t>
            </w:r>
          </w:p>
        </w:tc>
        <w:tc>
          <w:tcPr>
            <w:tcW w:w="1497" w:type="dxa"/>
            <w:shd w:val="clear" w:color="auto" w:fill="FFFFFF"/>
            <w:vAlign w:val="center"/>
          </w:tcPr>
          <w:p w14:paraId="3CF7E2C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0AC9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53D5B22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w:t>
            </w:r>
          </w:p>
        </w:tc>
        <w:tc>
          <w:tcPr>
            <w:tcW w:w="981" w:type="dxa"/>
            <w:shd w:val="clear" w:color="auto" w:fill="FFFFFF"/>
            <w:vAlign w:val="center"/>
          </w:tcPr>
          <w:p w14:paraId="358B6FE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2A12E52">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424DC1B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★主板存储接口</w:t>
            </w:r>
          </w:p>
        </w:tc>
        <w:tc>
          <w:tcPr>
            <w:tcW w:w="4077" w:type="dxa"/>
            <w:shd w:val="clear" w:color="auto" w:fill="FFFFFF"/>
            <w:vAlign w:val="center"/>
          </w:tcPr>
          <w:p w14:paraId="2CEA2C5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至少支持SATA、SAS、M.2、U.2等存储接口中的1种</w:t>
            </w:r>
          </w:p>
        </w:tc>
        <w:tc>
          <w:tcPr>
            <w:tcW w:w="1497" w:type="dxa"/>
            <w:shd w:val="clear" w:color="auto" w:fill="FFFFFF"/>
            <w:vAlign w:val="center"/>
          </w:tcPr>
          <w:p w14:paraId="53CFFB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1DB2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394CEE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w:t>
            </w:r>
          </w:p>
        </w:tc>
        <w:tc>
          <w:tcPr>
            <w:tcW w:w="981" w:type="dxa"/>
            <w:shd w:val="clear" w:color="auto" w:fill="FFFFFF"/>
            <w:vAlign w:val="center"/>
          </w:tcPr>
          <w:p w14:paraId="1F13348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A335F9A">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536100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★PCIe插槽接口</w:t>
            </w:r>
          </w:p>
        </w:tc>
        <w:tc>
          <w:tcPr>
            <w:tcW w:w="4077" w:type="dxa"/>
            <w:shd w:val="clear" w:color="auto" w:fill="FFFFFF"/>
            <w:vAlign w:val="center"/>
          </w:tcPr>
          <w:p w14:paraId="44D892D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符合PCIe3.0或以上的高速串行计算机扩展总线标准，PCIe的接口速率与位宽需保证向下兼容</w:t>
            </w:r>
          </w:p>
        </w:tc>
        <w:tc>
          <w:tcPr>
            <w:tcW w:w="1497" w:type="dxa"/>
            <w:shd w:val="clear" w:color="auto" w:fill="FFFFFF"/>
            <w:vAlign w:val="center"/>
          </w:tcPr>
          <w:p w14:paraId="66F5011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5FE9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44" w:type="dxa"/>
            <w:shd w:val="clear" w:color="auto" w:fill="FFFFFF"/>
            <w:vAlign w:val="center"/>
          </w:tcPr>
          <w:p w14:paraId="70CEC7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w:t>
            </w:r>
          </w:p>
        </w:tc>
        <w:tc>
          <w:tcPr>
            <w:tcW w:w="981" w:type="dxa"/>
            <w:shd w:val="clear" w:color="auto" w:fill="FFFFFF"/>
            <w:vAlign w:val="center"/>
          </w:tcPr>
          <w:p w14:paraId="01A97D3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11DACB1F">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3E55C1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★主板PCIe插槽数量及规格</w:t>
            </w:r>
          </w:p>
        </w:tc>
        <w:tc>
          <w:tcPr>
            <w:tcW w:w="4077" w:type="dxa"/>
            <w:shd w:val="clear" w:color="auto" w:fill="FFFFFF"/>
            <w:vAlign w:val="center"/>
          </w:tcPr>
          <w:p w14:paraId="5B88813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a）高度大于44.45mm双路或以上服务器PCIe插槽或接口应≥5个；</w:t>
            </w:r>
          </w:p>
          <w:p w14:paraId="25546E2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b）单路服务器PCIe插槽或接口应≥4个，可通过扩展卡进行插槽扩展</w:t>
            </w:r>
          </w:p>
        </w:tc>
        <w:tc>
          <w:tcPr>
            <w:tcW w:w="1497" w:type="dxa"/>
            <w:shd w:val="clear" w:color="auto" w:fill="FFFFFF"/>
            <w:vAlign w:val="center"/>
          </w:tcPr>
          <w:p w14:paraId="0808E1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044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728" w:hRule="atLeast"/>
        </w:trPr>
        <w:tc>
          <w:tcPr>
            <w:tcW w:w="744" w:type="dxa"/>
            <w:shd w:val="clear" w:color="auto" w:fill="FFFFFF"/>
            <w:vAlign w:val="center"/>
          </w:tcPr>
          <w:p w14:paraId="712CA4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w:t>
            </w:r>
          </w:p>
        </w:tc>
        <w:tc>
          <w:tcPr>
            <w:tcW w:w="981" w:type="dxa"/>
            <w:shd w:val="clear" w:color="auto" w:fill="FFFFFF"/>
            <w:vAlign w:val="center"/>
          </w:tcPr>
          <w:p w14:paraId="307BA50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2CB1FF09">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3F227E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特殊孔位及接口</w:t>
            </w:r>
          </w:p>
        </w:tc>
        <w:tc>
          <w:tcPr>
            <w:tcW w:w="4077" w:type="dxa"/>
            <w:shd w:val="clear" w:color="auto" w:fill="FFFFFF"/>
            <w:vAlign w:val="center"/>
          </w:tcPr>
          <w:p w14:paraId="4D25B9B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服务器机箱内主板可根据用户实际使用需求支持安装多功能导入装置板卡，机箱内需预留多功能导入装置板卡安装位置，容量不小于55mm×45mm×15mm（长×宽×高，单位毫米）；b）服务器主板可根据用户实际使用需求预留满足USB2.0或USB3.0数据传输规范的接口，工作电压5V，采用USB2.0时，最大过电流应不小于0.5A，采用USB3.0时，最大过电流应不小于1A</w:t>
            </w:r>
          </w:p>
        </w:tc>
        <w:tc>
          <w:tcPr>
            <w:tcW w:w="1497" w:type="dxa"/>
            <w:shd w:val="clear" w:color="auto" w:fill="FFFFFF"/>
            <w:vAlign w:val="center"/>
          </w:tcPr>
          <w:p w14:paraId="19FA4E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9C2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615829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981" w:type="dxa"/>
            <w:shd w:val="clear" w:color="auto" w:fill="FFFFFF"/>
            <w:vAlign w:val="center"/>
          </w:tcPr>
          <w:p w14:paraId="0391950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4B73674">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61377D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板载网络接口</w:t>
            </w:r>
          </w:p>
        </w:tc>
        <w:tc>
          <w:tcPr>
            <w:tcW w:w="4077" w:type="dxa"/>
            <w:shd w:val="clear" w:color="auto" w:fill="FFFFFF"/>
            <w:vAlign w:val="center"/>
          </w:tcPr>
          <w:p w14:paraId="028BBED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若支持板载网络接口应≥2个1GE网口</w:t>
            </w:r>
          </w:p>
        </w:tc>
        <w:tc>
          <w:tcPr>
            <w:tcW w:w="1497" w:type="dxa"/>
            <w:shd w:val="clear" w:color="auto" w:fill="FFFFFF"/>
            <w:vAlign w:val="center"/>
          </w:tcPr>
          <w:p w14:paraId="31D00E6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40CB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1449BD1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w:t>
            </w:r>
          </w:p>
        </w:tc>
        <w:tc>
          <w:tcPr>
            <w:tcW w:w="981" w:type="dxa"/>
            <w:shd w:val="clear" w:color="auto" w:fill="FFFFFF"/>
            <w:vAlign w:val="center"/>
          </w:tcPr>
          <w:p w14:paraId="14A785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2A98BF47">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7390F8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主板OCP插槽数量</w:t>
            </w:r>
          </w:p>
        </w:tc>
        <w:tc>
          <w:tcPr>
            <w:tcW w:w="4077" w:type="dxa"/>
            <w:shd w:val="clear" w:color="auto" w:fill="FFFFFF"/>
            <w:vAlign w:val="center"/>
          </w:tcPr>
          <w:p w14:paraId="4867D6C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支持OCP2.0及以上插槽的数量≥1个</w:t>
            </w:r>
          </w:p>
        </w:tc>
        <w:tc>
          <w:tcPr>
            <w:tcW w:w="1497" w:type="dxa"/>
            <w:shd w:val="clear" w:color="auto" w:fill="FFFFFF"/>
            <w:vAlign w:val="center"/>
          </w:tcPr>
          <w:p w14:paraId="3B96199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9BEC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44" w:type="dxa"/>
            <w:shd w:val="clear" w:color="auto" w:fill="FFFFFF"/>
            <w:vAlign w:val="center"/>
          </w:tcPr>
          <w:p w14:paraId="4A3CE99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w:t>
            </w:r>
          </w:p>
        </w:tc>
        <w:tc>
          <w:tcPr>
            <w:tcW w:w="981" w:type="dxa"/>
            <w:shd w:val="clear" w:color="auto" w:fill="FFFFFF"/>
            <w:vAlign w:val="center"/>
          </w:tcPr>
          <w:p w14:paraId="15B3B01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1F823C1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内存规格</w:t>
            </w:r>
          </w:p>
        </w:tc>
        <w:tc>
          <w:tcPr>
            <w:tcW w:w="1206" w:type="dxa"/>
            <w:shd w:val="clear" w:color="auto" w:fill="FFFFFF"/>
            <w:vAlign w:val="center"/>
          </w:tcPr>
          <w:p w14:paraId="4F5289D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★内存数量</w:t>
            </w:r>
          </w:p>
        </w:tc>
        <w:tc>
          <w:tcPr>
            <w:tcW w:w="4077" w:type="dxa"/>
            <w:shd w:val="clear" w:color="auto" w:fill="FFFFFF"/>
            <w:vAlign w:val="center"/>
          </w:tcPr>
          <w:p w14:paraId="4E9F762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1497" w:type="dxa"/>
            <w:shd w:val="clear" w:color="auto" w:fill="FFFFFF"/>
            <w:vAlign w:val="center"/>
          </w:tcPr>
          <w:p w14:paraId="51FA57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A638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44" w:type="dxa"/>
            <w:shd w:val="clear" w:color="auto" w:fill="FFFFFF"/>
            <w:vAlign w:val="center"/>
          </w:tcPr>
          <w:p w14:paraId="35D32E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w:t>
            </w:r>
          </w:p>
        </w:tc>
        <w:tc>
          <w:tcPr>
            <w:tcW w:w="981" w:type="dxa"/>
            <w:shd w:val="clear" w:color="auto" w:fill="FFFFFF"/>
            <w:vAlign w:val="center"/>
          </w:tcPr>
          <w:p w14:paraId="5A77F0B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59872F12">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9E985C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★内存规格</w:t>
            </w:r>
          </w:p>
        </w:tc>
        <w:tc>
          <w:tcPr>
            <w:tcW w:w="4077" w:type="dxa"/>
            <w:shd w:val="clear" w:color="auto" w:fill="FFFFFF"/>
            <w:vAlign w:val="center"/>
          </w:tcPr>
          <w:p w14:paraId="0CE0A52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≥DDR4</w:t>
            </w:r>
          </w:p>
        </w:tc>
        <w:tc>
          <w:tcPr>
            <w:tcW w:w="1497" w:type="dxa"/>
            <w:shd w:val="clear" w:color="auto" w:fill="FFFFFF"/>
            <w:vAlign w:val="center"/>
          </w:tcPr>
          <w:p w14:paraId="77BEED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5449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071C295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w:t>
            </w:r>
          </w:p>
        </w:tc>
        <w:tc>
          <w:tcPr>
            <w:tcW w:w="981" w:type="dxa"/>
            <w:shd w:val="clear" w:color="auto" w:fill="FFFFFF"/>
            <w:vAlign w:val="center"/>
          </w:tcPr>
          <w:p w14:paraId="7C36C0D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530A7E54">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ADB097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★内存通道</w:t>
            </w:r>
          </w:p>
        </w:tc>
        <w:tc>
          <w:tcPr>
            <w:tcW w:w="4077" w:type="dxa"/>
            <w:shd w:val="clear" w:color="auto" w:fill="FFFFFF"/>
            <w:vAlign w:val="center"/>
          </w:tcPr>
          <w:p w14:paraId="1268CF0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支持多个内存接口通道，每个通道可支持1DPC或2DPC，当支持2DPC时，印制电路板上应具备插槽的序号标识，具体通道数应在随机文件中明确</w:t>
            </w:r>
          </w:p>
        </w:tc>
        <w:tc>
          <w:tcPr>
            <w:tcW w:w="1497" w:type="dxa"/>
            <w:shd w:val="clear" w:color="auto" w:fill="FFFFFF"/>
            <w:vAlign w:val="center"/>
          </w:tcPr>
          <w:p w14:paraId="5E9DCB0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A886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4C9FCC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w:t>
            </w:r>
          </w:p>
        </w:tc>
        <w:tc>
          <w:tcPr>
            <w:tcW w:w="981" w:type="dxa"/>
            <w:shd w:val="clear" w:color="auto" w:fill="FFFFFF"/>
            <w:vAlign w:val="center"/>
          </w:tcPr>
          <w:p w14:paraId="63A43D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56D8252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存储规格</w:t>
            </w:r>
          </w:p>
        </w:tc>
        <w:tc>
          <w:tcPr>
            <w:tcW w:w="1206" w:type="dxa"/>
            <w:shd w:val="clear" w:color="auto" w:fill="FFFFFF"/>
            <w:vAlign w:val="center"/>
          </w:tcPr>
          <w:p w14:paraId="7B17C5C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硬盘类型</w:t>
            </w:r>
          </w:p>
        </w:tc>
        <w:tc>
          <w:tcPr>
            <w:tcW w:w="4077" w:type="dxa"/>
            <w:shd w:val="clear" w:color="auto" w:fill="FFFFFF"/>
            <w:vAlign w:val="center"/>
          </w:tcPr>
          <w:p w14:paraId="5BF6F64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供应商给出服务器支持硬磁盘和固态盘类型及规格</w:t>
            </w:r>
          </w:p>
        </w:tc>
        <w:tc>
          <w:tcPr>
            <w:tcW w:w="1497" w:type="dxa"/>
            <w:shd w:val="clear" w:color="auto" w:fill="FFFFFF"/>
            <w:vAlign w:val="center"/>
          </w:tcPr>
          <w:p w14:paraId="15B5EF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E407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65A74E3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w:t>
            </w:r>
          </w:p>
        </w:tc>
        <w:tc>
          <w:tcPr>
            <w:tcW w:w="981" w:type="dxa"/>
            <w:shd w:val="clear" w:color="auto" w:fill="FFFFFF"/>
            <w:vAlign w:val="center"/>
          </w:tcPr>
          <w:p w14:paraId="2ED5DD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6C962011">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461C4B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★硬磁盘实配容量</w:t>
            </w:r>
          </w:p>
        </w:tc>
        <w:tc>
          <w:tcPr>
            <w:tcW w:w="4077" w:type="dxa"/>
            <w:shd w:val="clear" w:color="auto" w:fill="FFFFFF"/>
            <w:vAlign w:val="center"/>
          </w:tcPr>
          <w:p w14:paraId="1721F34F">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硬盘1：≥480G SATA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硬盘2：≥8T 7.2K SATA硬磁盘</w:t>
            </w:r>
          </w:p>
        </w:tc>
        <w:tc>
          <w:tcPr>
            <w:tcW w:w="1497" w:type="dxa"/>
            <w:shd w:val="clear" w:color="auto" w:fill="FFFFFF"/>
            <w:vAlign w:val="center"/>
          </w:tcPr>
          <w:p w14:paraId="6C26F53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2999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083CF5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15</w:t>
            </w:r>
          </w:p>
        </w:tc>
        <w:tc>
          <w:tcPr>
            <w:tcW w:w="981" w:type="dxa"/>
            <w:shd w:val="clear" w:color="auto" w:fill="FFFFFF"/>
            <w:vAlign w:val="center"/>
          </w:tcPr>
          <w:p w14:paraId="1BDCE3E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8CED69C">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4CBC55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硬盘接口类型</w:t>
            </w:r>
          </w:p>
        </w:tc>
        <w:tc>
          <w:tcPr>
            <w:tcW w:w="4077" w:type="dxa"/>
            <w:shd w:val="clear" w:color="auto" w:fill="FFFFFF"/>
            <w:vAlign w:val="center"/>
          </w:tcPr>
          <w:p w14:paraId="400FE0A0">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a）若配备硬磁盘，应提供SAS3.0或SATA3.0及以上接口；b）若配备固态盘，应提供至少1种类型固态盘接口，如UFS、SATA、PCIe等</w:t>
            </w:r>
          </w:p>
        </w:tc>
        <w:tc>
          <w:tcPr>
            <w:tcW w:w="1497" w:type="dxa"/>
            <w:shd w:val="clear" w:color="auto" w:fill="FFFFFF"/>
            <w:vAlign w:val="center"/>
          </w:tcPr>
          <w:p w14:paraId="3E97C57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94EA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6083FE3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16</w:t>
            </w:r>
          </w:p>
        </w:tc>
        <w:tc>
          <w:tcPr>
            <w:tcW w:w="981" w:type="dxa"/>
            <w:shd w:val="clear" w:color="auto" w:fill="FFFFFF"/>
            <w:vAlign w:val="center"/>
          </w:tcPr>
          <w:p w14:paraId="60924A9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65B35184">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059A9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★硬盘实配数量</w:t>
            </w:r>
          </w:p>
        </w:tc>
        <w:tc>
          <w:tcPr>
            <w:tcW w:w="4077" w:type="dxa"/>
            <w:shd w:val="clear" w:color="auto" w:fill="FFFFFF"/>
            <w:vAlign w:val="center"/>
          </w:tcPr>
          <w:p w14:paraId="281E9418">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硬盘1：≥2块480G SATA SSD</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硬盘2：≥4块8T 7.2K SATA硬磁盘</w:t>
            </w:r>
          </w:p>
        </w:tc>
        <w:tc>
          <w:tcPr>
            <w:tcW w:w="1497" w:type="dxa"/>
            <w:shd w:val="clear" w:color="auto" w:fill="FFFFFF"/>
            <w:vAlign w:val="center"/>
          </w:tcPr>
          <w:p w14:paraId="31F4AAC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36D9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744" w:type="dxa"/>
            <w:shd w:val="clear" w:color="auto" w:fill="FFFFFF"/>
            <w:vAlign w:val="center"/>
          </w:tcPr>
          <w:p w14:paraId="1FACF3D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17</w:t>
            </w:r>
          </w:p>
        </w:tc>
        <w:tc>
          <w:tcPr>
            <w:tcW w:w="981" w:type="dxa"/>
            <w:shd w:val="clear" w:color="auto" w:fill="FFFFFF"/>
            <w:vAlign w:val="center"/>
          </w:tcPr>
          <w:p w14:paraId="3113E4C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3A8D428">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717E80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★硬盘插槽数量及规格</w:t>
            </w:r>
          </w:p>
        </w:tc>
        <w:tc>
          <w:tcPr>
            <w:tcW w:w="4077" w:type="dxa"/>
            <w:shd w:val="clear" w:color="auto" w:fill="FFFFFF"/>
            <w:vAlign w:val="center"/>
          </w:tcPr>
          <w:p w14:paraId="57AF41B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供应商应给出配置的硬盘尺寸，如2.5英寸、3.5英寸硬磁盘；b）机箱高度为88.9mm的服务器可支持的硬盘数量应≥8块，机箱高度为44.45mm的服务器可支持的硬盘数量应≥4块。c）存储型服务器可支持硬盘数量应≥24块</w:t>
            </w:r>
          </w:p>
        </w:tc>
        <w:tc>
          <w:tcPr>
            <w:tcW w:w="1497" w:type="dxa"/>
            <w:shd w:val="clear" w:color="auto" w:fill="FFFFFF"/>
            <w:vAlign w:val="center"/>
          </w:tcPr>
          <w:p w14:paraId="7240D2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BD64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080" w:hRule="atLeast"/>
        </w:trPr>
        <w:tc>
          <w:tcPr>
            <w:tcW w:w="744" w:type="dxa"/>
            <w:shd w:val="clear" w:color="auto" w:fill="FFFFFF"/>
            <w:vAlign w:val="center"/>
          </w:tcPr>
          <w:p w14:paraId="5ABF4B6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18</w:t>
            </w:r>
          </w:p>
        </w:tc>
        <w:tc>
          <w:tcPr>
            <w:tcW w:w="981" w:type="dxa"/>
            <w:shd w:val="clear" w:color="auto" w:fill="FFFFFF"/>
            <w:vAlign w:val="center"/>
          </w:tcPr>
          <w:p w14:paraId="0DEC3F7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1C392345">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5B8BFD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硬盘其他参数要求</w:t>
            </w:r>
          </w:p>
        </w:tc>
        <w:tc>
          <w:tcPr>
            <w:tcW w:w="4077" w:type="dxa"/>
            <w:shd w:val="clear" w:color="auto" w:fill="FFFFFF"/>
            <w:vAlign w:val="center"/>
          </w:tcPr>
          <w:p w14:paraId="7B4A450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drawing>
                <wp:anchor distT="0" distB="0" distL="114300" distR="114300" simplePos="0" relativeHeight="251669504" behindDoc="0" locked="0" layoutInCell="1" allowOverlap="1">
                  <wp:simplePos x="0" y="0"/>
                  <wp:positionH relativeFrom="column">
                    <wp:posOffset>9525</wp:posOffset>
                  </wp:positionH>
                  <wp:positionV relativeFrom="paragraph">
                    <wp:posOffset>471170</wp:posOffset>
                  </wp:positionV>
                  <wp:extent cx="76200" cy="47625"/>
                  <wp:effectExtent l="0" t="0" r="0" b="0"/>
                  <wp:wrapNone/>
                  <wp:docPr id="11" name="图片 1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5"/>
                          <a:stretch>
                            <a:fillRect/>
                          </a:stretch>
                        </pic:blipFill>
                        <pic:spPr>
                          <a:xfrm>
                            <a:off x="0" y="0"/>
                            <a:ext cx="76200" cy="47625"/>
                          </a:xfrm>
                          <a:prstGeom prst="rect">
                            <a:avLst/>
                          </a:prstGeom>
                          <a:noFill/>
                          <a:ln>
                            <a:noFill/>
                          </a:ln>
                        </pic:spPr>
                      </pic:pic>
                    </a:graphicData>
                  </a:graphic>
                </wp:anchor>
              </w:drawing>
            </w:r>
            <w:r>
              <w:rPr>
                <w:rFonts w:hint="eastAsia" w:asciiTheme="minorEastAsia" w:hAnsiTheme="minorEastAsia" w:eastAsiaTheme="minorEastAsia" w:cstheme="minorEastAsia"/>
                <w:kern w:val="0"/>
                <w:sz w:val="24"/>
              </w:rPr>
              <w:t>a）机械硬盘准备时间应≤30s；侧面固定螺丝孔数量可为4孔或6孔；工作状态环境温度应满足5℃55℃,其他参数应符合GB/T12628的相关规定；b）若服务器支持固态盘，固态盘符合SJ/T11654相关规定</w:t>
            </w:r>
          </w:p>
        </w:tc>
        <w:tc>
          <w:tcPr>
            <w:tcW w:w="1497" w:type="dxa"/>
            <w:shd w:val="clear" w:color="auto" w:fill="FFFFFF"/>
            <w:vAlign w:val="center"/>
          </w:tcPr>
          <w:p w14:paraId="6C3671C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5189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7D31504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19</w:t>
            </w:r>
          </w:p>
        </w:tc>
        <w:tc>
          <w:tcPr>
            <w:tcW w:w="981" w:type="dxa"/>
            <w:shd w:val="clear" w:color="auto" w:fill="FFFFFF"/>
            <w:vAlign w:val="center"/>
          </w:tcPr>
          <w:p w14:paraId="618BD98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shd w:val="clear" w:color="auto" w:fill="FFFFFF"/>
            <w:vAlign w:val="center"/>
          </w:tcPr>
          <w:p w14:paraId="308E164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RAID卡规格（若支持RAID卡）</w:t>
            </w:r>
          </w:p>
        </w:tc>
        <w:tc>
          <w:tcPr>
            <w:tcW w:w="1206" w:type="dxa"/>
            <w:shd w:val="clear" w:color="auto" w:fill="FFFFFF"/>
            <w:vAlign w:val="center"/>
          </w:tcPr>
          <w:p w14:paraId="34AAD4B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RAID卡支持的SAS接口数</w:t>
            </w:r>
          </w:p>
        </w:tc>
        <w:tc>
          <w:tcPr>
            <w:tcW w:w="4077" w:type="dxa"/>
            <w:shd w:val="clear" w:color="auto" w:fill="FFFFFF"/>
            <w:vAlign w:val="center"/>
          </w:tcPr>
          <w:p w14:paraId="7AA9C65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1497" w:type="dxa"/>
            <w:shd w:val="clear" w:color="auto" w:fill="FFFFFF"/>
            <w:vAlign w:val="center"/>
          </w:tcPr>
          <w:p w14:paraId="20B7ABA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A37B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44" w:type="dxa"/>
            <w:shd w:val="clear" w:color="auto" w:fill="FFFFFF"/>
            <w:vAlign w:val="center"/>
          </w:tcPr>
          <w:p w14:paraId="57080A7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20</w:t>
            </w:r>
          </w:p>
        </w:tc>
        <w:tc>
          <w:tcPr>
            <w:tcW w:w="981" w:type="dxa"/>
            <w:shd w:val="clear" w:color="auto" w:fill="FFFFFF"/>
            <w:vAlign w:val="center"/>
          </w:tcPr>
          <w:p w14:paraId="75296EA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shd w:val="clear" w:color="auto" w:fill="FFFFFF"/>
            <w:vAlign w:val="center"/>
          </w:tcPr>
          <w:p w14:paraId="633F552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SAS直通卡规格（若支持SAS直通卡）</w:t>
            </w:r>
          </w:p>
        </w:tc>
        <w:tc>
          <w:tcPr>
            <w:tcW w:w="1206" w:type="dxa"/>
            <w:shd w:val="clear" w:color="auto" w:fill="FFFFFF"/>
            <w:vAlign w:val="center"/>
          </w:tcPr>
          <w:p w14:paraId="2E3A0AB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SAS直通卡SAS接口数量</w:t>
            </w:r>
          </w:p>
        </w:tc>
        <w:tc>
          <w:tcPr>
            <w:tcW w:w="4077" w:type="dxa"/>
            <w:shd w:val="clear" w:color="auto" w:fill="FFFFFF"/>
            <w:vAlign w:val="center"/>
          </w:tcPr>
          <w:p w14:paraId="00C8853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≥0</w:t>
            </w:r>
          </w:p>
        </w:tc>
        <w:tc>
          <w:tcPr>
            <w:tcW w:w="1497" w:type="dxa"/>
            <w:shd w:val="clear" w:color="auto" w:fill="FFFFFF"/>
            <w:vAlign w:val="center"/>
          </w:tcPr>
          <w:p w14:paraId="5968737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ECA6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4C5F25C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21</w:t>
            </w:r>
          </w:p>
        </w:tc>
        <w:tc>
          <w:tcPr>
            <w:tcW w:w="981" w:type="dxa"/>
            <w:shd w:val="clear" w:color="auto" w:fill="FFFFFF"/>
            <w:vAlign w:val="center"/>
          </w:tcPr>
          <w:p w14:paraId="0873750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shd w:val="clear" w:color="auto" w:fill="FFFFFF"/>
            <w:vAlign w:val="center"/>
          </w:tcPr>
          <w:p w14:paraId="516483B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HBA卡规格（若支HBA直通卡）</w:t>
            </w:r>
          </w:p>
        </w:tc>
        <w:tc>
          <w:tcPr>
            <w:tcW w:w="1206" w:type="dxa"/>
            <w:shd w:val="clear" w:color="auto" w:fill="FFFFFF"/>
            <w:vAlign w:val="center"/>
          </w:tcPr>
          <w:p w14:paraId="644440C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HBA卡端口数量</w:t>
            </w:r>
          </w:p>
        </w:tc>
        <w:tc>
          <w:tcPr>
            <w:tcW w:w="4077" w:type="dxa"/>
            <w:shd w:val="clear" w:color="auto" w:fill="FFFFFF"/>
            <w:vAlign w:val="center"/>
          </w:tcPr>
          <w:p w14:paraId="1E51851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≥0</w:t>
            </w:r>
          </w:p>
        </w:tc>
        <w:tc>
          <w:tcPr>
            <w:tcW w:w="1497" w:type="dxa"/>
            <w:shd w:val="clear" w:color="auto" w:fill="FFFFFF"/>
            <w:vAlign w:val="center"/>
          </w:tcPr>
          <w:p w14:paraId="52BBD5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397A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7B29090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22</w:t>
            </w:r>
          </w:p>
        </w:tc>
        <w:tc>
          <w:tcPr>
            <w:tcW w:w="981" w:type="dxa"/>
            <w:shd w:val="clear" w:color="auto" w:fill="FFFFFF"/>
            <w:vAlign w:val="center"/>
          </w:tcPr>
          <w:p w14:paraId="39E8A2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2A2F6F5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网络规格</w:t>
            </w:r>
          </w:p>
        </w:tc>
        <w:tc>
          <w:tcPr>
            <w:tcW w:w="1206" w:type="dxa"/>
            <w:shd w:val="clear" w:color="auto" w:fill="FFFFFF"/>
            <w:vAlign w:val="center"/>
          </w:tcPr>
          <w:p w14:paraId="04119D8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★网口速率和数量</w:t>
            </w:r>
          </w:p>
        </w:tc>
        <w:tc>
          <w:tcPr>
            <w:tcW w:w="4077" w:type="dxa"/>
            <w:shd w:val="clear" w:color="auto" w:fill="FFFFFF"/>
            <w:vAlign w:val="center"/>
          </w:tcPr>
          <w:p w14:paraId="6750C1C1">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配置10GE光口≥4个（满配10GE多模光模块）</w:t>
            </w:r>
          </w:p>
          <w:p w14:paraId="05D16BB3">
            <w:pPr>
              <w:widowControl/>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配置1GE电口≥2个</w:t>
            </w:r>
          </w:p>
        </w:tc>
        <w:tc>
          <w:tcPr>
            <w:tcW w:w="1497" w:type="dxa"/>
            <w:shd w:val="clear" w:color="auto" w:fill="FFFFFF"/>
            <w:vAlign w:val="center"/>
          </w:tcPr>
          <w:p w14:paraId="7D4B727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76F0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44" w:type="dxa"/>
            <w:shd w:val="clear" w:color="auto" w:fill="FFFFFF"/>
            <w:vAlign w:val="center"/>
          </w:tcPr>
          <w:p w14:paraId="37FF7A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23</w:t>
            </w:r>
          </w:p>
        </w:tc>
        <w:tc>
          <w:tcPr>
            <w:tcW w:w="981" w:type="dxa"/>
            <w:shd w:val="clear" w:color="auto" w:fill="FFFFFF"/>
            <w:vAlign w:val="center"/>
          </w:tcPr>
          <w:p w14:paraId="617C09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D2494C6">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1C5B94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存储型服</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务器网口</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速率和数</w:t>
            </w:r>
            <w:r>
              <w:rPr>
                <w:rFonts w:hint="eastAsia" w:asciiTheme="minorEastAsia" w:hAnsiTheme="minorEastAsia" w:eastAsiaTheme="minorEastAsia" w:cstheme="minorEastAsia"/>
                <w:kern w:val="0"/>
                <w:sz w:val="24"/>
              </w:rPr>
              <w:br w:type="textWrapping"/>
            </w:r>
            <w:r>
              <w:rPr>
                <w:rFonts w:hint="eastAsia" w:asciiTheme="minorEastAsia" w:hAnsiTheme="minorEastAsia" w:eastAsiaTheme="minorEastAsia" w:cstheme="minorEastAsia"/>
                <w:kern w:val="0"/>
                <w:sz w:val="24"/>
              </w:rPr>
              <w:t>量</w:t>
            </w:r>
          </w:p>
        </w:tc>
        <w:tc>
          <w:tcPr>
            <w:tcW w:w="4077" w:type="dxa"/>
            <w:shd w:val="clear" w:color="auto" w:fill="FFFFFF"/>
            <w:vAlign w:val="center"/>
          </w:tcPr>
          <w:p w14:paraId="7785F72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存储型服务器1GE 网口数量≥2 个，10GE 以上网口数量≥2个（不涉及）</w:t>
            </w:r>
          </w:p>
        </w:tc>
        <w:tc>
          <w:tcPr>
            <w:tcW w:w="1497" w:type="dxa"/>
            <w:shd w:val="clear" w:color="auto" w:fill="FFFFFF"/>
            <w:vAlign w:val="center"/>
          </w:tcPr>
          <w:p w14:paraId="29A104F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C66C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12AAA8F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24</w:t>
            </w:r>
          </w:p>
        </w:tc>
        <w:tc>
          <w:tcPr>
            <w:tcW w:w="981" w:type="dxa"/>
            <w:shd w:val="clear" w:color="auto" w:fill="FFFFFF"/>
            <w:vAlign w:val="center"/>
          </w:tcPr>
          <w:p w14:paraId="4E45E7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BEDA693">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6EE493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独立网卡网口数量</w:t>
            </w:r>
          </w:p>
        </w:tc>
        <w:tc>
          <w:tcPr>
            <w:tcW w:w="4077" w:type="dxa"/>
            <w:shd w:val="clear" w:color="auto" w:fill="FFFFFF"/>
            <w:vAlign w:val="center"/>
          </w:tcPr>
          <w:p w14:paraId="35D2EE63">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配备10GE独立网卡，独立网卡网口数量≥2</w:t>
            </w:r>
          </w:p>
        </w:tc>
        <w:tc>
          <w:tcPr>
            <w:tcW w:w="1497" w:type="dxa"/>
            <w:shd w:val="clear" w:color="auto" w:fill="FFFFFF"/>
            <w:vAlign w:val="center"/>
          </w:tcPr>
          <w:p w14:paraId="2C3C720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CF51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2CBFCF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25</w:t>
            </w:r>
          </w:p>
        </w:tc>
        <w:tc>
          <w:tcPr>
            <w:tcW w:w="981" w:type="dxa"/>
            <w:shd w:val="clear" w:color="auto" w:fill="FFFFFF"/>
            <w:vAlign w:val="center"/>
          </w:tcPr>
          <w:p w14:paraId="07AA0E0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23D84D49">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FC710F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独立网卡接口类型</w:t>
            </w:r>
          </w:p>
        </w:tc>
        <w:tc>
          <w:tcPr>
            <w:tcW w:w="4077" w:type="dxa"/>
            <w:shd w:val="clear" w:color="auto" w:fill="FFFFFF"/>
            <w:vAlign w:val="center"/>
          </w:tcPr>
          <w:p w14:paraId="3B34D6E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支持RJ45/QSFP/SFP等</w:t>
            </w:r>
          </w:p>
        </w:tc>
        <w:tc>
          <w:tcPr>
            <w:tcW w:w="1497" w:type="dxa"/>
            <w:shd w:val="clear" w:color="auto" w:fill="FFFFFF"/>
            <w:vAlign w:val="center"/>
          </w:tcPr>
          <w:p w14:paraId="1A3F6B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328B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475FB62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26</w:t>
            </w:r>
          </w:p>
        </w:tc>
        <w:tc>
          <w:tcPr>
            <w:tcW w:w="981" w:type="dxa"/>
            <w:shd w:val="clear" w:color="auto" w:fill="FFFFFF"/>
            <w:vAlign w:val="center"/>
          </w:tcPr>
          <w:p w14:paraId="7CC9215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0D04A45">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05AE58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板载网卡接口类型</w:t>
            </w:r>
          </w:p>
        </w:tc>
        <w:tc>
          <w:tcPr>
            <w:tcW w:w="4077" w:type="dxa"/>
            <w:shd w:val="clear" w:color="auto" w:fill="FFFFFF"/>
            <w:vAlign w:val="center"/>
          </w:tcPr>
          <w:p w14:paraId="74709BA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支持RJ45/QSFP/SFP等</w:t>
            </w:r>
          </w:p>
        </w:tc>
        <w:tc>
          <w:tcPr>
            <w:tcW w:w="1497" w:type="dxa"/>
            <w:shd w:val="clear" w:color="auto" w:fill="FFFFFF"/>
            <w:vAlign w:val="center"/>
          </w:tcPr>
          <w:p w14:paraId="4F2097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C90D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6669E0A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27</w:t>
            </w:r>
          </w:p>
        </w:tc>
        <w:tc>
          <w:tcPr>
            <w:tcW w:w="981" w:type="dxa"/>
            <w:shd w:val="clear" w:color="auto" w:fill="FFFFFF"/>
            <w:vAlign w:val="center"/>
          </w:tcPr>
          <w:p w14:paraId="4AABF91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2344D8E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外部接口规格</w:t>
            </w:r>
          </w:p>
        </w:tc>
        <w:tc>
          <w:tcPr>
            <w:tcW w:w="1206" w:type="dxa"/>
            <w:shd w:val="clear" w:color="auto" w:fill="FFFFFF"/>
            <w:vAlign w:val="center"/>
          </w:tcPr>
          <w:p w14:paraId="770F74C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★显示接口</w:t>
            </w:r>
          </w:p>
        </w:tc>
        <w:tc>
          <w:tcPr>
            <w:tcW w:w="4077" w:type="dxa"/>
            <w:shd w:val="clear" w:color="auto" w:fill="FFFFFF"/>
            <w:vAlign w:val="center"/>
          </w:tcPr>
          <w:p w14:paraId="38E03AE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显示接口类型应≥1种，如：VGA、DP、HDMI等</w:t>
            </w:r>
          </w:p>
        </w:tc>
        <w:tc>
          <w:tcPr>
            <w:tcW w:w="1497" w:type="dxa"/>
            <w:shd w:val="clear" w:color="auto" w:fill="FFFFFF"/>
            <w:vAlign w:val="center"/>
          </w:tcPr>
          <w:p w14:paraId="4CBBBD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A546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44" w:type="dxa"/>
            <w:shd w:val="clear" w:color="auto" w:fill="FFFFFF"/>
            <w:vAlign w:val="center"/>
          </w:tcPr>
          <w:p w14:paraId="31717A3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28</w:t>
            </w:r>
          </w:p>
        </w:tc>
        <w:tc>
          <w:tcPr>
            <w:tcW w:w="981" w:type="dxa"/>
            <w:shd w:val="clear" w:color="auto" w:fill="FFFFFF"/>
            <w:vAlign w:val="center"/>
          </w:tcPr>
          <w:p w14:paraId="0C97F4A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2A6EB08D">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D08546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★USB接口</w:t>
            </w:r>
          </w:p>
        </w:tc>
        <w:tc>
          <w:tcPr>
            <w:tcW w:w="4077" w:type="dxa"/>
            <w:shd w:val="clear" w:color="auto" w:fill="FFFFFF"/>
            <w:vAlign w:val="center"/>
          </w:tcPr>
          <w:p w14:paraId="79C3479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配备USB接口，如USB2.0、USB3.0等</w:t>
            </w:r>
          </w:p>
        </w:tc>
        <w:tc>
          <w:tcPr>
            <w:tcW w:w="1497" w:type="dxa"/>
            <w:shd w:val="clear" w:color="auto" w:fill="FFFFFF"/>
            <w:vAlign w:val="center"/>
          </w:tcPr>
          <w:p w14:paraId="4950188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289B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74C8650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29</w:t>
            </w:r>
          </w:p>
        </w:tc>
        <w:tc>
          <w:tcPr>
            <w:tcW w:w="981" w:type="dxa"/>
            <w:shd w:val="clear" w:color="auto" w:fill="FFFFFF"/>
            <w:vAlign w:val="center"/>
          </w:tcPr>
          <w:p w14:paraId="52E3F9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79EB50F3">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B36E07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特殊接口及孔位</w:t>
            </w:r>
          </w:p>
        </w:tc>
        <w:tc>
          <w:tcPr>
            <w:tcW w:w="4077" w:type="dxa"/>
            <w:shd w:val="clear" w:color="auto" w:fill="FFFFFF"/>
            <w:vAlign w:val="center"/>
          </w:tcPr>
          <w:p w14:paraId="179379B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前面板预留1个专用USB母座接口孔位</w:t>
            </w:r>
          </w:p>
        </w:tc>
        <w:tc>
          <w:tcPr>
            <w:tcW w:w="1497" w:type="dxa"/>
            <w:shd w:val="clear" w:color="auto" w:fill="FFFFFF"/>
            <w:vAlign w:val="center"/>
          </w:tcPr>
          <w:p w14:paraId="13E870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A680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744" w:type="dxa"/>
            <w:shd w:val="clear" w:color="auto" w:fill="FFFFFF"/>
            <w:vAlign w:val="center"/>
          </w:tcPr>
          <w:p w14:paraId="405275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30</w:t>
            </w:r>
          </w:p>
        </w:tc>
        <w:tc>
          <w:tcPr>
            <w:tcW w:w="981" w:type="dxa"/>
            <w:shd w:val="clear" w:color="auto" w:fill="FFFFFF"/>
            <w:vAlign w:val="center"/>
          </w:tcPr>
          <w:p w14:paraId="7172A6AB">
            <w:pPr>
              <w:widowControl/>
              <w:jc w:val="center"/>
              <w:rPr>
                <w:rFonts w:asciiTheme="minorEastAsia" w:hAnsiTheme="minorEastAsia" w:eastAsiaTheme="minorEastAsia" w:cstheme="minorEastAsia"/>
                <w:kern w:val="0"/>
                <w:sz w:val="24"/>
              </w:rPr>
            </w:pPr>
          </w:p>
        </w:tc>
        <w:tc>
          <w:tcPr>
            <w:tcW w:w="981" w:type="dxa"/>
            <w:vMerge w:val="continue"/>
            <w:shd w:val="clear" w:color="auto" w:fill="FFFFFF"/>
            <w:vAlign w:val="center"/>
          </w:tcPr>
          <w:p w14:paraId="0D392600">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958D06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其他接口</w:t>
            </w:r>
          </w:p>
        </w:tc>
        <w:tc>
          <w:tcPr>
            <w:tcW w:w="4077" w:type="dxa"/>
            <w:shd w:val="clear" w:color="auto" w:fill="FFFFFF"/>
            <w:vAlign w:val="center"/>
          </w:tcPr>
          <w:p w14:paraId="2E25EDA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a）串口数量≥1个，并可实现GB/T6107或GB/T26803.2的相关功能；b）服务器主机前面板可根据用户实际使用需求预留1个专用USB母座接口孔位</w:t>
            </w:r>
          </w:p>
        </w:tc>
        <w:tc>
          <w:tcPr>
            <w:tcW w:w="1497" w:type="dxa"/>
            <w:shd w:val="clear" w:color="auto" w:fill="FFFFFF"/>
            <w:vAlign w:val="center"/>
          </w:tcPr>
          <w:p w14:paraId="28FCF30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4D36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62A1A7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31</w:t>
            </w:r>
          </w:p>
        </w:tc>
        <w:tc>
          <w:tcPr>
            <w:tcW w:w="981" w:type="dxa"/>
            <w:shd w:val="clear" w:color="auto" w:fill="FFFFFF"/>
            <w:vAlign w:val="center"/>
          </w:tcPr>
          <w:p w14:paraId="1F05497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15CC46C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电源规格</w:t>
            </w:r>
          </w:p>
        </w:tc>
        <w:tc>
          <w:tcPr>
            <w:tcW w:w="1206" w:type="dxa"/>
            <w:shd w:val="clear" w:color="auto" w:fill="FFFFFF"/>
            <w:vAlign w:val="center"/>
          </w:tcPr>
          <w:p w14:paraId="5E632A6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电源冗余模式</w:t>
            </w:r>
          </w:p>
        </w:tc>
        <w:tc>
          <w:tcPr>
            <w:tcW w:w="4077" w:type="dxa"/>
            <w:shd w:val="clear" w:color="auto" w:fill="FFFFFF"/>
            <w:vAlign w:val="center"/>
          </w:tcPr>
          <w:p w14:paraId="38ABE7B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整机电源模块按1+1冗余或N+1冗余配置</w:t>
            </w:r>
          </w:p>
        </w:tc>
        <w:tc>
          <w:tcPr>
            <w:tcW w:w="1497" w:type="dxa"/>
            <w:shd w:val="clear" w:color="auto" w:fill="FFFFFF"/>
            <w:vAlign w:val="center"/>
          </w:tcPr>
          <w:p w14:paraId="3D8010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2273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685C03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w:t>
            </w:r>
          </w:p>
        </w:tc>
        <w:tc>
          <w:tcPr>
            <w:tcW w:w="981" w:type="dxa"/>
            <w:shd w:val="clear" w:color="auto" w:fill="FFFFFF"/>
            <w:vAlign w:val="center"/>
          </w:tcPr>
          <w:p w14:paraId="602C84F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2EBABD24">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D30DB7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★电源模块数量</w:t>
            </w:r>
          </w:p>
        </w:tc>
        <w:tc>
          <w:tcPr>
            <w:tcW w:w="4077" w:type="dxa"/>
            <w:shd w:val="clear" w:color="auto" w:fill="FFFFFF"/>
            <w:vAlign w:val="center"/>
          </w:tcPr>
          <w:p w14:paraId="2947C65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w:t>
            </w:r>
          </w:p>
        </w:tc>
        <w:tc>
          <w:tcPr>
            <w:tcW w:w="1497" w:type="dxa"/>
            <w:shd w:val="clear" w:color="auto" w:fill="FFFFFF"/>
            <w:vAlign w:val="center"/>
          </w:tcPr>
          <w:p w14:paraId="7A0858C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6E6F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42143D4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33</w:t>
            </w:r>
          </w:p>
        </w:tc>
        <w:tc>
          <w:tcPr>
            <w:tcW w:w="981" w:type="dxa"/>
            <w:shd w:val="clear" w:color="auto" w:fill="FFFFFF"/>
            <w:vAlign w:val="center"/>
          </w:tcPr>
          <w:p w14:paraId="3C19504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514271C2">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3ECF1C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★电源功率</w:t>
            </w:r>
          </w:p>
        </w:tc>
        <w:tc>
          <w:tcPr>
            <w:tcW w:w="4077" w:type="dxa"/>
            <w:shd w:val="clear" w:color="auto" w:fill="FFFFFF"/>
            <w:vAlign w:val="center"/>
          </w:tcPr>
          <w:p w14:paraId="5F4490F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电源模块功率应有一定冗余，满足处理器满载时的需求</w:t>
            </w:r>
          </w:p>
        </w:tc>
        <w:tc>
          <w:tcPr>
            <w:tcW w:w="1497" w:type="dxa"/>
            <w:shd w:val="clear" w:color="auto" w:fill="FFFFFF"/>
            <w:vAlign w:val="center"/>
          </w:tcPr>
          <w:p w14:paraId="653351F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6E15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44" w:type="dxa"/>
            <w:shd w:val="clear" w:color="auto" w:fill="FFFFFF"/>
            <w:vAlign w:val="center"/>
          </w:tcPr>
          <w:p w14:paraId="0A0C3ED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34</w:t>
            </w:r>
          </w:p>
        </w:tc>
        <w:tc>
          <w:tcPr>
            <w:tcW w:w="981" w:type="dxa"/>
            <w:shd w:val="clear" w:color="auto" w:fill="FFFFFF"/>
            <w:vAlign w:val="center"/>
          </w:tcPr>
          <w:p w14:paraId="2453BED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23FA56B7">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66A60A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电源指示灯</w:t>
            </w:r>
          </w:p>
        </w:tc>
        <w:tc>
          <w:tcPr>
            <w:tcW w:w="4077" w:type="dxa"/>
            <w:shd w:val="clear" w:color="auto" w:fill="FFFFFF"/>
            <w:vAlign w:val="center"/>
          </w:tcPr>
          <w:p w14:paraId="35BB17E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配备电源指示灯，指示待机、工作异常等状态</w:t>
            </w:r>
          </w:p>
        </w:tc>
        <w:tc>
          <w:tcPr>
            <w:tcW w:w="1497" w:type="dxa"/>
            <w:shd w:val="clear" w:color="auto" w:fill="FFFFFF"/>
            <w:vAlign w:val="center"/>
          </w:tcPr>
          <w:p w14:paraId="4F539F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197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4" w:hRule="atLeast"/>
        </w:trPr>
        <w:tc>
          <w:tcPr>
            <w:tcW w:w="744" w:type="dxa"/>
            <w:shd w:val="clear" w:color="auto" w:fill="FFFFFF"/>
            <w:vAlign w:val="center"/>
          </w:tcPr>
          <w:p w14:paraId="1F4B61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35</w:t>
            </w:r>
          </w:p>
        </w:tc>
        <w:tc>
          <w:tcPr>
            <w:tcW w:w="981" w:type="dxa"/>
            <w:shd w:val="clear" w:color="auto" w:fill="FFFFFF"/>
            <w:vAlign w:val="center"/>
          </w:tcPr>
          <w:p w14:paraId="76D14A6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4AFD450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整机规格</w:t>
            </w:r>
          </w:p>
        </w:tc>
        <w:tc>
          <w:tcPr>
            <w:tcW w:w="1206" w:type="dxa"/>
            <w:shd w:val="clear" w:color="auto" w:fill="FFFFFF"/>
            <w:vAlign w:val="center"/>
          </w:tcPr>
          <w:p w14:paraId="4B4BE98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★外观和结构</w:t>
            </w:r>
          </w:p>
        </w:tc>
        <w:tc>
          <w:tcPr>
            <w:tcW w:w="4077" w:type="dxa"/>
            <w:shd w:val="clear" w:color="auto" w:fill="FFFFFF"/>
            <w:vAlign w:val="center"/>
          </w:tcPr>
          <w:p w14:paraId="0475C32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服务器的零部件应紧固无松动，可插拔部件应可靠连接，开关、按钮和其他控制部件应灵活可靠，布局应方便使用；b）产品表面不应有明显的凹痕、划伤、裂缝、变形和污染等。表面涂层均匀，不应起泡、龟裂、脱落和磨损，金属零部件无锈蚀及其它机械损伤；c）产品表面说明功能的文字、符号和标志应清晰、端正且牢固；d）应在服务器的显著位置提供运行状态的指示功能，并在技术文件或者技术白皮书中明确具体含义；e）机架、机箱的尺寸应符合通用机柜的安装要求，插入总线插座的电路板接口外形尺寸应符合有关总线标准的规定，将机箱固定在机柜上，机箱底面最大下垂变形不得干涉相邻机体；f）服务器尺寸具体要求在技术文件或者技术白皮书中明确</w:t>
            </w:r>
          </w:p>
        </w:tc>
        <w:tc>
          <w:tcPr>
            <w:tcW w:w="1497" w:type="dxa"/>
            <w:shd w:val="clear" w:color="auto" w:fill="FFFFFF"/>
            <w:vAlign w:val="center"/>
          </w:tcPr>
          <w:p w14:paraId="33D354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4858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58E7822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36</w:t>
            </w:r>
          </w:p>
        </w:tc>
        <w:tc>
          <w:tcPr>
            <w:tcW w:w="981" w:type="dxa"/>
            <w:shd w:val="clear" w:color="auto" w:fill="FFFFFF"/>
            <w:vAlign w:val="center"/>
          </w:tcPr>
          <w:p w14:paraId="1888396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5EFDAAA">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41FDD39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★尺寸（高×宽×深）</w:t>
            </w:r>
          </w:p>
        </w:tc>
        <w:tc>
          <w:tcPr>
            <w:tcW w:w="4077" w:type="dxa"/>
            <w:shd w:val="clear" w:color="auto" w:fill="FFFFFF"/>
            <w:vAlign w:val="center"/>
          </w:tcPr>
          <w:p w14:paraId="77890D5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供应商给出产品尺寸；设计应遵循标准化、系列化的要求；机箱的内部结构符合通用部件的安装需要</w:t>
            </w:r>
          </w:p>
        </w:tc>
        <w:tc>
          <w:tcPr>
            <w:tcW w:w="1497" w:type="dxa"/>
            <w:shd w:val="clear" w:color="auto" w:fill="FFFFFF"/>
            <w:vAlign w:val="center"/>
          </w:tcPr>
          <w:p w14:paraId="668AABE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5ED6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16" w:hRule="atLeast"/>
        </w:trPr>
        <w:tc>
          <w:tcPr>
            <w:tcW w:w="744" w:type="dxa"/>
            <w:shd w:val="clear" w:color="auto" w:fill="FFFFFF"/>
            <w:vAlign w:val="center"/>
          </w:tcPr>
          <w:p w14:paraId="445819D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37</w:t>
            </w:r>
          </w:p>
        </w:tc>
        <w:tc>
          <w:tcPr>
            <w:tcW w:w="981" w:type="dxa"/>
            <w:shd w:val="clear" w:color="auto" w:fill="FFFFFF"/>
            <w:vAlign w:val="center"/>
          </w:tcPr>
          <w:p w14:paraId="4EE8B9A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2382ECE5">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BB514D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服务器导轨</w:t>
            </w:r>
          </w:p>
        </w:tc>
        <w:tc>
          <w:tcPr>
            <w:tcW w:w="4077" w:type="dxa"/>
            <w:shd w:val="clear" w:color="auto" w:fill="FFFFFF"/>
            <w:vAlign w:val="center"/>
          </w:tcPr>
          <w:p w14:paraId="62296CA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供应商给出导轨尺寸、安装方式等信息</w:t>
            </w:r>
          </w:p>
        </w:tc>
        <w:tc>
          <w:tcPr>
            <w:tcW w:w="1497" w:type="dxa"/>
            <w:shd w:val="clear" w:color="auto" w:fill="FFFFFF"/>
            <w:vAlign w:val="center"/>
          </w:tcPr>
          <w:p w14:paraId="70C6726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FEB8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042981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38</w:t>
            </w:r>
          </w:p>
        </w:tc>
        <w:tc>
          <w:tcPr>
            <w:tcW w:w="981" w:type="dxa"/>
            <w:shd w:val="clear" w:color="auto" w:fill="FFFFFF"/>
            <w:vAlign w:val="center"/>
          </w:tcPr>
          <w:p w14:paraId="21B9605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635546E">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AB76F4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CPU个数与机柜高度单位（U）比</w:t>
            </w:r>
          </w:p>
        </w:tc>
        <w:tc>
          <w:tcPr>
            <w:tcW w:w="4077" w:type="dxa"/>
            <w:shd w:val="clear" w:color="auto" w:fill="FFFFFF"/>
            <w:vAlign w:val="center"/>
          </w:tcPr>
          <w:p w14:paraId="4B73B2B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供应商给出CPU个数与机柜高度</w:t>
            </w:r>
          </w:p>
        </w:tc>
        <w:tc>
          <w:tcPr>
            <w:tcW w:w="1497" w:type="dxa"/>
            <w:shd w:val="clear" w:color="auto" w:fill="FFFFFF"/>
            <w:vAlign w:val="center"/>
          </w:tcPr>
          <w:p w14:paraId="0EFCF65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3A3C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44" w:type="dxa"/>
            <w:shd w:val="clear" w:color="auto" w:fill="FFFFFF"/>
            <w:vAlign w:val="center"/>
          </w:tcPr>
          <w:p w14:paraId="2CE432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39</w:t>
            </w:r>
          </w:p>
        </w:tc>
        <w:tc>
          <w:tcPr>
            <w:tcW w:w="981" w:type="dxa"/>
            <w:shd w:val="clear" w:color="auto" w:fill="FFFFFF"/>
            <w:vAlign w:val="center"/>
          </w:tcPr>
          <w:p w14:paraId="4CA9815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25F89DAB">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D20AD6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★环境适应性</w:t>
            </w:r>
          </w:p>
        </w:tc>
        <w:tc>
          <w:tcPr>
            <w:tcW w:w="4077" w:type="dxa"/>
            <w:shd w:val="clear" w:color="auto" w:fill="FFFFFF"/>
            <w:vAlign w:val="center"/>
          </w:tcPr>
          <w:p w14:paraId="464A909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气候环境适应性应符合GB/T9813.3的有关规定，工作温度10~35℃,贮存运输温度-40～55℃;工作相对湿度35%～80%，贮存运输相对湿度20％～93%（40℃）;大气压86～106kPa</w:t>
            </w:r>
          </w:p>
        </w:tc>
        <w:tc>
          <w:tcPr>
            <w:tcW w:w="1497" w:type="dxa"/>
            <w:shd w:val="clear" w:color="auto" w:fill="FFFFFF"/>
            <w:vAlign w:val="center"/>
          </w:tcPr>
          <w:p w14:paraId="0476371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267E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5777B03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40</w:t>
            </w:r>
          </w:p>
        </w:tc>
        <w:tc>
          <w:tcPr>
            <w:tcW w:w="981" w:type="dxa"/>
            <w:shd w:val="clear" w:color="auto" w:fill="FFFFFF"/>
            <w:vAlign w:val="center"/>
          </w:tcPr>
          <w:p w14:paraId="2D7AA9A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181DB250">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E7ED94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特殊机型环境适应性</w:t>
            </w:r>
          </w:p>
        </w:tc>
        <w:tc>
          <w:tcPr>
            <w:tcW w:w="4077" w:type="dxa"/>
            <w:shd w:val="clear" w:color="auto" w:fill="FFFFFF"/>
            <w:vAlign w:val="center"/>
          </w:tcPr>
          <w:p w14:paraId="12F28D3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边缘应用服务器，工作环境温度宜为0～45℃,短期工作可承受环境温度宜为-5～55℃,液冷服务器贮存运输温度宜为-30～55℃</w:t>
            </w:r>
          </w:p>
        </w:tc>
        <w:tc>
          <w:tcPr>
            <w:tcW w:w="1497" w:type="dxa"/>
            <w:shd w:val="clear" w:color="auto" w:fill="FFFFFF"/>
            <w:vAlign w:val="center"/>
          </w:tcPr>
          <w:p w14:paraId="6A97E3A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2CDF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2B3670C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41</w:t>
            </w:r>
          </w:p>
        </w:tc>
        <w:tc>
          <w:tcPr>
            <w:tcW w:w="981" w:type="dxa"/>
            <w:shd w:val="clear" w:color="auto" w:fill="FFFFFF"/>
            <w:vAlign w:val="center"/>
          </w:tcPr>
          <w:p w14:paraId="470C623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02C4A82A">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438AA3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★机械环境适应性</w:t>
            </w:r>
          </w:p>
        </w:tc>
        <w:tc>
          <w:tcPr>
            <w:tcW w:w="4077" w:type="dxa"/>
            <w:shd w:val="clear" w:color="auto" w:fill="FFFFFF"/>
            <w:vAlign w:val="center"/>
          </w:tcPr>
          <w:p w14:paraId="06A1BC0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机械环境适应性应符合GB/T9813.3的有关规定</w:t>
            </w:r>
          </w:p>
        </w:tc>
        <w:tc>
          <w:tcPr>
            <w:tcW w:w="1497" w:type="dxa"/>
            <w:shd w:val="clear" w:color="auto" w:fill="FFFFFF"/>
            <w:vAlign w:val="center"/>
          </w:tcPr>
          <w:p w14:paraId="3D7FBC7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6CC4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22A6DBF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42</w:t>
            </w:r>
          </w:p>
        </w:tc>
        <w:tc>
          <w:tcPr>
            <w:tcW w:w="981" w:type="dxa"/>
            <w:shd w:val="clear" w:color="auto" w:fill="FFFFFF"/>
            <w:vAlign w:val="center"/>
          </w:tcPr>
          <w:p w14:paraId="38207CA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225D7E98">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0CB387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★噪声</w:t>
            </w:r>
          </w:p>
        </w:tc>
        <w:tc>
          <w:tcPr>
            <w:tcW w:w="4077" w:type="dxa"/>
            <w:shd w:val="clear" w:color="auto" w:fill="FFFFFF"/>
            <w:vAlign w:val="center"/>
          </w:tcPr>
          <w:p w14:paraId="67FABE0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符合GB/T9813.3的有关规定，在产品说明中给出具体测试值塔式服务器噪声在空闲状态下≤50dB</w:t>
            </w:r>
          </w:p>
        </w:tc>
        <w:tc>
          <w:tcPr>
            <w:tcW w:w="1497" w:type="dxa"/>
            <w:shd w:val="clear" w:color="auto" w:fill="FFFFFF"/>
            <w:vAlign w:val="center"/>
          </w:tcPr>
          <w:p w14:paraId="57E1337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4762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512" w:hRule="atLeast"/>
        </w:trPr>
        <w:tc>
          <w:tcPr>
            <w:tcW w:w="744" w:type="dxa"/>
            <w:shd w:val="clear" w:color="auto" w:fill="FFFFFF"/>
            <w:vAlign w:val="center"/>
          </w:tcPr>
          <w:p w14:paraId="766D20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43</w:t>
            </w:r>
          </w:p>
        </w:tc>
        <w:tc>
          <w:tcPr>
            <w:tcW w:w="981" w:type="dxa"/>
            <w:shd w:val="clear" w:color="auto" w:fill="FFFFFF"/>
            <w:vAlign w:val="center"/>
          </w:tcPr>
          <w:p w14:paraId="660790C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53A046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AI计算单元规格</w:t>
            </w:r>
          </w:p>
        </w:tc>
        <w:tc>
          <w:tcPr>
            <w:tcW w:w="1206" w:type="dxa"/>
            <w:shd w:val="clear" w:color="auto" w:fill="FFFFFF"/>
            <w:vAlign w:val="center"/>
          </w:tcPr>
          <w:p w14:paraId="0A12061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AI计算单元</w:t>
            </w:r>
          </w:p>
        </w:tc>
        <w:tc>
          <w:tcPr>
            <w:tcW w:w="4077" w:type="dxa"/>
            <w:shd w:val="clear" w:color="auto" w:fill="FFFFFF"/>
            <w:vAlign w:val="center"/>
          </w:tcPr>
          <w:p w14:paraId="60C8B03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AI计算单元应符合如下要求：a）具备人工智能加速处理器，计算精度至少支持FP16、BF16、FP32、FP64、INT8和INT16等中的1种；b）单推理卡或模块，具备视频解析、文本识别、语音分析等推理能力；在视觉场景下配备可直接调用的接口实现视觉计算加速，路数不小于64（1080P30FPS）</w:t>
            </w:r>
          </w:p>
        </w:tc>
        <w:tc>
          <w:tcPr>
            <w:tcW w:w="1497" w:type="dxa"/>
            <w:shd w:val="clear" w:color="auto" w:fill="FFFFFF"/>
            <w:vAlign w:val="center"/>
          </w:tcPr>
          <w:p w14:paraId="41E0011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76D1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6D4AADD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44</w:t>
            </w:r>
          </w:p>
        </w:tc>
        <w:tc>
          <w:tcPr>
            <w:tcW w:w="981" w:type="dxa"/>
            <w:shd w:val="clear" w:color="auto" w:fill="FFFFFF"/>
            <w:vAlign w:val="center"/>
          </w:tcPr>
          <w:p w14:paraId="4A62356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4688375C">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21D216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一键式迁移</w:t>
            </w:r>
          </w:p>
        </w:tc>
        <w:tc>
          <w:tcPr>
            <w:tcW w:w="4077" w:type="dxa"/>
            <w:shd w:val="clear" w:color="auto" w:fill="FFFFFF"/>
            <w:vAlign w:val="center"/>
          </w:tcPr>
          <w:p w14:paraId="59CEDEE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若服务器配备AI计算单元，提供训练脚本迁移工具</w:t>
            </w:r>
          </w:p>
        </w:tc>
        <w:tc>
          <w:tcPr>
            <w:tcW w:w="1497" w:type="dxa"/>
            <w:shd w:val="clear" w:color="auto" w:fill="FFFFFF"/>
            <w:vAlign w:val="center"/>
          </w:tcPr>
          <w:p w14:paraId="59CBA4B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4B46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44" w:type="dxa"/>
            <w:shd w:val="clear" w:color="auto" w:fill="FFFFFF"/>
            <w:vAlign w:val="center"/>
          </w:tcPr>
          <w:p w14:paraId="77597E5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45</w:t>
            </w:r>
          </w:p>
        </w:tc>
        <w:tc>
          <w:tcPr>
            <w:tcW w:w="981" w:type="dxa"/>
            <w:shd w:val="clear" w:color="auto" w:fill="FFFFFF"/>
            <w:vAlign w:val="center"/>
          </w:tcPr>
          <w:p w14:paraId="7FCE0B2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restart"/>
            <w:shd w:val="clear" w:color="auto" w:fill="FFFFFF"/>
            <w:vAlign w:val="center"/>
          </w:tcPr>
          <w:p w14:paraId="524D22A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机柜规格</w:t>
            </w:r>
          </w:p>
        </w:tc>
        <w:tc>
          <w:tcPr>
            <w:tcW w:w="1206" w:type="dxa"/>
            <w:shd w:val="clear" w:color="auto" w:fill="FFFFFF"/>
            <w:vAlign w:val="center"/>
          </w:tcPr>
          <w:p w14:paraId="39329B8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★机柜尺寸</w:t>
            </w:r>
          </w:p>
        </w:tc>
        <w:tc>
          <w:tcPr>
            <w:tcW w:w="4077" w:type="dxa"/>
            <w:shd w:val="clear" w:color="auto" w:fill="FFFFFF"/>
            <w:vAlign w:val="center"/>
          </w:tcPr>
          <w:p w14:paraId="1925641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供应商给出长度、高度和深度</w:t>
            </w:r>
          </w:p>
        </w:tc>
        <w:tc>
          <w:tcPr>
            <w:tcW w:w="1497" w:type="dxa"/>
            <w:shd w:val="clear" w:color="auto" w:fill="FFFFFF"/>
            <w:vAlign w:val="center"/>
          </w:tcPr>
          <w:p w14:paraId="2795C0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5E2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44" w:type="dxa"/>
            <w:shd w:val="clear" w:color="auto" w:fill="FFFFFF"/>
            <w:vAlign w:val="center"/>
          </w:tcPr>
          <w:p w14:paraId="7768E5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46</w:t>
            </w:r>
          </w:p>
        </w:tc>
        <w:tc>
          <w:tcPr>
            <w:tcW w:w="981" w:type="dxa"/>
            <w:shd w:val="clear" w:color="auto" w:fill="FFFFFF"/>
            <w:vAlign w:val="center"/>
          </w:tcPr>
          <w:p w14:paraId="3361E1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65C35D97">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4178BE2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机柜管理板</w:t>
            </w:r>
          </w:p>
        </w:tc>
        <w:tc>
          <w:tcPr>
            <w:tcW w:w="4077" w:type="dxa"/>
            <w:shd w:val="clear" w:color="auto" w:fill="FFFFFF"/>
            <w:vAlign w:val="center"/>
          </w:tcPr>
          <w:p w14:paraId="1DA2EC4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配备机柜管理板</w:t>
            </w:r>
          </w:p>
        </w:tc>
        <w:tc>
          <w:tcPr>
            <w:tcW w:w="1497" w:type="dxa"/>
            <w:shd w:val="clear" w:color="auto" w:fill="FFFFFF"/>
            <w:vAlign w:val="center"/>
          </w:tcPr>
          <w:p w14:paraId="4509774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A45B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3EB839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47</w:t>
            </w:r>
          </w:p>
        </w:tc>
        <w:tc>
          <w:tcPr>
            <w:tcW w:w="981" w:type="dxa"/>
            <w:shd w:val="clear" w:color="auto" w:fill="FFFFFF"/>
            <w:vAlign w:val="center"/>
          </w:tcPr>
          <w:p w14:paraId="09A518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产品规格</w:t>
            </w:r>
          </w:p>
        </w:tc>
        <w:tc>
          <w:tcPr>
            <w:tcW w:w="981" w:type="dxa"/>
            <w:vMerge w:val="continue"/>
            <w:shd w:val="clear" w:color="auto" w:fill="FFFFFF"/>
            <w:vAlign w:val="center"/>
          </w:tcPr>
          <w:p w14:paraId="30825D80">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DC91E9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机柜电源规格</w:t>
            </w:r>
          </w:p>
        </w:tc>
        <w:tc>
          <w:tcPr>
            <w:tcW w:w="4077" w:type="dxa"/>
            <w:shd w:val="clear" w:color="auto" w:fill="FFFFFF"/>
            <w:vAlign w:val="center"/>
          </w:tcPr>
          <w:p w14:paraId="514E55A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a）机柜电源支持集中供电，电源输入≥2路且支持自动切换；b）机柜电源模块支持N+1冗余配置，电源模块可独立更换</w:t>
            </w:r>
          </w:p>
        </w:tc>
        <w:tc>
          <w:tcPr>
            <w:tcW w:w="1497" w:type="dxa"/>
            <w:shd w:val="clear" w:color="auto" w:fill="FFFFFF"/>
            <w:vAlign w:val="center"/>
          </w:tcPr>
          <w:p w14:paraId="59DBC85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CB47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365F887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48</w:t>
            </w:r>
          </w:p>
        </w:tc>
        <w:tc>
          <w:tcPr>
            <w:tcW w:w="981" w:type="dxa"/>
            <w:shd w:val="clear" w:color="auto" w:fill="FFFFFF"/>
            <w:vAlign w:val="center"/>
          </w:tcPr>
          <w:p w14:paraId="53810C7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0934566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主板功能</w:t>
            </w:r>
          </w:p>
        </w:tc>
        <w:tc>
          <w:tcPr>
            <w:tcW w:w="1206" w:type="dxa"/>
            <w:shd w:val="clear" w:color="auto" w:fill="FFFFFF"/>
            <w:vAlign w:val="center"/>
          </w:tcPr>
          <w:p w14:paraId="0AB943A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★主板外部接口种类</w:t>
            </w:r>
          </w:p>
        </w:tc>
        <w:tc>
          <w:tcPr>
            <w:tcW w:w="4077" w:type="dxa"/>
            <w:shd w:val="clear" w:color="auto" w:fill="FFFFFF"/>
            <w:vAlign w:val="center"/>
          </w:tcPr>
          <w:p w14:paraId="0A18C4B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支持USB、显示、管理等接口，如：VGA、DP、HDMI、USB3.0、PS/2接口、BMC管理端口</w:t>
            </w:r>
          </w:p>
        </w:tc>
        <w:tc>
          <w:tcPr>
            <w:tcW w:w="1497" w:type="dxa"/>
            <w:shd w:val="clear" w:color="auto" w:fill="FFFFFF"/>
            <w:vAlign w:val="center"/>
          </w:tcPr>
          <w:p w14:paraId="133796C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F831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3CE1612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49</w:t>
            </w:r>
          </w:p>
        </w:tc>
        <w:tc>
          <w:tcPr>
            <w:tcW w:w="981" w:type="dxa"/>
            <w:shd w:val="clear" w:color="auto" w:fill="FFFFFF"/>
            <w:vAlign w:val="center"/>
          </w:tcPr>
          <w:p w14:paraId="2784142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71CFE3AC">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0A7F02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主板防烧板设计</w:t>
            </w:r>
          </w:p>
        </w:tc>
        <w:tc>
          <w:tcPr>
            <w:tcW w:w="4077" w:type="dxa"/>
            <w:shd w:val="clear" w:color="auto" w:fill="FFFFFF"/>
            <w:vAlign w:val="center"/>
          </w:tcPr>
          <w:p w14:paraId="352E3C4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支持主板防烧板设计，保证电源故障后不扩散</w:t>
            </w:r>
          </w:p>
        </w:tc>
        <w:tc>
          <w:tcPr>
            <w:tcW w:w="1497" w:type="dxa"/>
            <w:shd w:val="clear" w:color="auto" w:fill="FFFFFF"/>
            <w:vAlign w:val="center"/>
          </w:tcPr>
          <w:p w14:paraId="1B0287F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3E7C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727657C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50</w:t>
            </w:r>
          </w:p>
        </w:tc>
        <w:tc>
          <w:tcPr>
            <w:tcW w:w="981" w:type="dxa"/>
            <w:shd w:val="clear" w:color="auto" w:fill="FFFFFF"/>
            <w:vAlign w:val="center"/>
          </w:tcPr>
          <w:p w14:paraId="493D860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71BAFB24">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879C92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扩展功能</w:t>
            </w:r>
          </w:p>
        </w:tc>
        <w:tc>
          <w:tcPr>
            <w:tcW w:w="4077" w:type="dxa"/>
            <w:shd w:val="clear" w:color="auto" w:fill="FFFFFF"/>
            <w:vAlign w:val="center"/>
          </w:tcPr>
          <w:p w14:paraId="3DCA115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实现至少一种扩展功能，如存储功能卡、显示功能卡、运算加速功能卡及网络功能卡等扩展功能</w:t>
            </w:r>
          </w:p>
        </w:tc>
        <w:tc>
          <w:tcPr>
            <w:tcW w:w="1497" w:type="dxa"/>
            <w:shd w:val="clear" w:color="auto" w:fill="FFFFFF"/>
            <w:vAlign w:val="center"/>
          </w:tcPr>
          <w:p w14:paraId="3C2A7F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9E2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50EEC1D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51</w:t>
            </w:r>
          </w:p>
        </w:tc>
        <w:tc>
          <w:tcPr>
            <w:tcW w:w="981" w:type="dxa"/>
            <w:shd w:val="clear" w:color="auto" w:fill="FFFFFF"/>
            <w:vAlign w:val="center"/>
          </w:tcPr>
          <w:p w14:paraId="78DF38C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shd w:val="clear" w:color="auto" w:fill="FFFFFF"/>
            <w:vAlign w:val="center"/>
          </w:tcPr>
          <w:p w14:paraId="580C20B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网络功能</w:t>
            </w:r>
          </w:p>
        </w:tc>
        <w:tc>
          <w:tcPr>
            <w:tcW w:w="1206" w:type="dxa"/>
            <w:shd w:val="clear" w:color="auto" w:fill="FFFFFF"/>
            <w:vAlign w:val="center"/>
          </w:tcPr>
          <w:p w14:paraId="6DA3312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★网络功能</w:t>
            </w:r>
          </w:p>
        </w:tc>
        <w:tc>
          <w:tcPr>
            <w:tcW w:w="4077" w:type="dxa"/>
            <w:shd w:val="clear" w:color="auto" w:fill="FFFFFF"/>
            <w:vAlign w:val="center"/>
          </w:tcPr>
          <w:p w14:paraId="4F25243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支持网络连接、网络访问、数据交换和网络管控功能</w:t>
            </w:r>
          </w:p>
        </w:tc>
        <w:tc>
          <w:tcPr>
            <w:tcW w:w="1497" w:type="dxa"/>
            <w:shd w:val="clear" w:color="auto" w:fill="FFFFFF"/>
            <w:vAlign w:val="center"/>
          </w:tcPr>
          <w:p w14:paraId="168D6A2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1516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080" w:hRule="atLeast"/>
        </w:trPr>
        <w:tc>
          <w:tcPr>
            <w:tcW w:w="744" w:type="dxa"/>
            <w:shd w:val="clear" w:color="auto" w:fill="FFFFFF"/>
            <w:vAlign w:val="center"/>
          </w:tcPr>
          <w:p w14:paraId="2FA40A1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52</w:t>
            </w:r>
          </w:p>
        </w:tc>
        <w:tc>
          <w:tcPr>
            <w:tcW w:w="981" w:type="dxa"/>
            <w:shd w:val="clear" w:color="auto" w:fill="FFFFFF"/>
            <w:vAlign w:val="center"/>
          </w:tcPr>
          <w:p w14:paraId="1E5270D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4EF591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CPU功能</w:t>
            </w:r>
          </w:p>
        </w:tc>
        <w:tc>
          <w:tcPr>
            <w:tcW w:w="1206" w:type="dxa"/>
            <w:shd w:val="clear" w:color="auto" w:fill="FFFFFF"/>
            <w:vAlign w:val="center"/>
          </w:tcPr>
          <w:p w14:paraId="71AB6AE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★计算处理</w:t>
            </w:r>
          </w:p>
        </w:tc>
        <w:tc>
          <w:tcPr>
            <w:tcW w:w="4077" w:type="dxa"/>
            <w:shd w:val="clear" w:color="auto" w:fill="FFFFFF"/>
            <w:vAlign w:val="center"/>
          </w:tcPr>
          <w:p w14:paraId="5B1AA1B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支持通用计算及虚拟化功能。处理器需集成整型计算单元、浮点计算单元、内存控制器、I/O模块等，处理器与存储部件、网络部件、I/O部件等组成计算系统，提供数据处理、网络接入等计算相关功能</w:t>
            </w:r>
          </w:p>
        </w:tc>
        <w:tc>
          <w:tcPr>
            <w:tcW w:w="1497" w:type="dxa"/>
            <w:shd w:val="clear" w:color="auto" w:fill="FFFFFF"/>
            <w:vAlign w:val="center"/>
          </w:tcPr>
          <w:p w14:paraId="3EB7B34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0EF9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7759BB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53</w:t>
            </w:r>
          </w:p>
        </w:tc>
        <w:tc>
          <w:tcPr>
            <w:tcW w:w="981" w:type="dxa"/>
            <w:shd w:val="clear" w:color="auto" w:fill="FFFFFF"/>
            <w:vAlign w:val="center"/>
          </w:tcPr>
          <w:p w14:paraId="750227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697626C0">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6B60DD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★密码算法实现</w:t>
            </w:r>
          </w:p>
        </w:tc>
        <w:tc>
          <w:tcPr>
            <w:tcW w:w="4077" w:type="dxa"/>
            <w:shd w:val="clear" w:color="auto" w:fill="FFFFFF"/>
            <w:vAlign w:val="center"/>
          </w:tcPr>
          <w:p w14:paraId="40060D4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CPU芯片应符合GM/T0008的相关规定，或芯片密码模块应符合GB/T37092或GM/T0028的相关规定</w:t>
            </w:r>
          </w:p>
        </w:tc>
        <w:tc>
          <w:tcPr>
            <w:tcW w:w="1497" w:type="dxa"/>
            <w:shd w:val="clear" w:color="auto" w:fill="FFFFFF"/>
            <w:vAlign w:val="center"/>
          </w:tcPr>
          <w:p w14:paraId="305FC1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EED3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44" w:type="dxa"/>
            <w:shd w:val="clear" w:color="auto" w:fill="FFFFFF"/>
            <w:vAlign w:val="center"/>
          </w:tcPr>
          <w:p w14:paraId="105696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54</w:t>
            </w:r>
          </w:p>
        </w:tc>
        <w:tc>
          <w:tcPr>
            <w:tcW w:w="981" w:type="dxa"/>
            <w:shd w:val="clear" w:color="auto" w:fill="FFFFFF"/>
            <w:vAlign w:val="center"/>
          </w:tcPr>
          <w:p w14:paraId="0E9921F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3EF97D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存储功能</w:t>
            </w:r>
          </w:p>
        </w:tc>
        <w:tc>
          <w:tcPr>
            <w:tcW w:w="1206" w:type="dxa"/>
            <w:shd w:val="clear" w:color="auto" w:fill="FFFFFF"/>
            <w:vAlign w:val="center"/>
          </w:tcPr>
          <w:p w14:paraId="065E2C4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内存校验</w:t>
            </w:r>
          </w:p>
        </w:tc>
        <w:tc>
          <w:tcPr>
            <w:tcW w:w="4077" w:type="dxa"/>
            <w:shd w:val="clear" w:color="auto" w:fill="FFFFFF"/>
            <w:vAlign w:val="center"/>
          </w:tcPr>
          <w:p w14:paraId="28F9782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支持内存校验或内存增强型纠错功能</w:t>
            </w:r>
          </w:p>
        </w:tc>
        <w:tc>
          <w:tcPr>
            <w:tcW w:w="1497" w:type="dxa"/>
            <w:shd w:val="clear" w:color="auto" w:fill="FFFFFF"/>
            <w:vAlign w:val="center"/>
          </w:tcPr>
          <w:p w14:paraId="5D572B7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80D7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541B88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55</w:t>
            </w:r>
          </w:p>
        </w:tc>
        <w:tc>
          <w:tcPr>
            <w:tcW w:w="981" w:type="dxa"/>
            <w:shd w:val="clear" w:color="auto" w:fill="FFFFFF"/>
            <w:vAlign w:val="center"/>
          </w:tcPr>
          <w:p w14:paraId="3FC202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316658EA">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804FDC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SATASSDNAND健康状态上报</w:t>
            </w:r>
          </w:p>
        </w:tc>
        <w:tc>
          <w:tcPr>
            <w:tcW w:w="4077" w:type="dxa"/>
            <w:shd w:val="clear" w:color="auto" w:fill="FFFFFF"/>
            <w:vAlign w:val="center"/>
          </w:tcPr>
          <w:p w14:paraId="79BB190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支持关键外部存储器（硬磁盘、SSD等）的健康状态上报并进行故障诊断</w:t>
            </w:r>
          </w:p>
        </w:tc>
        <w:tc>
          <w:tcPr>
            <w:tcW w:w="1497" w:type="dxa"/>
            <w:shd w:val="clear" w:color="auto" w:fill="FFFFFF"/>
            <w:vAlign w:val="center"/>
          </w:tcPr>
          <w:p w14:paraId="75381FF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428C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1D5820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56</w:t>
            </w:r>
          </w:p>
        </w:tc>
        <w:tc>
          <w:tcPr>
            <w:tcW w:w="981" w:type="dxa"/>
            <w:shd w:val="clear" w:color="auto" w:fill="FFFFFF"/>
            <w:vAlign w:val="center"/>
          </w:tcPr>
          <w:p w14:paraId="498E9D6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023B6123">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479A0EC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SATASSD单die故障隔离</w:t>
            </w:r>
          </w:p>
        </w:tc>
        <w:tc>
          <w:tcPr>
            <w:tcW w:w="4077" w:type="dxa"/>
            <w:shd w:val="clear" w:color="auto" w:fill="FFFFFF"/>
            <w:vAlign w:val="center"/>
          </w:tcPr>
          <w:p w14:paraId="62BB685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支持SSD关键外部存储器中单存储晶元故障隔离</w:t>
            </w:r>
          </w:p>
        </w:tc>
        <w:tc>
          <w:tcPr>
            <w:tcW w:w="1497" w:type="dxa"/>
            <w:shd w:val="clear" w:color="auto" w:fill="FFFFFF"/>
            <w:vAlign w:val="center"/>
          </w:tcPr>
          <w:p w14:paraId="1F6B4AB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CB38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74588A3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57</w:t>
            </w:r>
          </w:p>
        </w:tc>
        <w:tc>
          <w:tcPr>
            <w:tcW w:w="981" w:type="dxa"/>
            <w:shd w:val="clear" w:color="auto" w:fill="FFFFFF"/>
            <w:vAlign w:val="center"/>
          </w:tcPr>
          <w:p w14:paraId="37815C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657D3C6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RAID卡功能</w:t>
            </w:r>
          </w:p>
        </w:tc>
        <w:tc>
          <w:tcPr>
            <w:tcW w:w="1206" w:type="dxa"/>
            <w:shd w:val="clear" w:color="auto" w:fill="FFFFFF"/>
            <w:vAlign w:val="center"/>
          </w:tcPr>
          <w:p w14:paraId="6F45963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RAID卡配置及RAID级别支持</w:t>
            </w:r>
          </w:p>
        </w:tc>
        <w:tc>
          <w:tcPr>
            <w:tcW w:w="4077" w:type="dxa"/>
            <w:shd w:val="clear" w:color="auto" w:fill="FFFFFF"/>
            <w:vAlign w:val="center"/>
          </w:tcPr>
          <w:p w14:paraId="5F7A8127">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RAID模式支持RAID0/1/10/5；</w:t>
            </w:r>
          </w:p>
        </w:tc>
        <w:tc>
          <w:tcPr>
            <w:tcW w:w="1497" w:type="dxa"/>
            <w:shd w:val="clear" w:color="auto" w:fill="FFFFFF"/>
            <w:vAlign w:val="center"/>
          </w:tcPr>
          <w:p w14:paraId="7A8A686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4A56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01E040C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58</w:t>
            </w:r>
          </w:p>
        </w:tc>
        <w:tc>
          <w:tcPr>
            <w:tcW w:w="981" w:type="dxa"/>
            <w:shd w:val="clear" w:color="auto" w:fill="FFFFFF"/>
            <w:vAlign w:val="center"/>
          </w:tcPr>
          <w:p w14:paraId="42F7AC3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52936A80">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73D7C0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RAID卡BBU单元</w:t>
            </w:r>
          </w:p>
        </w:tc>
        <w:tc>
          <w:tcPr>
            <w:tcW w:w="4077" w:type="dxa"/>
            <w:shd w:val="clear" w:color="auto" w:fill="FFFFFF"/>
            <w:vAlign w:val="center"/>
          </w:tcPr>
          <w:p w14:paraId="156F90A2">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RAID卡支持电池或电容备份单元</w:t>
            </w:r>
          </w:p>
        </w:tc>
        <w:tc>
          <w:tcPr>
            <w:tcW w:w="1497" w:type="dxa"/>
            <w:shd w:val="clear" w:color="auto" w:fill="FFFFFF"/>
            <w:vAlign w:val="center"/>
          </w:tcPr>
          <w:p w14:paraId="38806DD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3388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44" w:type="dxa"/>
            <w:shd w:val="clear" w:color="auto" w:fill="FFFFFF"/>
            <w:vAlign w:val="center"/>
          </w:tcPr>
          <w:p w14:paraId="6239516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59</w:t>
            </w:r>
          </w:p>
        </w:tc>
        <w:tc>
          <w:tcPr>
            <w:tcW w:w="981" w:type="dxa"/>
            <w:shd w:val="clear" w:color="auto" w:fill="FFFFFF"/>
            <w:vAlign w:val="center"/>
          </w:tcPr>
          <w:p w14:paraId="515EC9E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shd w:val="clear" w:color="auto" w:fill="FFFFFF"/>
            <w:vAlign w:val="center"/>
          </w:tcPr>
          <w:p w14:paraId="04817DF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光驱功能</w:t>
            </w:r>
          </w:p>
        </w:tc>
        <w:tc>
          <w:tcPr>
            <w:tcW w:w="1206" w:type="dxa"/>
            <w:shd w:val="clear" w:color="auto" w:fill="FFFFFF"/>
            <w:vAlign w:val="center"/>
          </w:tcPr>
          <w:p w14:paraId="5DAB9C1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光驱类型（是否支持RW，以及光盘类型CD/DVD）</w:t>
            </w:r>
          </w:p>
        </w:tc>
        <w:tc>
          <w:tcPr>
            <w:tcW w:w="4077" w:type="dxa"/>
            <w:shd w:val="clear" w:color="auto" w:fill="FFFFFF"/>
            <w:vAlign w:val="center"/>
          </w:tcPr>
          <w:p w14:paraId="733CC38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若配备光驱，应提供光驱的安装形式（如内置、外置）、光驱读写类型（如只读、可刻录等）、光盘类型的兼容列表（如CD-ROM、CD-RW、DVD±RW等）</w:t>
            </w:r>
          </w:p>
        </w:tc>
        <w:tc>
          <w:tcPr>
            <w:tcW w:w="1497" w:type="dxa"/>
            <w:shd w:val="clear" w:color="auto" w:fill="FFFFFF"/>
            <w:vAlign w:val="center"/>
          </w:tcPr>
          <w:p w14:paraId="647C6F9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88A8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66133C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60</w:t>
            </w:r>
          </w:p>
        </w:tc>
        <w:tc>
          <w:tcPr>
            <w:tcW w:w="981" w:type="dxa"/>
            <w:shd w:val="clear" w:color="auto" w:fill="FFFFFF"/>
            <w:vAlign w:val="center"/>
          </w:tcPr>
          <w:p w14:paraId="6E5657F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4CC9B4A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电源功能</w:t>
            </w:r>
          </w:p>
        </w:tc>
        <w:tc>
          <w:tcPr>
            <w:tcW w:w="1206" w:type="dxa"/>
            <w:shd w:val="clear" w:color="auto" w:fill="FFFFFF"/>
            <w:vAlign w:val="center"/>
          </w:tcPr>
          <w:p w14:paraId="3F79DED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★电源热插拔</w:t>
            </w:r>
          </w:p>
        </w:tc>
        <w:tc>
          <w:tcPr>
            <w:tcW w:w="4077" w:type="dxa"/>
            <w:shd w:val="clear" w:color="auto" w:fill="FFFFFF"/>
            <w:vAlign w:val="center"/>
          </w:tcPr>
          <w:p w14:paraId="689CBEB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整机电源模块应具备热插拔功能</w:t>
            </w:r>
          </w:p>
        </w:tc>
        <w:tc>
          <w:tcPr>
            <w:tcW w:w="1497" w:type="dxa"/>
            <w:shd w:val="clear" w:color="auto" w:fill="FFFFFF"/>
            <w:vAlign w:val="center"/>
          </w:tcPr>
          <w:p w14:paraId="0FD902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E138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25D7F2D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61</w:t>
            </w:r>
          </w:p>
        </w:tc>
        <w:tc>
          <w:tcPr>
            <w:tcW w:w="981" w:type="dxa"/>
            <w:shd w:val="clear" w:color="auto" w:fill="FFFFFF"/>
            <w:vAlign w:val="center"/>
          </w:tcPr>
          <w:p w14:paraId="64A4D95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3C5588BB">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FC27ED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★电源过流保护</w:t>
            </w:r>
          </w:p>
        </w:tc>
        <w:tc>
          <w:tcPr>
            <w:tcW w:w="4077" w:type="dxa"/>
            <w:shd w:val="clear" w:color="auto" w:fill="FFFFFF"/>
            <w:vAlign w:val="center"/>
          </w:tcPr>
          <w:p w14:paraId="4325CAA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支持过流及短路保护的功能</w:t>
            </w:r>
          </w:p>
        </w:tc>
        <w:tc>
          <w:tcPr>
            <w:tcW w:w="1497" w:type="dxa"/>
            <w:shd w:val="clear" w:color="auto" w:fill="FFFFFF"/>
            <w:vAlign w:val="center"/>
          </w:tcPr>
          <w:p w14:paraId="68CD3DF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FF64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44" w:type="dxa"/>
            <w:shd w:val="clear" w:color="auto" w:fill="FFFFFF"/>
            <w:vAlign w:val="center"/>
          </w:tcPr>
          <w:p w14:paraId="00341CE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62</w:t>
            </w:r>
          </w:p>
        </w:tc>
        <w:tc>
          <w:tcPr>
            <w:tcW w:w="981" w:type="dxa"/>
            <w:shd w:val="clear" w:color="auto" w:fill="FFFFFF"/>
            <w:vAlign w:val="center"/>
          </w:tcPr>
          <w:p w14:paraId="742DB9C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24437C3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整机功能</w:t>
            </w:r>
          </w:p>
        </w:tc>
        <w:tc>
          <w:tcPr>
            <w:tcW w:w="1206" w:type="dxa"/>
            <w:shd w:val="clear" w:color="auto" w:fill="FFFFFF"/>
            <w:vAlign w:val="center"/>
          </w:tcPr>
          <w:p w14:paraId="34F577D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★散热方式</w:t>
            </w:r>
          </w:p>
        </w:tc>
        <w:tc>
          <w:tcPr>
            <w:tcW w:w="4077" w:type="dxa"/>
            <w:shd w:val="clear" w:color="auto" w:fill="FFFFFF"/>
            <w:vAlign w:val="center"/>
          </w:tcPr>
          <w:p w14:paraId="1CE9650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支持风冷或液冷等散热方式</w:t>
            </w:r>
          </w:p>
        </w:tc>
        <w:tc>
          <w:tcPr>
            <w:tcW w:w="1497" w:type="dxa"/>
            <w:shd w:val="clear" w:color="auto" w:fill="FFFFFF"/>
            <w:vAlign w:val="center"/>
          </w:tcPr>
          <w:p w14:paraId="61A20E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4628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07F3CF0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63</w:t>
            </w:r>
          </w:p>
        </w:tc>
        <w:tc>
          <w:tcPr>
            <w:tcW w:w="981" w:type="dxa"/>
            <w:shd w:val="clear" w:color="auto" w:fill="FFFFFF"/>
            <w:vAlign w:val="center"/>
          </w:tcPr>
          <w:p w14:paraId="5C9ACE4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5A138B8E">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DEEA9A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其他功能</w:t>
            </w:r>
          </w:p>
        </w:tc>
        <w:tc>
          <w:tcPr>
            <w:tcW w:w="4077" w:type="dxa"/>
            <w:shd w:val="clear" w:color="auto" w:fill="FFFFFF"/>
            <w:vAlign w:val="center"/>
          </w:tcPr>
          <w:p w14:paraId="4E4712E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a）支持关键部件冗余（包括电源、风扇等）；b）支持熔断保护与恢复功能</w:t>
            </w:r>
          </w:p>
        </w:tc>
        <w:tc>
          <w:tcPr>
            <w:tcW w:w="1497" w:type="dxa"/>
            <w:shd w:val="clear" w:color="auto" w:fill="FFFFFF"/>
            <w:vAlign w:val="center"/>
          </w:tcPr>
          <w:p w14:paraId="1088508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0A3F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6" w:hRule="atLeast"/>
        </w:trPr>
        <w:tc>
          <w:tcPr>
            <w:tcW w:w="744" w:type="dxa"/>
            <w:shd w:val="clear" w:color="auto" w:fill="FFFFFF"/>
            <w:vAlign w:val="center"/>
          </w:tcPr>
          <w:p w14:paraId="2F09483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64</w:t>
            </w:r>
          </w:p>
        </w:tc>
        <w:tc>
          <w:tcPr>
            <w:tcW w:w="981" w:type="dxa"/>
            <w:shd w:val="clear" w:color="auto" w:fill="FFFFFF"/>
            <w:vAlign w:val="center"/>
          </w:tcPr>
          <w:p w14:paraId="535193A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shd w:val="clear" w:color="auto" w:fill="FFFFFF"/>
            <w:vAlign w:val="center"/>
          </w:tcPr>
          <w:p w14:paraId="64923B7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管理系统功能</w:t>
            </w:r>
          </w:p>
        </w:tc>
        <w:tc>
          <w:tcPr>
            <w:tcW w:w="1206" w:type="dxa"/>
            <w:shd w:val="clear" w:color="auto" w:fill="FFFFFF"/>
            <w:vAlign w:val="center"/>
          </w:tcPr>
          <w:p w14:paraId="562B7B9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★BMC固件基础功能</w:t>
            </w:r>
          </w:p>
        </w:tc>
        <w:tc>
          <w:tcPr>
            <w:tcW w:w="4077" w:type="dxa"/>
            <w:shd w:val="clear" w:color="auto" w:fill="FFFFFF"/>
            <w:vAlign w:val="center"/>
          </w:tcPr>
          <w:p w14:paraId="3ED94BF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支持DHCP设置网络功能；2）支持静态IP设置网络功能；3）支持设备日志记录，包括但不限于登录日志、操作日志和报警日志等功能；4）支持日志信息导出和记录删除功能；5）支持通过管理接口向外输出准确的报警信息功能；6）设备的BMC管理软件应能够按报警的严重程度进行区分；7）支持IPMI2.0、SNMP或Redfish等接口功能；8）支持键盘、鼠标和视频的重定向、文本控制台的重定向、远程虚拟媒体、高可靠的硬件监控和管理功能；9）支持基于网络开启、关闭和重启设备的功能，并查询当前设备开机运行状态；10）支持故障提示功能，并可通过接口读取服务器故障信息；11）支持基于网络的固件更新功能，包括BMC和BIOS等；12）支持基于网络安装操作系统的功能，并可通过网络控制台访问设备；13）支持通过本地的硬盘或光驱等存储设备，基于网络完成设备的操作系统安装功能；14）支持通过浏览器打开管理界面并登录功能；15）支持设置口令策略功能；16）支持访问权限设置功能，并通过日志记录访问事件；17）支持对出厂默认的用户名及口令进行安全保护功能，并提供默认口令修改提示；18）支持读取设备主板的工作环境温度功能；19）支持读取服务器CPU等核心器件的温度功能；20）支持通过外部管理工具进行BMC参数设置的功能，并可基于网络通过外部管理工具对BMC进行管理；21）应支持固件版本查询、固件升级22）支持基于网络实现开关机和复位控制的功能；23)BMC启动时间应不超过180s，实现功能包括网络、IPMI、散热、传感器服务可用；24）支持BMC固件设置的恢复出厂功能</w:t>
            </w:r>
          </w:p>
        </w:tc>
        <w:tc>
          <w:tcPr>
            <w:tcW w:w="1497" w:type="dxa"/>
            <w:shd w:val="clear" w:color="auto" w:fill="FFFFFF"/>
            <w:vAlign w:val="center"/>
          </w:tcPr>
          <w:p w14:paraId="582CF6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56F4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64" w:hRule="atLeast"/>
        </w:trPr>
        <w:tc>
          <w:tcPr>
            <w:tcW w:w="744" w:type="dxa"/>
            <w:shd w:val="clear" w:color="auto" w:fill="FFFFFF"/>
            <w:vAlign w:val="center"/>
          </w:tcPr>
          <w:p w14:paraId="6D469C4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65</w:t>
            </w:r>
          </w:p>
        </w:tc>
        <w:tc>
          <w:tcPr>
            <w:tcW w:w="981" w:type="dxa"/>
            <w:shd w:val="clear" w:color="auto" w:fill="FFFFFF"/>
            <w:vAlign w:val="center"/>
          </w:tcPr>
          <w:p w14:paraId="0C998CE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7AAD4530">
            <w:pPr>
              <w:widowControl/>
              <w:jc w:val="center"/>
              <w:rPr>
                <w:rFonts w:asciiTheme="minorEastAsia" w:hAnsiTheme="minorEastAsia" w:eastAsiaTheme="minorEastAsia" w:cstheme="minorEastAsia"/>
                <w:kern w:val="0"/>
                <w:sz w:val="24"/>
              </w:rPr>
            </w:pPr>
          </w:p>
        </w:tc>
        <w:tc>
          <w:tcPr>
            <w:tcW w:w="1206" w:type="dxa"/>
            <w:shd w:val="clear" w:color="auto" w:fill="FFFFFF"/>
            <w:vAlign w:val="center"/>
          </w:tcPr>
          <w:p w14:paraId="7DB2B4C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BMC固件增强功能</w:t>
            </w:r>
          </w:p>
        </w:tc>
        <w:tc>
          <w:tcPr>
            <w:tcW w:w="4077" w:type="dxa"/>
            <w:shd w:val="clear" w:color="auto" w:fill="FFFFFF"/>
            <w:vAlign w:val="center"/>
          </w:tcPr>
          <w:p w14:paraId="1957F92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a）网络控制、安装提供图形访问界面网络；b）设备的BMC管理软件界面显示报警信息，且能够按报警的严重程度进行区分；c）WebGUI采用BMC端口直连，平均响应时间为≤1s</w:t>
            </w:r>
          </w:p>
        </w:tc>
        <w:tc>
          <w:tcPr>
            <w:tcW w:w="1497" w:type="dxa"/>
            <w:shd w:val="clear" w:color="auto" w:fill="FFFFFF"/>
            <w:vAlign w:val="center"/>
          </w:tcPr>
          <w:p w14:paraId="2A2F24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36BE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0" w:hRule="atLeast"/>
        </w:trPr>
        <w:tc>
          <w:tcPr>
            <w:tcW w:w="744" w:type="dxa"/>
            <w:shd w:val="clear" w:color="auto" w:fill="FFFFFF"/>
            <w:vAlign w:val="center"/>
          </w:tcPr>
          <w:p w14:paraId="0477BCB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66</w:t>
            </w:r>
          </w:p>
        </w:tc>
        <w:tc>
          <w:tcPr>
            <w:tcW w:w="981" w:type="dxa"/>
            <w:shd w:val="clear" w:color="auto" w:fill="FFFFFF"/>
            <w:vAlign w:val="center"/>
          </w:tcPr>
          <w:p w14:paraId="355414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1A272000">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4606A7C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★BIOS固件基础功能</w:t>
            </w:r>
          </w:p>
        </w:tc>
        <w:tc>
          <w:tcPr>
            <w:tcW w:w="4077" w:type="dxa"/>
            <w:shd w:val="clear" w:color="auto" w:fill="FFFFFF"/>
            <w:vAlign w:val="center"/>
          </w:tcPr>
          <w:p w14:paraId="27D78EB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查看固件版本、内存信息、主板信息、处理器信息和系统时间信息功能；b）支持上电初始化界面显示CPU信息、内存信息、固件版本和部分快捷键信息功能；c）支持设置界面中英文显示切换功能；d）支持查看PCIe设备信息，SATA设备信息功能；e）支持操作系统安装和引导功能，应并向操作系统提供计算机主板信息和服务接口；f）支持设置启动顺序，并按照设置的启动顺序启动功能；g）支持安全启动功能；h）支持设置口令、修改口令、验证口令功能；i）支持板载显示控制或独立显卡的显示控制功能；j）支持RAID识别和启动功能；k）支持串口重定向功能；l）支持固件更新功能；m）支持BIOS固件设置的恢复出厂功能；n）支持网络引导启用和关闭功能</w:t>
            </w:r>
          </w:p>
        </w:tc>
        <w:tc>
          <w:tcPr>
            <w:tcW w:w="1497" w:type="dxa"/>
            <w:shd w:val="clear" w:color="auto" w:fill="FFFFFF"/>
            <w:vAlign w:val="center"/>
          </w:tcPr>
          <w:p w14:paraId="7F68914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5A94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44" w:type="dxa"/>
            <w:shd w:val="clear" w:color="auto" w:fill="FFFFFF"/>
            <w:vAlign w:val="center"/>
          </w:tcPr>
          <w:p w14:paraId="2082669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67</w:t>
            </w:r>
          </w:p>
        </w:tc>
        <w:tc>
          <w:tcPr>
            <w:tcW w:w="981" w:type="dxa"/>
            <w:shd w:val="clear" w:color="auto" w:fill="FFFFFF"/>
            <w:vAlign w:val="center"/>
          </w:tcPr>
          <w:p w14:paraId="2DE5185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11D40503">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962225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★远程控制</w:t>
            </w:r>
          </w:p>
        </w:tc>
        <w:tc>
          <w:tcPr>
            <w:tcW w:w="4077" w:type="dxa"/>
            <w:shd w:val="clear" w:color="auto" w:fill="FFFFFF"/>
            <w:vAlign w:val="center"/>
          </w:tcPr>
          <w:p w14:paraId="6DD9246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支持远程关机和重新启动功能</w:t>
            </w:r>
          </w:p>
        </w:tc>
        <w:tc>
          <w:tcPr>
            <w:tcW w:w="1497" w:type="dxa"/>
            <w:shd w:val="clear" w:color="auto" w:fill="FFFFFF"/>
            <w:vAlign w:val="center"/>
          </w:tcPr>
          <w:p w14:paraId="70B684B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28C1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547BF4B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68</w:t>
            </w:r>
          </w:p>
        </w:tc>
        <w:tc>
          <w:tcPr>
            <w:tcW w:w="981" w:type="dxa"/>
            <w:shd w:val="clear" w:color="auto" w:fill="FFFFFF"/>
            <w:vAlign w:val="center"/>
          </w:tcPr>
          <w:p w14:paraId="6F2A05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48C5236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操作系统及驱动功能</w:t>
            </w:r>
          </w:p>
        </w:tc>
        <w:tc>
          <w:tcPr>
            <w:tcW w:w="1206" w:type="dxa"/>
            <w:shd w:val="clear" w:color="auto" w:fill="FFFFFF"/>
            <w:vAlign w:val="center"/>
          </w:tcPr>
          <w:p w14:paraId="7A58A33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★操作系统及驱动的升级</w:t>
            </w:r>
          </w:p>
        </w:tc>
        <w:tc>
          <w:tcPr>
            <w:tcW w:w="4077" w:type="dxa"/>
            <w:shd w:val="clear" w:color="auto" w:fill="FFFFFF"/>
            <w:vAlign w:val="center"/>
          </w:tcPr>
          <w:p w14:paraId="659C1FE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支持通过网络、闪存盘对操作系统、驱动进行升级</w:t>
            </w:r>
          </w:p>
        </w:tc>
        <w:tc>
          <w:tcPr>
            <w:tcW w:w="1497" w:type="dxa"/>
            <w:shd w:val="clear" w:color="auto" w:fill="FFFFFF"/>
            <w:vAlign w:val="center"/>
          </w:tcPr>
          <w:p w14:paraId="36A296F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D461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07BB0DB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69</w:t>
            </w:r>
          </w:p>
        </w:tc>
        <w:tc>
          <w:tcPr>
            <w:tcW w:w="981" w:type="dxa"/>
            <w:shd w:val="clear" w:color="auto" w:fill="FFFFFF"/>
            <w:vAlign w:val="center"/>
          </w:tcPr>
          <w:p w14:paraId="4592609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2F97A279">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BB7914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操作系统及驱动的备份还原</w:t>
            </w:r>
          </w:p>
        </w:tc>
        <w:tc>
          <w:tcPr>
            <w:tcW w:w="4077" w:type="dxa"/>
            <w:shd w:val="clear" w:color="auto" w:fill="FFFFFF"/>
            <w:vAlign w:val="center"/>
          </w:tcPr>
          <w:p w14:paraId="3C91B35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支持操作系统备份及还原功能</w:t>
            </w:r>
          </w:p>
        </w:tc>
        <w:tc>
          <w:tcPr>
            <w:tcW w:w="1497" w:type="dxa"/>
            <w:shd w:val="clear" w:color="auto" w:fill="FFFFFF"/>
            <w:vAlign w:val="center"/>
          </w:tcPr>
          <w:p w14:paraId="5D3215D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2C2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30E9B90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70</w:t>
            </w:r>
          </w:p>
        </w:tc>
        <w:tc>
          <w:tcPr>
            <w:tcW w:w="981" w:type="dxa"/>
            <w:shd w:val="clear" w:color="auto" w:fill="FFFFFF"/>
            <w:vAlign w:val="center"/>
          </w:tcPr>
          <w:p w14:paraId="761B4ED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52A98C47">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B6BD4C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★操作系统功能</w:t>
            </w:r>
          </w:p>
        </w:tc>
        <w:tc>
          <w:tcPr>
            <w:tcW w:w="4077" w:type="dxa"/>
            <w:shd w:val="clear" w:color="auto" w:fill="FFFFFF"/>
            <w:vAlign w:val="center"/>
          </w:tcPr>
          <w:p w14:paraId="619EA59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a）支持访问控制、安全审计、网络接入鉴别等功能；b）操作系统其他功能应满足操作系统政府采购需求标准中加*的指标要求</w:t>
            </w:r>
          </w:p>
        </w:tc>
        <w:tc>
          <w:tcPr>
            <w:tcW w:w="1497" w:type="dxa"/>
            <w:shd w:val="clear" w:color="auto" w:fill="FFFFFF"/>
            <w:vAlign w:val="center"/>
          </w:tcPr>
          <w:p w14:paraId="242D688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EF8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2ABF281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71</w:t>
            </w:r>
          </w:p>
        </w:tc>
        <w:tc>
          <w:tcPr>
            <w:tcW w:w="981" w:type="dxa"/>
            <w:shd w:val="clear" w:color="auto" w:fill="FFFFFF"/>
            <w:vAlign w:val="center"/>
          </w:tcPr>
          <w:p w14:paraId="303C6E2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shd w:val="clear" w:color="auto" w:fill="FFFFFF"/>
            <w:vAlign w:val="center"/>
          </w:tcPr>
          <w:p w14:paraId="0EFDB4D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中文信息处理功能</w:t>
            </w:r>
          </w:p>
        </w:tc>
        <w:tc>
          <w:tcPr>
            <w:tcW w:w="1206" w:type="dxa"/>
            <w:shd w:val="clear" w:color="auto" w:fill="FFFFFF"/>
            <w:vAlign w:val="center"/>
          </w:tcPr>
          <w:p w14:paraId="06541DD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★中文信息处理</w:t>
            </w:r>
          </w:p>
        </w:tc>
        <w:tc>
          <w:tcPr>
            <w:tcW w:w="4077" w:type="dxa"/>
            <w:shd w:val="clear" w:color="auto" w:fill="FFFFFF"/>
            <w:vAlign w:val="center"/>
          </w:tcPr>
          <w:p w14:paraId="757E559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符合GB18030的有关规定</w:t>
            </w:r>
          </w:p>
        </w:tc>
        <w:tc>
          <w:tcPr>
            <w:tcW w:w="1497" w:type="dxa"/>
            <w:shd w:val="clear" w:color="auto" w:fill="FFFFFF"/>
            <w:vAlign w:val="center"/>
          </w:tcPr>
          <w:p w14:paraId="3B2ABA2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204B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363BF59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72</w:t>
            </w:r>
          </w:p>
        </w:tc>
        <w:tc>
          <w:tcPr>
            <w:tcW w:w="981" w:type="dxa"/>
            <w:shd w:val="clear" w:color="auto" w:fill="FFFFFF"/>
            <w:vAlign w:val="center"/>
          </w:tcPr>
          <w:p w14:paraId="5E13920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restart"/>
            <w:shd w:val="clear" w:color="auto" w:fill="FFFFFF"/>
            <w:vAlign w:val="center"/>
          </w:tcPr>
          <w:p w14:paraId="7F72DFF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机柜功能</w:t>
            </w:r>
          </w:p>
        </w:tc>
        <w:tc>
          <w:tcPr>
            <w:tcW w:w="1206" w:type="dxa"/>
            <w:shd w:val="clear" w:color="auto" w:fill="FFFFFF"/>
            <w:vAlign w:val="center"/>
          </w:tcPr>
          <w:p w14:paraId="3B76FB2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机柜管理功能</w:t>
            </w:r>
          </w:p>
        </w:tc>
        <w:tc>
          <w:tcPr>
            <w:tcW w:w="4077" w:type="dxa"/>
            <w:shd w:val="clear" w:color="auto" w:fill="FFFFFF"/>
            <w:vAlign w:val="center"/>
          </w:tcPr>
          <w:p w14:paraId="71585C6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机柜管理系统包括服务器节点BMC管理系统、机柜管理系统或交换节点管理系统</w:t>
            </w:r>
          </w:p>
        </w:tc>
        <w:tc>
          <w:tcPr>
            <w:tcW w:w="1497" w:type="dxa"/>
            <w:shd w:val="clear" w:color="auto" w:fill="FFFFFF"/>
            <w:vAlign w:val="center"/>
          </w:tcPr>
          <w:p w14:paraId="2581091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E16D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7009126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73</w:t>
            </w:r>
          </w:p>
        </w:tc>
        <w:tc>
          <w:tcPr>
            <w:tcW w:w="981" w:type="dxa"/>
            <w:shd w:val="clear" w:color="auto" w:fill="FFFFFF"/>
            <w:vAlign w:val="center"/>
          </w:tcPr>
          <w:p w14:paraId="5FA77B3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60D73A2E">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154595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机柜通信方式</w:t>
            </w:r>
          </w:p>
        </w:tc>
        <w:tc>
          <w:tcPr>
            <w:tcW w:w="4077" w:type="dxa"/>
            <w:shd w:val="clear" w:color="auto" w:fill="FFFFFF"/>
            <w:vAlign w:val="center"/>
          </w:tcPr>
          <w:p w14:paraId="10252CD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若配备机柜管理板可实现包括：资产管理、电源模块、功耗管理和液冷漏液检测等功能</w:t>
            </w:r>
          </w:p>
        </w:tc>
        <w:tc>
          <w:tcPr>
            <w:tcW w:w="1497" w:type="dxa"/>
            <w:shd w:val="clear" w:color="auto" w:fill="FFFFFF"/>
            <w:vAlign w:val="center"/>
          </w:tcPr>
          <w:p w14:paraId="71CA309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968E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117039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74</w:t>
            </w:r>
          </w:p>
        </w:tc>
        <w:tc>
          <w:tcPr>
            <w:tcW w:w="981" w:type="dxa"/>
            <w:shd w:val="clear" w:color="auto" w:fill="FFFFFF"/>
            <w:vAlign w:val="center"/>
          </w:tcPr>
          <w:p w14:paraId="48191A1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功能要求</w:t>
            </w:r>
          </w:p>
        </w:tc>
        <w:tc>
          <w:tcPr>
            <w:tcW w:w="981" w:type="dxa"/>
            <w:vMerge w:val="continue"/>
            <w:shd w:val="clear" w:color="auto" w:fill="FFFFFF"/>
            <w:vAlign w:val="center"/>
          </w:tcPr>
          <w:p w14:paraId="1F1F58F4">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B2D2ED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多集群作业管理</w:t>
            </w:r>
          </w:p>
        </w:tc>
        <w:tc>
          <w:tcPr>
            <w:tcW w:w="4077" w:type="dxa"/>
            <w:shd w:val="clear" w:color="auto" w:fill="FFFFFF"/>
            <w:vAlign w:val="center"/>
          </w:tcPr>
          <w:p w14:paraId="62D5B58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支持多集群作业管理功能</w:t>
            </w:r>
          </w:p>
        </w:tc>
        <w:tc>
          <w:tcPr>
            <w:tcW w:w="1497" w:type="dxa"/>
            <w:shd w:val="clear" w:color="auto" w:fill="FFFFFF"/>
            <w:vAlign w:val="center"/>
          </w:tcPr>
          <w:p w14:paraId="378FAF5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7CED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4DE88F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75</w:t>
            </w:r>
          </w:p>
        </w:tc>
        <w:tc>
          <w:tcPr>
            <w:tcW w:w="981" w:type="dxa"/>
            <w:shd w:val="clear" w:color="auto" w:fill="FFFFFF"/>
            <w:vAlign w:val="center"/>
          </w:tcPr>
          <w:p w14:paraId="34743EE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shd w:val="clear" w:color="auto" w:fill="FFFFFF"/>
            <w:vAlign w:val="center"/>
          </w:tcPr>
          <w:p w14:paraId="4B641C3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关键部件安全要求</w:t>
            </w:r>
          </w:p>
        </w:tc>
        <w:tc>
          <w:tcPr>
            <w:tcW w:w="1206" w:type="dxa"/>
            <w:shd w:val="clear" w:color="auto" w:fill="FFFFFF"/>
            <w:vAlign w:val="center"/>
          </w:tcPr>
          <w:p w14:paraId="6CEE6F8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★关键部件安全要求</w:t>
            </w:r>
          </w:p>
        </w:tc>
        <w:tc>
          <w:tcPr>
            <w:tcW w:w="4077" w:type="dxa"/>
            <w:shd w:val="clear" w:color="auto" w:fill="FFFFFF"/>
            <w:vAlign w:val="center"/>
          </w:tcPr>
          <w:p w14:paraId="0C3E25B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CPU和操作系统等关键部件应当符合安全可靠测评要求</w:t>
            </w:r>
          </w:p>
        </w:tc>
        <w:tc>
          <w:tcPr>
            <w:tcW w:w="1497" w:type="dxa"/>
            <w:shd w:val="clear" w:color="auto" w:fill="FFFFFF"/>
            <w:vAlign w:val="center"/>
          </w:tcPr>
          <w:p w14:paraId="0EAE88B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9391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73E269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76</w:t>
            </w:r>
          </w:p>
        </w:tc>
        <w:tc>
          <w:tcPr>
            <w:tcW w:w="981" w:type="dxa"/>
            <w:shd w:val="clear" w:color="auto" w:fill="FFFFFF"/>
            <w:vAlign w:val="center"/>
          </w:tcPr>
          <w:p w14:paraId="2797684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restart"/>
            <w:shd w:val="clear" w:color="auto" w:fill="FFFFFF"/>
            <w:vAlign w:val="center"/>
          </w:tcPr>
          <w:p w14:paraId="155637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固件安全要求</w:t>
            </w:r>
          </w:p>
        </w:tc>
        <w:tc>
          <w:tcPr>
            <w:tcW w:w="1206" w:type="dxa"/>
            <w:shd w:val="clear" w:color="auto" w:fill="FFFFFF"/>
            <w:vAlign w:val="center"/>
          </w:tcPr>
          <w:p w14:paraId="68FBF63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★故障检测</w:t>
            </w:r>
          </w:p>
        </w:tc>
        <w:tc>
          <w:tcPr>
            <w:tcW w:w="4077" w:type="dxa"/>
            <w:shd w:val="clear" w:color="auto" w:fill="FFFFFF"/>
            <w:vAlign w:val="center"/>
          </w:tcPr>
          <w:p w14:paraId="4EB2929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支持故障检测功能，可以检测到具体的FRU（内存、硬盘等）的故障并发出告警</w:t>
            </w:r>
          </w:p>
        </w:tc>
        <w:tc>
          <w:tcPr>
            <w:tcW w:w="1497" w:type="dxa"/>
            <w:shd w:val="clear" w:color="auto" w:fill="FFFFFF"/>
            <w:vAlign w:val="center"/>
          </w:tcPr>
          <w:p w14:paraId="08373AF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22DD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44" w:type="dxa"/>
            <w:shd w:val="clear" w:color="auto" w:fill="FFFFFF"/>
            <w:vAlign w:val="center"/>
          </w:tcPr>
          <w:p w14:paraId="2AD8F8C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77</w:t>
            </w:r>
          </w:p>
        </w:tc>
        <w:tc>
          <w:tcPr>
            <w:tcW w:w="981" w:type="dxa"/>
            <w:shd w:val="clear" w:color="auto" w:fill="FFFFFF"/>
            <w:vAlign w:val="center"/>
          </w:tcPr>
          <w:p w14:paraId="3CD58CB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6A0EB846">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A45098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内存故障智能预测和自愈修复</w:t>
            </w:r>
          </w:p>
        </w:tc>
        <w:tc>
          <w:tcPr>
            <w:tcW w:w="4077" w:type="dxa"/>
            <w:shd w:val="clear" w:color="auto" w:fill="FFFFFF"/>
            <w:vAlign w:val="center"/>
          </w:tcPr>
          <w:p w14:paraId="3DC39C0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支持内存故障智能预测和自愈修复，提前自动硬隔离，避免内存故障引起的非预期宕机以及内存寿命的降低</w:t>
            </w:r>
          </w:p>
        </w:tc>
        <w:tc>
          <w:tcPr>
            <w:tcW w:w="1497" w:type="dxa"/>
            <w:shd w:val="clear" w:color="auto" w:fill="FFFFFF"/>
            <w:vAlign w:val="center"/>
          </w:tcPr>
          <w:p w14:paraId="71DF580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8514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03AAA9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78</w:t>
            </w:r>
          </w:p>
        </w:tc>
        <w:tc>
          <w:tcPr>
            <w:tcW w:w="981" w:type="dxa"/>
            <w:shd w:val="clear" w:color="auto" w:fill="FFFFFF"/>
            <w:vAlign w:val="center"/>
          </w:tcPr>
          <w:p w14:paraId="67BB1EC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48AD0692">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0E57C1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硬盘故障智能预测</w:t>
            </w:r>
          </w:p>
        </w:tc>
        <w:tc>
          <w:tcPr>
            <w:tcW w:w="4077" w:type="dxa"/>
            <w:shd w:val="clear" w:color="auto" w:fill="FFFFFF"/>
            <w:vAlign w:val="center"/>
          </w:tcPr>
          <w:p w14:paraId="37A9E91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支持硬盘故障智能预测，基于故障模型预测出硬盘的故障</w:t>
            </w:r>
          </w:p>
        </w:tc>
        <w:tc>
          <w:tcPr>
            <w:tcW w:w="1497" w:type="dxa"/>
            <w:shd w:val="clear" w:color="auto" w:fill="FFFFFF"/>
            <w:vAlign w:val="center"/>
          </w:tcPr>
          <w:p w14:paraId="76DB8D0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1438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2DFD6D2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79</w:t>
            </w:r>
          </w:p>
        </w:tc>
        <w:tc>
          <w:tcPr>
            <w:tcW w:w="981" w:type="dxa"/>
            <w:shd w:val="clear" w:color="auto" w:fill="FFFFFF"/>
            <w:vAlign w:val="center"/>
          </w:tcPr>
          <w:p w14:paraId="2567CEC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7456D419">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87314F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PCIe链路故障智能诊断</w:t>
            </w:r>
          </w:p>
        </w:tc>
        <w:tc>
          <w:tcPr>
            <w:tcW w:w="4077" w:type="dxa"/>
            <w:shd w:val="clear" w:color="auto" w:fill="FFFFFF"/>
            <w:vAlign w:val="center"/>
          </w:tcPr>
          <w:p w14:paraId="5BCE21E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支持PCIe链路故障智能诊断，判断出现故障的PCIe链路</w:t>
            </w:r>
          </w:p>
        </w:tc>
        <w:tc>
          <w:tcPr>
            <w:tcW w:w="1497" w:type="dxa"/>
            <w:shd w:val="clear" w:color="auto" w:fill="FFFFFF"/>
            <w:vAlign w:val="center"/>
          </w:tcPr>
          <w:p w14:paraId="399F4B7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9843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1F9A102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80</w:t>
            </w:r>
          </w:p>
        </w:tc>
        <w:tc>
          <w:tcPr>
            <w:tcW w:w="981" w:type="dxa"/>
            <w:shd w:val="clear" w:color="auto" w:fill="FFFFFF"/>
            <w:vAlign w:val="center"/>
          </w:tcPr>
          <w:p w14:paraId="610D36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5EA9F4EB">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028A24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内存故障隔离</w:t>
            </w:r>
          </w:p>
        </w:tc>
        <w:tc>
          <w:tcPr>
            <w:tcW w:w="4077" w:type="dxa"/>
            <w:shd w:val="clear" w:color="auto" w:fill="FFFFFF"/>
            <w:vAlign w:val="center"/>
          </w:tcPr>
          <w:p w14:paraId="28D8935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支持内存故障隔离，在内存产生CE故障时，内存地址被隔离成功，服务器正常运行，业务系统不中断</w:t>
            </w:r>
          </w:p>
        </w:tc>
        <w:tc>
          <w:tcPr>
            <w:tcW w:w="1497" w:type="dxa"/>
            <w:shd w:val="clear" w:color="auto" w:fill="FFFFFF"/>
            <w:vAlign w:val="center"/>
          </w:tcPr>
          <w:p w14:paraId="3F9AF55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A37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44" w:type="dxa"/>
            <w:shd w:val="clear" w:color="auto" w:fill="FFFFFF"/>
            <w:vAlign w:val="center"/>
          </w:tcPr>
          <w:p w14:paraId="593BEE2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81</w:t>
            </w:r>
          </w:p>
        </w:tc>
        <w:tc>
          <w:tcPr>
            <w:tcW w:w="981" w:type="dxa"/>
            <w:shd w:val="clear" w:color="auto" w:fill="FFFFFF"/>
            <w:vAlign w:val="center"/>
          </w:tcPr>
          <w:p w14:paraId="5D9561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2FFCB1AA">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E39527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内存、PCIe卡的故障精准告警功能</w:t>
            </w:r>
          </w:p>
        </w:tc>
        <w:tc>
          <w:tcPr>
            <w:tcW w:w="4077" w:type="dxa"/>
            <w:shd w:val="clear" w:color="auto" w:fill="FFFFFF"/>
            <w:vAlign w:val="center"/>
          </w:tcPr>
          <w:p w14:paraId="493AD34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支持内存、PCIe卡的故障精准告警功能，触发告警并明确指示具体的故障位置</w:t>
            </w:r>
          </w:p>
        </w:tc>
        <w:tc>
          <w:tcPr>
            <w:tcW w:w="1497" w:type="dxa"/>
            <w:shd w:val="clear" w:color="auto" w:fill="FFFFFF"/>
            <w:vAlign w:val="center"/>
          </w:tcPr>
          <w:p w14:paraId="08ED51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9632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6689E74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82</w:t>
            </w:r>
          </w:p>
        </w:tc>
        <w:tc>
          <w:tcPr>
            <w:tcW w:w="981" w:type="dxa"/>
            <w:shd w:val="clear" w:color="auto" w:fill="FFFFFF"/>
            <w:vAlign w:val="center"/>
          </w:tcPr>
          <w:p w14:paraId="1BD4D38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5AECAC14">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E45537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异常下电关键数据保护</w:t>
            </w:r>
          </w:p>
        </w:tc>
        <w:tc>
          <w:tcPr>
            <w:tcW w:w="4077" w:type="dxa"/>
            <w:shd w:val="clear" w:color="auto" w:fill="FFFFFF"/>
            <w:vAlign w:val="center"/>
          </w:tcPr>
          <w:p w14:paraId="5825582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支持异常掉电关键数据保护，支持数据备份恢复机制，防止系统异常掉电导致的数据文件丢失</w:t>
            </w:r>
          </w:p>
        </w:tc>
        <w:tc>
          <w:tcPr>
            <w:tcW w:w="1497" w:type="dxa"/>
            <w:shd w:val="clear" w:color="auto" w:fill="FFFFFF"/>
            <w:vAlign w:val="center"/>
          </w:tcPr>
          <w:p w14:paraId="53F5FE0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4CB3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221E069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83</w:t>
            </w:r>
          </w:p>
        </w:tc>
        <w:tc>
          <w:tcPr>
            <w:tcW w:w="981" w:type="dxa"/>
            <w:shd w:val="clear" w:color="auto" w:fill="FFFFFF"/>
            <w:vAlign w:val="center"/>
          </w:tcPr>
          <w:p w14:paraId="6AC98ED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4F6B51FA">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3BC735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BMC/BIOS固件双镜像保护</w:t>
            </w:r>
          </w:p>
        </w:tc>
        <w:tc>
          <w:tcPr>
            <w:tcW w:w="4077" w:type="dxa"/>
            <w:shd w:val="clear" w:color="auto" w:fill="FFFFFF"/>
            <w:vAlign w:val="center"/>
          </w:tcPr>
          <w:p w14:paraId="38A73FD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支持BMC/BIOS固件双镜像保护，运行异常时自动切换到备份镜像运行，提升系统稳定性</w:t>
            </w:r>
          </w:p>
        </w:tc>
        <w:tc>
          <w:tcPr>
            <w:tcW w:w="1497" w:type="dxa"/>
            <w:shd w:val="clear" w:color="auto" w:fill="FFFFFF"/>
            <w:vAlign w:val="center"/>
          </w:tcPr>
          <w:p w14:paraId="27DD48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8868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68321DF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84</w:t>
            </w:r>
          </w:p>
        </w:tc>
        <w:tc>
          <w:tcPr>
            <w:tcW w:w="981" w:type="dxa"/>
            <w:shd w:val="clear" w:color="auto" w:fill="FFFFFF"/>
            <w:vAlign w:val="center"/>
          </w:tcPr>
          <w:p w14:paraId="3BA9770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49D9970D">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B6A50B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CPU核重启隔离</w:t>
            </w:r>
          </w:p>
        </w:tc>
        <w:tc>
          <w:tcPr>
            <w:tcW w:w="4077" w:type="dxa"/>
            <w:shd w:val="clear" w:color="auto" w:fill="FFFFFF"/>
            <w:vAlign w:val="center"/>
          </w:tcPr>
          <w:p w14:paraId="6584784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支持CPU核发生不可纠正故障后，重启后由BIOS隔离该故障核，OS不可见，防止OS再次使用导致系统异常，核0除外</w:t>
            </w:r>
          </w:p>
        </w:tc>
        <w:tc>
          <w:tcPr>
            <w:tcW w:w="1497" w:type="dxa"/>
            <w:shd w:val="clear" w:color="auto" w:fill="FFFFFF"/>
            <w:vAlign w:val="center"/>
          </w:tcPr>
          <w:p w14:paraId="2F5DCAE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2F6F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3C9E286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85</w:t>
            </w:r>
          </w:p>
        </w:tc>
        <w:tc>
          <w:tcPr>
            <w:tcW w:w="981" w:type="dxa"/>
            <w:shd w:val="clear" w:color="auto" w:fill="FFFFFF"/>
            <w:vAlign w:val="center"/>
          </w:tcPr>
          <w:p w14:paraId="3C73DEF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462B9B2F">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2E187E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内存地址隔离</w:t>
            </w:r>
          </w:p>
        </w:tc>
        <w:tc>
          <w:tcPr>
            <w:tcW w:w="4077" w:type="dxa"/>
            <w:shd w:val="clear" w:color="auto" w:fill="FFFFFF"/>
            <w:vAlign w:val="center"/>
          </w:tcPr>
          <w:p w14:paraId="4872150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在硬件支持的情况下，支持故障内存地址重启后隔离</w:t>
            </w:r>
          </w:p>
        </w:tc>
        <w:tc>
          <w:tcPr>
            <w:tcW w:w="1497" w:type="dxa"/>
            <w:shd w:val="clear" w:color="auto" w:fill="FFFFFF"/>
            <w:vAlign w:val="center"/>
          </w:tcPr>
          <w:p w14:paraId="4829B6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8774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5673E2D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86</w:t>
            </w:r>
          </w:p>
        </w:tc>
        <w:tc>
          <w:tcPr>
            <w:tcW w:w="981" w:type="dxa"/>
            <w:shd w:val="clear" w:color="auto" w:fill="FFFFFF"/>
            <w:vAlign w:val="center"/>
          </w:tcPr>
          <w:p w14:paraId="53174EF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16E1CD5A">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4C7438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内存存储阵列替换</w:t>
            </w:r>
          </w:p>
        </w:tc>
        <w:tc>
          <w:tcPr>
            <w:tcW w:w="4077" w:type="dxa"/>
            <w:shd w:val="clear" w:color="auto" w:fill="FFFFFF"/>
            <w:vAlign w:val="center"/>
          </w:tcPr>
          <w:p w14:paraId="3025359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在硬件支持的情况下，支持故障内存存储阵列替换</w:t>
            </w:r>
          </w:p>
        </w:tc>
        <w:tc>
          <w:tcPr>
            <w:tcW w:w="1497" w:type="dxa"/>
            <w:shd w:val="clear" w:color="auto" w:fill="FFFFFF"/>
            <w:vAlign w:val="center"/>
          </w:tcPr>
          <w:p w14:paraId="0694BDB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43D8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250526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87</w:t>
            </w:r>
          </w:p>
        </w:tc>
        <w:tc>
          <w:tcPr>
            <w:tcW w:w="981" w:type="dxa"/>
            <w:shd w:val="clear" w:color="auto" w:fill="FFFFFF"/>
            <w:vAlign w:val="center"/>
          </w:tcPr>
          <w:p w14:paraId="32BD5E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1A4425BD">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073931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安全启动</w:t>
            </w:r>
          </w:p>
        </w:tc>
        <w:tc>
          <w:tcPr>
            <w:tcW w:w="4077" w:type="dxa"/>
            <w:shd w:val="clear" w:color="auto" w:fill="FFFFFF"/>
            <w:vAlign w:val="center"/>
          </w:tcPr>
          <w:p w14:paraId="509CB4D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支持执行环境要求在整个系统启动的过程中，系统应提供一个机制来保护平台的完整性</w:t>
            </w:r>
          </w:p>
        </w:tc>
        <w:tc>
          <w:tcPr>
            <w:tcW w:w="1497" w:type="dxa"/>
            <w:shd w:val="clear" w:color="auto" w:fill="FFFFFF"/>
            <w:vAlign w:val="center"/>
          </w:tcPr>
          <w:p w14:paraId="5CD161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71D6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2D69DB7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88</w:t>
            </w:r>
          </w:p>
        </w:tc>
        <w:tc>
          <w:tcPr>
            <w:tcW w:w="981" w:type="dxa"/>
            <w:shd w:val="clear" w:color="auto" w:fill="FFFFFF"/>
            <w:vAlign w:val="center"/>
          </w:tcPr>
          <w:p w14:paraId="50475D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restart"/>
            <w:shd w:val="clear" w:color="auto" w:fill="FFFFFF"/>
            <w:vAlign w:val="center"/>
          </w:tcPr>
          <w:p w14:paraId="202CD46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系统安全要求</w:t>
            </w:r>
          </w:p>
        </w:tc>
        <w:tc>
          <w:tcPr>
            <w:tcW w:w="1206" w:type="dxa"/>
            <w:shd w:val="clear" w:color="auto" w:fill="FFFFFF"/>
            <w:vAlign w:val="center"/>
          </w:tcPr>
          <w:p w14:paraId="5A645A9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syslog双向鉴别</w:t>
            </w:r>
          </w:p>
        </w:tc>
        <w:tc>
          <w:tcPr>
            <w:tcW w:w="4077" w:type="dxa"/>
            <w:shd w:val="clear" w:color="auto" w:fill="FFFFFF"/>
            <w:vAlign w:val="center"/>
          </w:tcPr>
          <w:p w14:paraId="6B4EF57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支持系统日志双向鉴别，对服务器根证书和客户端根证书进行鉴别</w:t>
            </w:r>
          </w:p>
        </w:tc>
        <w:tc>
          <w:tcPr>
            <w:tcW w:w="1497" w:type="dxa"/>
            <w:shd w:val="clear" w:color="auto" w:fill="FFFFFF"/>
            <w:vAlign w:val="center"/>
          </w:tcPr>
          <w:p w14:paraId="6F11D22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20E0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45E558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89</w:t>
            </w:r>
          </w:p>
        </w:tc>
        <w:tc>
          <w:tcPr>
            <w:tcW w:w="981" w:type="dxa"/>
            <w:shd w:val="clear" w:color="auto" w:fill="FFFFFF"/>
            <w:vAlign w:val="center"/>
          </w:tcPr>
          <w:p w14:paraId="22573E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3421D10E">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FBA9CB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★弱口令字典检查</w:t>
            </w:r>
          </w:p>
        </w:tc>
        <w:tc>
          <w:tcPr>
            <w:tcW w:w="4077" w:type="dxa"/>
            <w:shd w:val="clear" w:color="auto" w:fill="FFFFFF"/>
            <w:vAlign w:val="center"/>
          </w:tcPr>
          <w:p w14:paraId="0845785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支持弱口令字典检查功能，出现在弱口令字典中的字符串不能被设置为用户口令</w:t>
            </w:r>
          </w:p>
        </w:tc>
        <w:tc>
          <w:tcPr>
            <w:tcW w:w="1497" w:type="dxa"/>
            <w:shd w:val="clear" w:color="auto" w:fill="FFFFFF"/>
            <w:vAlign w:val="center"/>
          </w:tcPr>
          <w:p w14:paraId="797FE24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452A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26F51F9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90</w:t>
            </w:r>
          </w:p>
        </w:tc>
        <w:tc>
          <w:tcPr>
            <w:tcW w:w="981" w:type="dxa"/>
            <w:shd w:val="clear" w:color="auto" w:fill="FFFFFF"/>
            <w:vAlign w:val="center"/>
          </w:tcPr>
          <w:p w14:paraId="2842CD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6D7D35C1">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E85136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★白名单访问控制</w:t>
            </w:r>
          </w:p>
        </w:tc>
        <w:tc>
          <w:tcPr>
            <w:tcW w:w="4077" w:type="dxa"/>
            <w:shd w:val="clear" w:color="auto" w:fill="FFFFFF"/>
            <w:vAlign w:val="center"/>
          </w:tcPr>
          <w:p w14:paraId="0F2A008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支持基于时间、IP或MAC白名单访问控制</w:t>
            </w:r>
          </w:p>
        </w:tc>
        <w:tc>
          <w:tcPr>
            <w:tcW w:w="1497" w:type="dxa"/>
            <w:shd w:val="clear" w:color="auto" w:fill="FFFFFF"/>
            <w:vAlign w:val="center"/>
          </w:tcPr>
          <w:p w14:paraId="1F684B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90AF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4D7BE7E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91</w:t>
            </w:r>
          </w:p>
        </w:tc>
        <w:tc>
          <w:tcPr>
            <w:tcW w:w="981" w:type="dxa"/>
            <w:shd w:val="clear" w:color="auto" w:fill="FFFFFF"/>
            <w:vAlign w:val="center"/>
          </w:tcPr>
          <w:p w14:paraId="1D6138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27BDF5FC">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B64BE6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双因素鉴别</w:t>
            </w:r>
          </w:p>
        </w:tc>
        <w:tc>
          <w:tcPr>
            <w:tcW w:w="4077" w:type="dxa"/>
            <w:shd w:val="clear" w:color="auto" w:fill="FFFFFF"/>
            <w:vAlign w:val="center"/>
          </w:tcPr>
          <w:p w14:paraId="686EC37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支持使用客户端证书和证书密码的双因素鉴别方式登录管理系统</w:t>
            </w:r>
          </w:p>
        </w:tc>
        <w:tc>
          <w:tcPr>
            <w:tcW w:w="1497" w:type="dxa"/>
            <w:shd w:val="clear" w:color="auto" w:fill="FFFFFF"/>
            <w:vAlign w:val="center"/>
          </w:tcPr>
          <w:p w14:paraId="7028555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8E1F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1574371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92</w:t>
            </w:r>
          </w:p>
        </w:tc>
        <w:tc>
          <w:tcPr>
            <w:tcW w:w="981" w:type="dxa"/>
            <w:shd w:val="clear" w:color="auto" w:fill="FFFFFF"/>
            <w:vAlign w:val="center"/>
          </w:tcPr>
          <w:p w14:paraId="7AC9A1B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201A6EEA">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3C399B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★二次鉴别</w:t>
            </w:r>
          </w:p>
        </w:tc>
        <w:tc>
          <w:tcPr>
            <w:tcW w:w="4077" w:type="dxa"/>
            <w:shd w:val="clear" w:color="auto" w:fill="FFFFFF"/>
            <w:vAlign w:val="center"/>
          </w:tcPr>
          <w:p w14:paraId="44D740B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支持二次鉴别功能。对于用户配置、权限配置、公钥导入等重要的管理操作，已登录用户应通过二次鉴别后，才能执行操作</w:t>
            </w:r>
          </w:p>
        </w:tc>
        <w:tc>
          <w:tcPr>
            <w:tcW w:w="1497" w:type="dxa"/>
            <w:shd w:val="clear" w:color="auto" w:fill="FFFFFF"/>
            <w:vAlign w:val="center"/>
          </w:tcPr>
          <w:p w14:paraId="356907A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EEDC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4C69EB9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93</w:t>
            </w:r>
          </w:p>
        </w:tc>
        <w:tc>
          <w:tcPr>
            <w:tcW w:w="981" w:type="dxa"/>
            <w:shd w:val="clear" w:color="auto" w:fill="FFFFFF"/>
            <w:vAlign w:val="center"/>
          </w:tcPr>
          <w:p w14:paraId="5444597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69C32416">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71AF00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匿名化用户告警接收邮箱</w:t>
            </w:r>
          </w:p>
        </w:tc>
        <w:tc>
          <w:tcPr>
            <w:tcW w:w="4077" w:type="dxa"/>
            <w:shd w:val="clear" w:color="auto" w:fill="FFFFFF"/>
            <w:vAlign w:val="center"/>
          </w:tcPr>
          <w:p w14:paraId="752E8D7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支持带外管理系统中的用户告警接收邮箱进行匿名化处理</w:t>
            </w:r>
          </w:p>
        </w:tc>
        <w:tc>
          <w:tcPr>
            <w:tcW w:w="1497" w:type="dxa"/>
            <w:shd w:val="clear" w:color="auto" w:fill="FFFFFF"/>
            <w:vAlign w:val="center"/>
          </w:tcPr>
          <w:p w14:paraId="3C2C05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2D4A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46459D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94</w:t>
            </w:r>
          </w:p>
        </w:tc>
        <w:tc>
          <w:tcPr>
            <w:tcW w:w="981" w:type="dxa"/>
            <w:shd w:val="clear" w:color="auto" w:fill="FFFFFF"/>
            <w:vAlign w:val="center"/>
          </w:tcPr>
          <w:p w14:paraId="31C539B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6B128207">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90D558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★密码证书安全加密存储</w:t>
            </w:r>
          </w:p>
        </w:tc>
        <w:tc>
          <w:tcPr>
            <w:tcW w:w="4077" w:type="dxa"/>
            <w:shd w:val="clear" w:color="auto" w:fill="FFFFFF"/>
            <w:vAlign w:val="center"/>
          </w:tcPr>
          <w:p w14:paraId="324A960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支持对带外管理系统中的用户口令和证书等敏感信息进行加密存储，禁止使用私有的和业界已知不安全的密码算法</w:t>
            </w:r>
          </w:p>
        </w:tc>
        <w:tc>
          <w:tcPr>
            <w:tcW w:w="1497" w:type="dxa"/>
            <w:shd w:val="clear" w:color="auto" w:fill="FFFFFF"/>
            <w:vAlign w:val="center"/>
          </w:tcPr>
          <w:p w14:paraId="1958799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EB8E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12274CE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95</w:t>
            </w:r>
          </w:p>
        </w:tc>
        <w:tc>
          <w:tcPr>
            <w:tcW w:w="981" w:type="dxa"/>
            <w:shd w:val="clear" w:color="auto" w:fill="FFFFFF"/>
            <w:vAlign w:val="center"/>
          </w:tcPr>
          <w:p w14:paraId="1BDC36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637CD228">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533415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★敏感信息安全加密传输</w:t>
            </w:r>
          </w:p>
        </w:tc>
        <w:tc>
          <w:tcPr>
            <w:tcW w:w="4077" w:type="dxa"/>
            <w:shd w:val="clear" w:color="auto" w:fill="FFFFFF"/>
            <w:vAlign w:val="center"/>
          </w:tcPr>
          <w:p w14:paraId="23908BB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支持使用安全的传输加密协议（如SSH或HTTPS等）传输用户的敏感信息</w:t>
            </w:r>
          </w:p>
        </w:tc>
        <w:tc>
          <w:tcPr>
            <w:tcW w:w="1497" w:type="dxa"/>
            <w:shd w:val="clear" w:color="auto" w:fill="FFFFFF"/>
            <w:vAlign w:val="center"/>
          </w:tcPr>
          <w:p w14:paraId="6528C5A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2216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44" w:type="dxa"/>
            <w:shd w:val="clear" w:color="auto" w:fill="FFFFFF"/>
            <w:vAlign w:val="center"/>
          </w:tcPr>
          <w:p w14:paraId="117BA1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96</w:t>
            </w:r>
          </w:p>
        </w:tc>
        <w:tc>
          <w:tcPr>
            <w:tcW w:w="981" w:type="dxa"/>
            <w:shd w:val="clear" w:color="auto" w:fill="FFFFFF"/>
            <w:vAlign w:val="center"/>
          </w:tcPr>
          <w:p w14:paraId="7E2938D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restart"/>
            <w:shd w:val="clear" w:color="auto" w:fill="FFFFFF"/>
            <w:vAlign w:val="center"/>
          </w:tcPr>
          <w:p w14:paraId="404A7B2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信息安全要求</w:t>
            </w:r>
          </w:p>
        </w:tc>
        <w:tc>
          <w:tcPr>
            <w:tcW w:w="1206" w:type="dxa"/>
            <w:shd w:val="clear" w:color="auto" w:fill="FFFFFF"/>
            <w:vAlign w:val="center"/>
          </w:tcPr>
          <w:p w14:paraId="780F1AC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★研发过程安全</w:t>
            </w:r>
          </w:p>
        </w:tc>
        <w:tc>
          <w:tcPr>
            <w:tcW w:w="4077" w:type="dxa"/>
            <w:shd w:val="clear" w:color="auto" w:fill="FFFFFF"/>
            <w:vAlign w:val="center"/>
          </w:tcPr>
          <w:p w14:paraId="0439F9F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供应商承诺，生产商已建立从需求、设计、开发、测试、维护端到端的开发流程管理机制，输出和保存开发流程中每个阶段的产品需求清单、设计文档、开发文档、测试记录等材料，保证各个流程可追溯</w:t>
            </w:r>
            <w:r>
              <w:rPr>
                <w:rFonts w:hint="eastAsia"/>
                <w:b/>
                <w:bCs/>
              </w:rPr>
              <w:t>（需提供加盖投标人公章的承诺书</w:t>
            </w:r>
            <w:r>
              <w:rPr>
                <w:rFonts w:hint="eastAsia"/>
                <w:b/>
                <w:bCs/>
                <w:lang w:eastAsia="zh-CN"/>
              </w:rPr>
              <w:t>）</w:t>
            </w:r>
          </w:p>
        </w:tc>
        <w:tc>
          <w:tcPr>
            <w:tcW w:w="1497" w:type="dxa"/>
            <w:shd w:val="clear" w:color="auto" w:fill="FFFFFF"/>
            <w:vAlign w:val="center"/>
          </w:tcPr>
          <w:p w14:paraId="57ED583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62182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1A00AAE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97</w:t>
            </w:r>
          </w:p>
        </w:tc>
        <w:tc>
          <w:tcPr>
            <w:tcW w:w="981" w:type="dxa"/>
            <w:shd w:val="clear" w:color="auto" w:fill="FFFFFF"/>
            <w:vAlign w:val="center"/>
          </w:tcPr>
          <w:p w14:paraId="1E167A4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27F8392A">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4F50D74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漏洞管理</w:t>
            </w:r>
          </w:p>
        </w:tc>
        <w:tc>
          <w:tcPr>
            <w:tcW w:w="4077" w:type="dxa"/>
            <w:shd w:val="clear" w:color="auto" w:fill="FFFFFF"/>
            <w:vAlign w:val="center"/>
          </w:tcPr>
          <w:p w14:paraId="0E4DB5A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供应商承诺，生产商已建立漏洞全量视图，保证产品版本涉及到的所有漏洞（如驱动程序、BMC软件等）都可以查看</w:t>
            </w:r>
            <w:r>
              <w:rPr>
                <w:rFonts w:hint="eastAsia"/>
                <w:b/>
                <w:bCs/>
              </w:rPr>
              <w:t>（需提供加盖投标人公章的承诺书</w:t>
            </w:r>
            <w:r>
              <w:rPr>
                <w:rFonts w:hint="eastAsia"/>
                <w:b/>
                <w:bCs/>
                <w:lang w:eastAsia="zh-CN"/>
              </w:rPr>
              <w:t>）</w:t>
            </w:r>
          </w:p>
        </w:tc>
        <w:tc>
          <w:tcPr>
            <w:tcW w:w="1497" w:type="dxa"/>
            <w:shd w:val="clear" w:color="auto" w:fill="FFFFFF"/>
            <w:vAlign w:val="center"/>
          </w:tcPr>
          <w:p w14:paraId="215D0A5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0B5DE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1B6243B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98</w:t>
            </w:r>
          </w:p>
        </w:tc>
        <w:tc>
          <w:tcPr>
            <w:tcW w:w="981" w:type="dxa"/>
            <w:shd w:val="clear" w:color="auto" w:fill="FFFFFF"/>
            <w:vAlign w:val="center"/>
          </w:tcPr>
          <w:p w14:paraId="37BFC67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17EC63A4">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66A987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网络关键设备服务器要求</w:t>
            </w:r>
          </w:p>
        </w:tc>
        <w:tc>
          <w:tcPr>
            <w:tcW w:w="4077" w:type="dxa"/>
            <w:shd w:val="clear" w:color="auto" w:fill="FFFFFF"/>
            <w:vAlign w:val="center"/>
          </w:tcPr>
          <w:p w14:paraId="3C40051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作为网络关键设备的服务器应符合GB40050的相关规定</w:t>
            </w:r>
          </w:p>
        </w:tc>
        <w:tc>
          <w:tcPr>
            <w:tcW w:w="1497" w:type="dxa"/>
            <w:shd w:val="clear" w:color="auto" w:fill="FFFFFF"/>
            <w:vAlign w:val="center"/>
          </w:tcPr>
          <w:p w14:paraId="64B7484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19AA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6" w:hRule="atLeast"/>
        </w:trPr>
        <w:tc>
          <w:tcPr>
            <w:tcW w:w="744" w:type="dxa"/>
            <w:shd w:val="clear" w:color="auto" w:fill="FFFFFF"/>
            <w:vAlign w:val="center"/>
          </w:tcPr>
          <w:p w14:paraId="7B3FBC0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99</w:t>
            </w:r>
          </w:p>
        </w:tc>
        <w:tc>
          <w:tcPr>
            <w:tcW w:w="981" w:type="dxa"/>
            <w:shd w:val="clear" w:color="auto" w:fill="FFFFFF"/>
            <w:vAlign w:val="center"/>
          </w:tcPr>
          <w:p w14:paraId="162FE59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vMerge w:val="continue"/>
            <w:shd w:val="clear" w:color="auto" w:fill="FFFFFF"/>
            <w:vAlign w:val="center"/>
          </w:tcPr>
          <w:p w14:paraId="1890E805">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758A83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增强要求</w:t>
            </w:r>
          </w:p>
        </w:tc>
        <w:tc>
          <w:tcPr>
            <w:tcW w:w="4077" w:type="dxa"/>
            <w:shd w:val="clear" w:color="auto" w:fill="FFFFFF"/>
            <w:vAlign w:val="center"/>
          </w:tcPr>
          <w:p w14:paraId="7F37A6E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嵌入物理可信根，实现设备的信任链构建；b）支持可信平台控制模块（TPCM）；c）支持在固件系统（BMC、BIOS）启动前实现对固件度量的功能，支持物理可信根对BMC固件或BIOS固件进行完整性检测、更新和恢复；d）支持对CPU、网络控制器等关键处理器进行身份识别与度量的功能；e）支持基于处理器或可信计算模块度量的功能；f）所采用的可信密码模块接口应符合GM/T0012的相关规定；g）可信安全管理模块、处理器等硬件载体应通过国家相关部门的认证和许可</w:t>
            </w:r>
          </w:p>
        </w:tc>
        <w:tc>
          <w:tcPr>
            <w:tcW w:w="1497" w:type="dxa"/>
            <w:shd w:val="clear" w:color="auto" w:fill="FFFFFF"/>
            <w:vAlign w:val="center"/>
          </w:tcPr>
          <w:p w14:paraId="3B1377B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D488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44" w:type="dxa"/>
            <w:shd w:val="clear" w:color="auto" w:fill="FFFFFF"/>
            <w:vAlign w:val="center"/>
          </w:tcPr>
          <w:p w14:paraId="64A5515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100</w:t>
            </w:r>
          </w:p>
        </w:tc>
        <w:tc>
          <w:tcPr>
            <w:tcW w:w="981" w:type="dxa"/>
            <w:shd w:val="clear" w:color="auto" w:fill="FFFFFF"/>
            <w:vAlign w:val="center"/>
          </w:tcPr>
          <w:p w14:paraId="520B410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shd w:val="clear" w:color="auto" w:fill="FFFFFF"/>
            <w:vAlign w:val="center"/>
          </w:tcPr>
          <w:p w14:paraId="07352EB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物理安全</w:t>
            </w:r>
          </w:p>
        </w:tc>
        <w:tc>
          <w:tcPr>
            <w:tcW w:w="1206" w:type="dxa"/>
            <w:shd w:val="clear" w:color="auto" w:fill="FFFFFF"/>
            <w:vAlign w:val="center"/>
          </w:tcPr>
          <w:p w14:paraId="12160E1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★物理安全</w:t>
            </w:r>
          </w:p>
        </w:tc>
        <w:tc>
          <w:tcPr>
            <w:tcW w:w="4077" w:type="dxa"/>
            <w:shd w:val="clear" w:color="auto" w:fill="FFFFFF"/>
            <w:vAlign w:val="center"/>
          </w:tcPr>
          <w:p w14:paraId="1BC4037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安全要求应符合GB4943.1的规定</w:t>
            </w:r>
          </w:p>
        </w:tc>
        <w:tc>
          <w:tcPr>
            <w:tcW w:w="1497" w:type="dxa"/>
            <w:shd w:val="clear" w:color="auto" w:fill="FFFFFF"/>
            <w:vAlign w:val="center"/>
          </w:tcPr>
          <w:p w14:paraId="4F2BC50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54C9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0CC4211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101</w:t>
            </w:r>
          </w:p>
        </w:tc>
        <w:tc>
          <w:tcPr>
            <w:tcW w:w="981" w:type="dxa"/>
            <w:shd w:val="clear" w:color="auto" w:fill="FFFFFF"/>
            <w:vAlign w:val="center"/>
          </w:tcPr>
          <w:p w14:paraId="453E523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安全要求</w:t>
            </w:r>
          </w:p>
        </w:tc>
        <w:tc>
          <w:tcPr>
            <w:tcW w:w="981" w:type="dxa"/>
            <w:shd w:val="clear" w:color="auto" w:fill="FFFFFF"/>
            <w:vAlign w:val="center"/>
          </w:tcPr>
          <w:p w14:paraId="5055F79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限用物质的限量要求</w:t>
            </w:r>
          </w:p>
        </w:tc>
        <w:tc>
          <w:tcPr>
            <w:tcW w:w="1206" w:type="dxa"/>
            <w:shd w:val="clear" w:color="auto" w:fill="FFFFFF"/>
            <w:vAlign w:val="center"/>
          </w:tcPr>
          <w:p w14:paraId="4CDD7D7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★限用物质的限量要求</w:t>
            </w:r>
          </w:p>
        </w:tc>
        <w:tc>
          <w:tcPr>
            <w:tcW w:w="4077" w:type="dxa"/>
            <w:shd w:val="clear" w:color="auto" w:fill="FFFFFF"/>
            <w:vAlign w:val="center"/>
          </w:tcPr>
          <w:p w14:paraId="316368F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限用物质的限量应符合GB/T26572的要求</w:t>
            </w:r>
          </w:p>
        </w:tc>
        <w:tc>
          <w:tcPr>
            <w:tcW w:w="1497" w:type="dxa"/>
            <w:shd w:val="clear" w:color="auto" w:fill="FFFFFF"/>
            <w:vAlign w:val="center"/>
          </w:tcPr>
          <w:p w14:paraId="5917447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F5EE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44" w:type="dxa"/>
            <w:shd w:val="clear" w:color="auto" w:fill="FFFFFF"/>
            <w:vAlign w:val="center"/>
          </w:tcPr>
          <w:p w14:paraId="4CA5F72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102</w:t>
            </w:r>
          </w:p>
        </w:tc>
        <w:tc>
          <w:tcPr>
            <w:tcW w:w="981" w:type="dxa"/>
            <w:shd w:val="clear" w:color="auto" w:fill="FFFFFF"/>
            <w:vAlign w:val="center"/>
          </w:tcPr>
          <w:p w14:paraId="0E1A6E1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restart"/>
            <w:shd w:val="clear" w:color="auto" w:fill="FFFFFF"/>
            <w:vAlign w:val="center"/>
          </w:tcPr>
          <w:p w14:paraId="1220F95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CPU性能</w:t>
            </w:r>
          </w:p>
        </w:tc>
        <w:tc>
          <w:tcPr>
            <w:tcW w:w="1206" w:type="dxa"/>
            <w:shd w:val="clear" w:color="auto" w:fill="FFFFFF"/>
            <w:vAlign w:val="center"/>
          </w:tcPr>
          <w:p w14:paraId="1172841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★CPU主频</w:t>
            </w:r>
          </w:p>
        </w:tc>
        <w:tc>
          <w:tcPr>
            <w:tcW w:w="4077" w:type="dxa"/>
            <w:shd w:val="clear" w:color="auto" w:fill="FFFFFF"/>
            <w:vAlign w:val="center"/>
          </w:tcPr>
          <w:p w14:paraId="4CA1038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≥2.2GHz</w:t>
            </w:r>
          </w:p>
        </w:tc>
        <w:tc>
          <w:tcPr>
            <w:tcW w:w="1497" w:type="dxa"/>
            <w:shd w:val="clear" w:color="auto" w:fill="FFFFFF"/>
            <w:vAlign w:val="center"/>
          </w:tcPr>
          <w:p w14:paraId="4DACDC7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6B39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50E320F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103</w:t>
            </w:r>
          </w:p>
        </w:tc>
        <w:tc>
          <w:tcPr>
            <w:tcW w:w="981" w:type="dxa"/>
            <w:shd w:val="clear" w:color="auto" w:fill="FFFFFF"/>
            <w:vAlign w:val="center"/>
          </w:tcPr>
          <w:p w14:paraId="4DA235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continue"/>
            <w:shd w:val="clear" w:color="auto" w:fill="FFFFFF"/>
            <w:vAlign w:val="center"/>
          </w:tcPr>
          <w:p w14:paraId="76F4F233">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39C6DD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★单CPU核数</w:t>
            </w:r>
          </w:p>
        </w:tc>
        <w:tc>
          <w:tcPr>
            <w:tcW w:w="4077" w:type="dxa"/>
            <w:shd w:val="clear" w:color="auto" w:fill="FFFFFF"/>
            <w:vAlign w:val="center"/>
          </w:tcPr>
          <w:p w14:paraId="1C40BD9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≥24核；</w:t>
            </w:r>
            <w:r>
              <w:rPr>
                <w:rFonts w:hint="eastAsia" w:asciiTheme="minorEastAsia" w:hAnsiTheme="minorEastAsia" w:eastAsiaTheme="minorEastAsia" w:cstheme="minorEastAsia"/>
                <w:sz w:val="24"/>
              </w:rPr>
              <w:t>≥2颗</w:t>
            </w:r>
          </w:p>
        </w:tc>
        <w:tc>
          <w:tcPr>
            <w:tcW w:w="1497" w:type="dxa"/>
            <w:shd w:val="clear" w:color="auto" w:fill="FFFFFF"/>
            <w:vAlign w:val="center"/>
          </w:tcPr>
          <w:p w14:paraId="3973D25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CE64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405F08C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104</w:t>
            </w:r>
          </w:p>
        </w:tc>
        <w:tc>
          <w:tcPr>
            <w:tcW w:w="981" w:type="dxa"/>
            <w:shd w:val="clear" w:color="auto" w:fill="FFFFFF"/>
            <w:vAlign w:val="center"/>
          </w:tcPr>
          <w:p w14:paraId="3AA6D3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continue"/>
            <w:shd w:val="clear" w:color="auto" w:fill="FFFFFF"/>
            <w:vAlign w:val="center"/>
          </w:tcPr>
          <w:p w14:paraId="14211E44">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0638E6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★单CPU末级缓存容量</w:t>
            </w:r>
          </w:p>
        </w:tc>
        <w:tc>
          <w:tcPr>
            <w:tcW w:w="4077" w:type="dxa"/>
            <w:shd w:val="clear" w:color="auto" w:fill="FFFFFF"/>
            <w:vAlign w:val="center"/>
          </w:tcPr>
          <w:p w14:paraId="710AA91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≥8MB</w:t>
            </w:r>
          </w:p>
        </w:tc>
        <w:tc>
          <w:tcPr>
            <w:tcW w:w="1497" w:type="dxa"/>
            <w:shd w:val="clear" w:color="auto" w:fill="FFFFFF"/>
            <w:vAlign w:val="center"/>
          </w:tcPr>
          <w:p w14:paraId="71CC5EC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48A1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03" w:hRule="atLeast"/>
        </w:trPr>
        <w:tc>
          <w:tcPr>
            <w:tcW w:w="744" w:type="dxa"/>
            <w:shd w:val="clear" w:color="auto" w:fill="FFFFFF"/>
            <w:vAlign w:val="center"/>
          </w:tcPr>
          <w:p w14:paraId="254EFF5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105</w:t>
            </w:r>
          </w:p>
        </w:tc>
        <w:tc>
          <w:tcPr>
            <w:tcW w:w="981" w:type="dxa"/>
            <w:shd w:val="clear" w:color="auto" w:fill="FFFFFF"/>
            <w:vAlign w:val="center"/>
          </w:tcPr>
          <w:p w14:paraId="080C465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restart"/>
            <w:shd w:val="clear" w:color="auto" w:fill="FFFFFF"/>
            <w:vAlign w:val="center"/>
          </w:tcPr>
          <w:p w14:paraId="39746E3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内存性能</w:t>
            </w:r>
          </w:p>
        </w:tc>
        <w:tc>
          <w:tcPr>
            <w:tcW w:w="1206" w:type="dxa"/>
            <w:shd w:val="clear" w:color="auto" w:fill="FFFFFF"/>
            <w:vAlign w:val="center"/>
          </w:tcPr>
          <w:p w14:paraId="301182C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★单内存模块容量</w:t>
            </w:r>
          </w:p>
        </w:tc>
        <w:tc>
          <w:tcPr>
            <w:tcW w:w="4077" w:type="dxa"/>
            <w:shd w:val="clear" w:color="auto" w:fill="FFFFFF"/>
            <w:vAlign w:val="center"/>
          </w:tcPr>
          <w:p w14:paraId="5B6D473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≥32GB；</w:t>
            </w:r>
          </w:p>
        </w:tc>
        <w:tc>
          <w:tcPr>
            <w:tcW w:w="1497" w:type="dxa"/>
            <w:shd w:val="clear" w:color="auto" w:fill="FFFFFF"/>
            <w:vAlign w:val="center"/>
          </w:tcPr>
          <w:p w14:paraId="4FFDAD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A885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44" w:type="dxa"/>
            <w:shd w:val="clear" w:color="auto" w:fill="FFFFFF"/>
            <w:vAlign w:val="center"/>
          </w:tcPr>
          <w:p w14:paraId="201361F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106</w:t>
            </w:r>
          </w:p>
        </w:tc>
        <w:tc>
          <w:tcPr>
            <w:tcW w:w="981" w:type="dxa"/>
            <w:shd w:val="clear" w:color="auto" w:fill="FFFFFF"/>
            <w:vAlign w:val="center"/>
          </w:tcPr>
          <w:p w14:paraId="32CF07A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continue"/>
            <w:shd w:val="clear" w:color="auto" w:fill="FFFFFF"/>
            <w:vAlign w:val="center"/>
          </w:tcPr>
          <w:p w14:paraId="2B5C3825">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C47E89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★内存速率</w:t>
            </w:r>
          </w:p>
        </w:tc>
        <w:tc>
          <w:tcPr>
            <w:tcW w:w="4077" w:type="dxa"/>
            <w:shd w:val="clear" w:color="auto" w:fill="FFFFFF"/>
            <w:vAlign w:val="center"/>
          </w:tcPr>
          <w:p w14:paraId="08AB356B">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≥3200MT/s</w:t>
            </w:r>
          </w:p>
        </w:tc>
        <w:tc>
          <w:tcPr>
            <w:tcW w:w="1497" w:type="dxa"/>
            <w:shd w:val="clear" w:color="auto" w:fill="FFFFFF"/>
            <w:vAlign w:val="center"/>
          </w:tcPr>
          <w:p w14:paraId="1CFFEE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4BD0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44" w:type="dxa"/>
            <w:shd w:val="clear" w:color="auto" w:fill="FFFFFF"/>
            <w:vAlign w:val="center"/>
          </w:tcPr>
          <w:p w14:paraId="580435C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107</w:t>
            </w:r>
          </w:p>
        </w:tc>
        <w:tc>
          <w:tcPr>
            <w:tcW w:w="981" w:type="dxa"/>
            <w:shd w:val="clear" w:color="auto" w:fill="FFFFFF"/>
            <w:vAlign w:val="center"/>
          </w:tcPr>
          <w:p w14:paraId="4FB9B67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shd w:val="clear" w:color="auto" w:fill="FFFFFF"/>
            <w:vAlign w:val="center"/>
          </w:tcPr>
          <w:p w14:paraId="1EF5AF0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存储性能</w:t>
            </w:r>
          </w:p>
        </w:tc>
        <w:tc>
          <w:tcPr>
            <w:tcW w:w="1206" w:type="dxa"/>
            <w:shd w:val="clear" w:color="auto" w:fill="FFFFFF"/>
            <w:vAlign w:val="center"/>
          </w:tcPr>
          <w:p w14:paraId="6ADF356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硬盘转速</w:t>
            </w:r>
          </w:p>
        </w:tc>
        <w:tc>
          <w:tcPr>
            <w:tcW w:w="4077" w:type="dxa"/>
            <w:shd w:val="clear" w:color="auto" w:fill="FFFFFF"/>
            <w:vAlign w:val="center"/>
          </w:tcPr>
          <w:p w14:paraId="2D63ED3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安装的硬磁盘转速不小于7200rpm</w:t>
            </w:r>
          </w:p>
        </w:tc>
        <w:tc>
          <w:tcPr>
            <w:tcW w:w="1497" w:type="dxa"/>
            <w:shd w:val="clear" w:color="auto" w:fill="FFFFFF"/>
            <w:vAlign w:val="center"/>
          </w:tcPr>
          <w:p w14:paraId="2333A33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7B4C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0383477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108</w:t>
            </w:r>
          </w:p>
        </w:tc>
        <w:tc>
          <w:tcPr>
            <w:tcW w:w="981" w:type="dxa"/>
            <w:shd w:val="clear" w:color="auto" w:fill="FFFFFF"/>
            <w:vAlign w:val="center"/>
          </w:tcPr>
          <w:p w14:paraId="0635B96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shd w:val="clear" w:color="auto" w:fill="FFFFFF"/>
            <w:vAlign w:val="center"/>
          </w:tcPr>
          <w:p w14:paraId="37B4D16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RAID卡性能</w:t>
            </w:r>
          </w:p>
        </w:tc>
        <w:tc>
          <w:tcPr>
            <w:tcW w:w="1206" w:type="dxa"/>
            <w:shd w:val="clear" w:color="auto" w:fill="FFFFFF"/>
            <w:vAlign w:val="center"/>
          </w:tcPr>
          <w:p w14:paraId="3CF17129">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RAID卡缓存容量大小</w:t>
            </w:r>
          </w:p>
        </w:tc>
        <w:tc>
          <w:tcPr>
            <w:tcW w:w="4077" w:type="dxa"/>
            <w:shd w:val="clear" w:color="auto" w:fill="FFFFFF"/>
            <w:vAlign w:val="center"/>
          </w:tcPr>
          <w:p w14:paraId="1AD4FB25">
            <w:pPr>
              <w:widowControl/>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≥2GB</w:t>
            </w:r>
          </w:p>
        </w:tc>
        <w:tc>
          <w:tcPr>
            <w:tcW w:w="1497" w:type="dxa"/>
            <w:shd w:val="clear" w:color="auto" w:fill="FFFFFF"/>
            <w:vAlign w:val="center"/>
          </w:tcPr>
          <w:p w14:paraId="62F82B7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E2EB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351B8F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109</w:t>
            </w:r>
          </w:p>
        </w:tc>
        <w:tc>
          <w:tcPr>
            <w:tcW w:w="981" w:type="dxa"/>
            <w:shd w:val="clear" w:color="auto" w:fill="FFFFFF"/>
            <w:vAlign w:val="center"/>
          </w:tcPr>
          <w:p w14:paraId="271B8F1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shd w:val="clear" w:color="auto" w:fill="FFFFFF"/>
            <w:vAlign w:val="center"/>
          </w:tcPr>
          <w:p w14:paraId="0015968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FCHBA卡性能</w:t>
            </w:r>
          </w:p>
        </w:tc>
        <w:tc>
          <w:tcPr>
            <w:tcW w:w="1206" w:type="dxa"/>
            <w:shd w:val="clear" w:color="auto" w:fill="FFFFFF"/>
            <w:vAlign w:val="center"/>
          </w:tcPr>
          <w:p w14:paraId="4C28877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FCHBA卡速率</w:t>
            </w:r>
          </w:p>
        </w:tc>
        <w:tc>
          <w:tcPr>
            <w:tcW w:w="4077" w:type="dxa"/>
            <w:shd w:val="clear" w:color="auto" w:fill="FFFFFF"/>
            <w:vAlign w:val="center"/>
          </w:tcPr>
          <w:p w14:paraId="3436C3A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若配备FCHBA卡，单端口最大的连接速率≥8Gb/s（不涉及）</w:t>
            </w:r>
          </w:p>
        </w:tc>
        <w:tc>
          <w:tcPr>
            <w:tcW w:w="1497" w:type="dxa"/>
            <w:shd w:val="clear" w:color="auto" w:fill="FFFFFF"/>
            <w:vAlign w:val="center"/>
          </w:tcPr>
          <w:p w14:paraId="4A68E4E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263C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18AD22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110</w:t>
            </w:r>
          </w:p>
        </w:tc>
        <w:tc>
          <w:tcPr>
            <w:tcW w:w="981" w:type="dxa"/>
            <w:shd w:val="clear" w:color="auto" w:fill="FFFFFF"/>
            <w:vAlign w:val="center"/>
          </w:tcPr>
          <w:p w14:paraId="5FB60CF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restart"/>
            <w:shd w:val="clear" w:color="auto" w:fill="FFFFFF"/>
            <w:vAlign w:val="center"/>
          </w:tcPr>
          <w:p w14:paraId="61028CA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网络性能</w:t>
            </w:r>
          </w:p>
        </w:tc>
        <w:tc>
          <w:tcPr>
            <w:tcW w:w="1206" w:type="dxa"/>
            <w:shd w:val="clear" w:color="auto" w:fill="FFFFFF"/>
            <w:vAlign w:val="center"/>
          </w:tcPr>
          <w:p w14:paraId="1E3B4E9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独立网卡速率</w:t>
            </w:r>
          </w:p>
        </w:tc>
        <w:tc>
          <w:tcPr>
            <w:tcW w:w="4077" w:type="dxa"/>
            <w:shd w:val="clear" w:color="auto" w:fill="FFFFFF"/>
            <w:vAlign w:val="center"/>
          </w:tcPr>
          <w:p w14:paraId="3272C64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端口速率≥10GE</w:t>
            </w:r>
          </w:p>
        </w:tc>
        <w:tc>
          <w:tcPr>
            <w:tcW w:w="1497" w:type="dxa"/>
            <w:shd w:val="clear" w:color="auto" w:fill="FFFFFF"/>
            <w:vAlign w:val="center"/>
          </w:tcPr>
          <w:p w14:paraId="0D090CD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53E7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6429AAE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111</w:t>
            </w:r>
          </w:p>
        </w:tc>
        <w:tc>
          <w:tcPr>
            <w:tcW w:w="981" w:type="dxa"/>
            <w:shd w:val="clear" w:color="auto" w:fill="FFFFFF"/>
            <w:vAlign w:val="center"/>
          </w:tcPr>
          <w:p w14:paraId="1C9D600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vMerge w:val="continue"/>
            <w:shd w:val="clear" w:color="auto" w:fill="FFFFFF"/>
            <w:vAlign w:val="center"/>
          </w:tcPr>
          <w:p w14:paraId="6B490B6C">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1ACC7B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板载网卡速率</w:t>
            </w:r>
          </w:p>
        </w:tc>
        <w:tc>
          <w:tcPr>
            <w:tcW w:w="4077" w:type="dxa"/>
            <w:shd w:val="clear" w:color="auto" w:fill="FFFFFF"/>
            <w:vAlign w:val="center"/>
          </w:tcPr>
          <w:p w14:paraId="7407FED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端口速率≥1GE</w:t>
            </w:r>
          </w:p>
        </w:tc>
        <w:tc>
          <w:tcPr>
            <w:tcW w:w="1497" w:type="dxa"/>
            <w:shd w:val="clear" w:color="auto" w:fill="FFFFFF"/>
            <w:vAlign w:val="center"/>
          </w:tcPr>
          <w:p w14:paraId="2DC180C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4629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744" w:type="dxa"/>
            <w:shd w:val="clear" w:color="auto" w:fill="FFFFFF"/>
            <w:vAlign w:val="center"/>
          </w:tcPr>
          <w:p w14:paraId="4C3DA56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112</w:t>
            </w:r>
          </w:p>
        </w:tc>
        <w:tc>
          <w:tcPr>
            <w:tcW w:w="981" w:type="dxa"/>
            <w:shd w:val="clear" w:color="auto" w:fill="FFFFFF"/>
            <w:vAlign w:val="center"/>
          </w:tcPr>
          <w:p w14:paraId="3826B1F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性能要求</w:t>
            </w:r>
          </w:p>
        </w:tc>
        <w:tc>
          <w:tcPr>
            <w:tcW w:w="981" w:type="dxa"/>
            <w:shd w:val="clear" w:color="auto" w:fill="FFFFFF"/>
            <w:vAlign w:val="center"/>
          </w:tcPr>
          <w:p w14:paraId="6B71FCF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电源能耗</w:t>
            </w:r>
          </w:p>
        </w:tc>
        <w:tc>
          <w:tcPr>
            <w:tcW w:w="1206" w:type="dxa"/>
            <w:shd w:val="clear" w:color="auto" w:fill="FFFFFF"/>
            <w:vAlign w:val="center"/>
          </w:tcPr>
          <w:p w14:paraId="4DB9C6B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★电源能耗</w:t>
            </w:r>
          </w:p>
        </w:tc>
        <w:tc>
          <w:tcPr>
            <w:tcW w:w="4077" w:type="dxa"/>
            <w:shd w:val="clear" w:color="auto" w:fill="FFFFFF"/>
            <w:vAlign w:val="center"/>
          </w:tcPr>
          <w:p w14:paraId="6534207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符合GB/T9813.3的有关规定</w:t>
            </w:r>
          </w:p>
        </w:tc>
        <w:tc>
          <w:tcPr>
            <w:tcW w:w="1497" w:type="dxa"/>
            <w:shd w:val="clear" w:color="auto" w:fill="FFFFFF"/>
            <w:vAlign w:val="center"/>
          </w:tcPr>
          <w:p w14:paraId="4C108E1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81FC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6DB129A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113</w:t>
            </w:r>
          </w:p>
        </w:tc>
        <w:tc>
          <w:tcPr>
            <w:tcW w:w="981" w:type="dxa"/>
            <w:shd w:val="clear" w:color="auto" w:fill="FFFFFF"/>
            <w:vAlign w:val="center"/>
          </w:tcPr>
          <w:p w14:paraId="76D45C1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restart"/>
            <w:shd w:val="clear" w:color="auto" w:fill="FFFFFF"/>
            <w:vAlign w:val="center"/>
          </w:tcPr>
          <w:p w14:paraId="5E14BF5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部件兼容性要求</w:t>
            </w:r>
          </w:p>
        </w:tc>
        <w:tc>
          <w:tcPr>
            <w:tcW w:w="1206" w:type="dxa"/>
            <w:shd w:val="clear" w:color="auto" w:fill="FFFFFF"/>
            <w:noWrap/>
            <w:vAlign w:val="center"/>
          </w:tcPr>
          <w:p w14:paraId="276EE80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内存兼容性</w:t>
            </w:r>
          </w:p>
        </w:tc>
        <w:tc>
          <w:tcPr>
            <w:tcW w:w="4077" w:type="dxa"/>
            <w:shd w:val="clear" w:color="auto" w:fill="FFFFFF"/>
            <w:vAlign w:val="center"/>
          </w:tcPr>
          <w:p w14:paraId="718F027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适配3种及以上厂商的内存产品，且均不低于产品支持的内存规格</w:t>
            </w:r>
          </w:p>
        </w:tc>
        <w:tc>
          <w:tcPr>
            <w:tcW w:w="1497" w:type="dxa"/>
            <w:shd w:val="clear" w:color="auto" w:fill="FFFFFF"/>
            <w:vAlign w:val="center"/>
          </w:tcPr>
          <w:p w14:paraId="232A76A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7E9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4E09C5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114</w:t>
            </w:r>
          </w:p>
        </w:tc>
        <w:tc>
          <w:tcPr>
            <w:tcW w:w="981" w:type="dxa"/>
            <w:shd w:val="clear" w:color="auto" w:fill="FFFFFF"/>
            <w:vAlign w:val="center"/>
          </w:tcPr>
          <w:p w14:paraId="4453BB7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15C334FB">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AAFB6C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★固态存储兼容性</w:t>
            </w:r>
          </w:p>
        </w:tc>
        <w:tc>
          <w:tcPr>
            <w:tcW w:w="4077" w:type="dxa"/>
            <w:shd w:val="clear" w:color="auto" w:fill="FFFFFF"/>
            <w:vAlign w:val="center"/>
          </w:tcPr>
          <w:p w14:paraId="5586BE3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适配3种或以上厂商的固态存储产品，且均不低于产品支持的固态存储设备规格</w:t>
            </w:r>
          </w:p>
        </w:tc>
        <w:tc>
          <w:tcPr>
            <w:tcW w:w="1497" w:type="dxa"/>
            <w:shd w:val="clear" w:color="auto" w:fill="FFFFFF"/>
            <w:vAlign w:val="center"/>
          </w:tcPr>
          <w:p w14:paraId="74ADEA1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16EC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066803E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115</w:t>
            </w:r>
          </w:p>
        </w:tc>
        <w:tc>
          <w:tcPr>
            <w:tcW w:w="981" w:type="dxa"/>
            <w:shd w:val="clear" w:color="auto" w:fill="FFFFFF"/>
            <w:vAlign w:val="center"/>
          </w:tcPr>
          <w:p w14:paraId="64C7F4C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584986FD">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FEC889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FCHBA卡兼容性</w:t>
            </w:r>
          </w:p>
        </w:tc>
        <w:tc>
          <w:tcPr>
            <w:tcW w:w="4077" w:type="dxa"/>
            <w:shd w:val="clear" w:color="auto" w:fill="FFFFFF"/>
            <w:vAlign w:val="center"/>
          </w:tcPr>
          <w:p w14:paraId="615EC72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FCHBA应适配两种或以上厂商产品</w:t>
            </w:r>
          </w:p>
        </w:tc>
        <w:tc>
          <w:tcPr>
            <w:tcW w:w="1497" w:type="dxa"/>
            <w:shd w:val="clear" w:color="auto" w:fill="FFFFFF"/>
            <w:vAlign w:val="center"/>
          </w:tcPr>
          <w:p w14:paraId="04E166F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6CD7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7AE74B5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116</w:t>
            </w:r>
          </w:p>
        </w:tc>
        <w:tc>
          <w:tcPr>
            <w:tcW w:w="981" w:type="dxa"/>
            <w:shd w:val="clear" w:color="auto" w:fill="FFFFFF"/>
            <w:vAlign w:val="center"/>
          </w:tcPr>
          <w:p w14:paraId="7B2DA04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16CFC779">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42D900C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RAID卡兼容性</w:t>
            </w:r>
          </w:p>
        </w:tc>
        <w:tc>
          <w:tcPr>
            <w:tcW w:w="4077" w:type="dxa"/>
            <w:shd w:val="clear" w:color="auto" w:fill="FFFFFF"/>
            <w:vAlign w:val="center"/>
          </w:tcPr>
          <w:p w14:paraId="11E23E0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RAID卡应适配两种或以上厂商产品</w:t>
            </w:r>
          </w:p>
        </w:tc>
        <w:tc>
          <w:tcPr>
            <w:tcW w:w="1497" w:type="dxa"/>
            <w:shd w:val="clear" w:color="auto" w:fill="FFFFFF"/>
            <w:vAlign w:val="center"/>
          </w:tcPr>
          <w:p w14:paraId="2ADE777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3CE1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635526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117</w:t>
            </w:r>
          </w:p>
        </w:tc>
        <w:tc>
          <w:tcPr>
            <w:tcW w:w="981" w:type="dxa"/>
            <w:shd w:val="clear" w:color="auto" w:fill="FFFFFF"/>
            <w:vAlign w:val="center"/>
          </w:tcPr>
          <w:p w14:paraId="6C6946C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restart"/>
            <w:shd w:val="clear" w:color="auto" w:fill="FFFFFF"/>
            <w:vAlign w:val="center"/>
          </w:tcPr>
          <w:p w14:paraId="51CED49D">
            <w:pPr>
              <w:widowControl/>
              <w:jc w:val="center"/>
              <w:rPr>
                <w:rFonts w:asciiTheme="minorEastAsia" w:hAnsiTheme="minorEastAsia" w:eastAsiaTheme="minorEastAsia" w:cstheme="minorEastAsia"/>
                <w:kern w:val="0"/>
                <w:sz w:val="24"/>
              </w:rPr>
            </w:pPr>
          </w:p>
        </w:tc>
        <w:tc>
          <w:tcPr>
            <w:tcW w:w="1206" w:type="dxa"/>
            <w:shd w:val="clear" w:color="auto" w:fill="FFFFFF"/>
            <w:vAlign w:val="center"/>
          </w:tcPr>
          <w:p w14:paraId="21159D7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★网卡兼容性</w:t>
            </w:r>
          </w:p>
        </w:tc>
        <w:tc>
          <w:tcPr>
            <w:tcW w:w="4077" w:type="dxa"/>
            <w:shd w:val="clear" w:color="auto" w:fill="FFFFFF"/>
            <w:vAlign w:val="center"/>
          </w:tcPr>
          <w:p w14:paraId="25599D6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网卡应适配两种或以上厂商产品</w:t>
            </w:r>
          </w:p>
        </w:tc>
        <w:tc>
          <w:tcPr>
            <w:tcW w:w="1497" w:type="dxa"/>
            <w:shd w:val="clear" w:color="auto" w:fill="FFFFFF"/>
            <w:vAlign w:val="center"/>
          </w:tcPr>
          <w:p w14:paraId="071605E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E613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24C5CEE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118</w:t>
            </w:r>
          </w:p>
        </w:tc>
        <w:tc>
          <w:tcPr>
            <w:tcW w:w="981" w:type="dxa"/>
            <w:shd w:val="clear" w:color="auto" w:fill="FFFFFF"/>
            <w:vAlign w:val="center"/>
          </w:tcPr>
          <w:p w14:paraId="016B47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5951BA75">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550EFF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★功能卡兼容性</w:t>
            </w:r>
          </w:p>
        </w:tc>
        <w:tc>
          <w:tcPr>
            <w:tcW w:w="4077" w:type="dxa"/>
            <w:shd w:val="clear" w:color="auto" w:fill="FFFFFF"/>
            <w:vAlign w:val="center"/>
          </w:tcPr>
          <w:p w14:paraId="2E8A338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内置或适配符合PCIe的功能卡，如：网络功能卡、存储功能卡及图形显示功能卡</w:t>
            </w:r>
          </w:p>
        </w:tc>
        <w:tc>
          <w:tcPr>
            <w:tcW w:w="1497" w:type="dxa"/>
            <w:shd w:val="clear" w:color="auto" w:fill="FFFFFF"/>
            <w:vAlign w:val="center"/>
          </w:tcPr>
          <w:p w14:paraId="632D8BA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7399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44" w:type="dxa"/>
            <w:shd w:val="clear" w:color="auto" w:fill="FFFFFF"/>
            <w:vAlign w:val="center"/>
          </w:tcPr>
          <w:p w14:paraId="1C9875C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119</w:t>
            </w:r>
          </w:p>
        </w:tc>
        <w:tc>
          <w:tcPr>
            <w:tcW w:w="981" w:type="dxa"/>
            <w:shd w:val="clear" w:color="auto" w:fill="FFFFFF"/>
            <w:vAlign w:val="center"/>
          </w:tcPr>
          <w:p w14:paraId="27DDCEA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shd w:val="clear" w:color="auto" w:fill="FFFFFF"/>
            <w:vAlign w:val="center"/>
          </w:tcPr>
          <w:p w14:paraId="74D749D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外设兼容性</w:t>
            </w:r>
          </w:p>
        </w:tc>
        <w:tc>
          <w:tcPr>
            <w:tcW w:w="1206" w:type="dxa"/>
            <w:shd w:val="clear" w:color="auto" w:fill="FFFFFF"/>
            <w:vAlign w:val="center"/>
          </w:tcPr>
          <w:p w14:paraId="09CC367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★外设兼容性</w:t>
            </w:r>
          </w:p>
        </w:tc>
        <w:tc>
          <w:tcPr>
            <w:tcW w:w="4077" w:type="dxa"/>
            <w:shd w:val="clear" w:color="auto" w:fill="FFFFFF"/>
            <w:vAlign w:val="center"/>
          </w:tcPr>
          <w:p w14:paraId="3942646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兼容多种主流生产商的外部设备，包括显示器、键盘、鼠标、闪存盘、移动硬盘、USB光驱及KVM等，要求使用不同厂商的外部设备时，系统均能正常识别和安装驱动</w:t>
            </w:r>
          </w:p>
        </w:tc>
        <w:tc>
          <w:tcPr>
            <w:tcW w:w="1497" w:type="dxa"/>
            <w:shd w:val="clear" w:color="auto" w:fill="FFFFFF"/>
            <w:vAlign w:val="center"/>
          </w:tcPr>
          <w:p w14:paraId="7EBC3F4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4954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3991908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120</w:t>
            </w:r>
          </w:p>
        </w:tc>
        <w:tc>
          <w:tcPr>
            <w:tcW w:w="981" w:type="dxa"/>
            <w:shd w:val="clear" w:color="auto" w:fill="FFFFFF"/>
            <w:vAlign w:val="center"/>
          </w:tcPr>
          <w:p w14:paraId="7C07085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restart"/>
            <w:shd w:val="clear" w:color="auto" w:fill="FFFFFF"/>
            <w:vAlign w:val="center"/>
          </w:tcPr>
          <w:p w14:paraId="233761E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软件兼容性</w:t>
            </w:r>
          </w:p>
        </w:tc>
        <w:tc>
          <w:tcPr>
            <w:tcW w:w="1206" w:type="dxa"/>
            <w:shd w:val="clear" w:color="auto" w:fill="FFFFFF"/>
            <w:vAlign w:val="center"/>
          </w:tcPr>
          <w:p w14:paraId="649B55E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★数据库兼容</w:t>
            </w:r>
          </w:p>
        </w:tc>
        <w:tc>
          <w:tcPr>
            <w:tcW w:w="4077" w:type="dxa"/>
            <w:shd w:val="clear" w:color="auto" w:fill="FFFFFF"/>
            <w:vAlign w:val="center"/>
          </w:tcPr>
          <w:p w14:paraId="54C8B67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兼容3个及以上厂商的数据库产品</w:t>
            </w:r>
          </w:p>
        </w:tc>
        <w:tc>
          <w:tcPr>
            <w:tcW w:w="1497" w:type="dxa"/>
            <w:shd w:val="clear" w:color="auto" w:fill="FFFFFF"/>
            <w:vAlign w:val="center"/>
          </w:tcPr>
          <w:p w14:paraId="33E6A9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7456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509DED3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121</w:t>
            </w:r>
          </w:p>
        </w:tc>
        <w:tc>
          <w:tcPr>
            <w:tcW w:w="981" w:type="dxa"/>
            <w:shd w:val="clear" w:color="auto" w:fill="FFFFFF"/>
            <w:vAlign w:val="center"/>
          </w:tcPr>
          <w:p w14:paraId="1C5AC36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676003AF">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FB708B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★中间件兼容</w:t>
            </w:r>
          </w:p>
        </w:tc>
        <w:tc>
          <w:tcPr>
            <w:tcW w:w="4077" w:type="dxa"/>
            <w:shd w:val="clear" w:color="auto" w:fill="FFFFFF"/>
            <w:vAlign w:val="center"/>
          </w:tcPr>
          <w:p w14:paraId="3A442F8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兼容3个及以上厂商的中间件产品</w:t>
            </w:r>
          </w:p>
        </w:tc>
        <w:tc>
          <w:tcPr>
            <w:tcW w:w="1497" w:type="dxa"/>
            <w:shd w:val="clear" w:color="auto" w:fill="FFFFFF"/>
            <w:vAlign w:val="center"/>
          </w:tcPr>
          <w:p w14:paraId="4E86C4E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CBAE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7802E7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122</w:t>
            </w:r>
          </w:p>
        </w:tc>
        <w:tc>
          <w:tcPr>
            <w:tcW w:w="981" w:type="dxa"/>
            <w:shd w:val="clear" w:color="auto" w:fill="FFFFFF"/>
            <w:vAlign w:val="center"/>
          </w:tcPr>
          <w:p w14:paraId="1B8E46F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206F2C6E">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72BB0E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★平台软件兼容</w:t>
            </w:r>
          </w:p>
        </w:tc>
        <w:tc>
          <w:tcPr>
            <w:tcW w:w="4077" w:type="dxa"/>
            <w:shd w:val="clear" w:color="auto" w:fill="FFFFFF"/>
            <w:vAlign w:val="center"/>
          </w:tcPr>
          <w:p w14:paraId="33AF4D9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兼容3个及以上厂商的大数据平台</w:t>
            </w:r>
          </w:p>
        </w:tc>
        <w:tc>
          <w:tcPr>
            <w:tcW w:w="1497" w:type="dxa"/>
            <w:shd w:val="clear" w:color="auto" w:fill="FFFFFF"/>
            <w:vAlign w:val="center"/>
          </w:tcPr>
          <w:p w14:paraId="4AFAB1F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DC2C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2" w:hRule="atLeast"/>
        </w:trPr>
        <w:tc>
          <w:tcPr>
            <w:tcW w:w="744" w:type="dxa"/>
            <w:shd w:val="clear" w:color="auto" w:fill="FFFFFF"/>
            <w:vAlign w:val="center"/>
          </w:tcPr>
          <w:p w14:paraId="7167928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123</w:t>
            </w:r>
          </w:p>
        </w:tc>
        <w:tc>
          <w:tcPr>
            <w:tcW w:w="981" w:type="dxa"/>
            <w:shd w:val="clear" w:color="auto" w:fill="FFFFFF"/>
            <w:vAlign w:val="center"/>
          </w:tcPr>
          <w:p w14:paraId="79BD8DA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兼容要求</w:t>
            </w:r>
          </w:p>
        </w:tc>
        <w:tc>
          <w:tcPr>
            <w:tcW w:w="981" w:type="dxa"/>
            <w:vMerge w:val="continue"/>
            <w:shd w:val="clear" w:color="auto" w:fill="FFFFFF"/>
            <w:vAlign w:val="center"/>
          </w:tcPr>
          <w:p w14:paraId="10ABB0B3">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43E8B88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虚拟化软件兼容</w:t>
            </w:r>
          </w:p>
        </w:tc>
        <w:tc>
          <w:tcPr>
            <w:tcW w:w="4077" w:type="dxa"/>
            <w:shd w:val="clear" w:color="auto" w:fill="FFFFFF"/>
            <w:vAlign w:val="center"/>
          </w:tcPr>
          <w:p w14:paraId="2B0050B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兼容2款及以上虚拟化软件</w:t>
            </w:r>
          </w:p>
        </w:tc>
        <w:tc>
          <w:tcPr>
            <w:tcW w:w="1497" w:type="dxa"/>
            <w:shd w:val="clear" w:color="auto" w:fill="FFFFFF"/>
            <w:vAlign w:val="center"/>
          </w:tcPr>
          <w:p w14:paraId="1F1FA36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765FA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38F7588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124</w:t>
            </w:r>
          </w:p>
        </w:tc>
        <w:tc>
          <w:tcPr>
            <w:tcW w:w="981" w:type="dxa"/>
            <w:shd w:val="clear" w:color="auto" w:fill="FFFFFF"/>
            <w:vAlign w:val="center"/>
          </w:tcPr>
          <w:p w14:paraId="6B3DCBA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81" w:type="dxa"/>
            <w:shd w:val="clear" w:color="auto" w:fill="FFFFFF"/>
            <w:vAlign w:val="center"/>
          </w:tcPr>
          <w:p w14:paraId="084ADE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存储可靠性要求</w:t>
            </w:r>
          </w:p>
        </w:tc>
        <w:tc>
          <w:tcPr>
            <w:tcW w:w="1206" w:type="dxa"/>
            <w:shd w:val="clear" w:color="auto" w:fill="FFFFFF"/>
            <w:vAlign w:val="center"/>
          </w:tcPr>
          <w:p w14:paraId="2679F3A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SATASSD可靠性</w:t>
            </w:r>
          </w:p>
        </w:tc>
        <w:tc>
          <w:tcPr>
            <w:tcW w:w="4077" w:type="dxa"/>
            <w:shd w:val="clear" w:color="auto" w:fill="FFFFFF"/>
            <w:vAlign w:val="center"/>
          </w:tcPr>
          <w:p w14:paraId="3AD9015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SSD的m1值（MTBF的不可接受值）不低于200000h</w:t>
            </w:r>
          </w:p>
        </w:tc>
        <w:tc>
          <w:tcPr>
            <w:tcW w:w="1497" w:type="dxa"/>
            <w:shd w:val="clear" w:color="auto" w:fill="FFFFFF"/>
            <w:vAlign w:val="center"/>
          </w:tcPr>
          <w:p w14:paraId="5E79AC6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7A26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20643CC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125</w:t>
            </w:r>
          </w:p>
        </w:tc>
        <w:tc>
          <w:tcPr>
            <w:tcW w:w="981" w:type="dxa"/>
            <w:shd w:val="clear" w:color="auto" w:fill="FFFFFF"/>
            <w:vAlign w:val="center"/>
          </w:tcPr>
          <w:p w14:paraId="42430FC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81" w:type="dxa"/>
            <w:vMerge w:val="restart"/>
            <w:shd w:val="clear" w:color="auto" w:fill="FFFFFF"/>
            <w:vAlign w:val="center"/>
          </w:tcPr>
          <w:p w14:paraId="1EFE98E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整机可靠性要求</w:t>
            </w:r>
          </w:p>
        </w:tc>
        <w:tc>
          <w:tcPr>
            <w:tcW w:w="1206" w:type="dxa"/>
            <w:shd w:val="clear" w:color="auto" w:fill="FFFFFF"/>
            <w:vAlign w:val="center"/>
          </w:tcPr>
          <w:p w14:paraId="48CCCE6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★整机可靠性</w:t>
            </w:r>
          </w:p>
        </w:tc>
        <w:tc>
          <w:tcPr>
            <w:tcW w:w="4077" w:type="dxa"/>
            <w:shd w:val="clear" w:color="auto" w:fill="FFFFFF"/>
            <w:vAlign w:val="center"/>
          </w:tcPr>
          <w:p w14:paraId="02AE57F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m1值（MTBF的不可接受值）不得低于30000h</w:t>
            </w:r>
          </w:p>
        </w:tc>
        <w:tc>
          <w:tcPr>
            <w:tcW w:w="1497" w:type="dxa"/>
            <w:shd w:val="clear" w:color="auto" w:fill="FFFFFF"/>
            <w:vAlign w:val="center"/>
          </w:tcPr>
          <w:p w14:paraId="6910331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E35A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3679DA1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126</w:t>
            </w:r>
          </w:p>
        </w:tc>
        <w:tc>
          <w:tcPr>
            <w:tcW w:w="981" w:type="dxa"/>
            <w:shd w:val="clear" w:color="auto" w:fill="FFFFFF"/>
            <w:vAlign w:val="center"/>
          </w:tcPr>
          <w:p w14:paraId="1027F2E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81" w:type="dxa"/>
            <w:vMerge w:val="continue"/>
            <w:shd w:val="clear" w:color="auto" w:fill="FFFFFF"/>
            <w:vAlign w:val="center"/>
          </w:tcPr>
          <w:p w14:paraId="1E720E05">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753238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★风扇可靠性</w:t>
            </w:r>
          </w:p>
        </w:tc>
        <w:tc>
          <w:tcPr>
            <w:tcW w:w="4077" w:type="dxa"/>
            <w:shd w:val="clear" w:color="auto" w:fill="FFFFFF"/>
            <w:vAlign w:val="center"/>
          </w:tcPr>
          <w:p w14:paraId="67D75C6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风扇寿命应不低于40000h</w:t>
            </w:r>
          </w:p>
        </w:tc>
        <w:tc>
          <w:tcPr>
            <w:tcW w:w="1497" w:type="dxa"/>
            <w:shd w:val="clear" w:color="auto" w:fill="FFFFFF"/>
            <w:vAlign w:val="center"/>
          </w:tcPr>
          <w:p w14:paraId="4D8C792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EC76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45F78C3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127</w:t>
            </w:r>
          </w:p>
        </w:tc>
        <w:tc>
          <w:tcPr>
            <w:tcW w:w="981" w:type="dxa"/>
            <w:shd w:val="clear" w:color="auto" w:fill="FFFFFF"/>
            <w:vAlign w:val="center"/>
          </w:tcPr>
          <w:p w14:paraId="00C6687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可靠性要求</w:t>
            </w:r>
          </w:p>
        </w:tc>
        <w:tc>
          <w:tcPr>
            <w:tcW w:w="981" w:type="dxa"/>
            <w:vMerge w:val="continue"/>
            <w:shd w:val="clear" w:color="auto" w:fill="FFFFFF"/>
            <w:vAlign w:val="center"/>
          </w:tcPr>
          <w:p w14:paraId="226E201C">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C44399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★部件可靠性</w:t>
            </w:r>
          </w:p>
        </w:tc>
        <w:tc>
          <w:tcPr>
            <w:tcW w:w="4077" w:type="dxa"/>
            <w:shd w:val="clear" w:color="auto" w:fill="FFFFFF"/>
            <w:vAlign w:val="center"/>
          </w:tcPr>
          <w:p w14:paraId="4BE00BFD">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支持硬盘、电源、风扇热插拔（内置风扇除外）</w:t>
            </w:r>
          </w:p>
        </w:tc>
        <w:tc>
          <w:tcPr>
            <w:tcW w:w="1497" w:type="dxa"/>
            <w:shd w:val="clear" w:color="auto" w:fill="FFFFFF"/>
            <w:vAlign w:val="center"/>
          </w:tcPr>
          <w:p w14:paraId="410E6FB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049B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0DC08FF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128</w:t>
            </w:r>
          </w:p>
        </w:tc>
        <w:tc>
          <w:tcPr>
            <w:tcW w:w="981" w:type="dxa"/>
            <w:shd w:val="clear" w:color="auto" w:fill="FFFFFF"/>
            <w:vAlign w:val="center"/>
          </w:tcPr>
          <w:p w14:paraId="15E1CF4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包装及运输要求</w:t>
            </w:r>
          </w:p>
        </w:tc>
        <w:tc>
          <w:tcPr>
            <w:tcW w:w="981" w:type="dxa"/>
            <w:shd w:val="clear" w:color="auto" w:fill="FFFFFF"/>
            <w:vAlign w:val="center"/>
          </w:tcPr>
          <w:p w14:paraId="548AFB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包装及运输要求</w:t>
            </w:r>
          </w:p>
        </w:tc>
        <w:tc>
          <w:tcPr>
            <w:tcW w:w="1206" w:type="dxa"/>
            <w:shd w:val="clear" w:color="auto" w:fill="FFFFFF"/>
            <w:vAlign w:val="center"/>
          </w:tcPr>
          <w:p w14:paraId="19D3ED2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★标志、包装、运输和贮存</w:t>
            </w:r>
          </w:p>
        </w:tc>
        <w:tc>
          <w:tcPr>
            <w:tcW w:w="4077" w:type="dxa"/>
            <w:shd w:val="clear" w:color="auto" w:fill="FFFFFF"/>
            <w:vAlign w:val="center"/>
          </w:tcPr>
          <w:p w14:paraId="1C3D1E0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符合GB/T9813.3和商品包装政府采购需求标准的相关规定</w:t>
            </w:r>
          </w:p>
        </w:tc>
        <w:tc>
          <w:tcPr>
            <w:tcW w:w="1497" w:type="dxa"/>
            <w:shd w:val="clear" w:color="auto" w:fill="FFFFFF"/>
            <w:vAlign w:val="center"/>
          </w:tcPr>
          <w:p w14:paraId="3A21EF8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3E6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512" w:hRule="atLeast"/>
        </w:trPr>
        <w:tc>
          <w:tcPr>
            <w:tcW w:w="744" w:type="dxa"/>
            <w:shd w:val="clear" w:color="auto" w:fill="FFFFFF"/>
            <w:vAlign w:val="center"/>
          </w:tcPr>
          <w:p w14:paraId="28CE7DA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129</w:t>
            </w:r>
          </w:p>
        </w:tc>
        <w:tc>
          <w:tcPr>
            <w:tcW w:w="981" w:type="dxa"/>
            <w:shd w:val="clear" w:color="auto" w:fill="FFFFFF"/>
            <w:vAlign w:val="center"/>
          </w:tcPr>
          <w:p w14:paraId="10E06C2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restart"/>
            <w:shd w:val="clear" w:color="auto" w:fill="FFFFFF"/>
            <w:vAlign w:val="center"/>
          </w:tcPr>
          <w:p w14:paraId="656D1A3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服务响应</w:t>
            </w:r>
          </w:p>
        </w:tc>
        <w:tc>
          <w:tcPr>
            <w:tcW w:w="1206" w:type="dxa"/>
            <w:shd w:val="clear" w:color="auto" w:fill="FFFFFF"/>
            <w:vAlign w:val="center"/>
          </w:tcPr>
          <w:p w14:paraId="0E3E3C5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★服务响应</w:t>
            </w:r>
          </w:p>
        </w:tc>
        <w:tc>
          <w:tcPr>
            <w:tcW w:w="4077" w:type="dxa"/>
            <w:shd w:val="clear" w:color="auto" w:fill="FFFFFF"/>
            <w:vAlign w:val="center"/>
          </w:tcPr>
          <w:p w14:paraId="5444FBF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提供电话、电子邮件、远程连接等多种形式服务；b）提供同城4h、异地12h技术响应服务，2个工作日解决问题，对于未能解决的问题和故障应提供可行的升级方案，并提供周转设备；c）建立全国技术服务体系和服务团体，符合专业服务体系标准要求，提供原厂中文服务；d）服务周期内提供产品的维修、换件和升级服务</w:t>
            </w:r>
          </w:p>
        </w:tc>
        <w:tc>
          <w:tcPr>
            <w:tcW w:w="1497" w:type="dxa"/>
            <w:shd w:val="clear" w:color="auto" w:fill="FFFFFF"/>
            <w:vAlign w:val="center"/>
          </w:tcPr>
          <w:p w14:paraId="3311B97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B9A4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3CBBABA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130</w:t>
            </w:r>
          </w:p>
        </w:tc>
        <w:tc>
          <w:tcPr>
            <w:tcW w:w="981" w:type="dxa"/>
            <w:shd w:val="clear" w:color="auto" w:fill="FFFFFF"/>
            <w:vAlign w:val="center"/>
          </w:tcPr>
          <w:p w14:paraId="00F6961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7F3C0343">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D1638E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★培训服务</w:t>
            </w:r>
          </w:p>
        </w:tc>
        <w:tc>
          <w:tcPr>
            <w:tcW w:w="4077" w:type="dxa"/>
            <w:shd w:val="clear" w:color="auto" w:fill="FFFFFF"/>
            <w:vAlign w:val="center"/>
          </w:tcPr>
          <w:p w14:paraId="4B19435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供应商提供培训材料、产品手册、培训视频等培训相关内容</w:t>
            </w:r>
          </w:p>
        </w:tc>
        <w:tc>
          <w:tcPr>
            <w:tcW w:w="1497" w:type="dxa"/>
            <w:shd w:val="clear" w:color="auto" w:fill="FFFFFF"/>
            <w:vAlign w:val="center"/>
          </w:tcPr>
          <w:p w14:paraId="0655BCB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A118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296" w:hRule="atLeast"/>
        </w:trPr>
        <w:tc>
          <w:tcPr>
            <w:tcW w:w="744" w:type="dxa"/>
            <w:shd w:val="clear" w:color="auto" w:fill="FFFFFF"/>
            <w:vAlign w:val="center"/>
          </w:tcPr>
          <w:p w14:paraId="580B9C3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131</w:t>
            </w:r>
          </w:p>
        </w:tc>
        <w:tc>
          <w:tcPr>
            <w:tcW w:w="981" w:type="dxa"/>
            <w:shd w:val="clear" w:color="auto" w:fill="FFFFFF"/>
            <w:vAlign w:val="center"/>
          </w:tcPr>
          <w:p w14:paraId="0A2C7A8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shd w:val="clear" w:color="auto" w:fill="FFFFFF"/>
            <w:vAlign w:val="center"/>
          </w:tcPr>
          <w:p w14:paraId="2A1B539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服务周期</w:t>
            </w:r>
          </w:p>
        </w:tc>
        <w:tc>
          <w:tcPr>
            <w:tcW w:w="1206" w:type="dxa"/>
            <w:shd w:val="clear" w:color="auto" w:fill="FFFFFF"/>
            <w:vAlign w:val="center"/>
          </w:tcPr>
          <w:p w14:paraId="4B358FD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★服务周期</w:t>
            </w:r>
          </w:p>
        </w:tc>
        <w:tc>
          <w:tcPr>
            <w:tcW w:w="4077" w:type="dxa"/>
            <w:shd w:val="clear" w:color="auto" w:fill="FFFFFF"/>
            <w:vAlign w:val="center"/>
          </w:tcPr>
          <w:p w14:paraId="01C6E2A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产品免费服务周期（含换件和维修）应不小于6年；b）设备停产后继续提供质量保障服务（含备品备件），服务终止时间与最后一批设备交付时间间隔不低于6年；c）产品停止服务时间应提前1年告知客户；d）产品发布日期需在技术文件或者技术白皮书中明确</w:t>
            </w:r>
          </w:p>
        </w:tc>
        <w:tc>
          <w:tcPr>
            <w:tcW w:w="1497" w:type="dxa"/>
            <w:shd w:val="clear" w:color="auto" w:fill="FFFFFF"/>
            <w:vAlign w:val="center"/>
          </w:tcPr>
          <w:p w14:paraId="3FA69F7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76FD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44" w:type="dxa"/>
            <w:shd w:val="clear" w:color="auto" w:fill="FFFFFF"/>
            <w:vAlign w:val="center"/>
          </w:tcPr>
          <w:p w14:paraId="42A0A43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132</w:t>
            </w:r>
          </w:p>
        </w:tc>
        <w:tc>
          <w:tcPr>
            <w:tcW w:w="981" w:type="dxa"/>
            <w:shd w:val="clear" w:color="auto" w:fill="FFFFFF"/>
            <w:vAlign w:val="center"/>
          </w:tcPr>
          <w:p w14:paraId="36BA1C78">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restart"/>
            <w:shd w:val="clear" w:color="auto" w:fill="FFFFFF"/>
            <w:vAlign w:val="center"/>
          </w:tcPr>
          <w:p w14:paraId="6EF680B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服务工具要求</w:t>
            </w:r>
          </w:p>
        </w:tc>
        <w:tc>
          <w:tcPr>
            <w:tcW w:w="1206" w:type="dxa"/>
            <w:shd w:val="clear" w:color="auto" w:fill="FFFFFF"/>
            <w:vAlign w:val="center"/>
          </w:tcPr>
          <w:p w14:paraId="2BF8FC4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★工具要求</w:t>
            </w:r>
          </w:p>
        </w:tc>
        <w:tc>
          <w:tcPr>
            <w:tcW w:w="4077" w:type="dxa"/>
            <w:shd w:val="clear" w:color="auto" w:fill="FFFFFF"/>
            <w:vAlign w:val="center"/>
          </w:tcPr>
          <w:p w14:paraId="12BCADE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供应商提供设置服务器硬件、辅助操作系统安装等功能的辅助工具和管理软件。且随附软件应具有合法授权或版权</w:t>
            </w:r>
          </w:p>
        </w:tc>
        <w:tc>
          <w:tcPr>
            <w:tcW w:w="1497" w:type="dxa"/>
            <w:shd w:val="clear" w:color="auto" w:fill="FFFFFF"/>
            <w:vAlign w:val="center"/>
          </w:tcPr>
          <w:p w14:paraId="6AFDA0E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8DDB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44" w:type="dxa"/>
            <w:shd w:val="clear" w:color="auto" w:fill="FFFFFF"/>
            <w:vAlign w:val="center"/>
          </w:tcPr>
          <w:p w14:paraId="4E2133A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133</w:t>
            </w:r>
          </w:p>
        </w:tc>
        <w:tc>
          <w:tcPr>
            <w:tcW w:w="981" w:type="dxa"/>
            <w:shd w:val="clear" w:color="auto" w:fill="FFFFFF"/>
            <w:vAlign w:val="center"/>
          </w:tcPr>
          <w:p w14:paraId="3175156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238B6592">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2A92F59">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辅助工具</w:t>
            </w:r>
          </w:p>
        </w:tc>
        <w:tc>
          <w:tcPr>
            <w:tcW w:w="4077" w:type="dxa"/>
            <w:shd w:val="clear" w:color="auto" w:fill="FFFFFF"/>
            <w:vAlign w:val="center"/>
          </w:tcPr>
          <w:p w14:paraId="0754262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支持如下功能a）本地的数据备份和还原功能；b）网络的数据备份和还原功能；c）通用服务器操作系统的自动安装功能；d）服务器所配硬件需要的驱动程序和系统补丁</w:t>
            </w:r>
          </w:p>
        </w:tc>
        <w:tc>
          <w:tcPr>
            <w:tcW w:w="1497" w:type="dxa"/>
            <w:shd w:val="clear" w:color="auto" w:fill="FFFFFF"/>
            <w:vAlign w:val="center"/>
          </w:tcPr>
          <w:p w14:paraId="77FD2EF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22E1C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44" w:type="dxa"/>
            <w:shd w:val="clear" w:color="auto" w:fill="FFFFFF"/>
            <w:vAlign w:val="center"/>
          </w:tcPr>
          <w:p w14:paraId="6F8B00D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134</w:t>
            </w:r>
          </w:p>
        </w:tc>
        <w:tc>
          <w:tcPr>
            <w:tcW w:w="981" w:type="dxa"/>
            <w:shd w:val="clear" w:color="auto" w:fill="FFFFFF"/>
            <w:vAlign w:val="center"/>
          </w:tcPr>
          <w:p w14:paraId="7B407F2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2A0AD485">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3F7CC5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★驱动安装升级指引</w:t>
            </w:r>
          </w:p>
        </w:tc>
        <w:tc>
          <w:tcPr>
            <w:tcW w:w="4077" w:type="dxa"/>
            <w:shd w:val="clear" w:color="auto" w:fill="FFFFFF"/>
            <w:vAlign w:val="center"/>
          </w:tcPr>
          <w:p w14:paraId="3DA6809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供应商提供出厂安装的配件所需的驱动程序，形式包括但不限于驱动光盘、驱动下载链接等。其他配件应提供指引</w:t>
            </w:r>
          </w:p>
        </w:tc>
        <w:tc>
          <w:tcPr>
            <w:tcW w:w="1497" w:type="dxa"/>
            <w:shd w:val="clear" w:color="auto" w:fill="FFFFFF"/>
            <w:vAlign w:val="center"/>
          </w:tcPr>
          <w:p w14:paraId="3CE0792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5A87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251DA65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135</w:t>
            </w:r>
          </w:p>
        </w:tc>
        <w:tc>
          <w:tcPr>
            <w:tcW w:w="981" w:type="dxa"/>
            <w:shd w:val="clear" w:color="auto" w:fill="FFFFFF"/>
            <w:vAlign w:val="center"/>
          </w:tcPr>
          <w:p w14:paraId="068ADF8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65159B73">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2193AC3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随机附开盖工具</w:t>
            </w:r>
          </w:p>
        </w:tc>
        <w:tc>
          <w:tcPr>
            <w:tcW w:w="4077" w:type="dxa"/>
            <w:shd w:val="clear" w:color="auto" w:fill="FFFFFF"/>
            <w:vAlign w:val="center"/>
          </w:tcPr>
          <w:p w14:paraId="5164F81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随服务器打包提供开机箱工具</w:t>
            </w:r>
          </w:p>
        </w:tc>
        <w:tc>
          <w:tcPr>
            <w:tcW w:w="1497" w:type="dxa"/>
            <w:shd w:val="clear" w:color="auto" w:fill="FFFFFF"/>
            <w:vAlign w:val="center"/>
          </w:tcPr>
          <w:p w14:paraId="6E7F075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1A56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744" w:type="dxa"/>
            <w:shd w:val="clear" w:color="auto" w:fill="FFFFFF"/>
            <w:vAlign w:val="center"/>
          </w:tcPr>
          <w:p w14:paraId="74548E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136</w:t>
            </w:r>
          </w:p>
        </w:tc>
        <w:tc>
          <w:tcPr>
            <w:tcW w:w="981" w:type="dxa"/>
            <w:shd w:val="clear" w:color="auto" w:fill="FFFFFF"/>
            <w:vAlign w:val="center"/>
          </w:tcPr>
          <w:p w14:paraId="6D6524A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1E68B964">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1EDC694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代码迁移工具</w:t>
            </w:r>
          </w:p>
        </w:tc>
        <w:tc>
          <w:tcPr>
            <w:tcW w:w="4077" w:type="dxa"/>
            <w:shd w:val="clear" w:color="auto" w:fill="FFFFFF"/>
            <w:vAlign w:val="center"/>
          </w:tcPr>
          <w:p w14:paraId="137A4DB0">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从其他CPU架构到当前服务器CPU架构的软件迁移工具产品，支持软件包迁移评估，对满足产品重构要求的软件包，能重构为当前服务器CPU架构的软件包。提供源码迁移功能，检查分析C/C++/Fortran/Go/解释型语言/汇编等源码文件，基于产品功能给出迁移指导</w:t>
            </w:r>
          </w:p>
        </w:tc>
        <w:tc>
          <w:tcPr>
            <w:tcW w:w="1497" w:type="dxa"/>
            <w:shd w:val="clear" w:color="auto" w:fill="FFFFFF"/>
            <w:vAlign w:val="center"/>
          </w:tcPr>
          <w:p w14:paraId="01218DC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0040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44" w:type="dxa"/>
            <w:shd w:val="clear" w:color="auto" w:fill="FFFFFF"/>
            <w:vAlign w:val="center"/>
          </w:tcPr>
          <w:p w14:paraId="14347DD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137</w:t>
            </w:r>
          </w:p>
        </w:tc>
        <w:tc>
          <w:tcPr>
            <w:tcW w:w="981" w:type="dxa"/>
            <w:shd w:val="clear" w:color="auto" w:fill="FFFFFF"/>
            <w:vAlign w:val="center"/>
          </w:tcPr>
          <w:p w14:paraId="0F0E658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70096365">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5D3EB08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性能分析工具</w:t>
            </w:r>
          </w:p>
        </w:tc>
        <w:tc>
          <w:tcPr>
            <w:tcW w:w="4077" w:type="dxa"/>
            <w:shd w:val="clear" w:color="auto" w:fill="FFFFFF"/>
            <w:vAlign w:val="center"/>
          </w:tcPr>
          <w:p w14:paraId="7166D4EC">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供应商提供支持当前服务器CPU架构的性能分析工具产品，支持系统性能分析、Java性能分析和系统诊断，可分析系统或应用在CPU、内存、IO、网络等方面的性能，并给出优化建议</w:t>
            </w:r>
          </w:p>
        </w:tc>
        <w:tc>
          <w:tcPr>
            <w:tcW w:w="1497" w:type="dxa"/>
            <w:shd w:val="clear" w:color="auto" w:fill="FFFFFF"/>
            <w:vAlign w:val="center"/>
          </w:tcPr>
          <w:p w14:paraId="2F1AAB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D445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0C337E3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138</w:t>
            </w:r>
          </w:p>
        </w:tc>
        <w:tc>
          <w:tcPr>
            <w:tcW w:w="981" w:type="dxa"/>
            <w:shd w:val="clear" w:color="auto" w:fill="FFFFFF"/>
            <w:vAlign w:val="center"/>
          </w:tcPr>
          <w:p w14:paraId="2625569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417A4B37">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4A60925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跨架构平台应用兼容</w:t>
            </w:r>
          </w:p>
        </w:tc>
        <w:tc>
          <w:tcPr>
            <w:tcW w:w="4077" w:type="dxa"/>
            <w:shd w:val="clear" w:color="auto" w:fill="FFFFFF"/>
            <w:vAlign w:val="center"/>
          </w:tcPr>
          <w:p w14:paraId="392124A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跨CPU架构平台应用兼容工具，可兼容一种或者一种以上不同架构平台的应用</w:t>
            </w:r>
          </w:p>
        </w:tc>
        <w:tc>
          <w:tcPr>
            <w:tcW w:w="1497" w:type="dxa"/>
            <w:shd w:val="clear" w:color="auto" w:fill="FFFFFF"/>
            <w:vAlign w:val="center"/>
          </w:tcPr>
          <w:p w14:paraId="5DC8AB5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CCD0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3999288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139</w:t>
            </w:r>
          </w:p>
        </w:tc>
        <w:tc>
          <w:tcPr>
            <w:tcW w:w="981" w:type="dxa"/>
            <w:shd w:val="clear" w:color="auto" w:fill="FFFFFF"/>
            <w:vAlign w:val="center"/>
          </w:tcPr>
          <w:p w14:paraId="26C4FD1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11D3B0F5">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384BC6F">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★管理软件</w:t>
            </w:r>
          </w:p>
        </w:tc>
        <w:tc>
          <w:tcPr>
            <w:tcW w:w="4077" w:type="dxa"/>
            <w:shd w:val="clear" w:color="auto" w:fill="FFFFFF"/>
            <w:vAlign w:val="center"/>
          </w:tcPr>
          <w:p w14:paraId="1EBB3EB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具备资源管理、系统管理、性能监控、健康监控、基于网络控制、报警设置功能</w:t>
            </w:r>
          </w:p>
        </w:tc>
        <w:tc>
          <w:tcPr>
            <w:tcW w:w="1497" w:type="dxa"/>
            <w:shd w:val="clear" w:color="auto" w:fill="FFFFFF"/>
            <w:vAlign w:val="center"/>
          </w:tcPr>
          <w:p w14:paraId="673C696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1C541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44" w:type="dxa"/>
            <w:shd w:val="clear" w:color="auto" w:fill="FFFFFF"/>
            <w:vAlign w:val="center"/>
          </w:tcPr>
          <w:p w14:paraId="54343B8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140</w:t>
            </w:r>
          </w:p>
        </w:tc>
        <w:tc>
          <w:tcPr>
            <w:tcW w:w="981" w:type="dxa"/>
            <w:shd w:val="clear" w:color="auto" w:fill="FFFFFF"/>
            <w:vAlign w:val="center"/>
          </w:tcPr>
          <w:p w14:paraId="097B4706">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restart"/>
            <w:shd w:val="clear" w:color="auto" w:fill="FFFFFF"/>
            <w:vAlign w:val="center"/>
          </w:tcPr>
          <w:p w14:paraId="07F9D22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增值服务</w:t>
            </w:r>
          </w:p>
        </w:tc>
        <w:tc>
          <w:tcPr>
            <w:tcW w:w="1206" w:type="dxa"/>
            <w:shd w:val="clear" w:color="auto" w:fill="FFFFFF"/>
            <w:vAlign w:val="center"/>
          </w:tcPr>
          <w:p w14:paraId="6F6713A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★厂家升级产品软件与扩容服务</w:t>
            </w:r>
          </w:p>
        </w:tc>
        <w:tc>
          <w:tcPr>
            <w:tcW w:w="4077" w:type="dxa"/>
            <w:shd w:val="clear" w:color="auto" w:fill="FFFFFF"/>
            <w:vAlign w:val="center"/>
          </w:tcPr>
          <w:p w14:paraId="72F4D44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供应商提供原厂级的部件/软件产品升级和扩容能力</w:t>
            </w:r>
          </w:p>
        </w:tc>
        <w:tc>
          <w:tcPr>
            <w:tcW w:w="1497" w:type="dxa"/>
            <w:shd w:val="clear" w:color="auto" w:fill="FFFFFF"/>
            <w:vAlign w:val="center"/>
          </w:tcPr>
          <w:p w14:paraId="642B9CBD">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0AA67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50504685">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141</w:t>
            </w:r>
          </w:p>
        </w:tc>
        <w:tc>
          <w:tcPr>
            <w:tcW w:w="981" w:type="dxa"/>
            <w:shd w:val="clear" w:color="auto" w:fill="FFFFFF"/>
            <w:vAlign w:val="center"/>
          </w:tcPr>
          <w:p w14:paraId="6FC0B55F">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4E7D51F2">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0A91255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服务保障升级</w:t>
            </w:r>
          </w:p>
        </w:tc>
        <w:tc>
          <w:tcPr>
            <w:tcW w:w="4077" w:type="dxa"/>
            <w:shd w:val="clear" w:color="auto" w:fill="FFFFFF"/>
            <w:vAlign w:val="center"/>
          </w:tcPr>
          <w:p w14:paraId="4E171D5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供应商有偿提供远程技术支持、软件授权服务、备件更换服务、现场支撑服务</w:t>
            </w:r>
          </w:p>
        </w:tc>
        <w:tc>
          <w:tcPr>
            <w:tcW w:w="1497" w:type="dxa"/>
            <w:shd w:val="clear" w:color="auto" w:fill="FFFFFF"/>
            <w:vAlign w:val="center"/>
          </w:tcPr>
          <w:p w14:paraId="489ED83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356AC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7AA5540B">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142</w:t>
            </w:r>
          </w:p>
        </w:tc>
        <w:tc>
          <w:tcPr>
            <w:tcW w:w="981" w:type="dxa"/>
            <w:shd w:val="clear" w:color="auto" w:fill="FFFFFF"/>
            <w:vAlign w:val="center"/>
          </w:tcPr>
          <w:p w14:paraId="4DFB91E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5A702B2B">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33D22C1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★提供上门服务</w:t>
            </w:r>
          </w:p>
        </w:tc>
        <w:tc>
          <w:tcPr>
            <w:tcW w:w="4077" w:type="dxa"/>
            <w:shd w:val="clear" w:color="auto" w:fill="FFFFFF"/>
            <w:vAlign w:val="center"/>
          </w:tcPr>
          <w:p w14:paraId="0A504CA5">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供应商具备提供上门服务的能力</w:t>
            </w:r>
          </w:p>
        </w:tc>
        <w:tc>
          <w:tcPr>
            <w:tcW w:w="1497" w:type="dxa"/>
            <w:shd w:val="clear" w:color="auto" w:fill="FFFFFF"/>
            <w:vAlign w:val="center"/>
          </w:tcPr>
          <w:p w14:paraId="1043418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6B8A6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744" w:type="dxa"/>
            <w:shd w:val="clear" w:color="auto" w:fill="FFFFFF"/>
            <w:vAlign w:val="center"/>
          </w:tcPr>
          <w:p w14:paraId="4A752581">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143</w:t>
            </w:r>
          </w:p>
        </w:tc>
        <w:tc>
          <w:tcPr>
            <w:tcW w:w="981" w:type="dxa"/>
            <w:shd w:val="clear" w:color="auto" w:fill="FFFFFF"/>
            <w:vAlign w:val="center"/>
          </w:tcPr>
          <w:p w14:paraId="44FF676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服务要求</w:t>
            </w:r>
          </w:p>
        </w:tc>
        <w:tc>
          <w:tcPr>
            <w:tcW w:w="981" w:type="dxa"/>
            <w:vMerge w:val="continue"/>
            <w:shd w:val="clear" w:color="auto" w:fill="FFFFFF"/>
            <w:vAlign w:val="center"/>
          </w:tcPr>
          <w:p w14:paraId="2AAB3BD1">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6367FC92">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业务场景性能优化服务及整体架构升级服务</w:t>
            </w:r>
          </w:p>
        </w:tc>
        <w:tc>
          <w:tcPr>
            <w:tcW w:w="4077" w:type="dxa"/>
            <w:shd w:val="clear" w:color="auto" w:fill="FFFFFF"/>
            <w:vAlign w:val="center"/>
          </w:tcPr>
          <w:p w14:paraId="412DFFC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供应商提供针对特定业务场景性能优化服务及整体架构升级服务</w:t>
            </w:r>
          </w:p>
        </w:tc>
        <w:tc>
          <w:tcPr>
            <w:tcW w:w="1497" w:type="dxa"/>
            <w:shd w:val="clear" w:color="auto" w:fill="FFFFFF"/>
            <w:vAlign w:val="center"/>
          </w:tcPr>
          <w:p w14:paraId="5D458597">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44497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48" w:hRule="atLeast"/>
        </w:trPr>
        <w:tc>
          <w:tcPr>
            <w:tcW w:w="744" w:type="dxa"/>
            <w:shd w:val="clear" w:color="auto" w:fill="FFFFFF"/>
            <w:vAlign w:val="center"/>
          </w:tcPr>
          <w:p w14:paraId="613B9039">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144</w:t>
            </w:r>
          </w:p>
        </w:tc>
        <w:tc>
          <w:tcPr>
            <w:tcW w:w="981" w:type="dxa"/>
            <w:shd w:val="clear" w:color="auto" w:fill="FFFFFF"/>
            <w:vAlign w:val="center"/>
          </w:tcPr>
          <w:p w14:paraId="78B4BBE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供保要求</w:t>
            </w:r>
          </w:p>
        </w:tc>
        <w:tc>
          <w:tcPr>
            <w:tcW w:w="981" w:type="dxa"/>
            <w:vMerge w:val="restart"/>
            <w:shd w:val="clear" w:color="auto" w:fill="FFFFFF"/>
            <w:vAlign w:val="center"/>
          </w:tcPr>
          <w:p w14:paraId="0E5B096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供应链质量</w:t>
            </w:r>
          </w:p>
        </w:tc>
        <w:tc>
          <w:tcPr>
            <w:tcW w:w="1206" w:type="dxa"/>
            <w:shd w:val="clear" w:color="auto" w:fill="FFFFFF"/>
            <w:vAlign w:val="center"/>
          </w:tcPr>
          <w:p w14:paraId="09843D7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★抗干扰性</w:t>
            </w:r>
          </w:p>
        </w:tc>
        <w:tc>
          <w:tcPr>
            <w:tcW w:w="4077" w:type="dxa"/>
            <w:shd w:val="clear" w:color="auto" w:fill="FFFFFF"/>
            <w:vAlign w:val="center"/>
          </w:tcPr>
          <w:p w14:paraId="0F66FBD3">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当产品部件出现供应风险时，应通知客户并提供风险应对方案确保产品的服务保障，必要时应停止相关受影响产品的销售</w:t>
            </w:r>
          </w:p>
        </w:tc>
        <w:tc>
          <w:tcPr>
            <w:tcW w:w="1497" w:type="dxa"/>
            <w:shd w:val="clear" w:color="auto" w:fill="FFFFFF"/>
            <w:vAlign w:val="center"/>
          </w:tcPr>
          <w:p w14:paraId="7A6ECC0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否</w:t>
            </w:r>
          </w:p>
        </w:tc>
      </w:tr>
      <w:tr w14:paraId="53DBA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0B38163E">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145</w:t>
            </w:r>
          </w:p>
        </w:tc>
        <w:tc>
          <w:tcPr>
            <w:tcW w:w="981" w:type="dxa"/>
            <w:shd w:val="clear" w:color="auto" w:fill="FFFFFF"/>
            <w:vAlign w:val="center"/>
          </w:tcPr>
          <w:p w14:paraId="0C2EF8EA">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供保要求</w:t>
            </w:r>
          </w:p>
        </w:tc>
        <w:tc>
          <w:tcPr>
            <w:tcW w:w="981" w:type="dxa"/>
            <w:vMerge w:val="continue"/>
            <w:shd w:val="clear" w:color="auto" w:fill="FFFFFF"/>
            <w:vAlign w:val="center"/>
          </w:tcPr>
          <w:p w14:paraId="6FF63DBB">
            <w:pPr>
              <w:widowControl/>
              <w:jc w:val="left"/>
              <w:rPr>
                <w:rFonts w:asciiTheme="minorEastAsia" w:hAnsiTheme="minorEastAsia" w:eastAsiaTheme="minorEastAsia" w:cstheme="minorEastAsia"/>
                <w:kern w:val="0"/>
                <w:sz w:val="24"/>
              </w:rPr>
            </w:pPr>
          </w:p>
        </w:tc>
        <w:tc>
          <w:tcPr>
            <w:tcW w:w="1206" w:type="dxa"/>
            <w:shd w:val="clear" w:color="auto" w:fill="FFFFFF"/>
            <w:vAlign w:val="center"/>
          </w:tcPr>
          <w:p w14:paraId="7DB99B27">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★供应能力证明</w:t>
            </w:r>
          </w:p>
        </w:tc>
        <w:tc>
          <w:tcPr>
            <w:tcW w:w="4077" w:type="dxa"/>
            <w:shd w:val="clear" w:color="auto" w:fill="FFFFFF"/>
            <w:vAlign w:val="center"/>
          </w:tcPr>
          <w:p w14:paraId="3AE3DF4A">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b/>
                <w:bCs/>
                <w:kern w:val="0"/>
                <w:sz w:val="24"/>
              </w:rPr>
              <w:t>供应商提供供应链稳定承诺书，确保产品的部件在产品服务周期内稳定供货（需提供加盖投标人公章的承诺书，否则作无效投标处理）</w:t>
            </w:r>
          </w:p>
        </w:tc>
        <w:tc>
          <w:tcPr>
            <w:tcW w:w="1497" w:type="dxa"/>
            <w:shd w:val="clear" w:color="auto" w:fill="FFFFFF"/>
            <w:vAlign w:val="center"/>
          </w:tcPr>
          <w:p w14:paraId="28E84D1B">
            <w:pPr>
              <w:widowControl/>
              <w:jc w:val="center"/>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kern w:val="0"/>
                <w:sz w:val="24"/>
              </w:rPr>
              <w:t>是</w:t>
            </w:r>
          </w:p>
        </w:tc>
      </w:tr>
      <w:tr w14:paraId="7DB27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629921F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146</w:t>
            </w:r>
          </w:p>
        </w:tc>
        <w:tc>
          <w:tcPr>
            <w:tcW w:w="981" w:type="dxa"/>
            <w:shd w:val="clear" w:color="auto" w:fill="FFFFFF"/>
            <w:vAlign w:val="center"/>
          </w:tcPr>
          <w:p w14:paraId="1A742544">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vAlign w:val="center"/>
          </w:tcPr>
          <w:p w14:paraId="1D56AD61">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中央处理器</w:t>
            </w:r>
          </w:p>
        </w:tc>
        <w:tc>
          <w:tcPr>
            <w:tcW w:w="1206" w:type="dxa"/>
            <w:shd w:val="clear" w:color="auto" w:fill="FFFFFF"/>
            <w:vAlign w:val="center"/>
          </w:tcPr>
          <w:p w14:paraId="2B406C94">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 加解密功能</w:t>
            </w:r>
          </w:p>
        </w:tc>
        <w:tc>
          <w:tcPr>
            <w:tcW w:w="4077" w:type="dxa"/>
            <w:shd w:val="clear" w:color="auto" w:fill="FFFFFF"/>
            <w:vAlign w:val="center"/>
          </w:tcPr>
          <w:p w14:paraId="00EABF98">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投标产品所配备的CPU（中央处理器）支持TEE可信执行环境，实现虚拟机在内存读写时的自动加解密功能。</w:t>
            </w:r>
            <w:r>
              <w:rPr>
                <w:rFonts w:hint="eastAsia" w:asciiTheme="minorEastAsia" w:hAnsiTheme="minorEastAsia" w:eastAsiaTheme="minorEastAsia" w:cstheme="minorEastAsia"/>
                <w:kern w:val="0"/>
                <w:sz w:val="24"/>
                <w:lang w:val="en-US" w:eastAsia="zh-CN"/>
              </w:rPr>
              <w:t>需</w:t>
            </w:r>
            <w:r>
              <w:rPr>
                <w:rFonts w:hint="eastAsia" w:asciiTheme="minorEastAsia" w:hAnsiTheme="minorEastAsia" w:eastAsiaTheme="minorEastAsia" w:cstheme="minorEastAsia"/>
                <w:kern w:val="0"/>
                <w:sz w:val="24"/>
              </w:rPr>
              <w:t>提供投标产品所配备的CPU（中央处理器）具有上述密码技术特性的证明材料</w:t>
            </w:r>
          </w:p>
        </w:tc>
        <w:tc>
          <w:tcPr>
            <w:tcW w:w="1497" w:type="dxa"/>
            <w:shd w:val="clear" w:color="auto" w:fill="FFFFFF"/>
            <w:vAlign w:val="center"/>
          </w:tcPr>
          <w:p w14:paraId="0867A212">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r w14:paraId="1752B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44" w:type="dxa"/>
            <w:shd w:val="clear" w:color="auto" w:fill="FFFFFF"/>
            <w:vAlign w:val="center"/>
          </w:tcPr>
          <w:p w14:paraId="1DE77173">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147</w:t>
            </w:r>
          </w:p>
        </w:tc>
        <w:tc>
          <w:tcPr>
            <w:tcW w:w="981" w:type="dxa"/>
            <w:shd w:val="clear" w:color="auto" w:fill="FFFFFF"/>
            <w:vAlign w:val="center"/>
          </w:tcPr>
          <w:p w14:paraId="3F759D5C">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其它要求</w:t>
            </w:r>
          </w:p>
        </w:tc>
        <w:tc>
          <w:tcPr>
            <w:tcW w:w="981" w:type="dxa"/>
            <w:shd w:val="clear" w:color="auto" w:fill="FFFFFF"/>
            <w:vAlign w:val="center"/>
          </w:tcPr>
          <w:p w14:paraId="50F88F3E">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中央处理器</w:t>
            </w:r>
          </w:p>
        </w:tc>
        <w:tc>
          <w:tcPr>
            <w:tcW w:w="1206" w:type="dxa"/>
            <w:shd w:val="clear" w:color="auto" w:fill="FFFFFF"/>
            <w:vAlign w:val="center"/>
          </w:tcPr>
          <w:p w14:paraId="2C21B676">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#超线程技术</w:t>
            </w:r>
          </w:p>
        </w:tc>
        <w:tc>
          <w:tcPr>
            <w:tcW w:w="4077" w:type="dxa"/>
            <w:shd w:val="clear" w:color="auto" w:fill="FFFFFF"/>
            <w:vAlign w:val="center"/>
          </w:tcPr>
          <w:p w14:paraId="227BB44B">
            <w:pPr>
              <w:widowControl/>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shd w:val="clear" w:color="auto" w:fill="FFFFFF" w:themeFill="background1"/>
              </w:rPr>
              <w:t>产品所配备的CPU（中央处理器）需支持且配置超线程技术</w:t>
            </w:r>
            <w:r>
              <w:rPr>
                <w:rFonts w:hint="eastAsia" w:asciiTheme="minorEastAsia" w:hAnsiTheme="minorEastAsia" w:eastAsiaTheme="minorEastAsia" w:cstheme="minorEastAsia"/>
                <w:kern w:val="0"/>
                <w:sz w:val="24"/>
                <w:shd w:val="clear" w:color="auto" w:fill="FFFFFF" w:themeFill="background1"/>
                <w:lang w:eastAsia="zh-CN"/>
              </w:rPr>
              <w:t>，</w:t>
            </w:r>
            <w:r>
              <w:rPr>
                <w:rFonts w:hint="eastAsia" w:asciiTheme="minorEastAsia" w:hAnsiTheme="minorEastAsia" w:eastAsiaTheme="minorEastAsia" w:cstheme="minorEastAsia"/>
                <w:kern w:val="0"/>
                <w:sz w:val="24"/>
                <w:lang w:val="en-US" w:eastAsia="zh-CN"/>
              </w:rPr>
              <w:t>需</w:t>
            </w:r>
            <w:r>
              <w:rPr>
                <w:rFonts w:hint="eastAsia" w:asciiTheme="minorEastAsia" w:hAnsiTheme="minorEastAsia" w:eastAsiaTheme="minorEastAsia" w:cstheme="minorEastAsia"/>
                <w:kern w:val="0"/>
                <w:sz w:val="24"/>
              </w:rPr>
              <w:t>提供投标产品所配备的CPU（中央处理器）具有上述技术特性的证明材料</w:t>
            </w:r>
            <w:r>
              <w:rPr>
                <w:rFonts w:hint="eastAsia" w:asciiTheme="minorEastAsia" w:hAnsiTheme="minorEastAsia" w:eastAsiaTheme="minorEastAsia" w:cstheme="minorEastAsia"/>
                <w:kern w:val="0"/>
                <w:sz w:val="24"/>
                <w:shd w:val="clear" w:color="auto" w:fill="FFFFFF" w:themeFill="background1"/>
              </w:rPr>
              <w:t>；</w:t>
            </w:r>
          </w:p>
        </w:tc>
        <w:tc>
          <w:tcPr>
            <w:tcW w:w="1497" w:type="dxa"/>
            <w:shd w:val="clear" w:color="auto" w:fill="FFFFFF"/>
            <w:vAlign w:val="center"/>
          </w:tcPr>
          <w:p w14:paraId="316A8DD0">
            <w:pPr>
              <w:widowControl/>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是</w:t>
            </w:r>
          </w:p>
        </w:tc>
      </w:tr>
    </w:tbl>
    <w:p w14:paraId="6CEB933B">
      <w:pPr>
        <w:rPr>
          <w:rFonts w:asciiTheme="minorEastAsia" w:hAnsiTheme="minorEastAsia" w:eastAsiaTheme="minorEastAsia" w:cstheme="minorEastAsia"/>
          <w:sz w:val="24"/>
        </w:rPr>
      </w:pPr>
    </w:p>
    <w:p w14:paraId="38A8D6D9">
      <w:pPr>
        <w:pStyle w:val="2"/>
        <w:numPr>
          <w:ilvl w:val="0"/>
          <w:numId w:val="2"/>
        </w:numPr>
        <w:ind w:left="442" w:hanging="442"/>
        <w:jc w:val="left"/>
        <w:rPr>
          <w:rFonts w:asciiTheme="minorEastAsia" w:hAnsiTheme="minorEastAsia" w:eastAsiaTheme="minorEastAsia" w:cstheme="minorEastAsia"/>
          <w:sz w:val="24"/>
          <w:szCs w:val="24"/>
        </w:rPr>
      </w:pPr>
      <w:bookmarkStart w:id="23" w:name="_Hlk224820387"/>
      <w:r>
        <w:rPr>
          <w:rFonts w:hint="eastAsia" w:asciiTheme="minorEastAsia" w:hAnsiTheme="minorEastAsia" w:eastAsiaTheme="minorEastAsia" w:cstheme="minorEastAsia"/>
          <w:sz w:val="24"/>
          <w:szCs w:val="24"/>
        </w:rPr>
        <w:t>模块化UPS（400KVA)</w:t>
      </w:r>
    </w:p>
    <w:tbl>
      <w:tblPr>
        <w:tblStyle w:val="15"/>
        <w:tblW w:w="9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750"/>
        <w:gridCol w:w="975"/>
        <w:gridCol w:w="2190"/>
        <w:gridCol w:w="4153"/>
        <w:gridCol w:w="1509"/>
      </w:tblGrid>
      <w:tr w14:paraId="62978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79"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55238C0E">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序号</w:t>
            </w:r>
          </w:p>
        </w:tc>
        <w:tc>
          <w:tcPr>
            <w:tcW w:w="975" w:type="dxa"/>
            <w:tcBorders>
              <w:top w:val="single" w:color="auto" w:sz="4" w:space="0"/>
              <w:left w:val="single" w:color="auto" w:sz="4" w:space="0"/>
              <w:bottom w:val="single" w:color="auto" w:sz="4" w:space="0"/>
              <w:right w:val="single" w:color="auto" w:sz="4" w:space="0"/>
            </w:tcBorders>
            <w:shd w:val="clear" w:color="auto" w:fill="FFFFFF"/>
            <w:vAlign w:val="center"/>
          </w:tcPr>
          <w:p w14:paraId="0E9A8B84">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重要性</w:t>
            </w:r>
          </w:p>
        </w:tc>
        <w:tc>
          <w:tcPr>
            <w:tcW w:w="2190" w:type="dxa"/>
            <w:tcBorders>
              <w:top w:val="single" w:color="auto" w:sz="4" w:space="0"/>
              <w:left w:val="single" w:color="auto" w:sz="4" w:space="0"/>
              <w:bottom w:val="single" w:color="auto" w:sz="4" w:space="0"/>
              <w:right w:val="single" w:color="auto" w:sz="4" w:space="0"/>
            </w:tcBorders>
            <w:shd w:val="clear" w:color="auto" w:fill="FFFFFF"/>
            <w:vAlign w:val="center"/>
          </w:tcPr>
          <w:p w14:paraId="3DDBF63A">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指标项</w:t>
            </w:r>
          </w:p>
        </w:tc>
        <w:tc>
          <w:tcPr>
            <w:tcW w:w="4153" w:type="dxa"/>
            <w:tcBorders>
              <w:top w:val="single" w:color="auto" w:sz="4" w:space="0"/>
              <w:left w:val="single" w:color="auto" w:sz="4" w:space="0"/>
              <w:bottom w:val="single" w:color="auto" w:sz="4" w:space="0"/>
              <w:right w:val="single" w:color="auto" w:sz="4" w:space="0"/>
            </w:tcBorders>
            <w:shd w:val="clear" w:color="auto" w:fill="FFFFFF"/>
            <w:vAlign w:val="center"/>
          </w:tcPr>
          <w:p w14:paraId="3277861A">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指标要求</w:t>
            </w:r>
          </w:p>
        </w:tc>
        <w:tc>
          <w:tcPr>
            <w:tcW w:w="1509" w:type="dxa"/>
            <w:tcBorders>
              <w:top w:val="single" w:color="auto" w:sz="4" w:space="0"/>
              <w:left w:val="single" w:color="auto" w:sz="4" w:space="0"/>
              <w:bottom w:val="single" w:color="auto" w:sz="4" w:space="0"/>
              <w:right w:val="single" w:color="auto" w:sz="4" w:space="0"/>
            </w:tcBorders>
            <w:shd w:val="clear" w:color="auto" w:fill="FFFFFF"/>
            <w:vAlign w:val="center"/>
          </w:tcPr>
          <w:p w14:paraId="54F1E202">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是否提供证明材料</w:t>
            </w:r>
          </w:p>
        </w:tc>
      </w:tr>
      <w:tr w14:paraId="6FAEC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79"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76AEBC05">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975" w:type="dxa"/>
            <w:tcBorders>
              <w:top w:val="single" w:color="auto" w:sz="4" w:space="0"/>
              <w:left w:val="single" w:color="auto" w:sz="4" w:space="0"/>
              <w:bottom w:val="single" w:color="auto" w:sz="4" w:space="0"/>
              <w:right w:val="single" w:color="auto" w:sz="4" w:space="0"/>
            </w:tcBorders>
            <w:shd w:val="clear" w:color="auto" w:fill="FFFFFF"/>
            <w:vAlign w:val="center"/>
          </w:tcPr>
          <w:p w14:paraId="5308943A">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190" w:type="dxa"/>
            <w:tcBorders>
              <w:top w:val="single" w:color="auto" w:sz="4" w:space="0"/>
              <w:left w:val="single" w:color="auto" w:sz="4" w:space="0"/>
              <w:bottom w:val="single" w:color="auto" w:sz="4" w:space="0"/>
              <w:right w:val="single" w:color="auto" w:sz="4" w:space="0"/>
            </w:tcBorders>
            <w:shd w:val="clear" w:color="auto" w:fill="FFFFFF"/>
            <w:vAlign w:val="center"/>
          </w:tcPr>
          <w:p w14:paraId="1BC277E2">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容量要求</w:t>
            </w:r>
          </w:p>
        </w:tc>
        <w:tc>
          <w:tcPr>
            <w:tcW w:w="4153" w:type="dxa"/>
            <w:tcBorders>
              <w:top w:val="single" w:color="auto" w:sz="4" w:space="0"/>
              <w:left w:val="single" w:color="auto" w:sz="4" w:space="0"/>
              <w:bottom w:val="single" w:color="auto" w:sz="4" w:space="0"/>
              <w:right w:val="single" w:color="auto" w:sz="4" w:space="0"/>
            </w:tcBorders>
            <w:shd w:val="clear" w:color="auto" w:fill="FFFFFF"/>
            <w:vAlign w:val="center"/>
          </w:tcPr>
          <w:p w14:paraId="018B6205">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模块化UPS电源系统，单个功率模块不低于100kVA，单系统容量不低于400kVA，功率模块，旁路模块及监控模块均支持热插拔。</w:t>
            </w:r>
          </w:p>
        </w:tc>
        <w:tc>
          <w:tcPr>
            <w:tcW w:w="1509" w:type="dxa"/>
            <w:tcBorders>
              <w:top w:val="single" w:color="auto" w:sz="4" w:space="0"/>
              <w:left w:val="single" w:color="auto" w:sz="4" w:space="0"/>
              <w:bottom w:val="single" w:color="auto" w:sz="4" w:space="0"/>
              <w:right w:val="single" w:color="auto" w:sz="4" w:space="0"/>
            </w:tcBorders>
            <w:shd w:val="clear" w:color="auto" w:fill="FFFFFF"/>
            <w:vAlign w:val="center"/>
          </w:tcPr>
          <w:p w14:paraId="60AF426B">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7845A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4D0DDEA1">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w:t>
            </w:r>
          </w:p>
        </w:tc>
        <w:tc>
          <w:tcPr>
            <w:tcW w:w="975" w:type="dxa"/>
            <w:tcBorders>
              <w:top w:val="single" w:color="auto" w:sz="4" w:space="0"/>
              <w:left w:val="single" w:color="auto" w:sz="4" w:space="0"/>
              <w:bottom w:val="single" w:color="auto" w:sz="4" w:space="0"/>
              <w:right w:val="single" w:color="auto" w:sz="4" w:space="0"/>
            </w:tcBorders>
            <w:shd w:val="clear" w:color="auto" w:fill="FFFFFF"/>
            <w:vAlign w:val="center"/>
          </w:tcPr>
          <w:p w14:paraId="6E072766">
            <w:pPr>
              <w:spacing w:line="276" w:lineRule="auto"/>
              <w:jc w:val="center"/>
              <w:rPr>
                <w:rFonts w:asciiTheme="minorEastAsia" w:hAnsiTheme="minorEastAsia" w:eastAsiaTheme="minorEastAsia" w:cstheme="minorEastAsia"/>
                <w:sz w:val="24"/>
              </w:rPr>
            </w:pPr>
          </w:p>
        </w:tc>
        <w:tc>
          <w:tcPr>
            <w:tcW w:w="2190" w:type="dxa"/>
            <w:tcBorders>
              <w:top w:val="single" w:color="auto" w:sz="4" w:space="0"/>
              <w:left w:val="single" w:color="auto" w:sz="4" w:space="0"/>
              <w:bottom w:val="single" w:color="auto" w:sz="4" w:space="0"/>
              <w:right w:val="single" w:color="auto" w:sz="4" w:space="0"/>
            </w:tcBorders>
            <w:shd w:val="clear" w:color="auto" w:fill="FFFFFF"/>
            <w:vAlign w:val="center"/>
          </w:tcPr>
          <w:p w14:paraId="57D22D66">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UPS类型</w:t>
            </w:r>
          </w:p>
        </w:tc>
        <w:tc>
          <w:tcPr>
            <w:tcW w:w="4153" w:type="dxa"/>
            <w:tcBorders>
              <w:top w:val="single" w:color="auto" w:sz="4" w:space="0"/>
              <w:left w:val="single" w:color="auto" w:sz="4" w:space="0"/>
              <w:bottom w:val="single" w:color="auto" w:sz="4" w:space="0"/>
              <w:right w:val="single" w:color="auto" w:sz="4" w:space="0"/>
            </w:tcBorders>
            <w:shd w:val="clear" w:color="auto" w:fill="FFFFFF"/>
            <w:vAlign w:val="center"/>
          </w:tcPr>
          <w:p w14:paraId="2FFCE33C">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投标的UPS应为在线式双转换设备，应采用高频模块化UPS，采用IGBT 整流及三电平逆变技术型的不间断电源设备。</w:t>
            </w:r>
          </w:p>
        </w:tc>
        <w:tc>
          <w:tcPr>
            <w:tcW w:w="1509" w:type="dxa"/>
            <w:tcBorders>
              <w:top w:val="single" w:color="auto" w:sz="4" w:space="0"/>
              <w:left w:val="single" w:color="auto" w:sz="4" w:space="0"/>
              <w:bottom w:val="single" w:color="auto" w:sz="4" w:space="0"/>
              <w:right w:val="single" w:color="auto" w:sz="4" w:space="0"/>
            </w:tcBorders>
            <w:shd w:val="clear" w:color="auto" w:fill="FFFFFF"/>
            <w:vAlign w:val="center"/>
          </w:tcPr>
          <w:p w14:paraId="7B6E53C1">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3A47C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79"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2F189BF9">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w:t>
            </w:r>
          </w:p>
        </w:tc>
        <w:tc>
          <w:tcPr>
            <w:tcW w:w="975" w:type="dxa"/>
            <w:tcBorders>
              <w:top w:val="single" w:color="auto" w:sz="4" w:space="0"/>
              <w:left w:val="single" w:color="auto" w:sz="4" w:space="0"/>
              <w:bottom w:val="single" w:color="auto" w:sz="4" w:space="0"/>
              <w:right w:val="single" w:color="auto" w:sz="4" w:space="0"/>
            </w:tcBorders>
            <w:shd w:val="clear" w:color="auto" w:fill="FFFFFF"/>
            <w:vAlign w:val="center"/>
          </w:tcPr>
          <w:p w14:paraId="32A7E5EF">
            <w:pPr>
              <w:spacing w:line="276" w:lineRule="auto"/>
              <w:jc w:val="center"/>
              <w:rPr>
                <w:rFonts w:asciiTheme="minorEastAsia" w:hAnsiTheme="minorEastAsia" w:eastAsiaTheme="minorEastAsia" w:cstheme="minorEastAsia"/>
                <w:sz w:val="24"/>
              </w:rPr>
            </w:pPr>
          </w:p>
        </w:tc>
        <w:tc>
          <w:tcPr>
            <w:tcW w:w="2190" w:type="dxa"/>
            <w:tcBorders>
              <w:top w:val="single" w:color="auto" w:sz="4" w:space="0"/>
              <w:left w:val="single" w:color="auto" w:sz="4" w:space="0"/>
              <w:bottom w:val="single" w:color="auto" w:sz="4" w:space="0"/>
              <w:right w:val="single" w:color="auto" w:sz="4" w:space="0"/>
            </w:tcBorders>
            <w:shd w:val="clear" w:color="auto" w:fill="FFFFFF"/>
            <w:vAlign w:val="center"/>
          </w:tcPr>
          <w:p w14:paraId="0FBC5EE8">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基本要求</w:t>
            </w:r>
          </w:p>
        </w:tc>
        <w:tc>
          <w:tcPr>
            <w:tcW w:w="4153" w:type="dxa"/>
            <w:tcBorders>
              <w:top w:val="single" w:color="auto" w:sz="4" w:space="0"/>
              <w:left w:val="single" w:color="auto" w:sz="4" w:space="0"/>
              <w:bottom w:val="single" w:color="auto" w:sz="4" w:space="0"/>
              <w:right w:val="single" w:color="auto" w:sz="4" w:space="0"/>
            </w:tcBorders>
            <w:shd w:val="clear" w:color="auto" w:fill="FFFFFF"/>
            <w:vAlign w:val="center"/>
          </w:tcPr>
          <w:p w14:paraId="51E92B6E">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UPS标准内置主输入，旁路输入，输出及维修旁路开关，开关为负荷开关形式。</w:t>
            </w:r>
          </w:p>
        </w:tc>
        <w:tc>
          <w:tcPr>
            <w:tcW w:w="1509" w:type="dxa"/>
            <w:tcBorders>
              <w:top w:val="single" w:color="auto" w:sz="4" w:space="0"/>
              <w:left w:val="single" w:color="auto" w:sz="4" w:space="0"/>
              <w:bottom w:val="single" w:color="auto" w:sz="4" w:space="0"/>
              <w:right w:val="single" w:color="auto" w:sz="4" w:space="0"/>
            </w:tcBorders>
            <w:shd w:val="clear" w:color="auto" w:fill="FFFFFF"/>
            <w:vAlign w:val="center"/>
          </w:tcPr>
          <w:p w14:paraId="476AB756">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73490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1D06FCB5">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w:t>
            </w:r>
          </w:p>
        </w:tc>
        <w:tc>
          <w:tcPr>
            <w:tcW w:w="975" w:type="dxa"/>
            <w:tcBorders>
              <w:top w:val="single" w:color="auto" w:sz="4" w:space="0"/>
              <w:left w:val="single" w:color="auto" w:sz="4" w:space="0"/>
              <w:bottom w:val="single" w:color="auto" w:sz="4" w:space="0"/>
              <w:right w:val="single" w:color="auto" w:sz="4" w:space="0"/>
            </w:tcBorders>
            <w:shd w:val="clear" w:color="auto" w:fill="FFFFFF"/>
            <w:vAlign w:val="center"/>
          </w:tcPr>
          <w:p w14:paraId="2B562CDF">
            <w:pPr>
              <w:spacing w:line="276" w:lineRule="auto"/>
              <w:jc w:val="center"/>
              <w:rPr>
                <w:rFonts w:asciiTheme="minorEastAsia" w:hAnsiTheme="minorEastAsia" w:eastAsiaTheme="minorEastAsia" w:cstheme="minorEastAsia"/>
                <w:sz w:val="24"/>
              </w:rPr>
            </w:pPr>
          </w:p>
        </w:tc>
        <w:tc>
          <w:tcPr>
            <w:tcW w:w="2190" w:type="dxa"/>
            <w:tcBorders>
              <w:top w:val="single" w:color="auto" w:sz="4" w:space="0"/>
              <w:left w:val="single" w:color="auto" w:sz="4" w:space="0"/>
              <w:bottom w:val="single" w:color="auto" w:sz="4" w:space="0"/>
              <w:right w:val="single" w:color="auto" w:sz="4" w:space="0"/>
            </w:tcBorders>
            <w:shd w:val="clear" w:color="auto" w:fill="FFFFFF"/>
            <w:vAlign w:val="center"/>
          </w:tcPr>
          <w:p w14:paraId="45434C56">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结构防护等级要求</w:t>
            </w:r>
          </w:p>
        </w:tc>
        <w:tc>
          <w:tcPr>
            <w:tcW w:w="4153" w:type="dxa"/>
            <w:tcBorders>
              <w:top w:val="single" w:color="auto" w:sz="4" w:space="0"/>
              <w:left w:val="single" w:color="auto" w:sz="4" w:space="0"/>
              <w:bottom w:val="single" w:color="auto" w:sz="4" w:space="0"/>
              <w:right w:val="single" w:color="auto" w:sz="4" w:space="0"/>
            </w:tcBorders>
            <w:shd w:val="clear" w:color="auto" w:fill="FFFFFF"/>
            <w:vAlign w:val="center"/>
          </w:tcPr>
          <w:p w14:paraId="73ACECA7">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需满足IP20防护等级</w:t>
            </w:r>
          </w:p>
        </w:tc>
        <w:tc>
          <w:tcPr>
            <w:tcW w:w="1509" w:type="dxa"/>
            <w:tcBorders>
              <w:top w:val="single" w:color="auto" w:sz="4" w:space="0"/>
              <w:left w:val="single" w:color="auto" w:sz="4" w:space="0"/>
              <w:bottom w:val="single" w:color="auto" w:sz="4" w:space="0"/>
              <w:right w:val="single" w:color="auto" w:sz="4" w:space="0"/>
            </w:tcBorders>
            <w:shd w:val="clear" w:color="auto" w:fill="FFFFFF"/>
            <w:vAlign w:val="center"/>
          </w:tcPr>
          <w:p w14:paraId="0E00100B">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4DA61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392E3957">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w:t>
            </w:r>
          </w:p>
        </w:tc>
        <w:tc>
          <w:tcPr>
            <w:tcW w:w="975" w:type="dxa"/>
            <w:tcBorders>
              <w:top w:val="single" w:color="auto" w:sz="4" w:space="0"/>
              <w:left w:val="single" w:color="auto" w:sz="4" w:space="0"/>
              <w:bottom w:val="single" w:color="auto" w:sz="4" w:space="0"/>
              <w:right w:val="single" w:color="auto" w:sz="4" w:space="0"/>
            </w:tcBorders>
            <w:shd w:val="clear" w:color="auto" w:fill="FFFFFF"/>
            <w:vAlign w:val="center"/>
          </w:tcPr>
          <w:p w14:paraId="59609C22">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190" w:type="dxa"/>
            <w:tcBorders>
              <w:top w:val="single" w:color="auto" w:sz="4" w:space="0"/>
              <w:left w:val="single" w:color="auto" w:sz="4" w:space="0"/>
              <w:bottom w:val="single" w:color="auto" w:sz="4" w:space="0"/>
              <w:right w:val="single" w:color="auto" w:sz="4" w:space="0"/>
            </w:tcBorders>
            <w:shd w:val="clear" w:color="auto" w:fill="FFFFFF"/>
            <w:vAlign w:val="center"/>
          </w:tcPr>
          <w:p w14:paraId="142E5A3E">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输入谐波含量要求</w:t>
            </w:r>
          </w:p>
        </w:tc>
        <w:tc>
          <w:tcPr>
            <w:tcW w:w="4153" w:type="dxa"/>
            <w:tcBorders>
              <w:top w:val="single" w:color="auto" w:sz="4" w:space="0"/>
              <w:left w:val="single" w:color="auto" w:sz="4" w:space="0"/>
              <w:bottom w:val="single" w:color="auto" w:sz="4" w:space="0"/>
              <w:right w:val="single" w:color="auto" w:sz="4" w:space="0"/>
            </w:tcBorders>
            <w:shd w:val="clear" w:color="auto" w:fill="FFFFFF"/>
            <w:vAlign w:val="center"/>
          </w:tcPr>
          <w:p w14:paraId="0227D852">
            <w:pPr>
              <w:pStyle w:val="6"/>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UPS 在 100%非线性负载时的输入电流谐波成份（正常模式）应小于 3％，请投标人提供具体数据（％），并提供</w:t>
            </w:r>
            <w:r>
              <w:rPr>
                <w:rFonts w:hint="eastAsia"/>
              </w:rPr>
              <w:t>国家认可的认证（检测）机构出具的认证（检测）报告</w:t>
            </w:r>
            <w:r>
              <w:rPr>
                <w:rFonts w:hint="eastAsia" w:asciiTheme="minorEastAsia" w:hAnsiTheme="minorEastAsia" w:eastAsiaTheme="minorEastAsia" w:cstheme="minorEastAsia"/>
                <w:sz w:val="24"/>
              </w:rPr>
              <w:t>。</w:t>
            </w:r>
          </w:p>
        </w:tc>
        <w:tc>
          <w:tcPr>
            <w:tcW w:w="1509" w:type="dxa"/>
            <w:tcBorders>
              <w:top w:val="single" w:color="auto" w:sz="4" w:space="0"/>
              <w:left w:val="single" w:color="auto" w:sz="4" w:space="0"/>
              <w:bottom w:val="single" w:color="auto" w:sz="4" w:space="0"/>
              <w:right w:val="single" w:color="auto" w:sz="4" w:space="0"/>
            </w:tcBorders>
            <w:shd w:val="clear" w:color="auto" w:fill="FFFFFF"/>
            <w:vAlign w:val="center"/>
          </w:tcPr>
          <w:p w14:paraId="686355B4">
            <w:pPr>
              <w:pStyle w:val="6"/>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4F9E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5AABAE7A">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6</w:t>
            </w:r>
          </w:p>
        </w:tc>
        <w:tc>
          <w:tcPr>
            <w:tcW w:w="975" w:type="dxa"/>
            <w:tcBorders>
              <w:top w:val="single" w:color="auto" w:sz="4" w:space="0"/>
              <w:left w:val="single" w:color="auto" w:sz="4" w:space="0"/>
              <w:bottom w:val="single" w:color="auto" w:sz="4" w:space="0"/>
              <w:right w:val="single" w:color="auto" w:sz="4" w:space="0"/>
            </w:tcBorders>
            <w:shd w:val="clear" w:color="auto" w:fill="FFFFFF"/>
            <w:vAlign w:val="center"/>
          </w:tcPr>
          <w:p w14:paraId="65C7918B">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190" w:type="dxa"/>
            <w:tcBorders>
              <w:top w:val="single" w:color="auto" w:sz="4" w:space="0"/>
              <w:left w:val="single" w:color="auto" w:sz="4" w:space="0"/>
              <w:bottom w:val="single" w:color="auto" w:sz="4" w:space="0"/>
              <w:right w:val="single" w:color="auto" w:sz="4" w:space="0"/>
            </w:tcBorders>
            <w:shd w:val="clear" w:color="auto" w:fill="FFFFFF"/>
            <w:vAlign w:val="center"/>
          </w:tcPr>
          <w:p w14:paraId="0BBA4A00">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系统效率</w:t>
            </w:r>
          </w:p>
        </w:tc>
        <w:tc>
          <w:tcPr>
            <w:tcW w:w="4153" w:type="dxa"/>
            <w:tcBorders>
              <w:top w:val="single" w:color="auto" w:sz="4" w:space="0"/>
              <w:left w:val="single" w:color="auto" w:sz="4" w:space="0"/>
              <w:bottom w:val="single" w:color="auto" w:sz="4" w:space="0"/>
              <w:right w:val="single" w:color="auto" w:sz="4" w:space="0"/>
            </w:tcBorders>
            <w:shd w:val="clear" w:color="auto" w:fill="FFFFFF"/>
            <w:vAlign w:val="center"/>
          </w:tcPr>
          <w:p w14:paraId="4B9B88C4">
            <w:pPr>
              <w:pStyle w:val="6"/>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UPS效率应满足：UPS运行于在线双变换模式：10%负载时，效率不低于95.5%；20%负载时，效率不低于96.5%；30%负载时，效率不低于96.5%；50%负载时，效率不低于96.5%， 100%负载时，效率不低于96%。 投标方需提供以上负载率时UPS在线模式的效率指标，并提供</w:t>
            </w:r>
            <w:r>
              <w:rPr>
                <w:rFonts w:hint="eastAsia"/>
              </w:rPr>
              <w:t>国家认可的认证（检测）机构出具的认证（检测）报告</w:t>
            </w:r>
            <w:r>
              <w:rPr>
                <w:rFonts w:hint="eastAsia" w:asciiTheme="minorEastAsia" w:hAnsiTheme="minorEastAsia" w:eastAsiaTheme="minorEastAsia" w:cstheme="minorEastAsia"/>
                <w:sz w:val="24"/>
              </w:rPr>
              <w:t>。</w:t>
            </w:r>
          </w:p>
        </w:tc>
        <w:tc>
          <w:tcPr>
            <w:tcW w:w="1509" w:type="dxa"/>
            <w:tcBorders>
              <w:top w:val="single" w:color="auto" w:sz="4" w:space="0"/>
              <w:left w:val="single" w:color="auto" w:sz="4" w:space="0"/>
              <w:bottom w:val="single" w:color="auto" w:sz="4" w:space="0"/>
              <w:right w:val="single" w:color="auto" w:sz="4" w:space="0"/>
            </w:tcBorders>
            <w:shd w:val="clear" w:color="auto" w:fill="FFFFFF"/>
            <w:vAlign w:val="center"/>
          </w:tcPr>
          <w:p w14:paraId="38CC3862">
            <w:pPr>
              <w:pStyle w:val="6"/>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008AB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5D431730">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7</w:t>
            </w:r>
          </w:p>
        </w:tc>
        <w:tc>
          <w:tcPr>
            <w:tcW w:w="975" w:type="dxa"/>
            <w:tcBorders>
              <w:top w:val="single" w:color="auto" w:sz="4" w:space="0"/>
              <w:left w:val="single" w:color="auto" w:sz="4" w:space="0"/>
              <w:bottom w:val="single" w:color="auto" w:sz="4" w:space="0"/>
              <w:right w:val="single" w:color="auto" w:sz="4" w:space="0"/>
            </w:tcBorders>
            <w:shd w:val="clear" w:color="auto" w:fill="FFFFFF"/>
            <w:vAlign w:val="center"/>
          </w:tcPr>
          <w:p w14:paraId="6B92061F">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190" w:type="dxa"/>
            <w:tcBorders>
              <w:top w:val="single" w:color="auto" w:sz="4" w:space="0"/>
              <w:left w:val="single" w:color="auto" w:sz="4" w:space="0"/>
              <w:bottom w:val="single" w:color="auto" w:sz="4" w:space="0"/>
              <w:right w:val="single" w:color="auto" w:sz="4" w:space="0"/>
            </w:tcBorders>
            <w:shd w:val="clear" w:color="auto" w:fill="FFFFFF"/>
            <w:vAlign w:val="center"/>
          </w:tcPr>
          <w:p w14:paraId="07676C1C">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过载能力要求</w:t>
            </w:r>
          </w:p>
        </w:tc>
        <w:tc>
          <w:tcPr>
            <w:tcW w:w="4153" w:type="dxa"/>
            <w:tcBorders>
              <w:top w:val="single" w:color="auto" w:sz="4" w:space="0"/>
              <w:left w:val="single" w:color="auto" w:sz="4" w:space="0"/>
              <w:bottom w:val="single" w:color="auto" w:sz="4" w:space="0"/>
              <w:right w:val="single" w:color="auto" w:sz="4" w:space="0"/>
            </w:tcBorders>
            <w:shd w:val="clear" w:color="auto" w:fill="FFFFFF"/>
            <w:vAlign w:val="center"/>
          </w:tcPr>
          <w:p w14:paraId="0088AD80">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110%负载率：≥60min;125%负载率：≥10min；150%负载率：≥60s；提供</w:t>
            </w:r>
            <w:r>
              <w:rPr>
                <w:rFonts w:hint="eastAsia"/>
              </w:rPr>
              <w:t>国家认可的认证（检测）机构出具的认证（检测）报告。</w:t>
            </w:r>
          </w:p>
        </w:tc>
        <w:tc>
          <w:tcPr>
            <w:tcW w:w="1509" w:type="dxa"/>
            <w:tcBorders>
              <w:top w:val="single" w:color="auto" w:sz="4" w:space="0"/>
              <w:left w:val="single" w:color="auto" w:sz="4" w:space="0"/>
              <w:bottom w:val="single" w:color="auto" w:sz="4" w:space="0"/>
              <w:right w:val="single" w:color="auto" w:sz="4" w:space="0"/>
            </w:tcBorders>
            <w:shd w:val="clear" w:color="auto" w:fill="FFFFFF"/>
            <w:vAlign w:val="center"/>
          </w:tcPr>
          <w:p w14:paraId="5CC3A1CA">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21B3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79"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0C8855D5">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8</w:t>
            </w:r>
          </w:p>
        </w:tc>
        <w:tc>
          <w:tcPr>
            <w:tcW w:w="975" w:type="dxa"/>
            <w:tcBorders>
              <w:top w:val="single" w:color="auto" w:sz="4" w:space="0"/>
              <w:left w:val="single" w:color="auto" w:sz="4" w:space="0"/>
              <w:bottom w:val="single" w:color="auto" w:sz="4" w:space="0"/>
              <w:right w:val="single" w:color="auto" w:sz="4" w:space="0"/>
            </w:tcBorders>
            <w:shd w:val="clear" w:color="auto" w:fill="FFFFFF"/>
            <w:vAlign w:val="center"/>
          </w:tcPr>
          <w:p w14:paraId="15A62176">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190" w:type="dxa"/>
            <w:tcBorders>
              <w:top w:val="single" w:color="auto" w:sz="4" w:space="0"/>
              <w:left w:val="single" w:color="auto" w:sz="4" w:space="0"/>
              <w:bottom w:val="single" w:color="auto" w:sz="4" w:space="0"/>
              <w:right w:val="single" w:color="auto" w:sz="4" w:space="0"/>
            </w:tcBorders>
            <w:shd w:val="clear" w:color="auto" w:fill="FFFFFF"/>
            <w:vAlign w:val="center"/>
          </w:tcPr>
          <w:p w14:paraId="07525990">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高温带载能力要求</w:t>
            </w:r>
          </w:p>
        </w:tc>
        <w:tc>
          <w:tcPr>
            <w:tcW w:w="4153" w:type="dxa"/>
            <w:tcBorders>
              <w:top w:val="single" w:color="auto" w:sz="4" w:space="0"/>
              <w:left w:val="single" w:color="auto" w:sz="4" w:space="0"/>
              <w:bottom w:val="single" w:color="auto" w:sz="4" w:space="0"/>
              <w:right w:val="single" w:color="auto" w:sz="4" w:space="0"/>
            </w:tcBorders>
            <w:shd w:val="clear" w:color="auto" w:fill="FFFFFF"/>
            <w:vAlign w:val="center"/>
          </w:tcPr>
          <w:p w14:paraId="5786353F">
            <w:pPr>
              <w:pStyle w:val="6"/>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系统具有过温自动降额运行功能，41-45℃，可降额至0.9长期运行；46-50℃，可降额至0.8长期运行；51-55℃，可降额至0.7长期运行,并提供</w:t>
            </w:r>
            <w:r>
              <w:rPr>
                <w:rFonts w:hint="eastAsia"/>
              </w:rPr>
              <w:t>国家认可的认证（检测）机构出具的认证（检测）报告。</w:t>
            </w:r>
          </w:p>
        </w:tc>
        <w:tc>
          <w:tcPr>
            <w:tcW w:w="1509" w:type="dxa"/>
            <w:tcBorders>
              <w:top w:val="single" w:color="auto" w:sz="4" w:space="0"/>
              <w:left w:val="single" w:color="auto" w:sz="4" w:space="0"/>
              <w:bottom w:val="single" w:color="auto" w:sz="4" w:space="0"/>
              <w:right w:val="single" w:color="auto" w:sz="4" w:space="0"/>
            </w:tcBorders>
            <w:shd w:val="clear" w:color="auto" w:fill="FFFFFF"/>
            <w:vAlign w:val="center"/>
          </w:tcPr>
          <w:p w14:paraId="660D6355">
            <w:pPr>
              <w:pStyle w:val="6"/>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23A09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79EDE31B">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9</w:t>
            </w:r>
          </w:p>
        </w:tc>
        <w:tc>
          <w:tcPr>
            <w:tcW w:w="975" w:type="dxa"/>
            <w:tcBorders>
              <w:top w:val="single" w:color="auto" w:sz="4" w:space="0"/>
              <w:left w:val="single" w:color="auto" w:sz="4" w:space="0"/>
              <w:bottom w:val="single" w:color="auto" w:sz="4" w:space="0"/>
              <w:right w:val="single" w:color="auto" w:sz="4" w:space="0"/>
            </w:tcBorders>
            <w:shd w:val="clear" w:color="auto" w:fill="FFFFFF"/>
            <w:vAlign w:val="center"/>
          </w:tcPr>
          <w:p w14:paraId="2B09EDCD">
            <w:pPr>
              <w:spacing w:line="276" w:lineRule="auto"/>
              <w:jc w:val="center"/>
              <w:rPr>
                <w:rFonts w:asciiTheme="minorEastAsia" w:hAnsiTheme="minorEastAsia" w:eastAsiaTheme="minorEastAsia" w:cstheme="minorEastAsia"/>
                <w:sz w:val="24"/>
              </w:rPr>
            </w:pPr>
          </w:p>
        </w:tc>
        <w:tc>
          <w:tcPr>
            <w:tcW w:w="2190" w:type="dxa"/>
            <w:tcBorders>
              <w:top w:val="single" w:color="auto" w:sz="4" w:space="0"/>
              <w:left w:val="single" w:color="auto" w:sz="4" w:space="0"/>
              <w:bottom w:val="single" w:color="auto" w:sz="4" w:space="0"/>
              <w:right w:val="single" w:color="auto" w:sz="4" w:space="0"/>
            </w:tcBorders>
            <w:shd w:val="clear" w:color="auto" w:fill="FFFFFF"/>
            <w:vAlign w:val="center"/>
          </w:tcPr>
          <w:p w14:paraId="7E8216AC">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电容寿命预测</w:t>
            </w:r>
          </w:p>
        </w:tc>
        <w:tc>
          <w:tcPr>
            <w:tcW w:w="4153" w:type="dxa"/>
            <w:tcBorders>
              <w:top w:val="single" w:color="auto" w:sz="4" w:space="0"/>
              <w:left w:val="single" w:color="auto" w:sz="4" w:space="0"/>
              <w:bottom w:val="single" w:color="auto" w:sz="4" w:space="0"/>
              <w:right w:val="single" w:color="auto" w:sz="4" w:space="0"/>
            </w:tcBorders>
            <w:shd w:val="clear" w:color="auto" w:fill="FFFFFF"/>
            <w:vAlign w:val="center"/>
          </w:tcPr>
          <w:p w14:paraId="4656289D">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UPS系统应支持通过负载实际功率、环境温度等参数实时检测电容寿命</w:t>
            </w:r>
          </w:p>
        </w:tc>
        <w:tc>
          <w:tcPr>
            <w:tcW w:w="1509" w:type="dxa"/>
            <w:tcBorders>
              <w:top w:val="single" w:color="auto" w:sz="4" w:space="0"/>
              <w:left w:val="single" w:color="auto" w:sz="4" w:space="0"/>
              <w:bottom w:val="single" w:color="auto" w:sz="4" w:space="0"/>
              <w:right w:val="single" w:color="auto" w:sz="4" w:space="0"/>
            </w:tcBorders>
            <w:shd w:val="clear" w:color="auto" w:fill="FFFFFF"/>
            <w:vAlign w:val="center"/>
          </w:tcPr>
          <w:p w14:paraId="0C78D5C0">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0826B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79"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3DE152FC">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10</w:t>
            </w:r>
          </w:p>
        </w:tc>
        <w:tc>
          <w:tcPr>
            <w:tcW w:w="975" w:type="dxa"/>
            <w:tcBorders>
              <w:top w:val="single" w:color="auto" w:sz="4" w:space="0"/>
              <w:left w:val="single" w:color="auto" w:sz="4" w:space="0"/>
              <w:bottom w:val="single" w:color="auto" w:sz="4" w:space="0"/>
              <w:right w:val="single" w:color="auto" w:sz="4" w:space="0"/>
            </w:tcBorders>
            <w:shd w:val="clear" w:color="auto" w:fill="FFFFFF"/>
            <w:vAlign w:val="center"/>
          </w:tcPr>
          <w:p w14:paraId="4FDC7555">
            <w:pPr>
              <w:spacing w:line="276" w:lineRule="auto"/>
              <w:jc w:val="center"/>
              <w:rPr>
                <w:rFonts w:asciiTheme="minorEastAsia" w:hAnsiTheme="minorEastAsia" w:eastAsiaTheme="minorEastAsia" w:cstheme="minorEastAsia"/>
                <w:sz w:val="24"/>
              </w:rPr>
            </w:pPr>
          </w:p>
        </w:tc>
        <w:tc>
          <w:tcPr>
            <w:tcW w:w="2190" w:type="dxa"/>
            <w:tcBorders>
              <w:top w:val="single" w:color="auto" w:sz="4" w:space="0"/>
              <w:left w:val="single" w:color="auto" w:sz="4" w:space="0"/>
              <w:bottom w:val="single" w:color="auto" w:sz="4" w:space="0"/>
              <w:right w:val="single" w:color="auto" w:sz="4" w:space="0"/>
            </w:tcBorders>
            <w:shd w:val="clear" w:color="auto" w:fill="FFFFFF"/>
            <w:vAlign w:val="center"/>
          </w:tcPr>
          <w:p w14:paraId="53D9FD02">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动态在线模式</w:t>
            </w:r>
          </w:p>
        </w:tc>
        <w:tc>
          <w:tcPr>
            <w:tcW w:w="4153" w:type="dxa"/>
            <w:tcBorders>
              <w:top w:val="single" w:color="auto" w:sz="4" w:space="0"/>
              <w:left w:val="single" w:color="auto" w:sz="4" w:space="0"/>
              <w:bottom w:val="single" w:color="auto" w:sz="4" w:space="0"/>
              <w:right w:val="single" w:color="auto" w:sz="4" w:space="0"/>
            </w:tcBorders>
            <w:shd w:val="clear" w:color="auto" w:fill="FFFFFF"/>
            <w:vAlign w:val="center"/>
          </w:tcPr>
          <w:p w14:paraId="3952429C">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动态在线模式下输入功率因数100%非线性负载：≥0.99；50%非线性负载：≥0.99；30%非线性负载：≥0.99 </w:t>
            </w:r>
          </w:p>
        </w:tc>
        <w:tc>
          <w:tcPr>
            <w:tcW w:w="1509" w:type="dxa"/>
            <w:tcBorders>
              <w:top w:val="single" w:color="auto" w:sz="4" w:space="0"/>
              <w:left w:val="single" w:color="auto" w:sz="4" w:space="0"/>
              <w:bottom w:val="single" w:color="auto" w:sz="4" w:space="0"/>
              <w:right w:val="single" w:color="auto" w:sz="4" w:space="0"/>
            </w:tcBorders>
            <w:shd w:val="clear" w:color="auto" w:fill="FFFFFF"/>
            <w:vAlign w:val="center"/>
          </w:tcPr>
          <w:p w14:paraId="3E362228">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7F913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79"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7A388CAA">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11</w:t>
            </w:r>
          </w:p>
        </w:tc>
        <w:tc>
          <w:tcPr>
            <w:tcW w:w="975" w:type="dxa"/>
            <w:tcBorders>
              <w:top w:val="single" w:color="auto" w:sz="4" w:space="0"/>
              <w:left w:val="single" w:color="auto" w:sz="4" w:space="0"/>
              <w:bottom w:val="single" w:color="auto" w:sz="4" w:space="0"/>
              <w:right w:val="single" w:color="auto" w:sz="4" w:space="0"/>
            </w:tcBorders>
            <w:shd w:val="clear" w:color="auto" w:fill="FFFFFF"/>
            <w:vAlign w:val="center"/>
          </w:tcPr>
          <w:p w14:paraId="5626BB6A">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190" w:type="dxa"/>
            <w:tcBorders>
              <w:top w:val="single" w:color="auto" w:sz="4" w:space="0"/>
              <w:left w:val="single" w:color="auto" w:sz="4" w:space="0"/>
              <w:bottom w:val="single" w:color="auto" w:sz="4" w:space="0"/>
              <w:right w:val="single" w:color="auto" w:sz="4" w:space="0"/>
            </w:tcBorders>
            <w:shd w:val="clear" w:color="auto" w:fill="FFFFFF"/>
            <w:vAlign w:val="center"/>
          </w:tcPr>
          <w:p w14:paraId="0E40C7CF">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网络安全认证</w:t>
            </w:r>
          </w:p>
        </w:tc>
        <w:tc>
          <w:tcPr>
            <w:tcW w:w="4153" w:type="dxa"/>
            <w:tcBorders>
              <w:top w:val="single" w:color="auto" w:sz="4" w:space="0"/>
              <w:left w:val="single" w:color="auto" w:sz="4" w:space="0"/>
              <w:bottom w:val="single" w:color="auto" w:sz="4" w:space="0"/>
              <w:right w:val="single" w:color="auto" w:sz="4" w:space="0"/>
            </w:tcBorders>
            <w:shd w:val="clear" w:color="auto" w:fill="FFFFFF"/>
            <w:vAlign w:val="center"/>
          </w:tcPr>
          <w:p w14:paraId="296F5A4C">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为保证数据中心的安全可信，投标UPS主机需符合《网络安全审查办法》要求，提供公安部门出具的社会公共安全产品认证证书复印件，并可在国家市场监督管理总局相应平台可查询，提供官网链接及截图。</w:t>
            </w:r>
          </w:p>
        </w:tc>
        <w:tc>
          <w:tcPr>
            <w:tcW w:w="1509" w:type="dxa"/>
            <w:tcBorders>
              <w:top w:val="single" w:color="auto" w:sz="4" w:space="0"/>
              <w:left w:val="single" w:color="auto" w:sz="4" w:space="0"/>
              <w:bottom w:val="single" w:color="auto" w:sz="4" w:space="0"/>
              <w:right w:val="single" w:color="auto" w:sz="4" w:space="0"/>
            </w:tcBorders>
            <w:shd w:val="clear" w:color="auto" w:fill="FFFFFF"/>
            <w:vAlign w:val="center"/>
          </w:tcPr>
          <w:p w14:paraId="2733F69B">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0A5A5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79"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10F7F7DF">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12</w:t>
            </w:r>
          </w:p>
        </w:tc>
        <w:tc>
          <w:tcPr>
            <w:tcW w:w="975" w:type="dxa"/>
            <w:tcBorders>
              <w:top w:val="single" w:color="auto" w:sz="4" w:space="0"/>
              <w:left w:val="single" w:color="auto" w:sz="4" w:space="0"/>
              <w:bottom w:val="single" w:color="auto" w:sz="4" w:space="0"/>
              <w:right w:val="single" w:color="auto" w:sz="4" w:space="0"/>
            </w:tcBorders>
            <w:shd w:val="clear" w:color="auto" w:fill="FFFFFF"/>
            <w:vAlign w:val="center"/>
          </w:tcPr>
          <w:p w14:paraId="256266F3">
            <w:pPr>
              <w:spacing w:line="276" w:lineRule="auto"/>
              <w:jc w:val="center"/>
              <w:rPr>
                <w:rFonts w:asciiTheme="minorEastAsia" w:hAnsiTheme="minorEastAsia" w:eastAsiaTheme="minorEastAsia" w:cstheme="minorEastAsia"/>
                <w:sz w:val="24"/>
              </w:rPr>
            </w:pPr>
          </w:p>
        </w:tc>
        <w:tc>
          <w:tcPr>
            <w:tcW w:w="2190" w:type="dxa"/>
            <w:tcBorders>
              <w:top w:val="single" w:color="auto" w:sz="4" w:space="0"/>
              <w:left w:val="single" w:color="auto" w:sz="4" w:space="0"/>
              <w:bottom w:val="single" w:color="auto" w:sz="4" w:space="0"/>
              <w:right w:val="single" w:color="auto" w:sz="4" w:space="0"/>
            </w:tcBorders>
            <w:shd w:val="clear" w:color="auto" w:fill="FFFFFF"/>
            <w:vAlign w:val="center"/>
          </w:tcPr>
          <w:p w14:paraId="41ED0C72">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UPS中线</w:t>
            </w:r>
          </w:p>
        </w:tc>
        <w:tc>
          <w:tcPr>
            <w:tcW w:w="4153" w:type="dxa"/>
            <w:tcBorders>
              <w:top w:val="single" w:color="auto" w:sz="4" w:space="0"/>
              <w:left w:val="single" w:color="auto" w:sz="4" w:space="0"/>
              <w:bottom w:val="single" w:color="auto" w:sz="4" w:space="0"/>
              <w:right w:val="single" w:color="auto" w:sz="4" w:space="0"/>
            </w:tcBorders>
            <w:shd w:val="clear" w:color="auto" w:fill="FFFFFF"/>
            <w:vAlign w:val="center"/>
          </w:tcPr>
          <w:p w14:paraId="5DC62C50">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为减少电池线缆投资，电池需采用无中线设计，如电池需要中线，中线线缆投资所需由厂家自行提供解决。</w:t>
            </w:r>
          </w:p>
        </w:tc>
        <w:tc>
          <w:tcPr>
            <w:tcW w:w="1509" w:type="dxa"/>
            <w:tcBorders>
              <w:top w:val="single" w:color="auto" w:sz="4" w:space="0"/>
              <w:left w:val="single" w:color="auto" w:sz="4" w:space="0"/>
              <w:bottom w:val="single" w:color="auto" w:sz="4" w:space="0"/>
              <w:right w:val="single" w:color="auto" w:sz="4" w:space="0"/>
            </w:tcBorders>
            <w:shd w:val="clear" w:color="auto" w:fill="FFFFFF"/>
            <w:vAlign w:val="center"/>
          </w:tcPr>
          <w:p w14:paraId="32DF2459">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481C1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1082F28B">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13</w:t>
            </w:r>
          </w:p>
        </w:tc>
        <w:tc>
          <w:tcPr>
            <w:tcW w:w="975" w:type="dxa"/>
            <w:tcBorders>
              <w:top w:val="single" w:color="auto" w:sz="4" w:space="0"/>
              <w:left w:val="single" w:color="auto" w:sz="4" w:space="0"/>
              <w:bottom w:val="single" w:color="auto" w:sz="4" w:space="0"/>
              <w:right w:val="single" w:color="auto" w:sz="4" w:space="0"/>
            </w:tcBorders>
            <w:shd w:val="clear" w:color="auto" w:fill="FFFFFF"/>
            <w:vAlign w:val="center"/>
          </w:tcPr>
          <w:p w14:paraId="0255FEA0">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190" w:type="dxa"/>
            <w:tcBorders>
              <w:top w:val="single" w:color="auto" w:sz="4" w:space="0"/>
              <w:left w:val="single" w:color="auto" w:sz="4" w:space="0"/>
              <w:bottom w:val="single" w:color="auto" w:sz="4" w:space="0"/>
              <w:right w:val="single" w:color="auto" w:sz="4" w:space="0"/>
            </w:tcBorders>
            <w:shd w:val="clear" w:color="auto" w:fill="FFFFFF"/>
            <w:vAlign w:val="center"/>
          </w:tcPr>
          <w:p w14:paraId="0B88C4B0">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控制器要求</w:t>
            </w:r>
          </w:p>
        </w:tc>
        <w:tc>
          <w:tcPr>
            <w:tcW w:w="4153" w:type="dxa"/>
            <w:tcBorders>
              <w:top w:val="single" w:color="auto" w:sz="4" w:space="0"/>
              <w:left w:val="single" w:color="auto" w:sz="4" w:space="0"/>
              <w:bottom w:val="single" w:color="auto" w:sz="4" w:space="0"/>
              <w:right w:val="single" w:color="auto" w:sz="4" w:space="0"/>
            </w:tcBorders>
            <w:shd w:val="clear" w:color="auto" w:fill="FFFFFF"/>
            <w:vAlign w:val="center"/>
          </w:tcPr>
          <w:p w14:paraId="3C6DDED6">
            <w:pPr>
              <w:pStyle w:val="6"/>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UPS应采用集中控制的逻辑，集中控制单元的控制器应采用冗余架构设计，互为备份，避免单点故障；提供原理说明，并提供冗余架构设计以及控制单元热插拔的</w:t>
            </w:r>
            <w:r>
              <w:rPr>
                <w:rFonts w:hint="eastAsia"/>
              </w:rPr>
              <w:t>国家认可的认证（检测）机构出具的认证（检测）报告</w:t>
            </w:r>
            <w:r>
              <w:rPr>
                <w:rFonts w:hint="eastAsia" w:asciiTheme="minorEastAsia" w:hAnsiTheme="minorEastAsia" w:eastAsiaTheme="minorEastAsia" w:cstheme="minorEastAsia"/>
                <w:sz w:val="24"/>
              </w:rPr>
              <w:t>。</w:t>
            </w:r>
          </w:p>
        </w:tc>
        <w:tc>
          <w:tcPr>
            <w:tcW w:w="1509" w:type="dxa"/>
            <w:tcBorders>
              <w:top w:val="single" w:color="auto" w:sz="4" w:space="0"/>
              <w:left w:val="single" w:color="auto" w:sz="4" w:space="0"/>
              <w:bottom w:val="single" w:color="auto" w:sz="4" w:space="0"/>
              <w:right w:val="single" w:color="auto" w:sz="4" w:space="0"/>
            </w:tcBorders>
            <w:shd w:val="clear" w:color="auto" w:fill="FFFFFF"/>
            <w:vAlign w:val="center"/>
          </w:tcPr>
          <w:p w14:paraId="1CA2E412">
            <w:pPr>
              <w:pStyle w:val="6"/>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57FB3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398F34BF">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14</w:t>
            </w:r>
          </w:p>
        </w:tc>
        <w:tc>
          <w:tcPr>
            <w:tcW w:w="975" w:type="dxa"/>
            <w:tcBorders>
              <w:top w:val="single" w:color="auto" w:sz="4" w:space="0"/>
              <w:left w:val="single" w:color="auto" w:sz="4" w:space="0"/>
              <w:bottom w:val="single" w:color="auto" w:sz="4" w:space="0"/>
              <w:right w:val="single" w:color="auto" w:sz="4" w:space="0"/>
            </w:tcBorders>
            <w:shd w:val="clear" w:color="auto" w:fill="FFFFFF"/>
            <w:vAlign w:val="center"/>
          </w:tcPr>
          <w:p w14:paraId="15DCBCCD">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190" w:type="dxa"/>
            <w:tcBorders>
              <w:top w:val="single" w:color="auto" w:sz="4" w:space="0"/>
              <w:left w:val="single" w:color="auto" w:sz="4" w:space="0"/>
              <w:bottom w:val="single" w:color="auto" w:sz="4" w:space="0"/>
              <w:right w:val="single" w:color="auto" w:sz="4" w:space="0"/>
            </w:tcBorders>
            <w:shd w:val="clear" w:color="auto" w:fill="FFFFFF"/>
            <w:vAlign w:val="center"/>
          </w:tcPr>
          <w:p w14:paraId="585ECA2B">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波形失真度</w:t>
            </w:r>
          </w:p>
        </w:tc>
        <w:tc>
          <w:tcPr>
            <w:tcW w:w="4153" w:type="dxa"/>
            <w:tcBorders>
              <w:top w:val="single" w:color="auto" w:sz="4" w:space="0"/>
              <w:left w:val="single" w:color="auto" w:sz="4" w:space="0"/>
              <w:bottom w:val="single" w:color="auto" w:sz="4" w:space="0"/>
              <w:right w:val="single" w:color="auto" w:sz="4" w:space="0"/>
            </w:tcBorders>
            <w:shd w:val="clear" w:color="auto" w:fill="FFFFFF"/>
            <w:vAlign w:val="center"/>
          </w:tcPr>
          <w:p w14:paraId="20B52E20">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阻性负载输出电压波形失真度：≤0.6%</w:t>
            </w:r>
          </w:p>
          <w:p w14:paraId="0B8195F4">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非线性负载输出电压波形失真度：≤0.9%</w:t>
            </w:r>
          </w:p>
          <w:p w14:paraId="65577295">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需提供</w:t>
            </w:r>
            <w:r>
              <w:rPr>
                <w:rFonts w:hint="eastAsia"/>
              </w:rPr>
              <w:t>国家认可的认证（检测）机构出具的认证（检测）报告</w:t>
            </w:r>
            <w:r>
              <w:rPr>
                <w:rFonts w:hint="eastAsia" w:asciiTheme="minorEastAsia" w:hAnsiTheme="minorEastAsia" w:eastAsiaTheme="minorEastAsia" w:cstheme="minorEastAsia"/>
                <w:sz w:val="24"/>
              </w:rPr>
              <w:t>。</w:t>
            </w:r>
          </w:p>
        </w:tc>
        <w:tc>
          <w:tcPr>
            <w:tcW w:w="1509" w:type="dxa"/>
            <w:tcBorders>
              <w:top w:val="single" w:color="auto" w:sz="4" w:space="0"/>
              <w:left w:val="single" w:color="auto" w:sz="4" w:space="0"/>
              <w:bottom w:val="single" w:color="auto" w:sz="4" w:space="0"/>
              <w:right w:val="single" w:color="auto" w:sz="4" w:space="0"/>
            </w:tcBorders>
            <w:shd w:val="clear" w:color="auto" w:fill="FFFFFF"/>
            <w:vAlign w:val="center"/>
          </w:tcPr>
          <w:p w14:paraId="36779291">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2EDCC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79"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3825447A">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15</w:t>
            </w:r>
          </w:p>
        </w:tc>
        <w:tc>
          <w:tcPr>
            <w:tcW w:w="975" w:type="dxa"/>
            <w:tcBorders>
              <w:top w:val="single" w:color="auto" w:sz="4" w:space="0"/>
              <w:left w:val="single" w:color="auto" w:sz="4" w:space="0"/>
              <w:bottom w:val="single" w:color="auto" w:sz="4" w:space="0"/>
              <w:right w:val="single" w:color="auto" w:sz="4" w:space="0"/>
            </w:tcBorders>
            <w:shd w:val="clear" w:color="auto" w:fill="FFFFFF"/>
            <w:vAlign w:val="center"/>
          </w:tcPr>
          <w:p w14:paraId="65ED0BC6">
            <w:pPr>
              <w:spacing w:line="276" w:lineRule="auto"/>
              <w:jc w:val="center"/>
              <w:rPr>
                <w:rFonts w:asciiTheme="minorEastAsia" w:hAnsiTheme="minorEastAsia" w:eastAsiaTheme="minorEastAsia" w:cstheme="minorEastAsia"/>
                <w:sz w:val="24"/>
              </w:rPr>
            </w:pPr>
          </w:p>
        </w:tc>
        <w:tc>
          <w:tcPr>
            <w:tcW w:w="2190" w:type="dxa"/>
            <w:tcBorders>
              <w:top w:val="single" w:color="auto" w:sz="4" w:space="0"/>
              <w:left w:val="single" w:color="auto" w:sz="4" w:space="0"/>
              <w:bottom w:val="single" w:color="auto" w:sz="4" w:space="0"/>
              <w:right w:val="single" w:color="auto" w:sz="4" w:space="0"/>
            </w:tcBorders>
            <w:shd w:val="clear" w:color="auto" w:fill="FFFFFF"/>
            <w:vAlign w:val="center"/>
          </w:tcPr>
          <w:p w14:paraId="681CD5DA">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输出稳压精度</w:t>
            </w:r>
          </w:p>
        </w:tc>
        <w:tc>
          <w:tcPr>
            <w:tcW w:w="4153" w:type="dxa"/>
            <w:tcBorders>
              <w:top w:val="single" w:color="auto" w:sz="4" w:space="0"/>
              <w:left w:val="single" w:color="auto" w:sz="4" w:space="0"/>
              <w:bottom w:val="single" w:color="auto" w:sz="4" w:space="0"/>
              <w:right w:val="single" w:color="auto" w:sz="4" w:space="0"/>
            </w:tcBorders>
            <w:shd w:val="clear" w:color="auto" w:fill="FFFFFF"/>
            <w:vAlign w:val="center"/>
          </w:tcPr>
          <w:p w14:paraId="003C7B6D">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输出稳压精度≤1%</w:t>
            </w:r>
          </w:p>
        </w:tc>
        <w:tc>
          <w:tcPr>
            <w:tcW w:w="1509" w:type="dxa"/>
            <w:tcBorders>
              <w:top w:val="single" w:color="auto" w:sz="4" w:space="0"/>
              <w:left w:val="single" w:color="auto" w:sz="4" w:space="0"/>
              <w:bottom w:val="single" w:color="auto" w:sz="4" w:space="0"/>
              <w:right w:val="single" w:color="auto" w:sz="4" w:space="0"/>
            </w:tcBorders>
            <w:shd w:val="clear" w:color="auto" w:fill="FFFFFF"/>
            <w:vAlign w:val="center"/>
          </w:tcPr>
          <w:p w14:paraId="78C7A80D">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54BF0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0909963C">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16</w:t>
            </w:r>
          </w:p>
        </w:tc>
        <w:tc>
          <w:tcPr>
            <w:tcW w:w="975" w:type="dxa"/>
            <w:tcBorders>
              <w:top w:val="single" w:color="auto" w:sz="4" w:space="0"/>
              <w:left w:val="single" w:color="auto" w:sz="4" w:space="0"/>
              <w:bottom w:val="single" w:color="auto" w:sz="4" w:space="0"/>
              <w:right w:val="single" w:color="auto" w:sz="4" w:space="0"/>
            </w:tcBorders>
            <w:shd w:val="clear" w:color="auto" w:fill="FFFFFF"/>
            <w:vAlign w:val="center"/>
          </w:tcPr>
          <w:p w14:paraId="501608A2">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190" w:type="dxa"/>
            <w:tcBorders>
              <w:top w:val="single" w:color="auto" w:sz="4" w:space="0"/>
              <w:left w:val="single" w:color="auto" w:sz="4" w:space="0"/>
              <w:bottom w:val="single" w:color="auto" w:sz="4" w:space="0"/>
              <w:right w:val="single" w:color="auto" w:sz="4" w:space="0"/>
            </w:tcBorders>
            <w:shd w:val="clear" w:color="auto" w:fill="FFFFFF"/>
            <w:vAlign w:val="center"/>
          </w:tcPr>
          <w:p w14:paraId="1A15288B">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抗震要求</w:t>
            </w:r>
          </w:p>
        </w:tc>
        <w:tc>
          <w:tcPr>
            <w:tcW w:w="4153" w:type="dxa"/>
            <w:tcBorders>
              <w:top w:val="single" w:color="auto" w:sz="4" w:space="0"/>
              <w:left w:val="single" w:color="auto" w:sz="4" w:space="0"/>
              <w:bottom w:val="single" w:color="auto" w:sz="4" w:space="0"/>
              <w:right w:val="single" w:color="auto" w:sz="4" w:space="0"/>
            </w:tcBorders>
            <w:shd w:val="clear" w:color="auto" w:fill="FFFFFF"/>
            <w:vAlign w:val="center"/>
          </w:tcPr>
          <w:p w14:paraId="77E20B73">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通过8、9烈度抗震性能检测。需提供</w:t>
            </w:r>
            <w:r>
              <w:t>国家认可的认证（检测）机构出具认证证书（检测报告）</w:t>
            </w:r>
          </w:p>
        </w:tc>
        <w:tc>
          <w:tcPr>
            <w:tcW w:w="1509" w:type="dxa"/>
            <w:tcBorders>
              <w:top w:val="single" w:color="auto" w:sz="4" w:space="0"/>
              <w:left w:val="single" w:color="auto" w:sz="4" w:space="0"/>
              <w:bottom w:val="single" w:color="auto" w:sz="4" w:space="0"/>
              <w:right w:val="single" w:color="auto" w:sz="4" w:space="0"/>
            </w:tcBorders>
            <w:shd w:val="clear" w:color="auto" w:fill="FFFFFF"/>
            <w:vAlign w:val="center"/>
          </w:tcPr>
          <w:p w14:paraId="4E07F994">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bl>
    <w:p w14:paraId="6D2BFD5B">
      <w:pPr>
        <w:rPr>
          <w:rFonts w:asciiTheme="minorEastAsia" w:hAnsiTheme="minorEastAsia" w:eastAsiaTheme="minorEastAsia" w:cstheme="minorEastAsia"/>
          <w:sz w:val="24"/>
        </w:rPr>
      </w:pPr>
    </w:p>
    <w:bookmarkEnd w:id="20"/>
    <w:bookmarkEnd w:id="23"/>
    <w:p w14:paraId="538C0F5F">
      <w:pPr>
        <w:pStyle w:val="2"/>
        <w:numPr>
          <w:ilvl w:val="0"/>
          <w:numId w:val="2"/>
        </w:numPr>
        <w:ind w:left="442" w:hanging="442"/>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UPS主机 （60KVA）</w:t>
      </w:r>
    </w:p>
    <w:tbl>
      <w:tblPr>
        <w:tblStyle w:val="15"/>
        <w:tblW w:w="95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757"/>
        <w:gridCol w:w="975"/>
        <w:gridCol w:w="2160"/>
        <w:gridCol w:w="4125"/>
        <w:gridCol w:w="1530"/>
      </w:tblGrid>
      <w:tr w14:paraId="43942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79" w:hRule="atLeast"/>
          <w:jc w:val="center"/>
        </w:trPr>
        <w:tc>
          <w:tcPr>
            <w:tcW w:w="757" w:type="dxa"/>
            <w:tcBorders>
              <w:top w:val="single" w:color="auto" w:sz="4" w:space="0"/>
              <w:left w:val="single" w:color="auto" w:sz="4" w:space="0"/>
              <w:bottom w:val="single" w:color="auto" w:sz="4" w:space="0"/>
              <w:right w:val="single" w:color="auto" w:sz="4" w:space="0"/>
            </w:tcBorders>
            <w:shd w:val="clear" w:color="auto" w:fill="FFFFFF"/>
            <w:vAlign w:val="center"/>
          </w:tcPr>
          <w:p w14:paraId="11BF3CDB">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序号</w:t>
            </w:r>
          </w:p>
        </w:tc>
        <w:tc>
          <w:tcPr>
            <w:tcW w:w="975" w:type="dxa"/>
            <w:tcBorders>
              <w:top w:val="single" w:color="auto" w:sz="4" w:space="0"/>
              <w:left w:val="single" w:color="auto" w:sz="4" w:space="0"/>
              <w:bottom w:val="single" w:color="auto" w:sz="4" w:space="0"/>
              <w:right w:val="single" w:color="auto" w:sz="4" w:space="0"/>
            </w:tcBorders>
            <w:shd w:val="clear" w:color="auto" w:fill="FFFFFF"/>
            <w:vAlign w:val="center"/>
          </w:tcPr>
          <w:p w14:paraId="414FDC98">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重要性</w:t>
            </w:r>
          </w:p>
        </w:tc>
        <w:tc>
          <w:tcPr>
            <w:tcW w:w="2160" w:type="dxa"/>
            <w:tcBorders>
              <w:top w:val="single" w:color="auto" w:sz="4" w:space="0"/>
              <w:left w:val="single" w:color="auto" w:sz="4" w:space="0"/>
              <w:bottom w:val="single" w:color="auto" w:sz="4" w:space="0"/>
              <w:right w:val="single" w:color="auto" w:sz="4" w:space="0"/>
            </w:tcBorders>
            <w:shd w:val="clear" w:color="auto" w:fill="FFFFFF"/>
            <w:vAlign w:val="center"/>
          </w:tcPr>
          <w:p w14:paraId="2F2FDDD7">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指标项</w:t>
            </w:r>
          </w:p>
        </w:tc>
        <w:tc>
          <w:tcPr>
            <w:tcW w:w="4125" w:type="dxa"/>
            <w:tcBorders>
              <w:top w:val="single" w:color="auto" w:sz="4" w:space="0"/>
              <w:left w:val="single" w:color="auto" w:sz="4" w:space="0"/>
              <w:bottom w:val="single" w:color="auto" w:sz="4" w:space="0"/>
              <w:right w:val="single" w:color="auto" w:sz="4" w:space="0"/>
            </w:tcBorders>
            <w:shd w:val="clear" w:color="auto" w:fill="FFFFFF"/>
            <w:vAlign w:val="center"/>
          </w:tcPr>
          <w:p w14:paraId="6B263DE0">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指标要求</w:t>
            </w:r>
          </w:p>
        </w:tc>
        <w:tc>
          <w:tcPr>
            <w:tcW w:w="1530" w:type="dxa"/>
            <w:tcBorders>
              <w:top w:val="single" w:color="auto" w:sz="4" w:space="0"/>
              <w:left w:val="single" w:color="auto" w:sz="4" w:space="0"/>
              <w:bottom w:val="single" w:color="auto" w:sz="4" w:space="0"/>
              <w:right w:val="single" w:color="auto" w:sz="4" w:space="0"/>
            </w:tcBorders>
            <w:shd w:val="clear" w:color="auto" w:fill="FFFFFF"/>
            <w:vAlign w:val="center"/>
          </w:tcPr>
          <w:p w14:paraId="43210C4D">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是否提供证明材料</w:t>
            </w:r>
          </w:p>
        </w:tc>
      </w:tr>
      <w:tr w14:paraId="5CD04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57" w:type="dxa"/>
            <w:tcBorders>
              <w:top w:val="single" w:color="auto" w:sz="4" w:space="0"/>
              <w:left w:val="single" w:color="auto" w:sz="4" w:space="0"/>
              <w:bottom w:val="single" w:color="auto" w:sz="4" w:space="0"/>
              <w:right w:val="single" w:color="auto" w:sz="4" w:space="0"/>
            </w:tcBorders>
            <w:shd w:val="clear" w:color="auto" w:fill="FFFFFF"/>
            <w:vAlign w:val="center"/>
          </w:tcPr>
          <w:p w14:paraId="5F6629FF">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975" w:type="dxa"/>
            <w:tcBorders>
              <w:top w:val="single" w:color="auto" w:sz="4" w:space="0"/>
              <w:left w:val="single" w:color="auto" w:sz="4" w:space="0"/>
              <w:bottom w:val="single" w:color="auto" w:sz="4" w:space="0"/>
              <w:right w:val="single" w:color="auto" w:sz="4" w:space="0"/>
            </w:tcBorders>
            <w:shd w:val="clear" w:color="auto" w:fill="FFFFFF"/>
            <w:vAlign w:val="center"/>
          </w:tcPr>
          <w:p w14:paraId="41D574E5">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160" w:type="dxa"/>
            <w:tcBorders>
              <w:top w:val="single" w:color="auto" w:sz="4" w:space="0"/>
              <w:left w:val="single" w:color="auto" w:sz="4" w:space="0"/>
              <w:bottom w:val="single" w:color="auto" w:sz="4" w:space="0"/>
              <w:right w:val="single" w:color="auto" w:sz="4" w:space="0"/>
            </w:tcBorders>
            <w:shd w:val="clear" w:color="auto" w:fill="FFFFFF"/>
            <w:vAlign w:val="center"/>
          </w:tcPr>
          <w:p w14:paraId="112BAD65">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容量要求</w:t>
            </w:r>
          </w:p>
        </w:tc>
        <w:tc>
          <w:tcPr>
            <w:tcW w:w="4125" w:type="dxa"/>
            <w:tcBorders>
              <w:top w:val="single" w:color="auto" w:sz="4" w:space="0"/>
              <w:left w:val="single" w:color="auto" w:sz="4" w:space="0"/>
              <w:bottom w:val="single" w:color="auto" w:sz="4" w:space="0"/>
              <w:right w:val="single" w:color="auto" w:sz="4" w:space="0"/>
            </w:tcBorders>
            <w:shd w:val="clear" w:color="auto" w:fill="FFFFFF"/>
            <w:vAlign w:val="center"/>
          </w:tcPr>
          <w:p w14:paraId="2D0FE63E">
            <w:pP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高频UPS电源系统，系统容量不低于60kVA。</w:t>
            </w:r>
          </w:p>
        </w:tc>
        <w:tc>
          <w:tcPr>
            <w:tcW w:w="1530" w:type="dxa"/>
            <w:tcBorders>
              <w:top w:val="single" w:color="auto" w:sz="4" w:space="0"/>
              <w:left w:val="single" w:color="auto" w:sz="4" w:space="0"/>
              <w:bottom w:val="single" w:color="auto" w:sz="4" w:space="0"/>
              <w:right w:val="single" w:color="auto" w:sz="4" w:space="0"/>
            </w:tcBorders>
            <w:shd w:val="clear" w:color="auto" w:fill="FFFFFF"/>
            <w:vAlign w:val="center"/>
          </w:tcPr>
          <w:p w14:paraId="0F64DFE4">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5A3B2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79" w:hRule="atLeast"/>
          <w:jc w:val="center"/>
        </w:trPr>
        <w:tc>
          <w:tcPr>
            <w:tcW w:w="757" w:type="dxa"/>
            <w:tcBorders>
              <w:top w:val="single" w:color="auto" w:sz="4" w:space="0"/>
              <w:left w:val="single" w:color="auto" w:sz="4" w:space="0"/>
              <w:bottom w:val="single" w:color="auto" w:sz="4" w:space="0"/>
              <w:right w:val="single" w:color="auto" w:sz="4" w:space="0"/>
            </w:tcBorders>
            <w:shd w:val="clear" w:color="auto" w:fill="FFFFFF"/>
            <w:vAlign w:val="center"/>
          </w:tcPr>
          <w:p w14:paraId="60D2B196">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w:t>
            </w:r>
          </w:p>
        </w:tc>
        <w:tc>
          <w:tcPr>
            <w:tcW w:w="975" w:type="dxa"/>
            <w:tcBorders>
              <w:top w:val="single" w:color="auto" w:sz="4" w:space="0"/>
              <w:left w:val="single" w:color="auto" w:sz="4" w:space="0"/>
              <w:bottom w:val="single" w:color="auto" w:sz="4" w:space="0"/>
              <w:right w:val="single" w:color="auto" w:sz="4" w:space="0"/>
            </w:tcBorders>
            <w:shd w:val="clear" w:color="auto" w:fill="FFFFFF"/>
            <w:vAlign w:val="center"/>
          </w:tcPr>
          <w:p w14:paraId="6B844534">
            <w:pPr>
              <w:jc w:val="center"/>
              <w:rPr>
                <w:rFonts w:asciiTheme="minorEastAsia" w:hAnsiTheme="minorEastAsia" w:eastAsiaTheme="minorEastAsia" w:cstheme="minorEastAsia"/>
                <w:sz w:val="24"/>
              </w:rPr>
            </w:pPr>
          </w:p>
        </w:tc>
        <w:tc>
          <w:tcPr>
            <w:tcW w:w="2160" w:type="dxa"/>
            <w:tcBorders>
              <w:top w:val="single" w:color="auto" w:sz="4" w:space="0"/>
              <w:left w:val="single" w:color="auto" w:sz="4" w:space="0"/>
              <w:bottom w:val="single" w:color="auto" w:sz="4" w:space="0"/>
              <w:right w:val="single" w:color="auto" w:sz="4" w:space="0"/>
            </w:tcBorders>
            <w:shd w:val="clear" w:color="auto" w:fill="FFFFFF"/>
            <w:vAlign w:val="center"/>
          </w:tcPr>
          <w:p w14:paraId="6927EB6D">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系统要求</w:t>
            </w:r>
          </w:p>
        </w:tc>
        <w:tc>
          <w:tcPr>
            <w:tcW w:w="4125" w:type="dxa"/>
            <w:tcBorders>
              <w:top w:val="single" w:color="auto" w:sz="4" w:space="0"/>
              <w:left w:val="single" w:color="auto" w:sz="4" w:space="0"/>
              <w:bottom w:val="single" w:color="auto" w:sz="4" w:space="0"/>
              <w:right w:val="single" w:color="auto" w:sz="4" w:space="0"/>
            </w:tcBorders>
            <w:shd w:val="clear" w:color="auto" w:fill="FFFFFF"/>
            <w:vAlign w:val="center"/>
          </w:tcPr>
          <w:p w14:paraId="77956B4C">
            <w:pP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UPS主机需具备高集成度，方便快速交付，并自带主旁同源铜排（可现场拆除变为不同源），灵活适配现场配电进线，且自带RS232接口、干接点接口、485接口（支持Modbus协议），组网快捷。</w:t>
            </w:r>
          </w:p>
        </w:tc>
        <w:tc>
          <w:tcPr>
            <w:tcW w:w="1530" w:type="dxa"/>
            <w:tcBorders>
              <w:top w:val="single" w:color="auto" w:sz="4" w:space="0"/>
              <w:left w:val="single" w:color="auto" w:sz="4" w:space="0"/>
              <w:bottom w:val="single" w:color="auto" w:sz="4" w:space="0"/>
              <w:right w:val="single" w:color="auto" w:sz="4" w:space="0"/>
            </w:tcBorders>
            <w:shd w:val="clear" w:color="auto" w:fill="FFFFFF"/>
            <w:vAlign w:val="center"/>
          </w:tcPr>
          <w:p w14:paraId="2DF29B68">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3F619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79" w:hRule="atLeast"/>
          <w:jc w:val="center"/>
        </w:trPr>
        <w:tc>
          <w:tcPr>
            <w:tcW w:w="757" w:type="dxa"/>
            <w:tcBorders>
              <w:top w:val="single" w:color="auto" w:sz="4" w:space="0"/>
              <w:left w:val="single" w:color="auto" w:sz="4" w:space="0"/>
              <w:bottom w:val="single" w:color="auto" w:sz="4" w:space="0"/>
              <w:right w:val="single" w:color="auto" w:sz="4" w:space="0"/>
            </w:tcBorders>
            <w:shd w:val="clear" w:color="auto" w:fill="FFFFFF"/>
            <w:vAlign w:val="center"/>
          </w:tcPr>
          <w:p w14:paraId="0F59C394">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w:t>
            </w:r>
          </w:p>
        </w:tc>
        <w:tc>
          <w:tcPr>
            <w:tcW w:w="975" w:type="dxa"/>
            <w:tcBorders>
              <w:top w:val="single" w:color="auto" w:sz="4" w:space="0"/>
              <w:left w:val="single" w:color="auto" w:sz="4" w:space="0"/>
              <w:bottom w:val="single" w:color="auto" w:sz="4" w:space="0"/>
              <w:right w:val="single" w:color="auto" w:sz="4" w:space="0"/>
            </w:tcBorders>
            <w:shd w:val="clear" w:color="auto" w:fill="FFFFFF"/>
            <w:vAlign w:val="center"/>
          </w:tcPr>
          <w:p w14:paraId="113ADAE8">
            <w:pPr>
              <w:jc w:val="center"/>
              <w:rPr>
                <w:rFonts w:asciiTheme="minorEastAsia" w:hAnsiTheme="minorEastAsia" w:eastAsiaTheme="minorEastAsia" w:cstheme="minorEastAsia"/>
                <w:sz w:val="24"/>
              </w:rPr>
            </w:pPr>
          </w:p>
        </w:tc>
        <w:tc>
          <w:tcPr>
            <w:tcW w:w="2160" w:type="dxa"/>
            <w:tcBorders>
              <w:top w:val="single" w:color="auto" w:sz="4" w:space="0"/>
              <w:left w:val="single" w:color="auto" w:sz="4" w:space="0"/>
              <w:bottom w:val="single" w:color="auto" w:sz="4" w:space="0"/>
              <w:right w:val="single" w:color="auto" w:sz="4" w:space="0"/>
            </w:tcBorders>
            <w:shd w:val="clear" w:color="auto" w:fill="FFFFFF"/>
            <w:vAlign w:val="center"/>
          </w:tcPr>
          <w:p w14:paraId="33B18768">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环境条件要求</w:t>
            </w:r>
          </w:p>
        </w:tc>
        <w:tc>
          <w:tcPr>
            <w:tcW w:w="4125" w:type="dxa"/>
            <w:tcBorders>
              <w:top w:val="single" w:color="auto" w:sz="4" w:space="0"/>
              <w:left w:val="single" w:color="auto" w:sz="4" w:space="0"/>
              <w:bottom w:val="single" w:color="auto" w:sz="4" w:space="0"/>
              <w:right w:val="single" w:color="auto" w:sz="4" w:space="0"/>
            </w:tcBorders>
            <w:shd w:val="clear" w:color="auto" w:fill="FFFFFF"/>
            <w:vAlign w:val="center"/>
          </w:tcPr>
          <w:p w14:paraId="05F7915D">
            <w:pP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在下列条件下，设备应能连续正常工作，并满足性能规范要求。</w:t>
            </w:r>
          </w:p>
          <w:p w14:paraId="3045B571">
            <w:pP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1.UPS在40℃持续运行不降额，50℃环境温度仍可输出70%额定功率。</w:t>
            </w:r>
          </w:p>
          <w:p w14:paraId="56ED7D0E">
            <w:pP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2.海拔高度：0～1500米不降额，1500m～3000m 范围内每升高100m 降额1％。</w:t>
            </w:r>
          </w:p>
        </w:tc>
        <w:tc>
          <w:tcPr>
            <w:tcW w:w="1530" w:type="dxa"/>
            <w:tcBorders>
              <w:top w:val="single" w:color="auto" w:sz="4" w:space="0"/>
              <w:left w:val="single" w:color="auto" w:sz="4" w:space="0"/>
              <w:bottom w:val="single" w:color="auto" w:sz="4" w:space="0"/>
              <w:right w:val="single" w:color="auto" w:sz="4" w:space="0"/>
            </w:tcBorders>
            <w:shd w:val="clear" w:color="auto" w:fill="FFFFFF"/>
            <w:vAlign w:val="center"/>
          </w:tcPr>
          <w:p w14:paraId="1AD3751E">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73E12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79" w:hRule="atLeast"/>
          <w:jc w:val="center"/>
        </w:trPr>
        <w:tc>
          <w:tcPr>
            <w:tcW w:w="757" w:type="dxa"/>
            <w:tcBorders>
              <w:top w:val="single" w:color="auto" w:sz="4" w:space="0"/>
              <w:left w:val="single" w:color="auto" w:sz="4" w:space="0"/>
              <w:bottom w:val="single" w:color="auto" w:sz="4" w:space="0"/>
              <w:right w:val="single" w:color="auto" w:sz="4" w:space="0"/>
            </w:tcBorders>
            <w:shd w:val="clear" w:color="auto" w:fill="FFFFFF"/>
            <w:vAlign w:val="center"/>
          </w:tcPr>
          <w:p w14:paraId="176A7163">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w:t>
            </w:r>
          </w:p>
        </w:tc>
        <w:tc>
          <w:tcPr>
            <w:tcW w:w="975" w:type="dxa"/>
            <w:tcBorders>
              <w:top w:val="single" w:color="auto" w:sz="4" w:space="0"/>
              <w:left w:val="single" w:color="auto" w:sz="4" w:space="0"/>
              <w:bottom w:val="single" w:color="auto" w:sz="4" w:space="0"/>
              <w:right w:val="single" w:color="auto" w:sz="4" w:space="0"/>
            </w:tcBorders>
            <w:shd w:val="clear" w:color="auto" w:fill="FFFFFF"/>
            <w:vAlign w:val="center"/>
          </w:tcPr>
          <w:p w14:paraId="31EF392B">
            <w:pPr>
              <w:jc w:val="center"/>
              <w:rPr>
                <w:rFonts w:asciiTheme="minorEastAsia" w:hAnsiTheme="minorEastAsia" w:eastAsiaTheme="minorEastAsia" w:cstheme="minorEastAsia"/>
                <w:sz w:val="24"/>
              </w:rPr>
            </w:pPr>
          </w:p>
        </w:tc>
        <w:tc>
          <w:tcPr>
            <w:tcW w:w="2160" w:type="dxa"/>
            <w:tcBorders>
              <w:top w:val="single" w:color="auto" w:sz="4" w:space="0"/>
              <w:left w:val="single" w:color="auto" w:sz="4" w:space="0"/>
              <w:bottom w:val="single" w:color="auto" w:sz="4" w:space="0"/>
              <w:right w:val="single" w:color="auto" w:sz="4" w:space="0"/>
            </w:tcBorders>
            <w:shd w:val="clear" w:color="auto" w:fill="FFFFFF"/>
            <w:vAlign w:val="center"/>
          </w:tcPr>
          <w:p w14:paraId="4ACB2F83">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整流器输入性能</w:t>
            </w:r>
          </w:p>
        </w:tc>
        <w:tc>
          <w:tcPr>
            <w:tcW w:w="4125" w:type="dxa"/>
            <w:tcBorders>
              <w:top w:val="single" w:color="auto" w:sz="4" w:space="0"/>
              <w:left w:val="single" w:color="auto" w:sz="4" w:space="0"/>
              <w:bottom w:val="single" w:color="auto" w:sz="4" w:space="0"/>
              <w:right w:val="single" w:color="auto" w:sz="4" w:space="0"/>
            </w:tcBorders>
            <w:shd w:val="clear" w:color="auto" w:fill="FFFFFF"/>
            <w:vAlign w:val="center"/>
          </w:tcPr>
          <w:p w14:paraId="7D54DBFE">
            <w:pPr>
              <w:pStyle w:val="6"/>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整流器输入性能应符合YD/T 1095-2018《通信用不间断电源-UPS》中一类UPS标准，满载时，输入谐波电流总含量＜3%；输入功率因数≥0.99。</w:t>
            </w:r>
          </w:p>
        </w:tc>
        <w:tc>
          <w:tcPr>
            <w:tcW w:w="1530" w:type="dxa"/>
            <w:tcBorders>
              <w:top w:val="single" w:color="auto" w:sz="4" w:space="0"/>
              <w:left w:val="single" w:color="auto" w:sz="4" w:space="0"/>
              <w:bottom w:val="single" w:color="auto" w:sz="4" w:space="0"/>
              <w:right w:val="single" w:color="auto" w:sz="4" w:space="0"/>
            </w:tcBorders>
            <w:shd w:val="clear" w:color="auto" w:fill="FFFFFF"/>
            <w:vAlign w:val="center"/>
          </w:tcPr>
          <w:p w14:paraId="05AEEDAC">
            <w:pPr>
              <w:pStyle w:val="6"/>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4AC31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79" w:hRule="atLeast"/>
          <w:jc w:val="center"/>
        </w:trPr>
        <w:tc>
          <w:tcPr>
            <w:tcW w:w="757" w:type="dxa"/>
            <w:tcBorders>
              <w:top w:val="single" w:color="auto" w:sz="4" w:space="0"/>
              <w:left w:val="single" w:color="auto" w:sz="4" w:space="0"/>
              <w:bottom w:val="single" w:color="auto" w:sz="4" w:space="0"/>
              <w:right w:val="single" w:color="auto" w:sz="4" w:space="0"/>
            </w:tcBorders>
            <w:shd w:val="clear" w:color="auto" w:fill="FFFFFF"/>
            <w:vAlign w:val="center"/>
          </w:tcPr>
          <w:p w14:paraId="0DAE5A54">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w:t>
            </w:r>
          </w:p>
        </w:tc>
        <w:tc>
          <w:tcPr>
            <w:tcW w:w="975" w:type="dxa"/>
            <w:tcBorders>
              <w:top w:val="single" w:color="auto" w:sz="4" w:space="0"/>
              <w:left w:val="single" w:color="auto" w:sz="4" w:space="0"/>
              <w:bottom w:val="single" w:color="auto" w:sz="4" w:space="0"/>
              <w:right w:val="single" w:color="auto" w:sz="4" w:space="0"/>
            </w:tcBorders>
            <w:shd w:val="clear" w:color="auto" w:fill="FFFFFF"/>
            <w:vAlign w:val="center"/>
          </w:tcPr>
          <w:p w14:paraId="2CD21E74">
            <w:pPr>
              <w:jc w:val="center"/>
              <w:rPr>
                <w:rFonts w:asciiTheme="minorEastAsia" w:hAnsiTheme="minorEastAsia" w:eastAsiaTheme="minorEastAsia" w:cstheme="minorEastAsia"/>
                <w:sz w:val="24"/>
              </w:rPr>
            </w:pPr>
          </w:p>
        </w:tc>
        <w:tc>
          <w:tcPr>
            <w:tcW w:w="2160" w:type="dxa"/>
            <w:tcBorders>
              <w:top w:val="single" w:color="auto" w:sz="4" w:space="0"/>
              <w:left w:val="single" w:color="auto" w:sz="4" w:space="0"/>
              <w:bottom w:val="single" w:color="auto" w:sz="4" w:space="0"/>
              <w:right w:val="single" w:color="auto" w:sz="4" w:space="0"/>
            </w:tcBorders>
            <w:shd w:val="clear" w:color="auto" w:fill="FFFFFF"/>
            <w:vAlign w:val="center"/>
          </w:tcPr>
          <w:p w14:paraId="287CDF88">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系统效率</w:t>
            </w:r>
          </w:p>
        </w:tc>
        <w:tc>
          <w:tcPr>
            <w:tcW w:w="4125" w:type="dxa"/>
            <w:tcBorders>
              <w:top w:val="single" w:color="auto" w:sz="4" w:space="0"/>
              <w:left w:val="single" w:color="auto" w:sz="4" w:space="0"/>
              <w:bottom w:val="single" w:color="auto" w:sz="4" w:space="0"/>
              <w:right w:val="single" w:color="auto" w:sz="4" w:space="0"/>
            </w:tcBorders>
            <w:shd w:val="clear" w:color="auto" w:fill="FFFFFF"/>
            <w:vAlign w:val="center"/>
          </w:tcPr>
          <w:p w14:paraId="0D483383">
            <w:pPr>
              <w:pStyle w:val="6"/>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UPS主机系统30~100%负载时，系统效率：≥95％（即《YDT1095-2018通信用交流不间断电源》效率I类值》）。</w:t>
            </w:r>
          </w:p>
        </w:tc>
        <w:tc>
          <w:tcPr>
            <w:tcW w:w="1530" w:type="dxa"/>
            <w:tcBorders>
              <w:top w:val="single" w:color="auto" w:sz="4" w:space="0"/>
              <w:left w:val="single" w:color="auto" w:sz="4" w:space="0"/>
              <w:bottom w:val="single" w:color="auto" w:sz="4" w:space="0"/>
              <w:right w:val="single" w:color="auto" w:sz="4" w:space="0"/>
            </w:tcBorders>
            <w:shd w:val="clear" w:color="auto" w:fill="FFFFFF"/>
            <w:vAlign w:val="center"/>
          </w:tcPr>
          <w:p w14:paraId="7B470885">
            <w:pPr>
              <w:pStyle w:val="6"/>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58BE6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79" w:hRule="atLeast"/>
          <w:jc w:val="center"/>
        </w:trPr>
        <w:tc>
          <w:tcPr>
            <w:tcW w:w="757" w:type="dxa"/>
            <w:tcBorders>
              <w:top w:val="single" w:color="auto" w:sz="4" w:space="0"/>
              <w:left w:val="single" w:color="auto" w:sz="4" w:space="0"/>
              <w:bottom w:val="single" w:color="auto" w:sz="4" w:space="0"/>
              <w:right w:val="single" w:color="auto" w:sz="4" w:space="0"/>
            </w:tcBorders>
            <w:shd w:val="clear" w:color="auto" w:fill="FFFFFF"/>
            <w:vAlign w:val="center"/>
          </w:tcPr>
          <w:p w14:paraId="33BDF8F2">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6</w:t>
            </w:r>
          </w:p>
        </w:tc>
        <w:tc>
          <w:tcPr>
            <w:tcW w:w="975" w:type="dxa"/>
            <w:tcBorders>
              <w:top w:val="single" w:color="auto" w:sz="4" w:space="0"/>
              <w:left w:val="single" w:color="auto" w:sz="4" w:space="0"/>
              <w:bottom w:val="single" w:color="auto" w:sz="4" w:space="0"/>
              <w:right w:val="single" w:color="auto" w:sz="4" w:space="0"/>
            </w:tcBorders>
            <w:shd w:val="clear" w:color="auto" w:fill="FFFFFF"/>
            <w:vAlign w:val="center"/>
          </w:tcPr>
          <w:p w14:paraId="3A45D531">
            <w:pPr>
              <w:jc w:val="center"/>
              <w:rPr>
                <w:rFonts w:asciiTheme="minorEastAsia" w:hAnsiTheme="minorEastAsia" w:eastAsiaTheme="minorEastAsia" w:cstheme="minorEastAsia"/>
                <w:sz w:val="24"/>
              </w:rPr>
            </w:pPr>
          </w:p>
        </w:tc>
        <w:tc>
          <w:tcPr>
            <w:tcW w:w="2160" w:type="dxa"/>
            <w:tcBorders>
              <w:top w:val="single" w:color="auto" w:sz="4" w:space="0"/>
              <w:left w:val="single" w:color="auto" w:sz="4" w:space="0"/>
              <w:bottom w:val="single" w:color="auto" w:sz="4" w:space="0"/>
              <w:right w:val="single" w:color="auto" w:sz="4" w:space="0"/>
            </w:tcBorders>
            <w:shd w:val="clear" w:color="auto" w:fill="FFFFFF"/>
            <w:vAlign w:val="center"/>
          </w:tcPr>
          <w:p w14:paraId="1F72C4A0">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过载能力要求</w:t>
            </w:r>
          </w:p>
        </w:tc>
        <w:tc>
          <w:tcPr>
            <w:tcW w:w="4125" w:type="dxa"/>
            <w:tcBorders>
              <w:top w:val="single" w:color="auto" w:sz="4" w:space="0"/>
              <w:left w:val="single" w:color="auto" w:sz="4" w:space="0"/>
              <w:bottom w:val="single" w:color="auto" w:sz="4" w:space="0"/>
              <w:right w:val="single" w:color="auto" w:sz="4" w:space="0"/>
            </w:tcBorders>
            <w:shd w:val="clear" w:color="auto" w:fill="FFFFFF"/>
            <w:vAlign w:val="center"/>
          </w:tcPr>
          <w:p w14:paraId="2F30EB1E">
            <w:pP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逆变器过载能力：105%额定电流，持续工作；110%额定电流，过载1小时；125%额定电流，过载10min；150%额定电流，过载1分钟后转旁路供电。</w:t>
            </w:r>
          </w:p>
        </w:tc>
        <w:tc>
          <w:tcPr>
            <w:tcW w:w="1530" w:type="dxa"/>
            <w:tcBorders>
              <w:top w:val="single" w:color="auto" w:sz="4" w:space="0"/>
              <w:left w:val="single" w:color="auto" w:sz="4" w:space="0"/>
              <w:bottom w:val="single" w:color="auto" w:sz="4" w:space="0"/>
              <w:right w:val="single" w:color="auto" w:sz="4" w:space="0"/>
            </w:tcBorders>
            <w:shd w:val="clear" w:color="auto" w:fill="FFFFFF"/>
            <w:vAlign w:val="center"/>
          </w:tcPr>
          <w:p w14:paraId="4E93F595">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4214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57" w:type="dxa"/>
            <w:tcBorders>
              <w:top w:val="single" w:color="auto" w:sz="4" w:space="0"/>
              <w:left w:val="single" w:color="auto" w:sz="4" w:space="0"/>
              <w:bottom w:val="single" w:color="auto" w:sz="4" w:space="0"/>
              <w:right w:val="single" w:color="auto" w:sz="4" w:space="0"/>
            </w:tcBorders>
            <w:shd w:val="clear" w:color="auto" w:fill="FFFFFF"/>
            <w:vAlign w:val="center"/>
          </w:tcPr>
          <w:p w14:paraId="2EAB4CD2">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7</w:t>
            </w:r>
          </w:p>
        </w:tc>
        <w:tc>
          <w:tcPr>
            <w:tcW w:w="975" w:type="dxa"/>
            <w:tcBorders>
              <w:top w:val="single" w:color="auto" w:sz="4" w:space="0"/>
              <w:left w:val="single" w:color="auto" w:sz="4" w:space="0"/>
              <w:bottom w:val="single" w:color="auto" w:sz="4" w:space="0"/>
              <w:right w:val="single" w:color="auto" w:sz="4" w:space="0"/>
            </w:tcBorders>
            <w:shd w:val="clear" w:color="auto" w:fill="FFFFFF"/>
            <w:vAlign w:val="center"/>
          </w:tcPr>
          <w:p w14:paraId="39D7B52C">
            <w:pPr>
              <w:jc w:val="center"/>
              <w:rPr>
                <w:rFonts w:asciiTheme="minorEastAsia" w:hAnsiTheme="minorEastAsia" w:eastAsiaTheme="minorEastAsia" w:cstheme="minorEastAsia"/>
                <w:sz w:val="24"/>
              </w:rPr>
            </w:pPr>
          </w:p>
        </w:tc>
        <w:tc>
          <w:tcPr>
            <w:tcW w:w="2160" w:type="dxa"/>
            <w:tcBorders>
              <w:top w:val="single" w:color="auto" w:sz="4" w:space="0"/>
              <w:left w:val="single" w:color="auto" w:sz="4" w:space="0"/>
              <w:bottom w:val="single" w:color="auto" w:sz="4" w:space="0"/>
              <w:right w:val="single" w:color="auto" w:sz="4" w:space="0"/>
            </w:tcBorders>
            <w:shd w:val="clear" w:color="auto" w:fill="FFFFFF"/>
            <w:vAlign w:val="center"/>
          </w:tcPr>
          <w:p w14:paraId="3572004C">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电气性能要求</w:t>
            </w:r>
          </w:p>
        </w:tc>
        <w:tc>
          <w:tcPr>
            <w:tcW w:w="4125" w:type="dxa"/>
            <w:tcBorders>
              <w:top w:val="single" w:color="auto" w:sz="4" w:space="0"/>
              <w:left w:val="single" w:color="auto" w:sz="4" w:space="0"/>
              <w:bottom w:val="single" w:color="auto" w:sz="4" w:space="0"/>
              <w:right w:val="single" w:color="auto" w:sz="4" w:space="0"/>
            </w:tcBorders>
            <w:shd w:val="clear" w:color="auto" w:fill="FFFFFF"/>
            <w:vAlign w:val="center"/>
          </w:tcPr>
          <w:p w14:paraId="7C5379BB">
            <w:pP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输入额定电压为380/400/415VAC，输入电压范围满足172-498V（304～498V时，满载工作，304~172V时，可自动线性降容至半载工作）。</w:t>
            </w:r>
          </w:p>
        </w:tc>
        <w:tc>
          <w:tcPr>
            <w:tcW w:w="1530" w:type="dxa"/>
            <w:tcBorders>
              <w:top w:val="single" w:color="auto" w:sz="4" w:space="0"/>
              <w:left w:val="single" w:color="auto" w:sz="4" w:space="0"/>
              <w:bottom w:val="single" w:color="auto" w:sz="4" w:space="0"/>
              <w:right w:val="single" w:color="auto" w:sz="4" w:space="0"/>
            </w:tcBorders>
            <w:shd w:val="clear" w:color="auto" w:fill="FFFFFF"/>
            <w:vAlign w:val="center"/>
          </w:tcPr>
          <w:p w14:paraId="602E5AB1">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69D6E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57" w:type="dxa"/>
            <w:tcBorders>
              <w:top w:val="single" w:color="auto" w:sz="4" w:space="0"/>
              <w:left w:val="single" w:color="auto" w:sz="4" w:space="0"/>
              <w:bottom w:val="single" w:color="auto" w:sz="4" w:space="0"/>
              <w:right w:val="single" w:color="auto" w:sz="4" w:space="0"/>
            </w:tcBorders>
            <w:shd w:val="clear" w:color="auto" w:fill="FFFFFF"/>
            <w:vAlign w:val="center"/>
          </w:tcPr>
          <w:p w14:paraId="779F0FFC">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8</w:t>
            </w:r>
          </w:p>
        </w:tc>
        <w:tc>
          <w:tcPr>
            <w:tcW w:w="975" w:type="dxa"/>
            <w:tcBorders>
              <w:top w:val="single" w:color="auto" w:sz="4" w:space="0"/>
              <w:left w:val="single" w:color="auto" w:sz="4" w:space="0"/>
              <w:bottom w:val="single" w:color="auto" w:sz="4" w:space="0"/>
              <w:right w:val="single" w:color="auto" w:sz="4" w:space="0"/>
            </w:tcBorders>
            <w:shd w:val="clear" w:color="auto" w:fill="FFFFFF"/>
            <w:vAlign w:val="center"/>
          </w:tcPr>
          <w:p w14:paraId="46F56B78">
            <w:pPr>
              <w:jc w:val="center"/>
              <w:rPr>
                <w:rFonts w:asciiTheme="minorEastAsia" w:hAnsiTheme="minorEastAsia" w:eastAsiaTheme="minorEastAsia" w:cstheme="minorEastAsia"/>
                <w:sz w:val="24"/>
              </w:rPr>
            </w:pPr>
          </w:p>
        </w:tc>
        <w:tc>
          <w:tcPr>
            <w:tcW w:w="2160" w:type="dxa"/>
            <w:tcBorders>
              <w:top w:val="single" w:color="auto" w:sz="4" w:space="0"/>
              <w:left w:val="single" w:color="auto" w:sz="4" w:space="0"/>
              <w:bottom w:val="single" w:color="auto" w:sz="4" w:space="0"/>
              <w:right w:val="single" w:color="auto" w:sz="4" w:space="0"/>
            </w:tcBorders>
            <w:shd w:val="clear" w:color="auto" w:fill="FFFFFF"/>
            <w:vAlign w:val="center"/>
          </w:tcPr>
          <w:p w14:paraId="492D1431">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电池电压节数动态可调整</w:t>
            </w:r>
          </w:p>
        </w:tc>
        <w:tc>
          <w:tcPr>
            <w:tcW w:w="4125" w:type="dxa"/>
            <w:tcBorders>
              <w:top w:val="single" w:color="auto" w:sz="4" w:space="0"/>
              <w:left w:val="single" w:color="auto" w:sz="4" w:space="0"/>
              <w:bottom w:val="single" w:color="auto" w:sz="4" w:space="0"/>
              <w:right w:val="single" w:color="auto" w:sz="4" w:space="0"/>
            </w:tcBorders>
            <w:shd w:val="clear" w:color="auto" w:fill="FFFFFF"/>
            <w:vAlign w:val="center"/>
          </w:tcPr>
          <w:p w14:paraId="212B76EB">
            <w:pP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UPS系统的电池组采用32/34/36/38/40节（12V电池）设计，便于旧系统改造时利用原有电池系统，也可在少量电池故障时及时撤除，消除对UPS系统运行的影响。</w:t>
            </w:r>
          </w:p>
        </w:tc>
        <w:tc>
          <w:tcPr>
            <w:tcW w:w="1530" w:type="dxa"/>
            <w:tcBorders>
              <w:top w:val="single" w:color="auto" w:sz="4" w:space="0"/>
              <w:left w:val="single" w:color="auto" w:sz="4" w:space="0"/>
              <w:bottom w:val="single" w:color="auto" w:sz="4" w:space="0"/>
              <w:right w:val="single" w:color="auto" w:sz="4" w:space="0"/>
            </w:tcBorders>
            <w:shd w:val="clear" w:color="auto" w:fill="FFFFFF"/>
            <w:vAlign w:val="center"/>
          </w:tcPr>
          <w:p w14:paraId="7EC86A72">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5189F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79" w:hRule="atLeast"/>
          <w:jc w:val="center"/>
        </w:trPr>
        <w:tc>
          <w:tcPr>
            <w:tcW w:w="757" w:type="dxa"/>
            <w:tcBorders>
              <w:top w:val="single" w:color="auto" w:sz="4" w:space="0"/>
              <w:left w:val="single" w:color="auto" w:sz="4" w:space="0"/>
              <w:bottom w:val="single" w:color="auto" w:sz="4" w:space="0"/>
              <w:right w:val="single" w:color="auto" w:sz="4" w:space="0"/>
            </w:tcBorders>
            <w:shd w:val="clear" w:color="auto" w:fill="FFFFFF"/>
            <w:vAlign w:val="center"/>
          </w:tcPr>
          <w:p w14:paraId="46B8A3DE">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9</w:t>
            </w:r>
          </w:p>
        </w:tc>
        <w:tc>
          <w:tcPr>
            <w:tcW w:w="975" w:type="dxa"/>
            <w:tcBorders>
              <w:top w:val="single" w:color="auto" w:sz="4" w:space="0"/>
              <w:left w:val="single" w:color="auto" w:sz="4" w:space="0"/>
              <w:bottom w:val="single" w:color="auto" w:sz="4" w:space="0"/>
              <w:right w:val="single" w:color="auto" w:sz="4" w:space="0"/>
            </w:tcBorders>
            <w:shd w:val="clear" w:color="auto" w:fill="FFFFFF"/>
            <w:vAlign w:val="center"/>
          </w:tcPr>
          <w:p w14:paraId="33377744">
            <w:pPr>
              <w:jc w:val="center"/>
              <w:rPr>
                <w:rFonts w:asciiTheme="minorEastAsia" w:hAnsiTheme="minorEastAsia" w:eastAsiaTheme="minorEastAsia" w:cstheme="minorEastAsia"/>
                <w:sz w:val="24"/>
              </w:rPr>
            </w:pPr>
          </w:p>
        </w:tc>
        <w:tc>
          <w:tcPr>
            <w:tcW w:w="2160" w:type="dxa"/>
            <w:tcBorders>
              <w:top w:val="single" w:color="auto" w:sz="4" w:space="0"/>
              <w:left w:val="single" w:color="auto" w:sz="4" w:space="0"/>
              <w:bottom w:val="single" w:color="auto" w:sz="4" w:space="0"/>
              <w:right w:val="single" w:color="auto" w:sz="4" w:space="0"/>
            </w:tcBorders>
            <w:shd w:val="clear" w:color="auto" w:fill="FFFFFF"/>
            <w:vAlign w:val="center"/>
          </w:tcPr>
          <w:p w14:paraId="21D180B6">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功率因数</w:t>
            </w:r>
          </w:p>
        </w:tc>
        <w:tc>
          <w:tcPr>
            <w:tcW w:w="4125" w:type="dxa"/>
            <w:tcBorders>
              <w:top w:val="single" w:color="auto" w:sz="4" w:space="0"/>
              <w:left w:val="single" w:color="auto" w:sz="4" w:space="0"/>
              <w:bottom w:val="single" w:color="auto" w:sz="4" w:space="0"/>
              <w:right w:val="single" w:color="auto" w:sz="4" w:space="0"/>
            </w:tcBorders>
            <w:shd w:val="clear" w:color="auto" w:fill="FFFFFF"/>
            <w:vAlign w:val="center"/>
          </w:tcPr>
          <w:p w14:paraId="14221704">
            <w:pP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UPS输出功率因数为1，且0~40℃不降容。</w:t>
            </w:r>
          </w:p>
        </w:tc>
        <w:tc>
          <w:tcPr>
            <w:tcW w:w="1530" w:type="dxa"/>
            <w:tcBorders>
              <w:top w:val="single" w:color="auto" w:sz="4" w:space="0"/>
              <w:left w:val="single" w:color="auto" w:sz="4" w:space="0"/>
              <w:bottom w:val="single" w:color="auto" w:sz="4" w:space="0"/>
              <w:right w:val="single" w:color="auto" w:sz="4" w:space="0"/>
            </w:tcBorders>
            <w:shd w:val="clear" w:color="auto" w:fill="FFFFFF"/>
            <w:vAlign w:val="center"/>
          </w:tcPr>
          <w:p w14:paraId="0F0F4A0A">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628C5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57" w:type="dxa"/>
            <w:tcBorders>
              <w:top w:val="single" w:color="auto" w:sz="4" w:space="0"/>
              <w:left w:val="single" w:color="auto" w:sz="4" w:space="0"/>
              <w:bottom w:val="single" w:color="auto" w:sz="4" w:space="0"/>
              <w:right w:val="single" w:color="auto" w:sz="4" w:space="0"/>
            </w:tcBorders>
            <w:shd w:val="clear" w:color="auto" w:fill="FFFFFF"/>
            <w:vAlign w:val="center"/>
          </w:tcPr>
          <w:p w14:paraId="38515CE7">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10</w:t>
            </w:r>
          </w:p>
        </w:tc>
        <w:tc>
          <w:tcPr>
            <w:tcW w:w="975" w:type="dxa"/>
            <w:tcBorders>
              <w:top w:val="single" w:color="auto" w:sz="4" w:space="0"/>
              <w:left w:val="single" w:color="auto" w:sz="4" w:space="0"/>
              <w:bottom w:val="single" w:color="auto" w:sz="4" w:space="0"/>
              <w:right w:val="single" w:color="auto" w:sz="4" w:space="0"/>
            </w:tcBorders>
            <w:shd w:val="clear" w:color="auto" w:fill="FFFFFF"/>
            <w:vAlign w:val="center"/>
          </w:tcPr>
          <w:p w14:paraId="141C9D14">
            <w:pPr>
              <w:jc w:val="center"/>
              <w:rPr>
                <w:rFonts w:asciiTheme="minorEastAsia" w:hAnsiTheme="minorEastAsia" w:eastAsiaTheme="minorEastAsia" w:cstheme="minorEastAsia"/>
                <w:sz w:val="24"/>
              </w:rPr>
            </w:pPr>
          </w:p>
        </w:tc>
        <w:tc>
          <w:tcPr>
            <w:tcW w:w="2160" w:type="dxa"/>
            <w:tcBorders>
              <w:top w:val="single" w:color="auto" w:sz="4" w:space="0"/>
              <w:left w:val="single" w:color="auto" w:sz="4" w:space="0"/>
              <w:bottom w:val="single" w:color="auto" w:sz="4" w:space="0"/>
              <w:right w:val="single" w:color="auto" w:sz="4" w:space="0"/>
            </w:tcBorders>
            <w:shd w:val="clear" w:color="auto" w:fill="FFFFFF"/>
            <w:vAlign w:val="center"/>
          </w:tcPr>
          <w:p w14:paraId="57E6EA5D">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输出电压相位</w:t>
            </w:r>
          </w:p>
        </w:tc>
        <w:tc>
          <w:tcPr>
            <w:tcW w:w="4125" w:type="dxa"/>
            <w:tcBorders>
              <w:top w:val="single" w:color="auto" w:sz="4" w:space="0"/>
              <w:left w:val="single" w:color="auto" w:sz="4" w:space="0"/>
              <w:bottom w:val="single" w:color="auto" w:sz="4" w:space="0"/>
              <w:right w:val="single" w:color="auto" w:sz="4" w:space="0"/>
            </w:tcBorders>
            <w:shd w:val="clear" w:color="auto" w:fill="FFFFFF"/>
            <w:vAlign w:val="center"/>
          </w:tcPr>
          <w:p w14:paraId="4BD1D90B">
            <w:pPr>
              <w:pStyle w:val="6"/>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输出电压相位偏差在正常工作及电池逆变两种工作状态下，均需≤0.05°。</w:t>
            </w:r>
          </w:p>
        </w:tc>
        <w:tc>
          <w:tcPr>
            <w:tcW w:w="1530" w:type="dxa"/>
            <w:tcBorders>
              <w:top w:val="single" w:color="auto" w:sz="4" w:space="0"/>
              <w:left w:val="single" w:color="auto" w:sz="4" w:space="0"/>
              <w:bottom w:val="single" w:color="auto" w:sz="4" w:space="0"/>
              <w:right w:val="single" w:color="auto" w:sz="4" w:space="0"/>
            </w:tcBorders>
            <w:shd w:val="clear" w:color="auto" w:fill="FFFFFF"/>
            <w:vAlign w:val="center"/>
          </w:tcPr>
          <w:p w14:paraId="28512D36">
            <w:pPr>
              <w:pStyle w:val="6"/>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7550B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79" w:hRule="atLeast"/>
          <w:jc w:val="center"/>
        </w:trPr>
        <w:tc>
          <w:tcPr>
            <w:tcW w:w="757" w:type="dxa"/>
            <w:tcBorders>
              <w:top w:val="single" w:color="auto" w:sz="4" w:space="0"/>
              <w:left w:val="single" w:color="auto" w:sz="4" w:space="0"/>
              <w:bottom w:val="single" w:color="auto" w:sz="4" w:space="0"/>
              <w:right w:val="single" w:color="auto" w:sz="4" w:space="0"/>
            </w:tcBorders>
            <w:shd w:val="clear" w:color="auto" w:fill="FFFFFF"/>
            <w:vAlign w:val="center"/>
          </w:tcPr>
          <w:p w14:paraId="09DFD336">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11</w:t>
            </w:r>
          </w:p>
        </w:tc>
        <w:tc>
          <w:tcPr>
            <w:tcW w:w="975" w:type="dxa"/>
            <w:tcBorders>
              <w:top w:val="single" w:color="auto" w:sz="4" w:space="0"/>
              <w:left w:val="single" w:color="auto" w:sz="4" w:space="0"/>
              <w:bottom w:val="single" w:color="auto" w:sz="4" w:space="0"/>
              <w:right w:val="single" w:color="auto" w:sz="4" w:space="0"/>
            </w:tcBorders>
            <w:shd w:val="clear" w:color="auto" w:fill="FFFFFF"/>
            <w:vAlign w:val="center"/>
          </w:tcPr>
          <w:p w14:paraId="09B8D4E5">
            <w:pPr>
              <w:jc w:val="center"/>
              <w:rPr>
                <w:rFonts w:asciiTheme="minorEastAsia" w:hAnsiTheme="minorEastAsia" w:eastAsiaTheme="minorEastAsia" w:cstheme="minorEastAsia"/>
                <w:sz w:val="24"/>
              </w:rPr>
            </w:pPr>
          </w:p>
        </w:tc>
        <w:tc>
          <w:tcPr>
            <w:tcW w:w="2160" w:type="dxa"/>
            <w:tcBorders>
              <w:top w:val="single" w:color="auto" w:sz="4" w:space="0"/>
              <w:left w:val="single" w:color="auto" w:sz="4" w:space="0"/>
              <w:bottom w:val="single" w:color="auto" w:sz="4" w:space="0"/>
              <w:right w:val="single" w:color="auto" w:sz="4" w:space="0"/>
            </w:tcBorders>
            <w:shd w:val="clear" w:color="auto" w:fill="FFFFFF"/>
            <w:vAlign w:val="center"/>
          </w:tcPr>
          <w:p w14:paraId="7220DB6B">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旁路逆变切换时间</w:t>
            </w:r>
          </w:p>
        </w:tc>
        <w:tc>
          <w:tcPr>
            <w:tcW w:w="4125" w:type="dxa"/>
            <w:tcBorders>
              <w:top w:val="single" w:color="auto" w:sz="4" w:space="0"/>
              <w:left w:val="single" w:color="auto" w:sz="4" w:space="0"/>
              <w:bottom w:val="single" w:color="auto" w:sz="4" w:space="0"/>
              <w:right w:val="single" w:color="auto" w:sz="4" w:space="0"/>
            </w:tcBorders>
            <w:shd w:val="clear" w:color="auto" w:fill="FFFFFF"/>
            <w:vAlign w:val="center"/>
          </w:tcPr>
          <w:p w14:paraId="506FC750">
            <w:pPr>
              <w:pStyle w:val="6"/>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旁路逆变切换时间:从逆变器停止工作时起，到电网直接供电时止或从电网直接供电起到恢复逆变器工作时止所需要的时间&lt;2ms。</w:t>
            </w:r>
          </w:p>
        </w:tc>
        <w:tc>
          <w:tcPr>
            <w:tcW w:w="1530" w:type="dxa"/>
            <w:tcBorders>
              <w:top w:val="single" w:color="auto" w:sz="4" w:space="0"/>
              <w:left w:val="single" w:color="auto" w:sz="4" w:space="0"/>
              <w:bottom w:val="single" w:color="auto" w:sz="4" w:space="0"/>
              <w:right w:val="single" w:color="auto" w:sz="4" w:space="0"/>
            </w:tcBorders>
            <w:shd w:val="clear" w:color="auto" w:fill="FFFFFF"/>
            <w:vAlign w:val="center"/>
          </w:tcPr>
          <w:p w14:paraId="26A389D7">
            <w:pPr>
              <w:pStyle w:val="6"/>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02674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79" w:hRule="atLeast"/>
          <w:jc w:val="center"/>
        </w:trPr>
        <w:tc>
          <w:tcPr>
            <w:tcW w:w="757" w:type="dxa"/>
            <w:tcBorders>
              <w:top w:val="single" w:color="auto" w:sz="4" w:space="0"/>
              <w:left w:val="single" w:color="auto" w:sz="4" w:space="0"/>
              <w:bottom w:val="single" w:color="auto" w:sz="4" w:space="0"/>
              <w:right w:val="single" w:color="auto" w:sz="4" w:space="0"/>
            </w:tcBorders>
            <w:shd w:val="clear" w:color="auto" w:fill="FFFFFF"/>
            <w:vAlign w:val="center"/>
          </w:tcPr>
          <w:p w14:paraId="53E13B77">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12</w:t>
            </w:r>
          </w:p>
        </w:tc>
        <w:tc>
          <w:tcPr>
            <w:tcW w:w="975" w:type="dxa"/>
            <w:tcBorders>
              <w:top w:val="single" w:color="auto" w:sz="4" w:space="0"/>
              <w:left w:val="single" w:color="auto" w:sz="4" w:space="0"/>
              <w:bottom w:val="single" w:color="auto" w:sz="4" w:space="0"/>
              <w:right w:val="single" w:color="auto" w:sz="4" w:space="0"/>
            </w:tcBorders>
            <w:shd w:val="clear" w:color="auto" w:fill="FFFFFF"/>
            <w:vAlign w:val="center"/>
          </w:tcPr>
          <w:p w14:paraId="0B7B1B8A">
            <w:pPr>
              <w:jc w:val="center"/>
              <w:rPr>
                <w:rFonts w:asciiTheme="minorEastAsia" w:hAnsiTheme="minorEastAsia" w:eastAsiaTheme="minorEastAsia" w:cstheme="minorEastAsia"/>
                <w:sz w:val="24"/>
              </w:rPr>
            </w:pPr>
          </w:p>
        </w:tc>
        <w:tc>
          <w:tcPr>
            <w:tcW w:w="2160" w:type="dxa"/>
            <w:tcBorders>
              <w:top w:val="single" w:color="auto" w:sz="4" w:space="0"/>
              <w:left w:val="single" w:color="auto" w:sz="4" w:space="0"/>
              <w:bottom w:val="single" w:color="auto" w:sz="4" w:space="0"/>
              <w:right w:val="single" w:color="auto" w:sz="4" w:space="0"/>
            </w:tcBorders>
            <w:shd w:val="clear" w:color="auto" w:fill="FFFFFF"/>
            <w:vAlign w:val="center"/>
          </w:tcPr>
          <w:p w14:paraId="39C076A5">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监控要求</w:t>
            </w:r>
          </w:p>
        </w:tc>
        <w:tc>
          <w:tcPr>
            <w:tcW w:w="4125" w:type="dxa"/>
            <w:tcBorders>
              <w:top w:val="single" w:color="auto" w:sz="4" w:space="0"/>
              <w:left w:val="single" w:color="auto" w:sz="4" w:space="0"/>
              <w:bottom w:val="single" w:color="auto" w:sz="4" w:space="0"/>
              <w:right w:val="single" w:color="auto" w:sz="4" w:space="0"/>
            </w:tcBorders>
            <w:shd w:val="clear" w:color="auto" w:fill="FFFFFF"/>
            <w:vAlign w:val="center"/>
          </w:tcPr>
          <w:p w14:paraId="4AA5EC22">
            <w:pP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1.设备应能提供全中文监控及操作界面和全中文远程监控管理彩屏，且具有智能运维向导软件，为现场人员提供及时高效的检修建议。</w:t>
            </w:r>
          </w:p>
          <w:p w14:paraId="025BF81B">
            <w:pP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2.系统应具备风扇等易损件的智能预告警功能，方便提前运维。</w:t>
            </w:r>
          </w:p>
        </w:tc>
        <w:tc>
          <w:tcPr>
            <w:tcW w:w="1530" w:type="dxa"/>
            <w:tcBorders>
              <w:top w:val="single" w:color="auto" w:sz="4" w:space="0"/>
              <w:left w:val="single" w:color="auto" w:sz="4" w:space="0"/>
              <w:bottom w:val="single" w:color="auto" w:sz="4" w:space="0"/>
              <w:right w:val="single" w:color="auto" w:sz="4" w:space="0"/>
            </w:tcBorders>
            <w:shd w:val="clear" w:color="auto" w:fill="FFFFFF"/>
            <w:vAlign w:val="center"/>
          </w:tcPr>
          <w:p w14:paraId="36422619">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22B50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57" w:type="dxa"/>
            <w:tcBorders>
              <w:top w:val="single" w:color="auto" w:sz="4" w:space="0"/>
              <w:left w:val="single" w:color="auto" w:sz="4" w:space="0"/>
              <w:bottom w:val="single" w:color="auto" w:sz="4" w:space="0"/>
              <w:right w:val="single" w:color="auto" w:sz="4" w:space="0"/>
            </w:tcBorders>
            <w:shd w:val="clear" w:color="auto" w:fill="FFFFFF"/>
            <w:vAlign w:val="center"/>
          </w:tcPr>
          <w:p w14:paraId="744D21C1">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13</w:t>
            </w:r>
          </w:p>
        </w:tc>
        <w:tc>
          <w:tcPr>
            <w:tcW w:w="975" w:type="dxa"/>
            <w:tcBorders>
              <w:top w:val="single" w:color="auto" w:sz="4" w:space="0"/>
              <w:left w:val="single" w:color="auto" w:sz="4" w:space="0"/>
              <w:bottom w:val="single" w:color="auto" w:sz="4" w:space="0"/>
              <w:right w:val="single" w:color="auto" w:sz="4" w:space="0"/>
            </w:tcBorders>
            <w:shd w:val="clear" w:color="auto" w:fill="FFFFFF"/>
            <w:vAlign w:val="center"/>
          </w:tcPr>
          <w:p w14:paraId="33292547">
            <w:pPr>
              <w:jc w:val="center"/>
              <w:rPr>
                <w:rFonts w:asciiTheme="minorEastAsia" w:hAnsiTheme="minorEastAsia" w:eastAsiaTheme="minorEastAsia" w:cstheme="minorEastAsia"/>
                <w:sz w:val="24"/>
              </w:rPr>
            </w:pPr>
          </w:p>
        </w:tc>
        <w:tc>
          <w:tcPr>
            <w:tcW w:w="2160" w:type="dxa"/>
            <w:tcBorders>
              <w:top w:val="single" w:color="auto" w:sz="4" w:space="0"/>
              <w:left w:val="single" w:color="auto" w:sz="4" w:space="0"/>
              <w:bottom w:val="single" w:color="auto" w:sz="4" w:space="0"/>
              <w:right w:val="single" w:color="auto" w:sz="4" w:space="0"/>
            </w:tcBorders>
            <w:shd w:val="clear" w:color="auto" w:fill="FFFFFF"/>
            <w:vAlign w:val="center"/>
          </w:tcPr>
          <w:p w14:paraId="6CCFC847">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机械性能</w:t>
            </w:r>
          </w:p>
        </w:tc>
        <w:tc>
          <w:tcPr>
            <w:tcW w:w="4125" w:type="dxa"/>
            <w:tcBorders>
              <w:top w:val="single" w:color="auto" w:sz="4" w:space="0"/>
              <w:left w:val="single" w:color="auto" w:sz="4" w:space="0"/>
              <w:bottom w:val="single" w:color="auto" w:sz="4" w:space="0"/>
              <w:right w:val="single" w:color="auto" w:sz="4" w:space="0"/>
            </w:tcBorders>
            <w:shd w:val="clear" w:color="auto" w:fill="FFFFFF"/>
            <w:vAlign w:val="center"/>
          </w:tcPr>
          <w:p w14:paraId="4163027A">
            <w:pP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外观工艺、检查：机柜表面喷涂均匀、无破损；信号灯、开关、测量显示装置布局合理。</w:t>
            </w:r>
          </w:p>
          <w:p w14:paraId="417F4847">
            <w:pP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UPS功率模块内部散热风道要求采用独立风道设计，防止灰尘积累导致短路、拉弧等故障发生。</w:t>
            </w:r>
          </w:p>
        </w:tc>
        <w:tc>
          <w:tcPr>
            <w:tcW w:w="1530" w:type="dxa"/>
            <w:tcBorders>
              <w:top w:val="single" w:color="auto" w:sz="4" w:space="0"/>
              <w:left w:val="single" w:color="auto" w:sz="4" w:space="0"/>
              <w:bottom w:val="single" w:color="auto" w:sz="4" w:space="0"/>
              <w:right w:val="single" w:color="auto" w:sz="4" w:space="0"/>
            </w:tcBorders>
            <w:shd w:val="clear" w:color="auto" w:fill="FFFFFF"/>
            <w:vAlign w:val="center"/>
          </w:tcPr>
          <w:p w14:paraId="4C74D60A">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2100D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57" w:type="dxa"/>
            <w:tcBorders>
              <w:top w:val="single" w:color="auto" w:sz="4" w:space="0"/>
              <w:left w:val="single" w:color="auto" w:sz="4" w:space="0"/>
              <w:bottom w:val="single" w:color="auto" w:sz="4" w:space="0"/>
              <w:right w:val="single" w:color="auto" w:sz="4" w:space="0"/>
            </w:tcBorders>
            <w:shd w:val="clear" w:color="auto" w:fill="FFFFFF"/>
            <w:vAlign w:val="center"/>
          </w:tcPr>
          <w:p w14:paraId="5ABDDD31">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14</w:t>
            </w:r>
          </w:p>
        </w:tc>
        <w:tc>
          <w:tcPr>
            <w:tcW w:w="975" w:type="dxa"/>
            <w:tcBorders>
              <w:top w:val="single" w:color="auto" w:sz="4" w:space="0"/>
              <w:left w:val="single" w:color="auto" w:sz="4" w:space="0"/>
              <w:bottom w:val="single" w:color="auto" w:sz="4" w:space="0"/>
              <w:right w:val="single" w:color="auto" w:sz="4" w:space="0"/>
            </w:tcBorders>
            <w:shd w:val="clear" w:color="auto" w:fill="FFFFFF"/>
            <w:vAlign w:val="center"/>
          </w:tcPr>
          <w:p w14:paraId="56580AD9">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160" w:type="dxa"/>
            <w:tcBorders>
              <w:top w:val="single" w:color="auto" w:sz="4" w:space="0"/>
              <w:left w:val="single" w:color="auto" w:sz="4" w:space="0"/>
              <w:bottom w:val="single" w:color="auto" w:sz="4" w:space="0"/>
              <w:right w:val="single" w:color="auto" w:sz="4" w:space="0"/>
            </w:tcBorders>
            <w:shd w:val="clear" w:color="auto" w:fill="FFFFFF"/>
            <w:vAlign w:val="center"/>
          </w:tcPr>
          <w:p w14:paraId="1EA3CB59">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抗震要求</w:t>
            </w:r>
          </w:p>
        </w:tc>
        <w:tc>
          <w:tcPr>
            <w:tcW w:w="4125" w:type="dxa"/>
            <w:tcBorders>
              <w:top w:val="single" w:color="auto" w:sz="4" w:space="0"/>
              <w:left w:val="single" w:color="auto" w:sz="4" w:space="0"/>
              <w:bottom w:val="single" w:color="auto" w:sz="4" w:space="0"/>
              <w:right w:val="single" w:color="auto" w:sz="4" w:space="0"/>
            </w:tcBorders>
            <w:shd w:val="clear" w:color="auto" w:fill="FFFFFF"/>
            <w:vAlign w:val="center"/>
          </w:tcPr>
          <w:p w14:paraId="23D0BB5B">
            <w:pPr>
              <w:pStyle w:val="6"/>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通过8、9烈度抗震性能检测。需提供</w:t>
            </w:r>
            <w:r>
              <w:t>国家认可的认证（检测）机构出具认证证书（检测报告）</w:t>
            </w:r>
          </w:p>
        </w:tc>
        <w:tc>
          <w:tcPr>
            <w:tcW w:w="1530" w:type="dxa"/>
            <w:tcBorders>
              <w:top w:val="single" w:color="auto" w:sz="4" w:space="0"/>
              <w:left w:val="single" w:color="auto" w:sz="4" w:space="0"/>
              <w:bottom w:val="single" w:color="auto" w:sz="4" w:space="0"/>
              <w:right w:val="single" w:color="auto" w:sz="4" w:space="0"/>
            </w:tcBorders>
            <w:shd w:val="clear" w:color="auto" w:fill="FFFFFF"/>
            <w:vAlign w:val="center"/>
          </w:tcPr>
          <w:p w14:paraId="4A0AB11E">
            <w:pPr>
              <w:pStyle w:val="6"/>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bl>
    <w:p w14:paraId="06A5C981">
      <w:pPr>
        <w:rPr>
          <w:rFonts w:asciiTheme="minorEastAsia" w:hAnsiTheme="minorEastAsia" w:eastAsiaTheme="minorEastAsia" w:cstheme="minorEastAsia"/>
          <w:sz w:val="24"/>
        </w:rPr>
      </w:pPr>
    </w:p>
    <w:p w14:paraId="0332DCE7">
      <w:pPr>
        <w:pStyle w:val="2"/>
        <w:numPr>
          <w:ilvl w:val="0"/>
          <w:numId w:val="2"/>
        </w:numPr>
        <w:ind w:left="442" w:hanging="442"/>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UPS主机(120KVA）</w:t>
      </w:r>
    </w:p>
    <w:tbl>
      <w:tblPr>
        <w:tblStyle w:val="15"/>
        <w:tblW w:w="94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750"/>
        <w:gridCol w:w="1076"/>
        <w:gridCol w:w="2145"/>
        <w:gridCol w:w="3940"/>
        <w:gridCol w:w="1536"/>
      </w:tblGrid>
      <w:tr w14:paraId="049AB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7354BDCB">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序号</w:t>
            </w:r>
          </w:p>
        </w:tc>
        <w:tc>
          <w:tcPr>
            <w:tcW w:w="1076" w:type="dxa"/>
            <w:tcBorders>
              <w:top w:val="single" w:color="auto" w:sz="4" w:space="0"/>
              <w:left w:val="single" w:color="auto" w:sz="4" w:space="0"/>
              <w:bottom w:val="single" w:color="auto" w:sz="4" w:space="0"/>
              <w:right w:val="single" w:color="auto" w:sz="4" w:space="0"/>
            </w:tcBorders>
            <w:shd w:val="clear" w:color="auto" w:fill="FFFFFF"/>
            <w:vAlign w:val="center"/>
          </w:tcPr>
          <w:p w14:paraId="70ED6BA7">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重要性</w:t>
            </w:r>
          </w:p>
        </w:tc>
        <w:tc>
          <w:tcPr>
            <w:tcW w:w="2145" w:type="dxa"/>
            <w:tcBorders>
              <w:top w:val="single" w:color="auto" w:sz="4" w:space="0"/>
              <w:left w:val="single" w:color="auto" w:sz="4" w:space="0"/>
              <w:bottom w:val="single" w:color="auto" w:sz="4" w:space="0"/>
              <w:right w:val="single" w:color="auto" w:sz="4" w:space="0"/>
            </w:tcBorders>
            <w:shd w:val="clear" w:color="auto" w:fill="FFFFFF"/>
            <w:vAlign w:val="center"/>
          </w:tcPr>
          <w:p w14:paraId="22EFCF67">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指标项</w:t>
            </w:r>
          </w:p>
        </w:tc>
        <w:tc>
          <w:tcPr>
            <w:tcW w:w="3940" w:type="dxa"/>
            <w:tcBorders>
              <w:top w:val="single" w:color="auto" w:sz="4" w:space="0"/>
              <w:left w:val="single" w:color="auto" w:sz="4" w:space="0"/>
              <w:bottom w:val="single" w:color="auto" w:sz="4" w:space="0"/>
              <w:right w:val="single" w:color="auto" w:sz="4" w:space="0"/>
            </w:tcBorders>
            <w:shd w:val="clear" w:color="auto" w:fill="FFFFFF"/>
            <w:vAlign w:val="center"/>
          </w:tcPr>
          <w:p w14:paraId="30BC7098">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指标要求</w:t>
            </w:r>
          </w:p>
        </w:tc>
        <w:tc>
          <w:tcPr>
            <w:tcW w:w="1536" w:type="dxa"/>
            <w:tcBorders>
              <w:top w:val="single" w:color="auto" w:sz="4" w:space="0"/>
              <w:left w:val="single" w:color="auto" w:sz="4" w:space="0"/>
              <w:bottom w:val="single" w:color="auto" w:sz="4" w:space="0"/>
              <w:right w:val="single" w:color="auto" w:sz="4" w:space="0"/>
            </w:tcBorders>
            <w:shd w:val="clear" w:color="auto" w:fill="FFFFFF"/>
            <w:vAlign w:val="center"/>
          </w:tcPr>
          <w:p w14:paraId="29DF2ED3">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是否提供证明材料</w:t>
            </w:r>
          </w:p>
        </w:tc>
      </w:tr>
      <w:tr w14:paraId="2554D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7A07D46D">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1076" w:type="dxa"/>
            <w:tcBorders>
              <w:top w:val="single" w:color="auto" w:sz="4" w:space="0"/>
              <w:left w:val="single" w:color="auto" w:sz="4" w:space="0"/>
              <w:bottom w:val="single" w:color="auto" w:sz="4" w:space="0"/>
              <w:right w:val="single" w:color="auto" w:sz="4" w:space="0"/>
            </w:tcBorders>
            <w:shd w:val="clear" w:color="auto" w:fill="FFFFFF"/>
            <w:vAlign w:val="center"/>
          </w:tcPr>
          <w:p w14:paraId="037537A3">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145" w:type="dxa"/>
            <w:tcBorders>
              <w:top w:val="single" w:color="auto" w:sz="4" w:space="0"/>
              <w:left w:val="single" w:color="auto" w:sz="4" w:space="0"/>
              <w:bottom w:val="single" w:color="auto" w:sz="4" w:space="0"/>
              <w:right w:val="single" w:color="auto" w:sz="4" w:space="0"/>
            </w:tcBorders>
            <w:shd w:val="clear" w:color="auto" w:fill="FFFFFF"/>
            <w:vAlign w:val="center"/>
          </w:tcPr>
          <w:p w14:paraId="4248E627">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容量要求</w:t>
            </w:r>
          </w:p>
        </w:tc>
        <w:tc>
          <w:tcPr>
            <w:tcW w:w="3940" w:type="dxa"/>
            <w:tcBorders>
              <w:top w:val="single" w:color="auto" w:sz="4" w:space="0"/>
              <w:left w:val="single" w:color="auto" w:sz="4" w:space="0"/>
              <w:bottom w:val="single" w:color="auto" w:sz="4" w:space="0"/>
              <w:right w:val="single" w:color="auto" w:sz="4" w:space="0"/>
            </w:tcBorders>
            <w:shd w:val="clear" w:color="auto" w:fill="FFFFFF"/>
            <w:vAlign w:val="center"/>
          </w:tcPr>
          <w:p w14:paraId="39CA6EA8">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模块化UPS电源系统，单个功率模块不低于40kVA，单系统容量不低于120kVA。</w:t>
            </w:r>
          </w:p>
        </w:tc>
        <w:tc>
          <w:tcPr>
            <w:tcW w:w="1536" w:type="dxa"/>
            <w:tcBorders>
              <w:top w:val="single" w:color="auto" w:sz="4" w:space="0"/>
              <w:left w:val="single" w:color="auto" w:sz="4" w:space="0"/>
              <w:bottom w:val="single" w:color="auto" w:sz="4" w:space="0"/>
              <w:right w:val="single" w:color="auto" w:sz="4" w:space="0"/>
            </w:tcBorders>
            <w:shd w:val="clear" w:color="auto" w:fill="FFFFFF"/>
            <w:vAlign w:val="center"/>
          </w:tcPr>
          <w:p w14:paraId="089277ED">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4162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7B688EE7">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w:t>
            </w:r>
          </w:p>
        </w:tc>
        <w:tc>
          <w:tcPr>
            <w:tcW w:w="1076" w:type="dxa"/>
            <w:tcBorders>
              <w:top w:val="single" w:color="auto" w:sz="4" w:space="0"/>
              <w:left w:val="single" w:color="auto" w:sz="4" w:space="0"/>
              <w:bottom w:val="single" w:color="auto" w:sz="4" w:space="0"/>
              <w:right w:val="single" w:color="auto" w:sz="4" w:space="0"/>
            </w:tcBorders>
            <w:shd w:val="clear" w:color="auto" w:fill="FFFFFF"/>
            <w:vAlign w:val="center"/>
          </w:tcPr>
          <w:p w14:paraId="28A71748">
            <w:pPr>
              <w:spacing w:line="276" w:lineRule="auto"/>
              <w:jc w:val="center"/>
              <w:rPr>
                <w:rFonts w:asciiTheme="minorEastAsia" w:hAnsiTheme="minorEastAsia" w:eastAsiaTheme="minorEastAsia" w:cstheme="minorEastAsia"/>
                <w:sz w:val="24"/>
              </w:rPr>
            </w:pPr>
          </w:p>
        </w:tc>
        <w:tc>
          <w:tcPr>
            <w:tcW w:w="2145" w:type="dxa"/>
            <w:tcBorders>
              <w:top w:val="single" w:color="auto" w:sz="4" w:space="0"/>
              <w:left w:val="single" w:color="auto" w:sz="4" w:space="0"/>
              <w:bottom w:val="single" w:color="auto" w:sz="4" w:space="0"/>
              <w:right w:val="single" w:color="auto" w:sz="4" w:space="0"/>
            </w:tcBorders>
            <w:shd w:val="clear" w:color="auto" w:fill="FFFFFF"/>
            <w:vAlign w:val="center"/>
          </w:tcPr>
          <w:p w14:paraId="2BCBD418">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基本要求</w:t>
            </w:r>
          </w:p>
        </w:tc>
        <w:tc>
          <w:tcPr>
            <w:tcW w:w="3940" w:type="dxa"/>
            <w:tcBorders>
              <w:top w:val="single" w:color="auto" w:sz="4" w:space="0"/>
              <w:left w:val="single" w:color="auto" w:sz="4" w:space="0"/>
              <w:bottom w:val="single" w:color="auto" w:sz="4" w:space="0"/>
              <w:right w:val="single" w:color="auto" w:sz="4" w:space="0"/>
            </w:tcBorders>
            <w:shd w:val="clear" w:color="auto" w:fill="FFFFFF"/>
            <w:vAlign w:val="center"/>
          </w:tcPr>
          <w:p w14:paraId="7AAEBF75">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UPS标准内置输入、输出和维修旁路塑壳断路器开关。</w:t>
            </w:r>
          </w:p>
        </w:tc>
        <w:tc>
          <w:tcPr>
            <w:tcW w:w="1536" w:type="dxa"/>
            <w:tcBorders>
              <w:top w:val="single" w:color="auto" w:sz="4" w:space="0"/>
              <w:left w:val="single" w:color="auto" w:sz="4" w:space="0"/>
              <w:bottom w:val="single" w:color="auto" w:sz="4" w:space="0"/>
              <w:right w:val="single" w:color="auto" w:sz="4" w:space="0"/>
            </w:tcBorders>
            <w:shd w:val="clear" w:color="auto" w:fill="FFFFFF"/>
            <w:vAlign w:val="center"/>
          </w:tcPr>
          <w:p w14:paraId="3F8BF6F2">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76CBF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79"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6C997372">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w:t>
            </w:r>
          </w:p>
        </w:tc>
        <w:tc>
          <w:tcPr>
            <w:tcW w:w="1076" w:type="dxa"/>
            <w:tcBorders>
              <w:top w:val="single" w:color="auto" w:sz="4" w:space="0"/>
              <w:left w:val="single" w:color="auto" w:sz="4" w:space="0"/>
              <w:bottom w:val="single" w:color="auto" w:sz="4" w:space="0"/>
              <w:right w:val="single" w:color="auto" w:sz="4" w:space="0"/>
            </w:tcBorders>
            <w:shd w:val="clear" w:color="auto" w:fill="FFFFFF"/>
            <w:vAlign w:val="center"/>
          </w:tcPr>
          <w:p w14:paraId="061780A5">
            <w:pPr>
              <w:spacing w:line="276" w:lineRule="auto"/>
              <w:jc w:val="center"/>
              <w:rPr>
                <w:rFonts w:asciiTheme="minorEastAsia" w:hAnsiTheme="minorEastAsia" w:eastAsiaTheme="minorEastAsia" w:cstheme="minorEastAsia"/>
                <w:sz w:val="24"/>
              </w:rPr>
            </w:pPr>
          </w:p>
        </w:tc>
        <w:tc>
          <w:tcPr>
            <w:tcW w:w="2145" w:type="dxa"/>
            <w:tcBorders>
              <w:top w:val="single" w:color="auto" w:sz="4" w:space="0"/>
              <w:left w:val="single" w:color="auto" w:sz="4" w:space="0"/>
              <w:bottom w:val="single" w:color="auto" w:sz="4" w:space="0"/>
              <w:right w:val="single" w:color="auto" w:sz="4" w:space="0"/>
            </w:tcBorders>
            <w:shd w:val="clear" w:color="auto" w:fill="FFFFFF"/>
            <w:vAlign w:val="center"/>
          </w:tcPr>
          <w:p w14:paraId="62148669">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结构防护等级要求</w:t>
            </w:r>
          </w:p>
        </w:tc>
        <w:tc>
          <w:tcPr>
            <w:tcW w:w="3940" w:type="dxa"/>
            <w:tcBorders>
              <w:top w:val="single" w:color="auto" w:sz="4" w:space="0"/>
              <w:left w:val="single" w:color="auto" w:sz="4" w:space="0"/>
              <w:bottom w:val="single" w:color="auto" w:sz="4" w:space="0"/>
              <w:right w:val="single" w:color="auto" w:sz="4" w:space="0"/>
            </w:tcBorders>
            <w:shd w:val="clear" w:color="auto" w:fill="FFFFFF"/>
            <w:vAlign w:val="center"/>
          </w:tcPr>
          <w:p w14:paraId="67D65C76">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需满足IP20防护等级。</w:t>
            </w:r>
          </w:p>
        </w:tc>
        <w:tc>
          <w:tcPr>
            <w:tcW w:w="1536" w:type="dxa"/>
            <w:tcBorders>
              <w:top w:val="single" w:color="auto" w:sz="4" w:space="0"/>
              <w:left w:val="single" w:color="auto" w:sz="4" w:space="0"/>
              <w:bottom w:val="single" w:color="auto" w:sz="4" w:space="0"/>
              <w:right w:val="single" w:color="auto" w:sz="4" w:space="0"/>
            </w:tcBorders>
            <w:shd w:val="clear" w:color="auto" w:fill="FFFFFF"/>
            <w:vAlign w:val="center"/>
          </w:tcPr>
          <w:p w14:paraId="20135FB4">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1B3E5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3A4C31D7">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w:t>
            </w:r>
          </w:p>
        </w:tc>
        <w:tc>
          <w:tcPr>
            <w:tcW w:w="1076" w:type="dxa"/>
            <w:tcBorders>
              <w:top w:val="single" w:color="auto" w:sz="4" w:space="0"/>
              <w:left w:val="single" w:color="auto" w:sz="4" w:space="0"/>
              <w:bottom w:val="single" w:color="auto" w:sz="4" w:space="0"/>
              <w:right w:val="single" w:color="auto" w:sz="4" w:space="0"/>
            </w:tcBorders>
            <w:shd w:val="clear" w:color="auto" w:fill="FFFFFF"/>
            <w:vAlign w:val="center"/>
          </w:tcPr>
          <w:p w14:paraId="13449BEB">
            <w:pPr>
              <w:spacing w:line="276" w:lineRule="auto"/>
              <w:jc w:val="center"/>
              <w:rPr>
                <w:rFonts w:asciiTheme="minorEastAsia" w:hAnsiTheme="minorEastAsia" w:eastAsiaTheme="minorEastAsia" w:cstheme="minorEastAsia"/>
                <w:sz w:val="24"/>
              </w:rPr>
            </w:pPr>
          </w:p>
        </w:tc>
        <w:tc>
          <w:tcPr>
            <w:tcW w:w="2145" w:type="dxa"/>
            <w:tcBorders>
              <w:top w:val="single" w:color="auto" w:sz="4" w:space="0"/>
              <w:left w:val="single" w:color="auto" w:sz="4" w:space="0"/>
              <w:bottom w:val="single" w:color="auto" w:sz="4" w:space="0"/>
              <w:right w:val="single" w:color="auto" w:sz="4" w:space="0"/>
            </w:tcBorders>
            <w:shd w:val="clear" w:color="auto" w:fill="FFFFFF"/>
            <w:vAlign w:val="center"/>
          </w:tcPr>
          <w:p w14:paraId="139A0356">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输入谐波含量要求</w:t>
            </w:r>
          </w:p>
        </w:tc>
        <w:tc>
          <w:tcPr>
            <w:tcW w:w="3940" w:type="dxa"/>
            <w:tcBorders>
              <w:top w:val="single" w:color="auto" w:sz="4" w:space="0"/>
              <w:left w:val="single" w:color="auto" w:sz="4" w:space="0"/>
              <w:bottom w:val="single" w:color="auto" w:sz="4" w:space="0"/>
              <w:right w:val="single" w:color="auto" w:sz="4" w:space="0"/>
            </w:tcBorders>
            <w:shd w:val="clear" w:color="auto" w:fill="FFFFFF"/>
            <w:vAlign w:val="center"/>
          </w:tcPr>
          <w:p w14:paraId="4C39B1E3">
            <w:pPr>
              <w:pStyle w:val="6"/>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整流器输入性能应符合满足YD/T 2165-2010《通信用模块化不间断电源》标准要求。25%～100%负载率下，UPS输入谐波电流总含量要求≤3%。</w:t>
            </w:r>
          </w:p>
        </w:tc>
        <w:tc>
          <w:tcPr>
            <w:tcW w:w="1536" w:type="dxa"/>
            <w:tcBorders>
              <w:top w:val="single" w:color="auto" w:sz="4" w:space="0"/>
              <w:left w:val="single" w:color="auto" w:sz="4" w:space="0"/>
              <w:bottom w:val="single" w:color="auto" w:sz="4" w:space="0"/>
              <w:right w:val="single" w:color="auto" w:sz="4" w:space="0"/>
            </w:tcBorders>
            <w:shd w:val="clear" w:color="auto" w:fill="FFFFFF"/>
            <w:vAlign w:val="center"/>
          </w:tcPr>
          <w:p w14:paraId="72FE5FB4">
            <w:pPr>
              <w:pStyle w:val="6"/>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459C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07147E97">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w:t>
            </w:r>
          </w:p>
        </w:tc>
        <w:tc>
          <w:tcPr>
            <w:tcW w:w="1076" w:type="dxa"/>
            <w:tcBorders>
              <w:top w:val="single" w:color="auto" w:sz="4" w:space="0"/>
              <w:left w:val="single" w:color="auto" w:sz="4" w:space="0"/>
              <w:bottom w:val="single" w:color="auto" w:sz="4" w:space="0"/>
              <w:right w:val="single" w:color="auto" w:sz="4" w:space="0"/>
            </w:tcBorders>
            <w:shd w:val="clear" w:color="auto" w:fill="FFFFFF"/>
            <w:vAlign w:val="center"/>
          </w:tcPr>
          <w:p w14:paraId="182E344B">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145" w:type="dxa"/>
            <w:tcBorders>
              <w:top w:val="single" w:color="auto" w:sz="4" w:space="0"/>
              <w:left w:val="single" w:color="auto" w:sz="4" w:space="0"/>
              <w:bottom w:val="single" w:color="auto" w:sz="4" w:space="0"/>
              <w:right w:val="single" w:color="auto" w:sz="4" w:space="0"/>
            </w:tcBorders>
            <w:shd w:val="clear" w:color="auto" w:fill="FFFFFF"/>
            <w:vAlign w:val="center"/>
          </w:tcPr>
          <w:p w14:paraId="23513EE7">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系统效率</w:t>
            </w:r>
          </w:p>
        </w:tc>
        <w:tc>
          <w:tcPr>
            <w:tcW w:w="3940" w:type="dxa"/>
            <w:tcBorders>
              <w:top w:val="single" w:color="auto" w:sz="4" w:space="0"/>
              <w:left w:val="single" w:color="auto" w:sz="4" w:space="0"/>
              <w:bottom w:val="single" w:color="auto" w:sz="4" w:space="0"/>
              <w:right w:val="single" w:color="auto" w:sz="4" w:space="0"/>
            </w:tcBorders>
            <w:shd w:val="clear" w:color="auto" w:fill="FFFFFF"/>
            <w:vAlign w:val="center"/>
          </w:tcPr>
          <w:p w14:paraId="62CAFBD1">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市电模式下，UPS系统在线逆变系统效率如下：</w:t>
            </w:r>
          </w:p>
          <w:p w14:paraId="73AC188E">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100%负载下，系统效率&gt;96%；50%负载下，系统效率&gt;96.5%；25%负载下，系统效率&gt;95.5%。需提供国家认可的检测机构出具检测报告。</w:t>
            </w:r>
          </w:p>
        </w:tc>
        <w:tc>
          <w:tcPr>
            <w:tcW w:w="1536" w:type="dxa"/>
            <w:tcBorders>
              <w:top w:val="single" w:color="auto" w:sz="4" w:space="0"/>
              <w:left w:val="single" w:color="auto" w:sz="4" w:space="0"/>
              <w:bottom w:val="single" w:color="auto" w:sz="4" w:space="0"/>
              <w:right w:val="single" w:color="auto" w:sz="4" w:space="0"/>
            </w:tcBorders>
            <w:shd w:val="clear" w:color="auto" w:fill="FFFFFF"/>
            <w:vAlign w:val="center"/>
          </w:tcPr>
          <w:p w14:paraId="49269DAA">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72E15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1DFC3D98">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6</w:t>
            </w:r>
          </w:p>
        </w:tc>
        <w:tc>
          <w:tcPr>
            <w:tcW w:w="1076" w:type="dxa"/>
            <w:tcBorders>
              <w:top w:val="single" w:color="auto" w:sz="4" w:space="0"/>
              <w:left w:val="single" w:color="auto" w:sz="4" w:space="0"/>
              <w:bottom w:val="single" w:color="auto" w:sz="4" w:space="0"/>
              <w:right w:val="single" w:color="auto" w:sz="4" w:space="0"/>
            </w:tcBorders>
            <w:shd w:val="clear" w:color="auto" w:fill="FFFFFF"/>
            <w:vAlign w:val="center"/>
          </w:tcPr>
          <w:p w14:paraId="1E771F21">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145" w:type="dxa"/>
            <w:tcBorders>
              <w:top w:val="single" w:color="auto" w:sz="4" w:space="0"/>
              <w:left w:val="single" w:color="auto" w:sz="4" w:space="0"/>
              <w:bottom w:val="single" w:color="auto" w:sz="4" w:space="0"/>
              <w:right w:val="single" w:color="auto" w:sz="4" w:space="0"/>
            </w:tcBorders>
            <w:shd w:val="clear" w:color="auto" w:fill="FFFFFF"/>
            <w:vAlign w:val="center"/>
          </w:tcPr>
          <w:p w14:paraId="10C9E01F">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过载能力要求</w:t>
            </w:r>
          </w:p>
        </w:tc>
        <w:tc>
          <w:tcPr>
            <w:tcW w:w="3940" w:type="dxa"/>
            <w:tcBorders>
              <w:top w:val="single" w:color="auto" w:sz="4" w:space="0"/>
              <w:left w:val="single" w:color="auto" w:sz="4" w:space="0"/>
              <w:bottom w:val="single" w:color="auto" w:sz="4" w:space="0"/>
              <w:right w:val="single" w:color="auto" w:sz="4" w:space="0"/>
            </w:tcBorders>
            <w:shd w:val="clear" w:color="auto" w:fill="FFFFFF"/>
            <w:vAlign w:val="center"/>
          </w:tcPr>
          <w:p w14:paraId="6A2991F1">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110%负载率：≥60min;125%负载率：≥10min；150%负载率：≥60s；需提供国家认可的检测机构出具检测报告。</w:t>
            </w:r>
          </w:p>
        </w:tc>
        <w:tc>
          <w:tcPr>
            <w:tcW w:w="1536" w:type="dxa"/>
            <w:tcBorders>
              <w:top w:val="single" w:color="auto" w:sz="4" w:space="0"/>
              <w:left w:val="single" w:color="auto" w:sz="4" w:space="0"/>
              <w:bottom w:val="single" w:color="auto" w:sz="4" w:space="0"/>
              <w:right w:val="single" w:color="auto" w:sz="4" w:space="0"/>
            </w:tcBorders>
            <w:shd w:val="clear" w:color="auto" w:fill="FFFFFF"/>
            <w:vAlign w:val="center"/>
          </w:tcPr>
          <w:p w14:paraId="748C12FE">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67C2B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402C6D57">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7</w:t>
            </w:r>
          </w:p>
        </w:tc>
        <w:tc>
          <w:tcPr>
            <w:tcW w:w="1076" w:type="dxa"/>
            <w:tcBorders>
              <w:top w:val="single" w:color="auto" w:sz="4" w:space="0"/>
              <w:left w:val="single" w:color="auto" w:sz="4" w:space="0"/>
              <w:bottom w:val="single" w:color="auto" w:sz="4" w:space="0"/>
              <w:right w:val="single" w:color="auto" w:sz="4" w:space="0"/>
            </w:tcBorders>
            <w:shd w:val="clear" w:color="auto" w:fill="FFFFFF"/>
            <w:vAlign w:val="center"/>
          </w:tcPr>
          <w:p w14:paraId="0D518714">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145" w:type="dxa"/>
            <w:tcBorders>
              <w:top w:val="single" w:color="auto" w:sz="4" w:space="0"/>
              <w:left w:val="single" w:color="auto" w:sz="4" w:space="0"/>
              <w:bottom w:val="single" w:color="auto" w:sz="4" w:space="0"/>
              <w:right w:val="single" w:color="auto" w:sz="4" w:space="0"/>
            </w:tcBorders>
            <w:shd w:val="clear" w:color="auto" w:fill="FFFFFF"/>
            <w:vAlign w:val="center"/>
          </w:tcPr>
          <w:p w14:paraId="0614185A">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功率模块可靠性要求</w:t>
            </w:r>
          </w:p>
        </w:tc>
        <w:tc>
          <w:tcPr>
            <w:tcW w:w="3940" w:type="dxa"/>
            <w:tcBorders>
              <w:top w:val="single" w:color="auto" w:sz="4" w:space="0"/>
              <w:left w:val="single" w:color="auto" w:sz="4" w:space="0"/>
              <w:bottom w:val="single" w:color="auto" w:sz="4" w:space="0"/>
              <w:right w:val="single" w:color="auto" w:sz="4" w:space="0"/>
            </w:tcBorders>
            <w:shd w:val="clear" w:color="auto" w:fill="FFFFFF"/>
            <w:vAlign w:val="center"/>
          </w:tcPr>
          <w:p w14:paraId="3CE657E6">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UPS电气柜内功率模块交/直流端口并联要求采用母排汇流方式，禁止电缆+接线端子方式，请提供UPS电气柜内功率模块背部交/直流端口并联设计实物照片证明。</w:t>
            </w:r>
          </w:p>
        </w:tc>
        <w:tc>
          <w:tcPr>
            <w:tcW w:w="1536" w:type="dxa"/>
            <w:tcBorders>
              <w:top w:val="single" w:color="auto" w:sz="4" w:space="0"/>
              <w:left w:val="single" w:color="auto" w:sz="4" w:space="0"/>
              <w:bottom w:val="single" w:color="auto" w:sz="4" w:space="0"/>
              <w:right w:val="single" w:color="auto" w:sz="4" w:space="0"/>
            </w:tcBorders>
            <w:shd w:val="clear" w:color="auto" w:fill="FFFFFF"/>
            <w:vAlign w:val="center"/>
          </w:tcPr>
          <w:p w14:paraId="4766470C">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272D3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18A675DB">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8</w:t>
            </w:r>
          </w:p>
        </w:tc>
        <w:tc>
          <w:tcPr>
            <w:tcW w:w="1076" w:type="dxa"/>
            <w:tcBorders>
              <w:top w:val="single" w:color="auto" w:sz="4" w:space="0"/>
              <w:left w:val="single" w:color="auto" w:sz="4" w:space="0"/>
              <w:bottom w:val="single" w:color="auto" w:sz="4" w:space="0"/>
              <w:right w:val="single" w:color="auto" w:sz="4" w:space="0"/>
            </w:tcBorders>
            <w:shd w:val="clear" w:color="auto" w:fill="FFFFFF"/>
            <w:vAlign w:val="center"/>
          </w:tcPr>
          <w:p w14:paraId="01BE7E6E">
            <w:pPr>
              <w:spacing w:line="276" w:lineRule="auto"/>
              <w:jc w:val="center"/>
              <w:rPr>
                <w:rFonts w:asciiTheme="minorEastAsia" w:hAnsiTheme="minorEastAsia" w:eastAsiaTheme="minorEastAsia" w:cstheme="minorEastAsia"/>
                <w:sz w:val="24"/>
              </w:rPr>
            </w:pPr>
          </w:p>
        </w:tc>
        <w:tc>
          <w:tcPr>
            <w:tcW w:w="2145" w:type="dxa"/>
            <w:tcBorders>
              <w:top w:val="single" w:color="auto" w:sz="4" w:space="0"/>
              <w:left w:val="single" w:color="auto" w:sz="4" w:space="0"/>
              <w:bottom w:val="single" w:color="auto" w:sz="4" w:space="0"/>
              <w:right w:val="single" w:color="auto" w:sz="4" w:space="0"/>
            </w:tcBorders>
            <w:shd w:val="clear" w:color="auto" w:fill="FFFFFF"/>
            <w:vAlign w:val="center"/>
          </w:tcPr>
          <w:p w14:paraId="7B32E90A">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降额要求</w:t>
            </w:r>
          </w:p>
        </w:tc>
        <w:tc>
          <w:tcPr>
            <w:tcW w:w="3940" w:type="dxa"/>
            <w:tcBorders>
              <w:top w:val="single" w:color="auto" w:sz="4" w:space="0"/>
              <w:left w:val="single" w:color="auto" w:sz="4" w:space="0"/>
              <w:bottom w:val="single" w:color="auto" w:sz="4" w:space="0"/>
              <w:right w:val="single" w:color="auto" w:sz="4" w:space="0"/>
            </w:tcBorders>
            <w:shd w:val="clear" w:color="auto" w:fill="FFFFFF"/>
            <w:vAlign w:val="center"/>
          </w:tcPr>
          <w:p w14:paraId="16A721A0">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海拔高度：0～1500米，无需功率降额</w:t>
            </w:r>
          </w:p>
        </w:tc>
        <w:tc>
          <w:tcPr>
            <w:tcW w:w="1536" w:type="dxa"/>
            <w:tcBorders>
              <w:top w:val="single" w:color="auto" w:sz="4" w:space="0"/>
              <w:left w:val="single" w:color="auto" w:sz="4" w:space="0"/>
              <w:bottom w:val="single" w:color="auto" w:sz="4" w:space="0"/>
              <w:right w:val="single" w:color="auto" w:sz="4" w:space="0"/>
            </w:tcBorders>
            <w:shd w:val="clear" w:color="auto" w:fill="FFFFFF"/>
            <w:vAlign w:val="center"/>
          </w:tcPr>
          <w:p w14:paraId="4044CAF9">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02AD7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3D3700AC">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9</w:t>
            </w:r>
          </w:p>
        </w:tc>
        <w:tc>
          <w:tcPr>
            <w:tcW w:w="1076" w:type="dxa"/>
            <w:tcBorders>
              <w:top w:val="single" w:color="auto" w:sz="4" w:space="0"/>
              <w:left w:val="single" w:color="auto" w:sz="4" w:space="0"/>
              <w:bottom w:val="single" w:color="auto" w:sz="4" w:space="0"/>
              <w:right w:val="single" w:color="auto" w:sz="4" w:space="0"/>
            </w:tcBorders>
            <w:shd w:val="clear" w:color="auto" w:fill="FFFFFF"/>
            <w:vAlign w:val="center"/>
          </w:tcPr>
          <w:p w14:paraId="71576484">
            <w:pPr>
              <w:spacing w:line="276" w:lineRule="auto"/>
              <w:jc w:val="center"/>
              <w:rPr>
                <w:rFonts w:asciiTheme="minorEastAsia" w:hAnsiTheme="minorEastAsia" w:eastAsiaTheme="minorEastAsia" w:cstheme="minorEastAsia"/>
                <w:sz w:val="24"/>
              </w:rPr>
            </w:pPr>
          </w:p>
        </w:tc>
        <w:tc>
          <w:tcPr>
            <w:tcW w:w="2145" w:type="dxa"/>
            <w:tcBorders>
              <w:top w:val="single" w:color="auto" w:sz="4" w:space="0"/>
              <w:left w:val="single" w:color="auto" w:sz="4" w:space="0"/>
              <w:bottom w:val="single" w:color="auto" w:sz="4" w:space="0"/>
              <w:right w:val="single" w:color="auto" w:sz="4" w:space="0"/>
            </w:tcBorders>
            <w:shd w:val="clear" w:color="auto" w:fill="FFFFFF"/>
            <w:vAlign w:val="center"/>
          </w:tcPr>
          <w:p w14:paraId="627C212B">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输出电压不平衡度</w:t>
            </w:r>
          </w:p>
        </w:tc>
        <w:tc>
          <w:tcPr>
            <w:tcW w:w="3940" w:type="dxa"/>
            <w:tcBorders>
              <w:top w:val="single" w:color="auto" w:sz="4" w:space="0"/>
              <w:left w:val="single" w:color="auto" w:sz="4" w:space="0"/>
              <w:bottom w:val="single" w:color="auto" w:sz="4" w:space="0"/>
              <w:right w:val="single" w:color="auto" w:sz="4" w:space="0"/>
            </w:tcBorders>
            <w:shd w:val="clear" w:color="auto" w:fill="FFFFFF"/>
            <w:vAlign w:val="center"/>
          </w:tcPr>
          <w:p w14:paraId="6CD51E7F">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三相负载不平衡度 100%时，三相输出电压不平衡度满足：</w:t>
            </w:r>
          </w:p>
          <w:p w14:paraId="32DB01F2">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＜±0.1％（平衡负载），＜±2.5％（100％不平衡负载）。 </w:t>
            </w:r>
          </w:p>
        </w:tc>
        <w:tc>
          <w:tcPr>
            <w:tcW w:w="1536" w:type="dxa"/>
            <w:tcBorders>
              <w:top w:val="single" w:color="auto" w:sz="4" w:space="0"/>
              <w:left w:val="single" w:color="auto" w:sz="4" w:space="0"/>
              <w:bottom w:val="single" w:color="auto" w:sz="4" w:space="0"/>
              <w:right w:val="single" w:color="auto" w:sz="4" w:space="0"/>
            </w:tcBorders>
            <w:shd w:val="clear" w:color="auto" w:fill="FFFFFF"/>
            <w:vAlign w:val="center"/>
          </w:tcPr>
          <w:p w14:paraId="582A93AA">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33CFD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79"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20CD241F">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10</w:t>
            </w:r>
          </w:p>
        </w:tc>
        <w:tc>
          <w:tcPr>
            <w:tcW w:w="1076" w:type="dxa"/>
            <w:tcBorders>
              <w:top w:val="single" w:color="auto" w:sz="4" w:space="0"/>
              <w:left w:val="single" w:color="auto" w:sz="4" w:space="0"/>
              <w:bottom w:val="single" w:color="auto" w:sz="4" w:space="0"/>
              <w:right w:val="single" w:color="auto" w:sz="4" w:space="0"/>
            </w:tcBorders>
            <w:shd w:val="clear" w:color="auto" w:fill="FFFFFF"/>
            <w:vAlign w:val="center"/>
          </w:tcPr>
          <w:p w14:paraId="37115BDB">
            <w:pPr>
              <w:spacing w:line="276" w:lineRule="auto"/>
              <w:jc w:val="center"/>
              <w:rPr>
                <w:rFonts w:asciiTheme="minorEastAsia" w:hAnsiTheme="minorEastAsia" w:eastAsiaTheme="minorEastAsia" w:cstheme="minorEastAsia"/>
                <w:sz w:val="24"/>
              </w:rPr>
            </w:pPr>
          </w:p>
        </w:tc>
        <w:tc>
          <w:tcPr>
            <w:tcW w:w="2145" w:type="dxa"/>
            <w:tcBorders>
              <w:top w:val="single" w:color="auto" w:sz="4" w:space="0"/>
              <w:left w:val="single" w:color="auto" w:sz="4" w:space="0"/>
              <w:bottom w:val="single" w:color="auto" w:sz="4" w:space="0"/>
              <w:right w:val="single" w:color="auto" w:sz="4" w:space="0"/>
            </w:tcBorders>
            <w:shd w:val="clear" w:color="auto" w:fill="FFFFFF"/>
            <w:vAlign w:val="center"/>
          </w:tcPr>
          <w:p w14:paraId="518708BF">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动态电压瞬变范围</w:t>
            </w:r>
          </w:p>
        </w:tc>
        <w:tc>
          <w:tcPr>
            <w:tcW w:w="3940" w:type="dxa"/>
            <w:tcBorders>
              <w:top w:val="single" w:color="auto" w:sz="4" w:space="0"/>
              <w:left w:val="single" w:color="auto" w:sz="4" w:space="0"/>
              <w:bottom w:val="single" w:color="auto" w:sz="4" w:space="0"/>
              <w:right w:val="single" w:color="auto" w:sz="4" w:space="0"/>
            </w:tcBorders>
            <w:shd w:val="clear" w:color="auto" w:fill="FFFFFF"/>
            <w:vAlign w:val="center"/>
          </w:tcPr>
          <w:p w14:paraId="093E6CBE">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交流输入电压不变时，负载从0－100%－0变化，交流输入中断或恢复供电时的输出电压变化量＜额定输出电压的±4％。</w:t>
            </w:r>
          </w:p>
        </w:tc>
        <w:tc>
          <w:tcPr>
            <w:tcW w:w="1536" w:type="dxa"/>
            <w:tcBorders>
              <w:top w:val="single" w:color="auto" w:sz="4" w:space="0"/>
              <w:left w:val="single" w:color="auto" w:sz="4" w:space="0"/>
              <w:bottom w:val="single" w:color="auto" w:sz="4" w:space="0"/>
              <w:right w:val="single" w:color="auto" w:sz="4" w:space="0"/>
            </w:tcBorders>
            <w:shd w:val="clear" w:color="auto" w:fill="FFFFFF"/>
            <w:vAlign w:val="center"/>
          </w:tcPr>
          <w:p w14:paraId="2E466098">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58FB1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416057F4">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11</w:t>
            </w:r>
          </w:p>
        </w:tc>
        <w:tc>
          <w:tcPr>
            <w:tcW w:w="1076" w:type="dxa"/>
            <w:tcBorders>
              <w:top w:val="single" w:color="auto" w:sz="4" w:space="0"/>
              <w:left w:val="single" w:color="auto" w:sz="4" w:space="0"/>
              <w:bottom w:val="single" w:color="auto" w:sz="4" w:space="0"/>
              <w:right w:val="single" w:color="auto" w:sz="4" w:space="0"/>
            </w:tcBorders>
            <w:shd w:val="clear" w:color="auto" w:fill="FFFFFF"/>
            <w:vAlign w:val="center"/>
          </w:tcPr>
          <w:p w14:paraId="4B803A43">
            <w:pPr>
              <w:spacing w:line="276" w:lineRule="auto"/>
              <w:jc w:val="center"/>
              <w:rPr>
                <w:rFonts w:asciiTheme="minorEastAsia" w:hAnsiTheme="minorEastAsia" w:eastAsiaTheme="minorEastAsia" w:cstheme="minorEastAsia"/>
                <w:sz w:val="24"/>
              </w:rPr>
            </w:pPr>
          </w:p>
        </w:tc>
        <w:tc>
          <w:tcPr>
            <w:tcW w:w="2145" w:type="dxa"/>
            <w:tcBorders>
              <w:top w:val="single" w:color="auto" w:sz="4" w:space="0"/>
              <w:left w:val="single" w:color="auto" w:sz="4" w:space="0"/>
              <w:bottom w:val="single" w:color="auto" w:sz="4" w:space="0"/>
              <w:right w:val="single" w:color="auto" w:sz="4" w:space="0"/>
            </w:tcBorders>
            <w:shd w:val="clear" w:color="auto" w:fill="FFFFFF"/>
            <w:vAlign w:val="center"/>
          </w:tcPr>
          <w:p w14:paraId="29D9E513">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电池管理功能</w:t>
            </w:r>
          </w:p>
        </w:tc>
        <w:tc>
          <w:tcPr>
            <w:tcW w:w="3940" w:type="dxa"/>
            <w:tcBorders>
              <w:top w:val="single" w:color="auto" w:sz="4" w:space="0"/>
              <w:left w:val="single" w:color="auto" w:sz="4" w:space="0"/>
              <w:bottom w:val="single" w:color="auto" w:sz="4" w:space="0"/>
              <w:right w:val="single" w:color="auto" w:sz="4" w:space="0"/>
            </w:tcBorders>
            <w:shd w:val="clear" w:color="auto" w:fill="FFFFFF"/>
            <w:vAlign w:val="center"/>
          </w:tcPr>
          <w:p w14:paraId="6E327060">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UPS系统应支持电池节数可调，具有定期对电池组进行自动浮充、均充转换、自动温度补偿、电池组放电及记录功能。</w:t>
            </w:r>
          </w:p>
        </w:tc>
        <w:tc>
          <w:tcPr>
            <w:tcW w:w="1536" w:type="dxa"/>
            <w:tcBorders>
              <w:top w:val="single" w:color="auto" w:sz="4" w:space="0"/>
              <w:left w:val="single" w:color="auto" w:sz="4" w:space="0"/>
              <w:bottom w:val="single" w:color="auto" w:sz="4" w:space="0"/>
              <w:right w:val="single" w:color="auto" w:sz="4" w:space="0"/>
            </w:tcBorders>
            <w:shd w:val="clear" w:color="auto" w:fill="FFFFFF"/>
            <w:vAlign w:val="center"/>
          </w:tcPr>
          <w:p w14:paraId="30A7D784">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72261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17F39450">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12</w:t>
            </w:r>
          </w:p>
        </w:tc>
        <w:tc>
          <w:tcPr>
            <w:tcW w:w="1076" w:type="dxa"/>
            <w:tcBorders>
              <w:top w:val="single" w:color="auto" w:sz="4" w:space="0"/>
              <w:left w:val="single" w:color="auto" w:sz="4" w:space="0"/>
              <w:bottom w:val="single" w:color="auto" w:sz="4" w:space="0"/>
              <w:right w:val="single" w:color="auto" w:sz="4" w:space="0"/>
            </w:tcBorders>
            <w:shd w:val="clear" w:color="auto" w:fill="FFFFFF"/>
            <w:vAlign w:val="center"/>
          </w:tcPr>
          <w:p w14:paraId="0FD8AFFF">
            <w:pPr>
              <w:spacing w:line="276" w:lineRule="auto"/>
              <w:jc w:val="center"/>
              <w:rPr>
                <w:rFonts w:asciiTheme="minorEastAsia" w:hAnsiTheme="minorEastAsia" w:eastAsiaTheme="minorEastAsia" w:cstheme="minorEastAsia"/>
                <w:sz w:val="24"/>
              </w:rPr>
            </w:pPr>
          </w:p>
        </w:tc>
        <w:tc>
          <w:tcPr>
            <w:tcW w:w="2145" w:type="dxa"/>
            <w:tcBorders>
              <w:top w:val="single" w:color="auto" w:sz="4" w:space="0"/>
              <w:left w:val="single" w:color="auto" w:sz="4" w:space="0"/>
              <w:bottom w:val="single" w:color="auto" w:sz="4" w:space="0"/>
              <w:right w:val="single" w:color="auto" w:sz="4" w:space="0"/>
            </w:tcBorders>
            <w:shd w:val="clear" w:color="auto" w:fill="FFFFFF"/>
            <w:vAlign w:val="center"/>
          </w:tcPr>
          <w:p w14:paraId="3C58310B">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控制器要求</w:t>
            </w:r>
          </w:p>
        </w:tc>
        <w:tc>
          <w:tcPr>
            <w:tcW w:w="3940" w:type="dxa"/>
            <w:tcBorders>
              <w:top w:val="single" w:color="auto" w:sz="4" w:space="0"/>
              <w:left w:val="single" w:color="auto" w:sz="4" w:space="0"/>
              <w:bottom w:val="single" w:color="auto" w:sz="4" w:space="0"/>
              <w:right w:val="single" w:color="auto" w:sz="4" w:space="0"/>
            </w:tcBorders>
            <w:shd w:val="clear" w:color="auto" w:fill="FFFFFF"/>
            <w:vAlign w:val="center"/>
          </w:tcPr>
          <w:p w14:paraId="2B9EC022">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UPS应采用分散控制的逻辑，每个功率模块均要求内置完整的整流、逆变及控制系统，任意模块的功率或控制电路故障都不影响UPS系统整体工作运行，保证系统控制不会出现单点故障。</w:t>
            </w:r>
          </w:p>
        </w:tc>
        <w:tc>
          <w:tcPr>
            <w:tcW w:w="1536" w:type="dxa"/>
            <w:tcBorders>
              <w:top w:val="single" w:color="auto" w:sz="4" w:space="0"/>
              <w:left w:val="single" w:color="auto" w:sz="4" w:space="0"/>
              <w:bottom w:val="single" w:color="auto" w:sz="4" w:space="0"/>
              <w:right w:val="single" w:color="auto" w:sz="4" w:space="0"/>
            </w:tcBorders>
            <w:shd w:val="clear" w:color="auto" w:fill="FFFFFF"/>
            <w:vAlign w:val="center"/>
          </w:tcPr>
          <w:p w14:paraId="04489898">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28548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623360EC">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13</w:t>
            </w:r>
          </w:p>
        </w:tc>
        <w:tc>
          <w:tcPr>
            <w:tcW w:w="1076" w:type="dxa"/>
            <w:tcBorders>
              <w:top w:val="single" w:color="auto" w:sz="4" w:space="0"/>
              <w:left w:val="single" w:color="auto" w:sz="4" w:space="0"/>
              <w:bottom w:val="single" w:color="auto" w:sz="4" w:space="0"/>
              <w:right w:val="single" w:color="auto" w:sz="4" w:space="0"/>
            </w:tcBorders>
            <w:shd w:val="clear" w:color="auto" w:fill="FFFFFF"/>
            <w:vAlign w:val="center"/>
          </w:tcPr>
          <w:p w14:paraId="7AD35761">
            <w:pPr>
              <w:spacing w:line="276" w:lineRule="auto"/>
              <w:jc w:val="center"/>
              <w:rPr>
                <w:rFonts w:asciiTheme="minorEastAsia" w:hAnsiTheme="minorEastAsia" w:eastAsiaTheme="minorEastAsia" w:cstheme="minorEastAsia"/>
                <w:sz w:val="24"/>
              </w:rPr>
            </w:pPr>
          </w:p>
        </w:tc>
        <w:tc>
          <w:tcPr>
            <w:tcW w:w="2145" w:type="dxa"/>
            <w:tcBorders>
              <w:top w:val="single" w:color="auto" w:sz="4" w:space="0"/>
              <w:left w:val="single" w:color="auto" w:sz="4" w:space="0"/>
              <w:bottom w:val="single" w:color="auto" w:sz="4" w:space="0"/>
              <w:right w:val="single" w:color="auto" w:sz="4" w:space="0"/>
            </w:tcBorders>
            <w:shd w:val="clear" w:color="auto" w:fill="FFFFFF"/>
            <w:vAlign w:val="center"/>
          </w:tcPr>
          <w:p w14:paraId="1B5100CC">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波形失真度</w:t>
            </w:r>
          </w:p>
        </w:tc>
        <w:tc>
          <w:tcPr>
            <w:tcW w:w="3940" w:type="dxa"/>
            <w:tcBorders>
              <w:top w:val="single" w:color="auto" w:sz="4" w:space="0"/>
              <w:left w:val="single" w:color="auto" w:sz="4" w:space="0"/>
              <w:bottom w:val="single" w:color="auto" w:sz="4" w:space="0"/>
              <w:right w:val="single" w:color="auto" w:sz="4" w:space="0"/>
            </w:tcBorders>
            <w:shd w:val="clear" w:color="auto" w:fill="FFFFFF"/>
            <w:vAlign w:val="center"/>
          </w:tcPr>
          <w:p w14:paraId="5327A70D">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输出波形为连续的正弦波，在带100%不均衡负载时，波形失真度：线性负载 ≤1.5％，非线性负载 ≤2.0％。</w:t>
            </w:r>
          </w:p>
        </w:tc>
        <w:tc>
          <w:tcPr>
            <w:tcW w:w="1536" w:type="dxa"/>
            <w:tcBorders>
              <w:top w:val="single" w:color="auto" w:sz="4" w:space="0"/>
              <w:left w:val="single" w:color="auto" w:sz="4" w:space="0"/>
              <w:bottom w:val="single" w:color="auto" w:sz="4" w:space="0"/>
              <w:right w:val="single" w:color="auto" w:sz="4" w:space="0"/>
            </w:tcBorders>
            <w:shd w:val="clear" w:color="auto" w:fill="FFFFFF"/>
            <w:vAlign w:val="center"/>
          </w:tcPr>
          <w:p w14:paraId="2A41F567">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58B6E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79" w:hRule="atLeast"/>
          <w:jc w:val="center"/>
        </w:trPr>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7CC07488">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14</w:t>
            </w:r>
          </w:p>
        </w:tc>
        <w:tc>
          <w:tcPr>
            <w:tcW w:w="1076" w:type="dxa"/>
            <w:tcBorders>
              <w:top w:val="single" w:color="auto" w:sz="4" w:space="0"/>
              <w:left w:val="single" w:color="auto" w:sz="4" w:space="0"/>
              <w:bottom w:val="single" w:color="auto" w:sz="4" w:space="0"/>
              <w:right w:val="single" w:color="auto" w:sz="4" w:space="0"/>
            </w:tcBorders>
            <w:shd w:val="clear" w:color="auto" w:fill="FFFFFF"/>
            <w:vAlign w:val="center"/>
          </w:tcPr>
          <w:p w14:paraId="4BBD9129">
            <w:pPr>
              <w:spacing w:line="276" w:lineRule="auto"/>
              <w:jc w:val="center"/>
              <w:rPr>
                <w:rFonts w:asciiTheme="minorEastAsia" w:hAnsiTheme="minorEastAsia" w:eastAsiaTheme="minorEastAsia" w:cstheme="minorEastAsia"/>
                <w:sz w:val="24"/>
              </w:rPr>
            </w:pPr>
          </w:p>
        </w:tc>
        <w:tc>
          <w:tcPr>
            <w:tcW w:w="2145" w:type="dxa"/>
            <w:tcBorders>
              <w:top w:val="single" w:color="auto" w:sz="4" w:space="0"/>
              <w:left w:val="single" w:color="auto" w:sz="4" w:space="0"/>
              <w:bottom w:val="single" w:color="auto" w:sz="4" w:space="0"/>
              <w:right w:val="single" w:color="auto" w:sz="4" w:space="0"/>
            </w:tcBorders>
            <w:shd w:val="clear" w:color="auto" w:fill="FFFFFF"/>
            <w:vAlign w:val="center"/>
          </w:tcPr>
          <w:p w14:paraId="53984007">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输出稳压精度</w:t>
            </w:r>
          </w:p>
        </w:tc>
        <w:tc>
          <w:tcPr>
            <w:tcW w:w="3940" w:type="dxa"/>
            <w:tcBorders>
              <w:top w:val="single" w:color="auto" w:sz="4" w:space="0"/>
              <w:left w:val="single" w:color="auto" w:sz="4" w:space="0"/>
              <w:bottom w:val="single" w:color="auto" w:sz="4" w:space="0"/>
              <w:right w:val="single" w:color="auto" w:sz="4" w:space="0"/>
            </w:tcBorders>
            <w:shd w:val="clear" w:color="auto" w:fill="FFFFFF"/>
            <w:vAlign w:val="center"/>
          </w:tcPr>
          <w:p w14:paraId="385854E5">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逆变器输出电压：380VAC(线)/220VAC（相），稳态精度：±0.1％。</w:t>
            </w:r>
          </w:p>
        </w:tc>
        <w:tc>
          <w:tcPr>
            <w:tcW w:w="1536" w:type="dxa"/>
            <w:tcBorders>
              <w:top w:val="single" w:color="auto" w:sz="4" w:space="0"/>
              <w:left w:val="single" w:color="auto" w:sz="4" w:space="0"/>
              <w:bottom w:val="single" w:color="auto" w:sz="4" w:space="0"/>
              <w:right w:val="single" w:color="auto" w:sz="4" w:space="0"/>
            </w:tcBorders>
            <w:shd w:val="clear" w:color="auto" w:fill="FFFFFF"/>
            <w:vAlign w:val="center"/>
          </w:tcPr>
          <w:p w14:paraId="18867157">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bl>
    <w:p w14:paraId="2A3A79CA">
      <w:pPr>
        <w:rPr>
          <w:rFonts w:asciiTheme="minorEastAsia" w:hAnsiTheme="minorEastAsia" w:eastAsiaTheme="minorEastAsia" w:cstheme="minorEastAsia"/>
          <w:sz w:val="24"/>
        </w:rPr>
      </w:pPr>
    </w:p>
    <w:p w14:paraId="4F9A66F1">
      <w:pPr>
        <w:pStyle w:val="2"/>
        <w:numPr>
          <w:ilvl w:val="0"/>
          <w:numId w:val="2"/>
        </w:numPr>
        <w:ind w:left="442" w:hanging="442"/>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UPS主机（150KVA)</w:t>
      </w:r>
    </w:p>
    <w:tbl>
      <w:tblPr>
        <w:tblStyle w:val="15"/>
        <w:tblW w:w="96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080"/>
        <w:gridCol w:w="2145"/>
        <w:gridCol w:w="4054"/>
        <w:gridCol w:w="1621"/>
      </w:tblGrid>
      <w:tr w14:paraId="0C5D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36FFF8E4">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序号</w:t>
            </w:r>
          </w:p>
        </w:tc>
        <w:tc>
          <w:tcPr>
            <w:tcW w:w="1080" w:type="dxa"/>
            <w:tcBorders>
              <w:top w:val="single" w:color="auto" w:sz="4" w:space="0"/>
              <w:left w:val="single" w:color="auto" w:sz="4" w:space="0"/>
              <w:bottom w:val="single" w:color="auto" w:sz="4" w:space="0"/>
              <w:right w:val="single" w:color="auto" w:sz="4" w:space="0"/>
            </w:tcBorders>
            <w:vAlign w:val="center"/>
          </w:tcPr>
          <w:p w14:paraId="2546F8BA">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重要性</w:t>
            </w:r>
          </w:p>
        </w:tc>
        <w:tc>
          <w:tcPr>
            <w:tcW w:w="2145" w:type="dxa"/>
            <w:tcBorders>
              <w:top w:val="single" w:color="auto" w:sz="4" w:space="0"/>
              <w:left w:val="single" w:color="auto" w:sz="4" w:space="0"/>
              <w:bottom w:val="single" w:color="auto" w:sz="4" w:space="0"/>
              <w:right w:val="single" w:color="auto" w:sz="4" w:space="0"/>
            </w:tcBorders>
            <w:vAlign w:val="center"/>
          </w:tcPr>
          <w:p w14:paraId="43623D2A">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指标项</w:t>
            </w:r>
          </w:p>
        </w:tc>
        <w:tc>
          <w:tcPr>
            <w:tcW w:w="4054" w:type="dxa"/>
            <w:tcBorders>
              <w:top w:val="single" w:color="auto" w:sz="4" w:space="0"/>
              <w:left w:val="single" w:color="auto" w:sz="4" w:space="0"/>
              <w:bottom w:val="single" w:color="auto" w:sz="4" w:space="0"/>
              <w:right w:val="single" w:color="auto" w:sz="4" w:space="0"/>
            </w:tcBorders>
            <w:vAlign w:val="center"/>
          </w:tcPr>
          <w:p w14:paraId="46A7F5DE">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指标要求</w:t>
            </w:r>
          </w:p>
        </w:tc>
        <w:tc>
          <w:tcPr>
            <w:tcW w:w="1621" w:type="dxa"/>
            <w:tcBorders>
              <w:top w:val="single" w:color="auto" w:sz="4" w:space="0"/>
              <w:left w:val="single" w:color="auto" w:sz="4" w:space="0"/>
              <w:bottom w:val="single" w:color="auto" w:sz="4" w:space="0"/>
              <w:right w:val="single" w:color="auto" w:sz="4" w:space="0"/>
            </w:tcBorders>
            <w:vAlign w:val="center"/>
          </w:tcPr>
          <w:p w14:paraId="427D909B">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是否提供证明材料</w:t>
            </w:r>
          </w:p>
        </w:tc>
      </w:tr>
      <w:tr w14:paraId="1E546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39C38EEB">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1080" w:type="dxa"/>
            <w:tcBorders>
              <w:top w:val="single" w:color="auto" w:sz="4" w:space="0"/>
              <w:left w:val="single" w:color="auto" w:sz="4" w:space="0"/>
              <w:bottom w:val="single" w:color="auto" w:sz="4" w:space="0"/>
              <w:right w:val="single" w:color="auto" w:sz="4" w:space="0"/>
            </w:tcBorders>
            <w:vAlign w:val="center"/>
          </w:tcPr>
          <w:p w14:paraId="7BB9B864">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145" w:type="dxa"/>
            <w:tcBorders>
              <w:top w:val="single" w:color="auto" w:sz="4" w:space="0"/>
              <w:left w:val="single" w:color="auto" w:sz="4" w:space="0"/>
              <w:bottom w:val="single" w:color="auto" w:sz="4" w:space="0"/>
              <w:right w:val="single" w:color="auto" w:sz="4" w:space="0"/>
            </w:tcBorders>
            <w:vAlign w:val="center"/>
          </w:tcPr>
          <w:p w14:paraId="61FB1B6A">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容量要求</w:t>
            </w:r>
          </w:p>
        </w:tc>
        <w:tc>
          <w:tcPr>
            <w:tcW w:w="4054" w:type="dxa"/>
            <w:tcBorders>
              <w:top w:val="single" w:color="auto" w:sz="4" w:space="0"/>
              <w:left w:val="single" w:color="auto" w:sz="4" w:space="0"/>
              <w:bottom w:val="single" w:color="auto" w:sz="4" w:space="0"/>
              <w:right w:val="single" w:color="auto" w:sz="4" w:space="0"/>
            </w:tcBorders>
            <w:vAlign w:val="center"/>
          </w:tcPr>
          <w:p w14:paraId="73F7EAAD">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模块化UPS电源系统，单个功率模块不低于40kVA，单系统容量不低于160kVA。</w:t>
            </w:r>
          </w:p>
        </w:tc>
        <w:tc>
          <w:tcPr>
            <w:tcW w:w="1621" w:type="dxa"/>
            <w:tcBorders>
              <w:top w:val="single" w:color="auto" w:sz="4" w:space="0"/>
              <w:left w:val="single" w:color="auto" w:sz="4" w:space="0"/>
              <w:bottom w:val="single" w:color="auto" w:sz="4" w:space="0"/>
              <w:right w:val="single" w:color="auto" w:sz="4" w:space="0"/>
            </w:tcBorders>
            <w:vAlign w:val="center"/>
          </w:tcPr>
          <w:p w14:paraId="33DBAE86">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35BC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782F4BE7">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w:t>
            </w:r>
          </w:p>
        </w:tc>
        <w:tc>
          <w:tcPr>
            <w:tcW w:w="1080" w:type="dxa"/>
            <w:tcBorders>
              <w:top w:val="single" w:color="auto" w:sz="4" w:space="0"/>
              <w:left w:val="single" w:color="auto" w:sz="4" w:space="0"/>
              <w:bottom w:val="single" w:color="auto" w:sz="4" w:space="0"/>
              <w:right w:val="single" w:color="auto" w:sz="4" w:space="0"/>
            </w:tcBorders>
            <w:vAlign w:val="center"/>
          </w:tcPr>
          <w:p w14:paraId="1669E4D4">
            <w:pPr>
              <w:spacing w:line="276" w:lineRule="auto"/>
              <w:jc w:val="center"/>
              <w:rPr>
                <w:rFonts w:asciiTheme="minorEastAsia" w:hAnsiTheme="minorEastAsia" w:eastAsiaTheme="minorEastAsia" w:cstheme="minorEastAsia"/>
                <w:sz w:val="24"/>
              </w:rPr>
            </w:pPr>
          </w:p>
        </w:tc>
        <w:tc>
          <w:tcPr>
            <w:tcW w:w="2145" w:type="dxa"/>
            <w:tcBorders>
              <w:top w:val="single" w:color="auto" w:sz="4" w:space="0"/>
              <w:left w:val="single" w:color="auto" w:sz="4" w:space="0"/>
              <w:bottom w:val="single" w:color="auto" w:sz="4" w:space="0"/>
              <w:right w:val="single" w:color="auto" w:sz="4" w:space="0"/>
            </w:tcBorders>
            <w:vAlign w:val="center"/>
          </w:tcPr>
          <w:p w14:paraId="28C2C74F">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基本要求</w:t>
            </w:r>
          </w:p>
        </w:tc>
        <w:tc>
          <w:tcPr>
            <w:tcW w:w="4054" w:type="dxa"/>
            <w:tcBorders>
              <w:top w:val="single" w:color="auto" w:sz="4" w:space="0"/>
              <w:left w:val="single" w:color="auto" w:sz="4" w:space="0"/>
              <w:bottom w:val="single" w:color="auto" w:sz="4" w:space="0"/>
              <w:right w:val="single" w:color="auto" w:sz="4" w:space="0"/>
            </w:tcBorders>
            <w:vAlign w:val="center"/>
          </w:tcPr>
          <w:p w14:paraId="3CA41E9F">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UPS标准内置主输入，旁路输入，输出及维修旁路开关，开关为负荷开关形式。</w:t>
            </w:r>
          </w:p>
        </w:tc>
        <w:tc>
          <w:tcPr>
            <w:tcW w:w="1621" w:type="dxa"/>
            <w:tcBorders>
              <w:top w:val="single" w:color="auto" w:sz="4" w:space="0"/>
              <w:left w:val="single" w:color="auto" w:sz="4" w:space="0"/>
              <w:bottom w:val="single" w:color="auto" w:sz="4" w:space="0"/>
              <w:right w:val="single" w:color="auto" w:sz="4" w:space="0"/>
            </w:tcBorders>
            <w:vAlign w:val="center"/>
          </w:tcPr>
          <w:p w14:paraId="38A37FC4">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45098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09B355C2">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w:t>
            </w:r>
          </w:p>
        </w:tc>
        <w:tc>
          <w:tcPr>
            <w:tcW w:w="1080" w:type="dxa"/>
            <w:tcBorders>
              <w:top w:val="single" w:color="auto" w:sz="4" w:space="0"/>
              <w:left w:val="single" w:color="auto" w:sz="4" w:space="0"/>
              <w:bottom w:val="single" w:color="auto" w:sz="4" w:space="0"/>
              <w:right w:val="single" w:color="auto" w:sz="4" w:space="0"/>
            </w:tcBorders>
            <w:vAlign w:val="center"/>
          </w:tcPr>
          <w:p w14:paraId="1F1AD8B6">
            <w:pPr>
              <w:spacing w:line="276" w:lineRule="auto"/>
              <w:jc w:val="center"/>
              <w:rPr>
                <w:rFonts w:asciiTheme="minorEastAsia" w:hAnsiTheme="minorEastAsia" w:eastAsiaTheme="minorEastAsia" w:cstheme="minorEastAsia"/>
                <w:sz w:val="24"/>
              </w:rPr>
            </w:pPr>
          </w:p>
        </w:tc>
        <w:tc>
          <w:tcPr>
            <w:tcW w:w="2145" w:type="dxa"/>
            <w:tcBorders>
              <w:top w:val="single" w:color="auto" w:sz="4" w:space="0"/>
              <w:left w:val="single" w:color="auto" w:sz="4" w:space="0"/>
              <w:bottom w:val="single" w:color="auto" w:sz="4" w:space="0"/>
              <w:right w:val="single" w:color="auto" w:sz="4" w:space="0"/>
            </w:tcBorders>
            <w:vAlign w:val="center"/>
          </w:tcPr>
          <w:p w14:paraId="7493ED88">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结构防护等级要求</w:t>
            </w:r>
          </w:p>
        </w:tc>
        <w:tc>
          <w:tcPr>
            <w:tcW w:w="4054" w:type="dxa"/>
            <w:tcBorders>
              <w:top w:val="single" w:color="auto" w:sz="4" w:space="0"/>
              <w:left w:val="single" w:color="auto" w:sz="4" w:space="0"/>
              <w:bottom w:val="single" w:color="auto" w:sz="4" w:space="0"/>
              <w:right w:val="single" w:color="auto" w:sz="4" w:space="0"/>
            </w:tcBorders>
            <w:vAlign w:val="center"/>
          </w:tcPr>
          <w:p w14:paraId="1CDBC74D">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需满足IP20防护等级</w:t>
            </w:r>
          </w:p>
        </w:tc>
        <w:tc>
          <w:tcPr>
            <w:tcW w:w="1621" w:type="dxa"/>
            <w:tcBorders>
              <w:top w:val="single" w:color="auto" w:sz="4" w:space="0"/>
              <w:left w:val="single" w:color="auto" w:sz="4" w:space="0"/>
              <w:bottom w:val="single" w:color="auto" w:sz="4" w:space="0"/>
              <w:right w:val="single" w:color="auto" w:sz="4" w:space="0"/>
            </w:tcBorders>
            <w:vAlign w:val="center"/>
          </w:tcPr>
          <w:p w14:paraId="5547EF43">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34547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7B7A06C8">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w:t>
            </w:r>
          </w:p>
        </w:tc>
        <w:tc>
          <w:tcPr>
            <w:tcW w:w="1080" w:type="dxa"/>
            <w:tcBorders>
              <w:top w:val="single" w:color="auto" w:sz="4" w:space="0"/>
              <w:left w:val="single" w:color="auto" w:sz="4" w:space="0"/>
              <w:bottom w:val="single" w:color="auto" w:sz="4" w:space="0"/>
              <w:right w:val="single" w:color="auto" w:sz="4" w:space="0"/>
            </w:tcBorders>
            <w:vAlign w:val="center"/>
          </w:tcPr>
          <w:p w14:paraId="07C63D21">
            <w:pPr>
              <w:spacing w:line="276" w:lineRule="auto"/>
              <w:jc w:val="center"/>
              <w:rPr>
                <w:rFonts w:asciiTheme="minorEastAsia" w:hAnsiTheme="minorEastAsia" w:eastAsiaTheme="minorEastAsia" w:cstheme="minorEastAsia"/>
                <w:sz w:val="24"/>
              </w:rPr>
            </w:pPr>
          </w:p>
        </w:tc>
        <w:tc>
          <w:tcPr>
            <w:tcW w:w="2145" w:type="dxa"/>
            <w:tcBorders>
              <w:top w:val="single" w:color="auto" w:sz="4" w:space="0"/>
              <w:left w:val="single" w:color="auto" w:sz="4" w:space="0"/>
              <w:bottom w:val="single" w:color="auto" w:sz="4" w:space="0"/>
              <w:right w:val="single" w:color="auto" w:sz="4" w:space="0"/>
            </w:tcBorders>
            <w:vAlign w:val="center"/>
          </w:tcPr>
          <w:p w14:paraId="7DEF3410">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输入谐波含量要求</w:t>
            </w:r>
          </w:p>
        </w:tc>
        <w:tc>
          <w:tcPr>
            <w:tcW w:w="4054" w:type="dxa"/>
            <w:tcBorders>
              <w:top w:val="single" w:color="auto" w:sz="4" w:space="0"/>
              <w:left w:val="single" w:color="auto" w:sz="4" w:space="0"/>
              <w:bottom w:val="single" w:color="auto" w:sz="4" w:space="0"/>
              <w:right w:val="single" w:color="auto" w:sz="4" w:space="0"/>
            </w:tcBorders>
            <w:vAlign w:val="center"/>
          </w:tcPr>
          <w:p w14:paraId="44AE9A92">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整流器输入性能应符合满足YD/T 2165-2010《通信用模块化不间断电源》标准要求。25%～100%负载率下，UPS输入谐波电流总含量要求≤3%。</w:t>
            </w:r>
          </w:p>
        </w:tc>
        <w:tc>
          <w:tcPr>
            <w:tcW w:w="1621" w:type="dxa"/>
            <w:tcBorders>
              <w:top w:val="single" w:color="auto" w:sz="4" w:space="0"/>
              <w:left w:val="single" w:color="auto" w:sz="4" w:space="0"/>
              <w:bottom w:val="single" w:color="auto" w:sz="4" w:space="0"/>
              <w:right w:val="single" w:color="auto" w:sz="4" w:space="0"/>
            </w:tcBorders>
            <w:vAlign w:val="center"/>
          </w:tcPr>
          <w:p w14:paraId="2E146108">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102C6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1F25653F">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w:t>
            </w:r>
          </w:p>
        </w:tc>
        <w:tc>
          <w:tcPr>
            <w:tcW w:w="1080" w:type="dxa"/>
            <w:tcBorders>
              <w:top w:val="single" w:color="auto" w:sz="4" w:space="0"/>
              <w:left w:val="single" w:color="auto" w:sz="4" w:space="0"/>
              <w:bottom w:val="single" w:color="auto" w:sz="4" w:space="0"/>
              <w:right w:val="single" w:color="auto" w:sz="4" w:space="0"/>
            </w:tcBorders>
            <w:vAlign w:val="center"/>
          </w:tcPr>
          <w:p w14:paraId="68F3F065">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145" w:type="dxa"/>
            <w:tcBorders>
              <w:top w:val="single" w:color="auto" w:sz="4" w:space="0"/>
              <w:left w:val="single" w:color="auto" w:sz="4" w:space="0"/>
              <w:bottom w:val="single" w:color="auto" w:sz="4" w:space="0"/>
              <w:right w:val="single" w:color="auto" w:sz="4" w:space="0"/>
            </w:tcBorders>
            <w:vAlign w:val="center"/>
          </w:tcPr>
          <w:p w14:paraId="5515F3D9">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系统效率</w:t>
            </w:r>
          </w:p>
        </w:tc>
        <w:tc>
          <w:tcPr>
            <w:tcW w:w="4054" w:type="dxa"/>
            <w:tcBorders>
              <w:top w:val="single" w:color="auto" w:sz="4" w:space="0"/>
              <w:left w:val="single" w:color="auto" w:sz="4" w:space="0"/>
              <w:bottom w:val="single" w:color="auto" w:sz="4" w:space="0"/>
              <w:right w:val="single" w:color="auto" w:sz="4" w:space="0"/>
            </w:tcBorders>
            <w:vAlign w:val="center"/>
          </w:tcPr>
          <w:p w14:paraId="51F68DFA">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市电模式下，UPS系统在线逆变系统效率如下：</w:t>
            </w:r>
          </w:p>
          <w:p w14:paraId="34600EF9">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100%负载下，系统效率&gt;96%；50%负载下，系统效率&gt;96.5%；25%负载下，系统效率&gt;95.5%。需提供国家认可的检测机构出具检测报告</w:t>
            </w:r>
          </w:p>
        </w:tc>
        <w:tc>
          <w:tcPr>
            <w:tcW w:w="1621" w:type="dxa"/>
            <w:tcBorders>
              <w:top w:val="single" w:color="auto" w:sz="4" w:space="0"/>
              <w:left w:val="single" w:color="auto" w:sz="4" w:space="0"/>
              <w:bottom w:val="single" w:color="auto" w:sz="4" w:space="0"/>
              <w:right w:val="single" w:color="auto" w:sz="4" w:space="0"/>
            </w:tcBorders>
            <w:vAlign w:val="center"/>
          </w:tcPr>
          <w:p w14:paraId="6D513695">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001A5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348F5595">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6</w:t>
            </w:r>
          </w:p>
        </w:tc>
        <w:tc>
          <w:tcPr>
            <w:tcW w:w="1080" w:type="dxa"/>
            <w:tcBorders>
              <w:top w:val="single" w:color="auto" w:sz="4" w:space="0"/>
              <w:left w:val="single" w:color="auto" w:sz="4" w:space="0"/>
              <w:bottom w:val="single" w:color="auto" w:sz="4" w:space="0"/>
              <w:right w:val="single" w:color="auto" w:sz="4" w:space="0"/>
            </w:tcBorders>
            <w:vAlign w:val="center"/>
          </w:tcPr>
          <w:p w14:paraId="2E01142A">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145" w:type="dxa"/>
            <w:tcBorders>
              <w:top w:val="single" w:color="auto" w:sz="4" w:space="0"/>
              <w:left w:val="single" w:color="auto" w:sz="4" w:space="0"/>
              <w:bottom w:val="single" w:color="auto" w:sz="4" w:space="0"/>
              <w:right w:val="single" w:color="auto" w:sz="4" w:space="0"/>
            </w:tcBorders>
            <w:vAlign w:val="center"/>
          </w:tcPr>
          <w:p w14:paraId="0712CE77">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过载能力要求</w:t>
            </w:r>
          </w:p>
        </w:tc>
        <w:tc>
          <w:tcPr>
            <w:tcW w:w="4054" w:type="dxa"/>
            <w:tcBorders>
              <w:top w:val="single" w:color="auto" w:sz="4" w:space="0"/>
              <w:left w:val="single" w:color="auto" w:sz="4" w:space="0"/>
              <w:bottom w:val="single" w:color="auto" w:sz="4" w:space="0"/>
              <w:right w:val="single" w:color="auto" w:sz="4" w:space="0"/>
            </w:tcBorders>
            <w:vAlign w:val="center"/>
          </w:tcPr>
          <w:p w14:paraId="75F10EB6">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110%负载率：≥60min;125%负载率：≥10min；150%负载率：≥60s；需提供国家认可的检测机构出具检测报告。</w:t>
            </w:r>
          </w:p>
        </w:tc>
        <w:tc>
          <w:tcPr>
            <w:tcW w:w="1621" w:type="dxa"/>
            <w:tcBorders>
              <w:top w:val="single" w:color="auto" w:sz="4" w:space="0"/>
              <w:left w:val="single" w:color="auto" w:sz="4" w:space="0"/>
              <w:bottom w:val="single" w:color="auto" w:sz="4" w:space="0"/>
              <w:right w:val="single" w:color="auto" w:sz="4" w:space="0"/>
            </w:tcBorders>
            <w:vAlign w:val="center"/>
          </w:tcPr>
          <w:p w14:paraId="1D33B7A7">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5D025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6E15F514">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7</w:t>
            </w:r>
          </w:p>
        </w:tc>
        <w:tc>
          <w:tcPr>
            <w:tcW w:w="1080" w:type="dxa"/>
            <w:tcBorders>
              <w:top w:val="single" w:color="auto" w:sz="4" w:space="0"/>
              <w:left w:val="single" w:color="auto" w:sz="4" w:space="0"/>
              <w:bottom w:val="single" w:color="auto" w:sz="4" w:space="0"/>
              <w:right w:val="single" w:color="auto" w:sz="4" w:space="0"/>
            </w:tcBorders>
            <w:vAlign w:val="center"/>
          </w:tcPr>
          <w:p w14:paraId="3C0E8968">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145" w:type="dxa"/>
            <w:tcBorders>
              <w:top w:val="single" w:color="auto" w:sz="4" w:space="0"/>
              <w:left w:val="single" w:color="auto" w:sz="4" w:space="0"/>
              <w:bottom w:val="single" w:color="auto" w:sz="4" w:space="0"/>
              <w:right w:val="single" w:color="auto" w:sz="4" w:space="0"/>
            </w:tcBorders>
            <w:vAlign w:val="center"/>
          </w:tcPr>
          <w:p w14:paraId="3F1000CF">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功率模块可靠性要求</w:t>
            </w:r>
          </w:p>
        </w:tc>
        <w:tc>
          <w:tcPr>
            <w:tcW w:w="4054" w:type="dxa"/>
            <w:tcBorders>
              <w:top w:val="single" w:color="auto" w:sz="4" w:space="0"/>
              <w:left w:val="single" w:color="auto" w:sz="4" w:space="0"/>
              <w:bottom w:val="single" w:color="auto" w:sz="4" w:space="0"/>
              <w:right w:val="single" w:color="auto" w:sz="4" w:space="0"/>
            </w:tcBorders>
            <w:vAlign w:val="center"/>
          </w:tcPr>
          <w:p w14:paraId="0BEE6124">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UPS电气柜内功率模块交/直流端口并联要求采用母排汇流方式，禁止电缆+接线端子方式，请提供UPS电气柜内功率模块背部交/直流端口并联设计实物照片证明。</w:t>
            </w:r>
          </w:p>
        </w:tc>
        <w:tc>
          <w:tcPr>
            <w:tcW w:w="1621" w:type="dxa"/>
            <w:tcBorders>
              <w:top w:val="single" w:color="auto" w:sz="4" w:space="0"/>
              <w:left w:val="single" w:color="auto" w:sz="4" w:space="0"/>
              <w:bottom w:val="single" w:color="auto" w:sz="4" w:space="0"/>
              <w:right w:val="single" w:color="auto" w:sz="4" w:space="0"/>
            </w:tcBorders>
            <w:vAlign w:val="center"/>
          </w:tcPr>
          <w:p w14:paraId="4524D2CB">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2BDC4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72AAFE45">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8</w:t>
            </w:r>
          </w:p>
        </w:tc>
        <w:tc>
          <w:tcPr>
            <w:tcW w:w="1080" w:type="dxa"/>
            <w:tcBorders>
              <w:top w:val="single" w:color="auto" w:sz="4" w:space="0"/>
              <w:left w:val="single" w:color="auto" w:sz="4" w:space="0"/>
              <w:bottom w:val="single" w:color="auto" w:sz="4" w:space="0"/>
              <w:right w:val="single" w:color="auto" w:sz="4" w:space="0"/>
            </w:tcBorders>
            <w:vAlign w:val="center"/>
          </w:tcPr>
          <w:p w14:paraId="0B330A74">
            <w:pPr>
              <w:spacing w:line="276" w:lineRule="auto"/>
              <w:jc w:val="center"/>
              <w:rPr>
                <w:rFonts w:asciiTheme="minorEastAsia" w:hAnsiTheme="minorEastAsia" w:eastAsiaTheme="minorEastAsia" w:cstheme="minorEastAsia"/>
                <w:sz w:val="24"/>
              </w:rPr>
            </w:pPr>
          </w:p>
        </w:tc>
        <w:tc>
          <w:tcPr>
            <w:tcW w:w="2145" w:type="dxa"/>
            <w:tcBorders>
              <w:top w:val="single" w:color="auto" w:sz="4" w:space="0"/>
              <w:left w:val="single" w:color="auto" w:sz="4" w:space="0"/>
              <w:bottom w:val="single" w:color="auto" w:sz="4" w:space="0"/>
              <w:right w:val="single" w:color="auto" w:sz="4" w:space="0"/>
            </w:tcBorders>
            <w:vAlign w:val="center"/>
          </w:tcPr>
          <w:p w14:paraId="688B0BA0">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降额要求</w:t>
            </w:r>
          </w:p>
        </w:tc>
        <w:tc>
          <w:tcPr>
            <w:tcW w:w="4054" w:type="dxa"/>
            <w:tcBorders>
              <w:top w:val="single" w:color="auto" w:sz="4" w:space="0"/>
              <w:left w:val="single" w:color="auto" w:sz="4" w:space="0"/>
              <w:bottom w:val="single" w:color="auto" w:sz="4" w:space="0"/>
              <w:right w:val="single" w:color="auto" w:sz="4" w:space="0"/>
            </w:tcBorders>
            <w:vAlign w:val="center"/>
          </w:tcPr>
          <w:p w14:paraId="078F4239">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海拔高度：0～1500米，无需功率降额。</w:t>
            </w:r>
          </w:p>
        </w:tc>
        <w:tc>
          <w:tcPr>
            <w:tcW w:w="1621" w:type="dxa"/>
            <w:tcBorders>
              <w:top w:val="single" w:color="auto" w:sz="4" w:space="0"/>
              <w:left w:val="single" w:color="auto" w:sz="4" w:space="0"/>
              <w:bottom w:val="single" w:color="auto" w:sz="4" w:space="0"/>
              <w:right w:val="single" w:color="auto" w:sz="4" w:space="0"/>
            </w:tcBorders>
            <w:vAlign w:val="center"/>
          </w:tcPr>
          <w:p w14:paraId="3D85403E">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0B0AD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63FE3F9E">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9</w:t>
            </w:r>
          </w:p>
        </w:tc>
        <w:tc>
          <w:tcPr>
            <w:tcW w:w="1080" w:type="dxa"/>
            <w:tcBorders>
              <w:top w:val="single" w:color="auto" w:sz="4" w:space="0"/>
              <w:left w:val="single" w:color="auto" w:sz="4" w:space="0"/>
              <w:bottom w:val="single" w:color="auto" w:sz="4" w:space="0"/>
              <w:right w:val="single" w:color="auto" w:sz="4" w:space="0"/>
            </w:tcBorders>
            <w:vAlign w:val="center"/>
          </w:tcPr>
          <w:p w14:paraId="72B5502C">
            <w:pPr>
              <w:spacing w:line="276" w:lineRule="auto"/>
              <w:jc w:val="center"/>
              <w:rPr>
                <w:rFonts w:asciiTheme="minorEastAsia" w:hAnsiTheme="minorEastAsia" w:eastAsiaTheme="minorEastAsia" w:cstheme="minorEastAsia"/>
                <w:sz w:val="24"/>
              </w:rPr>
            </w:pPr>
          </w:p>
        </w:tc>
        <w:tc>
          <w:tcPr>
            <w:tcW w:w="2145" w:type="dxa"/>
            <w:tcBorders>
              <w:top w:val="single" w:color="auto" w:sz="4" w:space="0"/>
              <w:left w:val="single" w:color="auto" w:sz="4" w:space="0"/>
              <w:bottom w:val="single" w:color="auto" w:sz="4" w:space="0"/>
              <w:right w:val="single" w:color="auto" w:sz="4" w:space="0"/>
            </w:tcBorders>
            <w:vAlign w:val="center"/>
          </w:tcPr>
          <w:p w14:paraId="44F9E6C7">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输出电压不平衡度</w:t>
            </w:r>
          </w:p>
        </w:tc>
        <w:tc>
          <w:tcPr>
            <w:tcW w:w="4054" w:type="dxa"/>
            <w:tcBorders>
              <w:top w:val="single" w:color="auto" w:sz="4" w:space="0"/>
              <w:left w:val="single" w:color="auto" w:sz="4" w:space="0"/>
              <w:bottom w:val="single" w:color="auto" w:sz="4" w:space="0"/>
              <w:right w:val="single" w:color="auto" w:sz="4" w:space="0"/>
            </w:tcBorders>
            <w:vAlign w:val="center"/>
          </w:tcPr>
          <w:p w14:paraId="7A4A2E48">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三相负载不平衡度 100%时，三相输出电压不平衡度满足：</w:t>
            </w:r>
          </w:p>
          <w:p w14:paraId="6F01EE32">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＜±0.1％（平衡负载），＜±2.5％（100％不平衡负载）。 </w:t>
            </w:r>
          </w:p>
        </w:tc>
        <w:tc>
          <w:tcPr>
            <w:tcW w:w="1621" w:type="dxa"/>
            <w:tcBorders>
              <w:top w:val="single" w:color="auto" w:sz="4" w:space="0"/>
              <w:left w:val="single" w:color="auto" w:sz="4" w:space="0"/>
              <w:bottom w:val="single" w:color="auto" w:sz="4" w:space="0"/>
              <w:right w:val="single" w:color="auto" w:sz="4" w:space="0"/>
            </w:tcBorders>
            <w:vAlign w:val="center"/>
          </w:tcPr>
          <w:p w14:paraId="3AC24A55">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70247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771FB78B">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10</w:t>
            </w:r>
          </w:p>
        </w:tc>
        <w:tc>
          <w:tcPr>
            <w:tcW w:w="1080" w:type="dxa"/>
            <w:tcBorders>
              <w:top w:val="single" w:color="auto" w:sz="4" w:space="0"/>
              <w:left w:val="single" w:color="auto" w:sz="4" w:space="0"/>
              <w:bottom w:val="single" w:color="auto" w:sz="4" w:space="0"/>
              <w:right w:val="single" w:color="auto" w:sz="4" w:space="0"/>
            </w:tcBorders>
            <w:vAlign w:val="center"/>
          </w:tcPr>
          <w:p w14:paraId="4D10D8B3">
            <w:pPr>
              <w:spacing w:line="276" w:lineRule="auto"/>
              <w:jc w:val="center"/>
              <w:rPr>
                <w:rFonts w:asciiTheme="minorEastAsia" w:hAnsiTheme="minorEastAsia" w:eastAsiaTheme="minorEastAsia" w:cstheme="minorEastAsia"/>
                <w:sz w:val="24"/>
              </w:rPr>
            </w:pPr>
          </w:p>
        </w:tc>
        <w:tc>
          <w:tcPr>
            <w:tcW w:w="2145" w:type="dxa"/>
            <w:tcBorders>
              <w:top w:val="single" w:color="auto" w:sz="4" w:space="0"/>
              <w:left w:val="single" w:color="auto" w:sz="4" w:space="0"/>
              <w:bottom w:val="single" w:color="auto" w:sz="4" w:space="0"/>
              <w:right w:val="single" w:color="auto" w:sz="4" w:space="0"/>
            </w:tcBorders>
            <w:vAlign w:val="center"/>
          </w:tcPr>
          <w:p w14:paraId="0DD0BFEF">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动态电压瞬变范围</w:t>
            </w:r>
          </w:p>
        </w:tc>
        <w:tc>
          <w:tcPr>
            <w:tcW w:w="4054" w:type="dxa"/>
            <w:tcBorders>
              <w:top w:val="single" w:color="auto" w:sz="4" w:space="0"/>
              <w:left w:val="single" w:color="auto" w:sz="4" w:space="0"/>
              <w:bottom w:val="single" w:color="auto" w:sz="4" w:space="0"/>
              <w:right w:val="single" w:color="auto" w:sz="4" w:space="0"/>
            </w:tcBorders>
            <w:vAlign w:val="center"/>
          </w:tcPr>
          <w:p w14:paraId="627B24A7">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交流输入电压不变时，负载从0－100%－0变化，交流输入中断或恢复供电时的输出电压变化量＜额定输出电压的±4％。</w:t>
            </w:r>
          </w:p>
        </w:tc>
        <w:tc>
          <w:tcPr>
            <w:tcW w:w="1621" w:type="dxa"/>
            <w:tcBorders>
              <w:top w:val="single" w:color="auto" w:sz="4" w:space="0"/>
              <w:left w:val="single" w:color="auto" w:sz="4" w:space="0"/>
              <w:bottom w:val="single" w:color="auto" w:sz="4" w:space="0"/>
              <w:right w:val="single" w:color="auto" w:sz="4" w:space="0"/>
            </w:tcBorders>
            <w:vAlign w:val="center"/>
          </w:tcPr>
          <w:p w14:paraId="1C1C94FB">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1653A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0B758BBF">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11</w:t>
            </w:r>
          </w:p>
        </w:tc>
        <w:tc>
          <w:tcPr>
            <w:tcW w:w="1080" w:type="dxa"/>
            <w:tcBorders>
              <w:top w:val="single" w:color="auto" w:sz="4" w:space="0"/>
              <w:left w:val="single" w:color="auto" w:sz="4" w:space="0"/>
              <w:bottom w:val="single" w:color="auto" w:sz="4" w:space="0"/>
              <w:right w:val="single" w:color="auto" w:sz="4" w:space="0"/>
            </w:tcBorders>
            <w:vAlign w:val="center"/>
          </w:tcPr>
          <w:p w14:paraId="010BC9CD">
            <w:pPr>
              <w:spacing w:line="276" w:lineRule="auto"/>
              <w:jc w:val="center"/>
              <w:rPr>
                <w:rFonts w:asciiTheme="minorEastAsia" w:hAnsiTheme="minorEastAsia" w:eastAsiaTheme="minorEastAsia" w:cstheme="minorEastAsia"/>
                <w:sz w:val="24"/>
              </w:rPr>
            </w:pPr>
          </w:p>
        </w:tc>
        <w:tc>
          <w:tcPr>
            <w:tcW w:w="2145" w:type="dxa"/>
            <w:tcBorders>
              <w:top w:val="single" w:color="auto" w:sz="4" w:space="0"/>
              <w:left w:val="single" w:color="auto" w:sz="4" w:space="0"/>
              <w:bottom w:val="single" w:color="auto" w:sz="4" w:space="0"/>
              <w:right w:val="single" w:color="auto" w:sz="4" w:space="0"/>
            </w:tcBorders>
            <w:vAlign w:val="center"/>
          </w:tcPr>
          <w:p w14:paraId="1F862ED8">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电池管理功能</w:t>
            </w:r>
          </w:p>
        </w:tc>
        <w:tc>
          <w:tcPr>
            <w:tcW w:w="4054" w:type="dxa"/>
            <w:tcBorders>
              <w:top w:val="single" w:color="auto" w:sz="4" w:space="0"/>
              <w:left w:val="single" w:color="auto" w:sz="4" w:space="0"/>
              <w:bottom w:val="single" w:color="auto" w:sz="4" w:space="0"/>
              <w:right w:val="single" w:color="auto" w:sz="4" w:space="0"/>
            </w:tcBorders>
            <w:vAlign w:val="center"/>
          </w:tcPr>
          <w:p w14:paraId="0072AECF">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UPS系统应支持电池节数可调，具有定期对电池组进行自动浮充、均充转换、自动温度补偿、电池组放电及记录功能。</w:t>
            </w:r>
          </w:p>
        </w:tc>
        <w:tc>
          <w:tcPr>
            <w:tcW w:w="1621" w:type="dxa"/>
            <w:tcBorders>
              <w:top w:val="single" w:color="auto" w:sz="4" w:space="0"/>
              <w:left w:val="single" w:color="auto" w:sz="4" w:space="0"/>
              <w:bottom w:val="single" w:color="auto" w:sz="4" w:space="0"/>
              <w:right w:val="single" w:color="auto" w:sz="4" w:space="0"/>
            </w:tcBorders>
            <w:vAlign w:val="center"/>
          </w:tcPr>
          <w:p w14:paraId="4DD20A41">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47285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27F36066">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12</w:t>
            </w:r>
          </w:p>
        </w:tc>
        <w:tc>
          <w:tcPr>
            <w:tcW w:w="1080" w:type="dxa"/>
            <w:tcBorders>
              <w:top w:val="single" w:color="auto" w:sz="4" w:space="0"/>
              <w:left w:val="single" w:color="auto" w:sz="4" w:space="0"/>
              <w:bottom w:val="single" w:color="auto" w:sz="4" w:space="0"/>
              <w:right w:val="single" w:color="auto" w:sz="4" w:space="0"/>
            </w:tcBorders>
            <w:vAlign w:val="center"/>
          </w:tcPr>
          <w:p w14:paraId="6D94DE72">
            <w:pPr>
              <w:spacing w:line="276" w:lineRule="auto"/>
              <w:jc w:val="center"/>
              <w:rPr>
                <w:rFonts w:asciiTheme="minorEastAsia" w:hAnsiTheme="minorEastAsia" w:eastAsiaTheme="minorEastAsia" w:cstheme="minorEastAsia"/>
                <w:sz w:val="24"/>
              </w:rPr>
            </w:pPr>
          </w:p>
        </w:tc>
        <w:tc>
          <w:tcPr>
            <w:tcW w:w="2145" w:type="dxa"/>
            <w:tcBorders>
              <w:top w:val="single" w:color="auto" w:sz="4" w:space="0"/>
              <w:left w:val="single" w:color="auto" w:sz="4" w:space="0"/>
              <w:bottom w:val="single" w:color="auto" w:sz="4" w:space="0"/>
              <w:right w:val="single" w:color="auto" w:sz="4" w:space="0"/>
            </w:tcBorders>
            <w:vAlign w:val="center"/>
          </w:tcPr>
          <w:p w14:paraId="68C28469">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控制器要求</w:t>
            </w:r>
          </w:p>
        </w:tc>
        <w:tc>
          <w:tcPr>
            <w:tcW w:w="4054" w:type="dxa"/>
            <w:tcBorders>
              <w:top w:val="single" w:color="auto" w:sz="4" w:space="0"/>
              <w:left w:val="single" w:color="auto" w:sz="4" w:space="0"/>
              <w:bottom w:val="single" w:color="auto" w:sz="4" w:space="0"/>
              <w:right w:val="single" w:color="auto" w:sz="4" w:space="0"/>
            </w:tcBorders>
            <w:vAlign w:val="center"/>
          </w:tcPr>
          <w:p w14:paraId="3DCCFB13">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UPS应采用分散控制的逻辑，每个功率模块均要求内置完整的整流、逆变及控制系统，任意模块的功率或控制电路故障都不影响UPS系统整体工作运行，保证系统控制不会出现单点故障。</w:t>
            </w:r>
          </w:p>
        </w:tc>
        <w:tc>
          <w:tcPr>
            <w:tcW w:w="1621" w:type="dxa"/>
            <w:tcBorders>
              <w:top w:val="single" w:color="auto" w:sz="4" w:space="0"/>
              <w:left w:val="single" w:color="auto" w:sz="4" w:space="0"/>
              <w:bottom w:val="single" w:color="auto" w:sz="4" w:space="0"/>
              <w:right w:val="single" w:color="auto" w:sz="4" w:space="0"/>
            </w:tcBorders>
            <w:vAlign w:val="center"/>
          </w:tcPr>
          <w:p w14:paraId="1801C57C">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219E7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143F8625">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13</w:t>
            </w:r>
          </w:p>
        </w:tc>
        <w:tc>
          <w:tcPr>
            <w:tcW w:w="1080" w:type="dxa"/>
            <w:tcBorders>
              <w:top w:val="single" w:color="auto" w:sz="4" w:space="0"/>
              <w:left w:val="single" w:color="auto" w:sz="4" w:space="0"/>
              <w:bottom w:val="single" w:color="auto" w:sz="4" w:space="0"/>
              <w:right w:val="single" w:color="auto" w:sz="4" w:space="0"/>
            </w:tcBorders>
            <w:vAlign w:val="center"/>
          </w:tcPr>
          <w:p w14:paraId="55DBBBD8">
            <w:pPr>
              <w:spacing w:line="276" w:lineRule="auto"/>
              <w:jc w:val="center"/>
              <w:rPr>
                <w:rFonts w:asciiTheme="minorEastAsia" w:hAnsiTheme="minorEastAsia" w:eastAsiaTheme="minorEastAsia" w:cstheme="minorEastAsia"/>
                <w:sz w:val="24"/>
              </w:rPr>
            </w:pPr>
          </w:p>
        </w:tc>
        <w:tc>
          <w:tcPr>
            <w:tcW w:w="2145" w:type="dxa"/>
            <w:tcBorders>
              <w:top w:val="single" w:color="auto" w:sz="4" w:space="0"/>
              <w:left w:val="single" w:color="auto" w:sz="4" w:space="0"/>
              <w:bottom w:val="single" w:color="auto" w:sz="4" w:space="0"/>
              <w:right w:val="single" w:color="auto" w:sz="4" w:space="0"/>
            </w:tcBorders>
            <w:vAlign w:val="center"/>
          </w:tcPr>
          <w:p w14:paraId="7A26B514">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波形失真度</w:t>
            </w:r>
          </w:p>
        </w:tc>
        <w:tc>
          <w:tcPr>
            <w:tcW w:w="4054" w:type="dxa"/>
            <w:tcBorders>
              <w:top w:val="single" w:color="auto" w:sz="4" w:space="0"/>
              <w:left w:val="single" w:color="auto" w:sz="4" w:space="0"/>
              <w:bottom w:val="single" w:color="auto" w:sz="4" w:space="0"/>
              <w:right w:val="single" w:color="auto" w:sz="4" w:space="0"/>
            </w:tcBorders>
            <w:vAlign w:val="center"/>
          </w:tcPr>
          <w:p w14:paraId="029B2635">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输出波形为连续的正弦波，在带100%不均衡负载时，波形失真度：线性负载 ≤1.5％，非线性负载 ≤2.0％。</w:t>
            </w:r>
          </w:p>
        </w:tc>
        <w:tc>
          <w:tcPr>
            <w:tcW w:w="1621" w:type="dxa"/>
            <w:tcBorders>
              <w:top w:val="single" w:color="auto" w:sz="4" w:space="0"/>
              <w:left w:val="single" w:color="auto" w:sz="4" w:space="0"/>
              <w:bottom w:val="single" w:color="auto" w:sz="4" w:space="0"/>
              <w:right w:val="single" w:color="auto" w:sz="4" w:space="0"/>
            </w:tcBorders>
            <w:vAlign w:val="center"/>
          </w:tcPr>
          <w:p w14:paraId="4A31E9A9">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172DD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2EF8D57F">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14</w:t>
            </w:r>
          </w:p>
        </w:tc>
        <w:tc>
          <w:tcPr>
            <w:tcW w:w="1080" w:type="dxa"/>
            <w:tcBorders>
              <w:top w:val="single" w:color="auto" w:sz="4" w:space="0"/>
              <w:left w:val="single" w:color="auto" w:sz="4" w:space="0"/>
              <w:bottom w:val="single" w:color="auto" w:sz="4" w:space="0"/>
              <w:right w:val="single" w:color="auto" w:sz="4" w:space="0"/>
            </w:tcBorders>
            <w:vAlign w:val="center"/>
          </w:tcPr>
          <w:p w14:paraId="24B91EE8">
            <w:pPr>
              <w:spacing w:line="276" w:lineRule="auto"/>
              <w:jc w:val="center"/>
              <w:rPr>
                <w:rFonts w:asciiTheme="minorEastAsia" w:hAnsiTheme="minorEastAsia" w:eastAsiaTheme="minorEastAsia" w:cstheme="minorEastAsia"/>
                <w:sz w:val="24"/>
              </w:rPr>
            </w:pPr>
          </w:p>
        </w:tc>
        <w:tc>
          <w:tcPr>
            <w:tcW w:w="2145" w:type="dxa"/>
            <w:tcBorders>
              <w:top w:val="single" w:color="auto" w:sz="4" w:space="0"/>
              <w:left w:val="single" w:color="auto" w:sz="4" w:space="0"/>
              <w:bottom w:val="single" w:color="auto" w:sz="4" w:space="0"/>
              <w:right w:val="single" w:color="auto" w:sz="4" w:space="0"/>
            </w:tcBorders>
            <w:vAlign w:val="center"/>
          </w:tcPr>
          <w:p w14:paraId="5815F6A9">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输出稳压精度</w:t>
            </w:r>
          </w:p>
        </w:tc>
        <w:tc>
          <w:tcPr>
            <w:tcW w:w="4054" w:type="dxa"/>
            <w:tcBorders>
              <w:top w:val="single" w:color="auto" w:sz="4" w:space="0"/>
              <w:left w:val="single" w:color="auto" w:sz="4" w:space="0"/>
              <w:bottom w:val="single" w:color="auto" w:sz="4" w:space="0"/>
              <w:right w:val="single" w:color="auto" w:sz="4" w:space="0"/>
            </w:tcBorders>
            <w:vAlign w:val="center"/>
          </w:tcPr>
          <w:p w14:paraId="000B27F1">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逆变器输出电压：380VAC(线)/220VAC（相），稳态精度：±0.1％。</w:t>
            </w:r>
          </w:p>
        </w:tc>
        <w:tc>
          <w:tcPr>
            <w:tcW w:w="1621" w:type="dxa"/>
            <w:tcBorders>
              <w:top w:val="single" w:color="auto" w:sz="4" w:space="0"/>
              <w:left w:val="single" w:color="auto" w:sz="4" w:space="0"/>
              <w:bottom w:val="single" w:color="auto" w:sz="4" w:space="0"/>
              <w:right w:val="single" w:color="auto" w:sz="4" w:space="0"/>
            </w:tcBorders>
            <w:vAlign w:val="center"/>
          </w:tcPr>
          <w:p w14:paraId="25384379">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bl>
    <w:p w14:paraId="0A7FF1D4">
      <w:pPr>
        <w:rPr>
          <w:rFonts w:asciiTheme="minorEastAsia" w:hAnsiTheme="minorEastAsia" w:eastAsiaTheme="minorEastAsia" w:cstheme="minorEastAsia"/>
          <w:sz w:val="24"/>
        </w:rPr>
      </w:pPr>
    </w:p>
    <w:p w14:paraId="6D5FC611">
      <w:pPr>
        <w:pStyle w:val="2"/>
        <w:numPr>
          <w:ilvl w:val="0"/>
          <w:numId w:val="2"/>
        </w:numPr>
        <w:ind w:left="442" w:hanging="442"/>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UPS主机（200KVA）</w:t>
      </w:r>
    </w:p>
    <w:p w14:paraId="074482FC">
      <w:pPr>
        <w:rPr>
          <w:rFonts w:asciiTheme="minorEastAsia" w:hAnsiTheme="minorEastAsia" w:eastAsiaTheme="minorEastAsia" w:cstheme="minorEastAsia"/>
          <w:sz w:val="24"/>
        </w:rPr>
      </w:pPr>
    </w:p>
    <w:tbl>
      <w:tblPr>
        <w:tblStyle w:val="15"/>
        <w:tblW w:w="9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065"/>
        <w:gridCol w:w="2166"/>
        <w:gridCol w:w="4156"/>
        <w:gridCol w:w="1620"/>
      </w:tblGrid>
      <w:tr w14:paraId="72C5C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021B0ED8">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序号</w:t>
            </w:r>
          </w:p>
        </w:tc>
        <w:tc>
          <w:tcPr>
            <w:tcW w:w="1065" w:type="dxa"/>
            <w:tcBorders>
              <w:top w:val="single" w:color="auto" w:sz="4" w:space="0"/>
              <w:left w:val="single" w:color="auto" w:sz="4" w:space="0"/>
              <w:bottom w:val="single" w:color="auto" w:sz="4" w:space="0"/>
              <w:right w:val="single" w:color="auto" w:sz="4" w:space="0"/>
            </w:tcBorders>
            <w:vAlign w:val="center"/>
          </w:tcPr>
          <w:p w14:paraId="0E322081">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重要性</w:t>
            </w:r>
          </w:p>
        </w:tc>
        <w:tc>
          <w:tcPr>
            <w:tcW w:w="2166" w:type="dxa"/>
            <w:tcBorders>
              <w:top w:val="single" w:color="auto" w:sz="4" w:space="0"/>
              <w:left w:val="single" w:color="auto" w:sz="4" w:space="0"/>
              <w:bottom w:val="single" w:color="auto" w:sz="4" w:space="0"/>
              <w:right w:val="single" w:color="auto" w:sz="4" w:space="0"/>
            </w:tcBorders>
            <w:vAlign w:val="center"/>
          </w:tcPr>
          <w:p w14:paraId="25C8C54E">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指标项</w:t>
            </w:r>
          </w:p>
        </w:tc>
        <w:tc>
          <w:tcPr>
            <w:tcW w:w="4156" w:type="dxa"/>
            <w:tcBorders>
              <w:top w:val="single" w:color="auto" w:sz="4" w:space="0"/>
              <w:left w:val="single" w:color="auto" w:sz="4" w:space="0"/>
              <w:bottom w:val="single" w:color="auto" w:sz="4" w:space="0"/>
              <w:right w:val="single" w:color="auto" w:sz="4" w:space="0"/>
            </w:tcBorders>
            <w:vAlign w:val="center"/>
          </w:tcPr>
          <w:p w14:paraId="56FF9B0A">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指标要求</w:t>
            </w:r>
          </w:p>
        </w:tc>
        <w:tc>
          <w:tcPr>
            <w:tcW w:w="1620" w:type="dxa"/>
            <w:tcBorders>
              <w:top w:val="single" w:color="auto" w:sz="4" w:space="0"/>
              <w:left w:val="single" w:color="auto" w:sz="4" w:space="0"/>
              <w:bottom w:val="single" w:color="auto" w:sz="4" w:space="0"/>
              <w:right w:val="single" w:color="auto" w:sz="4" w:space="0"/>
            </w:tcBorders>
            <w:vAlign w:val="center"/>
          </w:tcPr>
          <w:p w14:paraId="48969156">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是否提供证明材料</w:t>
            </w:r>
          </w:p>
        </w:tc>
      </w:tr>
      <w:tr w14:paraId="791E2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6EBBA60F">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1065" w:type="dxa"/>
            <w:tcBorders>
              <w:top w:val="single" w:color="auto" w:sz="4" w:space="0"/>
              <w:left w:val="single" w:color="auto" w:sz="4" w:space="0"/>
              <w:bottom w:val="single" w:color="auto" w:sz="4" w:space="0"/>
              <w:right w:val="single" w:color="auto" w:sz="4" w:space="0"/>
            </w:tcBorders>
            <w:vAlign w:val="center"/>
          </w:tcPr>
          <w:p w14:paraId="2EC97DD1">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166" w:type="dxa"/>
            <w:tcBorders>
              <w:top w:val="single" w:color="auto" w:sz="4" w:space="0"/>
              <w:left w:val="single" w:color="auto" w:sz="4" w:space="0"/>
              <w:bottom w:val="single" w:color="auto" w:sz="4" w:space="0"/>
              <w:right w:val="single" w:color="auto" w:sz="4" w:space="0"/>
            </w:tcBorders>
            <w:vAlign w:val="center"/>
          </w:tcPr>
          <w:p w14:paraId="1B620D29">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容量要求</w:t>
            </w:r>
          </w:p>
        </w:tc>
        <w:tc>
          <w:tcPr>
            <w:tcW w:w="4156" w:type="dxa"/>
            <w:tcBorders>
              <w:top w:val="single" w:color="auto" w:sz="4" w:space="0"/>
              <w:left w:val="single" w:color="auto" w:sz="4" w:space="0"/>
              <w:bottom w:val="single" w:color="auto" w:sz="4" w:space="0"/>
              <w:right w:val="single" w:color="auto" w:sz="4" w:space="0"/>
            </w:tcBorders>
            <w:vAlign w:val="center"/>
          </w:tcPr>
          <w:p w14:paraId="643F3B73">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模块化UPS电源系统，单个功率模块不低于60kVA，单系统容量为不低于200kVA。</w:t>
            </w:r>
          </w:p>
        </w:tc>
        <w:tc>
          <w:tcPr>
            <w:tcW w:w="1620" w:type="dxa"/>
            <w:tcBorders>
              <w:top w:val="single" w:color="auto" w:sz="4" w:space="0"/>
              <w:left w:val="single" w:color="auto" w:sz="4" w:space="0"/>
              <w:bottom w:val="single" w:color="auto" w:sz="4" w:space="0"/>
              <w:right w:val="single" w:color="auto" w:sz="4" w:space="0"/>
            </w:tcBorders>
            <w:vAlign w:val="center"/>
          </w:tcPr>
          <w:p w14:paraId="717D2915">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2B23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1DE91369">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w:t>
            </w:r>
          </w:p>
        </w:tc>
        <w:tc>
          <w:tcPr>
            <w:tcW w:w="1065" w:type="dxa"/>
            <w:tcBorders>
              <w:top w:val="single" w:color="auto" w:sz="4" w:space="0"/>
              <w:left w:val="single" w:color="auto" w:sz="4" w:space="0"/>
              <w:bottom w:val="single" w:color="auto" w:sz="4" w:space="0"/>
              <w:right w:val="single" w:color="auto" w:sz="4" w:space="0"/>
            </w:tcBorders>
            <w:vAlign w:val="center"/>
          </w:tcPr>
          <w:p w14:paraId="4908D3BE">
            <w:pPr>
              <w:spacing w:line="276" w:lineRule="auto"/>
              <w:jc w:val="center"/>
              <w:rPr>
                <w:rFonts w:asciiTheme="minorEastAsia" w:hAnsiTheme="minorEastAsia" w:eastAsiaTheme="minorEastAsia" w:cstheme="minorEastAsia"/>
                <w:sz w:val="24"/>
              </w:rPr>
            </w:pPr>
          </w:p>
        </w:tc>
        <w:tc>
          <w:tcPr>
            <w:tcW w:w="2166" w:type="dxa"/>
            <w:tcBorders>
              <w:top w:val="single" w:color="auto" w:sz="4" w:space="0"/>
              <w:left w:val="single" w:color="auto" w:sz="4" w:space="0"/>
              <w:bottom w:val="single" w:color="auto" w:sz="4" w:space="0"/>
              <w:right w:val="single" w:color="auto" w:sz="4" w:space="0"/>
            </w:tcBorders>
            <w:vAlign w:val="center"/>
          </w:tcPr>
          <w:p w14:paraId="4D8A9F6F">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基本要求</w:t>
            </w:r>
          </w:p>
        </w:tc>
        <w:tc>
          <w:tcPr>
            <w:tcW w:w="4156" w:type="dxa"/>
            <w:tcBorders>
              <w:top w:val="single" w:color="auto" w:sz="4" w:space="0"/>
              <w:left w:val="single" w:color="auto" w:sz="4" w:space="0"/>
              <w:bottom w:val="single" w:color="auto" w:sz="4" w:space="0"/>
              <w:right w:val="single" w:color="auto" w:sz="4" w:space="0"/>
            </w:tcBorders>
            <w:vAlign w:val="center"/>
          </w:tcPr>
          <w:p w14:paraId="303797E5">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UPS系统内部的功率模块并联采用分散控制技术，每个功率模块具有独立DSP控制，并联模块间自主均流，不得有固定的主控制模块进行集中控制，以避免单点故障的瓶颈，确保整机可靠性。</w:t>
            </w:r>
          </w:p>
        </w:tc>
        <w:tc>
          <w:tcPr>
            <w:tcW w:w="1620" w:type="dxa"/>
            <w:tcBorders>
              <w:top w:val="single" w:color="auto" w:sz="4" w:space="0"/>
              <w:left w:val="single" w:color="auto" w:sz="4" w:space="0"/>
              <w:bottom w:val="single" w:color="auto" w:sz="4" w:space="0"/>
              <w:right w:val="single" w:color="auto" w:sz="4" w:space="0"/>
            </w:tcBorders>
            <w:vAlign w:val="center"/>
          </w:tcPr>
          <w:p w14:paraId="6D805929">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704EE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56C92DAE">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w:t>
            </w:r>
          </w:p>
        </w:tc>
        <w:tc>
          <w:tcPr>
            <w:tcW w:w="1065" w:type="dxa"/>
            <w:tcBorders>
              <w:top w:val="single" w:color="auto" w:sz="4" w:space="0"/>
              <w:left w:val="single" w:color="auto" w:sz="4" w:space="0"/>
              <w:bottom w:val="single" w:color="auto" w:sz="4" w:space="0"/>
              <w:right w:val="single" w:color="auto" w:sz="4" w:space="0"/>
            </w:tcBorders>
            <w:vAlign w:val="center"/>
          </w:tcPr>
          <w:p w14:paraId="59B517E2">
            <w:pPr>
              <w:spacing w:line="276" w:lineRule="auto"/>
              <w:jc w:val="center"/>
              <w:rPr>
                <w:rFonts w:asciiTheme="minorEastAsia" w:hAnsiTheme="minorEastAsia" w:eastAsiaTheme="minorEastAsia" w:cstheme="minorEastAsia"/>
                <w:sz w:val="24"/>
              </w:rPr>
            </w:pPr>
          </w:p>
        </w:tc>
        <w:tc>
          <w:tcPr>
            <w:tcW w:w="2166" w:type="dxa"/>
            <w:tcBorders>
              <w:top w:val="single" w:color="auto" w:sz="4" w:space="0"/>
              <w:left w:val="single" w:color="auto" w:sz="4" w:space="0"/>
              <w:bottom w:val="single" w:color="auto" w:sz="4" w:space="0"/>
              <w:right w:val="single" w:color="auto" w:sz="4" w:space="0"/>
            </w:tcBorders>
            <w:vAlign w:val="center"/>
          </w:tcPr>
          <w:p w14:paraId="32C4A7BF">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结构防护等级要求</w:t>
            </w:r>
          </w:p>
        </w:tc>
        <w:tc>
          <w:tcPr>
            <w:tcW w:w="4156" w:type="dxa"/>
            <w:tcBorders>
              <w:top w:val="single" w:color="auto" w:sz="4" w:space="0"/>
              <w:left w:val="single" w:color="auto" w:sz="4" w:space="0"/>
              <w:bottom w:val="single" w:color="auto" w:sz="4" w:space="0"/>
              <w:right w:val="single" w:color="auto" w:sz="4" w:space="0"/>
            </w:tcBorders>
            <w:vAlign w:val="center"/>
          </w:tcPr>
          <w:p w14:paraId="2AF44340">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需满足IP20防护等级。</w:t>
            </w:r>
          </w:p>
        </w:tc>
        <w:tc>
          <w:tcPr>
            <w:tcW w:w="1620" w:type="dxa"/>
            <w:tcBorders>
              <w:top w:val="single" w:color="auto" w:sz="4" w:space="0"/>
              <w:left w:val="single" w:color="auto" w:sz="4" w:space="0"/>
              <w:bottom w:val="single" w:color="auto" w:sz="4" w:space="0"/>
              <w:right w:val="single" w:color="auto" w:sz="4" w:space="0"/>
            </w:tcBorders>
            <w:vAlign w:val="center"/>
          </w:tcPr>
          <w:p w14:paraId="1AF82298">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2215B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690B16CB">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w:t>
            </w:r>
          </w:p>
        </w:tc>
        <w:tc>
          <w:tcPr>
            <w:tcW w:w="1065" w:type="dxa"/>
            <w:tcBorders>
              <w:top w:val="single" w:color="auto" w:sz="4" w:space="0"/>
              <w:left w:val="single" w:color="auto" w:sz="4" w:space="0"/>
              <w:bottom w:val="single" w:color="auto" w:sz="4" w:space="0"/>
              <w:right w:val="single" w:color="auto" w:sz="4" w:space="0"/>
            </w:tcBorders>
            <w:vAlign w:val="center"/>
          </w:tcPr>
          <w:p w14:paraId="62B83514">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166" w:type="dxa"/>
            <w:tcBorders>
              <w:top w:val="single" w:color="auto" w:sz="4" w:space="0"/>
              <w:left w:val="single" w:color="auto" w:sz="4" w:space="0"/>
              <w:bottom w:val="single" w:color="auto" w:sz="4" w:space="0"/>
              <w:right w:val="single" w:color="auto" w:sz="4" w:space="0"/>
            </w:tcBorders>
            <w:vAlign w:val="center"/>
          </w:tcPr>
          <w:p w14:paraId="3B17CF41">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输入谐波含量要求</w:t>
            </w:r>
          </w:p>
        </w:tc>
        <w:tc>
          <w:tcPr>
            <w:tcW w:w="4156" w:type="dxa"/>
            <w:tcBorders>
              <w:top w:val="single" w:color="auto" w:sz="4" w:space="0"/>
              <w:left w:val="single" w:color="auto" w:sz="4" w:space="0"/>
              <w:bottom w:val="single" w:color="auto" w:sz="4" w:space="0"/>
              <w:right w:val="single" w:color="auto" w:sz="4" w:space="0"/>
            </w:tcBorders>
            <w:vAlign w:val="center"/>
          </w:tcPr>
          <w:p w14:paraId="4FF6425B">
            <w:pPr>
              <w:pStyle w:val="6"/>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整流器输入性能应符合YD/T 2165-2017《通信用模块化不间断电源》中一类UPS标准，双变换工作时，输入谐波电流总含量, 满载时＜1.5%,50%负载率时＜2%，30%负载率时＜3%；需提供</w:t>
            </w:r>
            <w:r>
              <w:rPr>
                <w:rFonts w:hint="eastAsia"/>
              </w:rPr>
              <w:t>国家认可的认证（检测）机构出具的认证（检测）报告</w:t>
            </w:r>
            <w:r>
              <w:rPr>
                <w:rFonts w:hint="eastAsia" w:asciiTheme="minorEastAsia" w:hAnsiTheme="minorEastAsia" w:eastAsiaTheme="minorEastAsia" w:cstheme="minorEastAsia"/>
                <w:sz w:val="24"/>
              </w:rPr>
              <w:t>。</w:t>
            </w:r>
          </w:p>
        </w:tc>
        <w:tc>
          <w:tcPr>
            <w:tcW w:w="1620" w:type="dxa"/>
            <w:tcBorders>
              <w:top w:val="single" w:color="auto" w:sz="4" w:space="0"/>
              <w:left w:val="single" w:color="auto" w:sz="4" w:space="0"/>
              <w:bottom w:val="single" w:color="auto" w:sz="4" w:space="0"/>
              <w:right w:val="single" w:color="auto" w:sz="4" w:space="0"/>
            </w:tcBorders>
            <w:vAlign w:val="center"/>
          </w:tcPr>
          <w:p w14:paraId="5AEB50D2">
            <w:pPr>
              <w:pStyle w:val="6"/>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34893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59A9D15F">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w:t>
            </w:r>
          </w:p>
        </w:tc>
        <w:tc>
          <w:tcPr>
            <w:tcW w:w="1065" w:type="dxa"/>
            <w:tcBorders>
              <w:top w:val="single" w:color="auto" w:sz="4" w:space="0"/>
              <w:left w:val="single" w:color="auto" w:sz="4" w:space="0"/>
              <w:bottom w:val="single" w:color="auto" w:sz="4" w:space="0"/>
              <w:right w:val="single" w:color="auto" w:sz="4" w:space="0"/>
            </w:tcBorders>
            <w:vAlign w:val="center"/>
          </w:tcPr>
          <w:p w14:paraId="4DE7912F">
            <w:pPr>
              <w:spacing w:line="276" w:lineRule="auto"/>
              <w:jc w:val="center"/>
              <w:rPr>
                <w:rFonts w:asciiTheme="minorEastAsia" w:hAnsiTheme="minorEastAsia" w:eastAsiaTheme="minorEastAsia" w:cstheme="minorEastAsia"/>
                <w:sz w:val="24"/>
              </w:rPr>
            </w:pPr>
          </w:p>
        </w:tc>
        <w:tc>
          <w:tcPr>
            <w:tcW w:w="2166" w:type="dxa"/>
            <w:tcBorders>
              <w:top w:val="single" w:color="auto" w:sz="4" w:space="0"/>
              <w:left w:val="single" w:color="auto" w:sz="4" w:space="0"/>
              <w:bottom w:val="single" w:color="auto" w:sz="4" w:space="0"/>
              <w:right w:val="single" w:color="auto" w:sz="4" w:space="0"/>
            </w:tcBorders>
            <w:vAlign w:val="center"/>
          </w:tcPr>
          <w:p w14:paraId="2A1803D5">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系统效率</w:t>
            </w:r>
          </w:p>
        </w:tc>
        <w:tc>
          <w:tcPr>
            <w:tcW w:w="4156" w:type="dxa"/>
            <w:tcBorders>
              <w:top w:val="single" w:color="auto" w:sz="4" w:space="0"/>
              <w:left w:val="single" w:color="auto" w:sz="4" w:space="0"/>
              <w:bottom w:val="single" w:color="auto" w:sz="4" w:space="0"/>
              <w:right w:val="single" w:color="auto" w:sz="4" w:space="0"/>
            </w:tcBorders>
            <w:vAlign w:val="center"/>
          </w:tcPr>
          <w:p w14:paraId="6DD6A132">
            <w:pPr>
              <w:pStyle w:val="6"/>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整机运行效率：30%及50%负载时，效率≥97.5%。</w:t>
            </w:r>
          </w:p>
        </w:tc>
        <w:tc>
          <w:tcPr>
            <w:tcW w:w="1620" w:type="dxa"/>
            <w:tcBorders>
              <w:top w:val="single" w:color="auto" w:sz="4" w:space="0"/>
              <w:left w:val="single" w:color="auto" w:sz="4" w:space="0"/>
              <w:bottom w:val="single" w:color="auto" w:sz="4" w:space="0"/>
              <w:right w:val="single" w:color="auto" w:sz="4" w:space="0"/>
            </w:tcBorders>
            <w:vAlign w:val="center"/>
          </w:tcPr>
          <w:p w14:paraId="135661C6">
            <w:pPr>
              <w:pStyle w:val="6"/>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53EF0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39F911E9">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6</w:t>
            </w:r>
          </w:p>
        </w:tc>
        <w:tc>
          <w:tcPr>
            <w:tcW w:w="1065" w:type="dxa"/>
            <w:tcBorders>
              <w:top w:val="single" w:color="auto" w:sz="4" w:space="0"/>
              <w:left w:val="single" w:color="auto" w:sz="4" w:space="0"/>
              <w:bottom w:val="single" w:color="auto" w:sz="4" w:space="0"/>
              <w:right w:val="single" w:color="auto" w:sz="4" w:space="0"/>
            </w:tcBorders>
            <w:vAlign w:val="center"/>
          </w:tcPr>
          <w:p w14:paraId="290C774B">
            <w:pPr>
              <w:spacing w:line="276" w:lineRule="auto"/>
              <w:jc w:val="center"/>
              <w:rPr>
                <w:rFonts w:asciiTheme="minorEastAsia" w:hAnsiTheme="minorEastAsia" w:eastAsiaTheme="minorEastAsia" w:cstheme="minorEastAsia"/>
                <w:sz w:val="24"/>
              </w:rPr>
            </w:pPr>
          </w:p>
        </w:tc>
        <w:tc>
          <w:tcPr>
            <w:tcW w:w="2166" w:type="dxa"/>
            <w:tcBorders>
              <w:top w:val="single" w:color="auto" w:sz="4" w:space="0"/>
              <w:left w:val="single" w:color="auto" w:sz="4" w:space="0"/>
              <w:bottom w:val="single" w:color="auto" w:sz="4" w:space="0"/>
              <w:right w:val="single" w:color="auto" w:sz="4" w:space="0"/>
            </w:tcBorders>
            <w:vAlign w:val="center"/>
          </w:tcPr>
          <w:p w14:paraId="4FF27256">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过载能力要求</w:t>
            </w:r>
          </w:p>
        </w:tc>
        <w:tc>
          <w:tcPr>
            <w:tcW w:w="4156" w:type="dxa"/>
            <w:tcBorders>
              <w:top w:val="single" w:color="auto" w:sz="4" w:space="0"/>
              <w:left w:val="single" w:color="auto" w:sz="4" w:space="0"/>
              <w:bottom w:val="single" w:color="auto" w:sz="4" w:space="0"/>
              <w:right w:val="single" w:color="auto" w:sz="4" w:space="0"/>
            </w:tcBorders>
            <w:vAlign w:val="center"/>
          </w:tcPr>
          <w:p w14:paraId="139B05B5">
            <w:pPr>
              <w:pStyle w:val="6"/>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逆变器过载能力：110%额定电流，过载1小时；125%额定电流，过载不小于10min；150%额定电流，过载1分钟后转旁路供电，其中，125%额定电流，过载不小于10min。</w:t>
            </w:r>
          </w:p>
        </w:tc>
        <w:tc>
          <w:tcPr>
            <w:tcW w:w="1620" w:type="dxa"/>
            <w:tcBorders>
              <w:top w:val="single" w:color="auto" w:sz="4" w:space="0"/>
              <w:left w:val="single" w:color="auto" w:sz="4" w:space="0"/>
              <w:bottom w:val="single" w:color="auto" w:sz="4" w:space="0"/>
              <w:right w:val="single" w:color="auto" w:sz="4" w:space="0"/>
            </w:tcBorders>
            <w:vAlign w:val="center"/>
          </w:tcPr>
          <w:p w14:paraId="0CBCFD1C">
            <w:pPr>
              <w:pStyle w:val="6"/>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5562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1C394490">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7</w:t>
            </w:r>
          </w:p>
        </w:tc>
        <w:tc>
          <w:tcPr>
            <w:tcW w:w="1065" w:type="dxa"/>
            <w:tcBorders>
              <w:top w:val="single" w:color="auto" w:sz="4" w:space="0"/>
              <w:left w:val="single" w:color="auto" w:sz="4" w:space="0"/>
              <w:bottom w:val="single" w:color="auto" w:sz="4" w:space="0"/>
              <w:right w:val="single" w:color="auto" w:sz="4" w:space="0"/>
            </w:tcBorders>
            <w:vAlign w:val="center"/>
          </w:tcPr>
          <w:p w14:paraId="2C76C8CB">
            <w:pPr>
              <w:spacing w:line="276" w:lineRule="auto"/>
              <w:jc w:val="center"/>
              <w:rPr>
                <w:rFonts w:asciiTheme="minorEastAsia" w:hAnsiTheme="minorEastAsia" w:eastAsiaTheme="minorEastAsia" w:cstheme="minorEastAsia"/>
                <w:sz w:val="24"/>
              </w:rPr>
            </w:pPr>
          </w:p>
        </w:tc>
        <w:tc>
          <w:tcPr>
            <w:tcW w:w="2166" w:type="dxa"/>
            <w:tcBorders>
              <w:top w:val="single" w:color="auto" w:sz="4" w:space="0"/>
              <w:left w:val="single" w:color="auto" w:sz="4" w:space="0"/>
              <w:bottom w:val="single" w:color="auto" w:sz="4" w:space="0"/>
              <w:right w:val="single" w:color="auto" w:sz="4" w:space="0"/>
            </w:tcBorders>
            <w:vAlign w:val="center"/>
          </w:tcPr>
          <w:p w14:paraId="0AECE213">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输出电压不平衡度要求</w:t>
            </w:r>
          </w:p>
        </w:tc>
        <w:tc>
          <w:tcPr>
            <w:tcW w:w="4156" w:type="dxa"/>
            <w:tcBorders>
              <w:top w:val="single" w:color="auto" w:sz="4" w:space="0"/>
              <w:left w:val="single" w:color="auto" w:sz="4" w:space="0"/>
              <w:bottom w:val="single" w:color="auto" w:sz="4" w:space="0"/>
              <w:right w:val="single" w:color="auto" w:sz="4" w:space="0"/>
            </w:tcBorders>
            <w:vAlign w:val="center"/>
          </w:tcPr>
          <w:p w14:paraId="3B96A717">
            <w:pPr>
              <w:pStyle w:val="6"/>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三相负载不平衡度：100%负载时，三相输出电压不平衡度满足：≤±0.5％（平衡负载），≤±1％（100％不平衡负载）。</w:t>
            </w:r>
          </w:p>
        </w:tc>
        <w:tc>
          <w:tcPr>
            <w:tcW w:w="1620" w:type="dxa"/>
            <w:tcBorders>
              <w:top w:val="single" w:color="auto" w:sz="4" w:space="0"/>
              <w:left w:val="single" w:color="auto" w:sz="4" w:space="0"/>
              <w:bottom w:val="single" w:color="auto" w:sz="4" w:space="0"/>
              <w:right w:val="single" w:color="auto" w:sz="4" w:space="0"/>
            </w:tcBorders>
            <w:vAlign w:val="center"/>
          </w:tcPr>
          <w:p w14:paraId="2BF814D1">
            <w:pPr>
              <w:pStyle w:val="6"/>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7FB4D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7222C19B">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8</w:t>
            </w:r>
          </w:p>
        </w:tc>
        <w:tc>
          <w:tcPr>
            <w:tcW w:w="1065" w:type="dxa"/>
            <w:tcBorders>
              <w:top w:val="single" w:color="auto" w:sz="4" w:space="0"/>
              <w:left w:val="single" w:color="auto" w:sz="4" w:space="0"/>
              <w:bottom w:val="single" w:color="auto" w:sz="4" w:space="0"/>
              <w:right w:val="single" w:color="auto" w:sz="4" w:space="0"/>
            </w:tcBorders>
            <w:vAlign w:val="center"/>
          </w:tcPr>
          <w:p w14:paraId="7B8EEBB5">
            <w:pPr>
              <w:spacing w:line="276" w:lineRule="auto"/>
              <w:jc w:val="center"/>
              <w:rPr>
                <w:rFonts w:asciiTheme="minorEastAsia" w:hAnsiTheme="minorEastAsia" w:eastAsiaTheme="minorEastAsia" w:cstheme="minorEastAsia"/>
                <w:sz w:val="24"/>
              </w:rPr>
            </w:pPr>
          </w:p>
        </w:tc>
        <w:tc>
          <w:tcPr>
            <w:tcW w:w="2166" w:type="dxa"/>
            <w:tcBorders>
              <w:top w:val="single" w:color="auto" w:sz="4" w:space="0"/>
              <w:left w:val="single" w:color="auto" w:sz="4" w:space="0"/>
              <w:bottom w:val="single" w:color="auto" w:sz="4" w:space="0"/>
              <w:right w:val="single" w:color="auto" w:sz="4" w:space="0"/>
            </w:tcBorders>
            <w:vAlign w:val="center"/>
          </w:tcPr>
          <w:p w14:paraId="6E751CF2">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旁路逆变切换时间</w:t>
            </w:r>
          </w:p>
        </w:tc>
        <w:tc>
          <w:tcPr>
            <w:tcW w:w="4156" w:type="dxa"/>
            <w:tcBorders>
              <w:top w:val="single" w:color="auto" w:sz="4" w:space="0"/>
              <w:left w:val="single" w:color="auto" w:sz="4" w:space="0"/>
              <w:bottom w:val="single" w:color="auto" w:sz="4" w:space="0"/>
              <w:right w:val="single" w:color="auto" w:sz="4" w:space="0"/>
            </w:tcBorders>
            <w:vAlign w:val="center"/>
          </w:tcPr>
          <w:p w14:paraId="14675ACF">
            <w:pPr>
              <w:pStyle w:val="6"/>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从逆变器停止工作时起，到电网直接供电时止或从电网直接供电起到恢复逆变器工作时止所需要的时间&lt;2ms。</w:t>
            </w:r>
          </w:p>
        </w:tc>
        <w:tc>
          <w:tcPr>
            <w:tcW w:w="1620" w:type="dxa"/>
            <w:tcBorders>
              <w:top w:val="single" w:color="auto" w:sz="4" w:space="0"/>
              <w:left w:val="single" w:color="auto" w:sz="4" w:space="0"/>
              <w:bottom w:val="single" w:color="auto" w:sz="4" w:space="0"/>
              <w:right w:val="single" w:color="auto" w:sz="4" w:space="0"/>
            </w:tcBorders>
            <w:vAlign w:val="center"/>
          </w:tcPr>
          <w:p w14:paraId="22AF6AAE">
            <w:pPr>
              <w:pStyle w:val="6"/>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71479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57C91E68">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9</w:t>
            </w:r>
          </w:p>
        </w:tc>
        <w:tc>
          <w:tcPr>
            <w:tcW w:w="1065" w:type="dxa"/>
            <w:tcBorders>
              <w:top w:val="single" w:color="auto" w:sz="4" w:space="0"/>
              <w:left w:val="single" w:color="auto" w:sz="4" w:space="0"/>
              <w:bottom w:val="single" w:color="auto" w:sz="4" w:space="0"/>
              <w:right w:val="single" w:color="auto" w:sz="4" w:space="0"/>
            </w:tcBorders>
            <w:vAlign w:val="center"/>
          </w:tcPr>
          <w:p w14:paraId="79111971">
            <w:pPr>
              <w:spacing w:line="276" w:lineRule="auto"/>
              <w:jc w:val="center"/>
              <w:rPr>
                <w:rFonts w:asciiTheme="minorEastAsia" w:hAnsiTheme="minorEastAsia" w:eastAsiaTheme="minorEastAsia" w:cstheme="minorEastAsia"/>
                <w:sz w:val="24"/>
              </w:rPr>
            </w:pPr>
          </w:p>
        </w:tc>
        <w:tc>
          <w:tcPr>
            <w:tcW w:w="2166" w:type="dxa"/>
            <w:tcBorders>
              <w:top w:val="single" w:color="auto" w:sz="4" w:space="0"/>
              <w:left w:val="single" w:color="auto" w:sz="4" w:space="0"/>
              <w:bottom w:val="single" w:color="auto" w:sz="4" w:space="0"/>
              <w:right w:val="single" w:color="auto" w:sz="4" w:space="0"/>
            </w:tcBorders>
            <w:vAlign w:val="center"/>
          </w:tcPr>
          <w:p w14:paraId="4A927C01">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动态在线模式</w:t>
            </w:r>
          </w:p>
        </w:tc>
        <w:tc>
          <w:tcPr>
            <w:tcW w:w="4156" w:type="dxa"/>
            <w:tcBorders>
              <w:top w:val="single" w:color="auto" w:sz="4" w:space="0"/>
              <w:left w:val="single" w:color="auto" w:sz="4" w:space="0"/>
              <w:bottom w:val="single" w:color="auto" w:sz="4" w:space="0"/>
              <w:right w:val="single" w:color="auto" w:sz="4" w:space="0"/>
            </w:tcBorders>
            <w:vAlign w:val="center"/>
          </w:tcPr>
          <w:p w14:paraId="78BC012A">
            <w:pPr>
              <w:pStyle w:val="6"/>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要求所投标设备具备动态在线模式（超级ECO模式），可使静态旁路和逆变器同时在线，此工况下，输入电流谐波应满足，满载时＜2.5%，50%负载时＜5%，30%负载时＜9%；输入功率因数应≥0.99（40%，50%，60%，70%，80%，90%，100%负载率时均满足）。</w:t>
            </w:r>
          </w:p>
        </w:tc>
        <w:tc>
          <w:tcPr>
            <w:tcW w:w="1620" w:type="dxa"/>
            <w:tcBorders>
              <w:top w:val="single" w:color="auto" w:sz="4" w:space="0"/>
              <w:left w:val="single" w:color="auto" w:sz="4" w:space="0"/>
              <w:bottom w:val="single" w:color="auto" w:sz="4" w:space="0"/>
              <w:right w:val="single" w:color="auto" w:sz="4" w:space="0"/>
            </w:tcBorders>
            <w:vAlign w:val="center"/>
          </w:tcPr>
          <w:p w14:paraId="6A7E6259">
            <w:pPr>
              <w:pStyle w:val="6"/>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442F5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7A14DCDB">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10</w:t>
            </w:r>
          </w:p>
        </w:tc>
        <w:tc>
          <w:tcPr>
            <w:tcW w:w="1065" w:type="dxa"/>
            <w:tcBorders>
              <w:top w:val="single" w:color="auto" w:sz="4" w:space="0"/>
              <w:left w:val="single" w:color="auto" w:sz="4" w:space="0"/>
              <w:bottom w:val="single" w:color="auto" w:sz="4" w:space="0"/>
              <w:right w:val="single" w:color="auto" w:sz="4" w:space="0"/>
            </w:tcBorders>
            <w:vAlign w:val="center"/>
          </w:tcPr>
          <w:p w14:paraId="14EA9CEA">
            <w:pPr>
              <w:spacing w:line="276" w:lineRule="auto"/>
              <w:jc w:val="center"/>
              <w:rPr>
                <w:rFonts w:asciiTheme="minorEastAsia" w:hAnsiTheme="minorEastAsia" w:eastAsiaTheme="minorEastAsia" w:cstheme="minorEastAsia"/>
                <w:sz w:val="24"/>
              </w:rPr>
            </w:pPr>
          </w:p>
        </w:tc>
        <w:tc>
          <w:tcPr>
            <w:tcW w:w="2166" w:type="dxa"/>
            <w:tcBorders>
              <w:top w:val="single" w:color="auto" w:sz="4" w:space="0"/>
              <w:left w:val="single" w:color="auto" w:sz="4" w:space="0"/>
              <w:bottom w:val="single" w:color="auto" w:sz="4" w:space="0"/>
              <w:right w:val="single" w:color="auto" w:sz="4" w:space="0"/>
            </w:tcBorders>
            <w:vAlign w:val="center"/>
          </w:tcPr>
          <w:p w14:paraId="19D56DA9">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高温带载能力</w:t>
            </w:r>
          </w:p>
        </w:tc>
        <w:tc>
          <w:tcPr>
            <w:tcW w:w="4156" w:type="dxa"/>
            <w:tcBorders>
              <w:top w:val="single" w:color="auto" w:sz="4" w:space="0"/>
              <w:left w:val="single" w:color="auto" w:sz="4" w:space="0"/>
              <w:bottom w:val="single" w:color="auto" w:sz="4" w:space="0"/>
              <w:right w:val="single" w:color="auto" w:sz="4" w:space="0"/>
            </w:tcBorders>
            <w:vAlign w:val="center"/>
          </w:tcPr>
          <w:p w14:paraId="1E5825E6">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UPS设备需具备良好的高温带载能力，40℃持续运行不降额，50℃环境温度仍可输出80%额定功率。</w:t>
            </w:r>
          </w:p>
        </w:tc>
        <w:tc>
          <w:tcPr>
            <w:tcW w:w="1620" w:type="dxa"/>
            <w:tcBorders>
              <w:top w:val="single" w:color="auto" w:sz="4" w:space="0"/>
              <w:left w:val="single" w:color="auto" w:sz="4" w:space="0"/>
              <w:bottom w:val="single" w:color="auto" w:sz="4" w:space="0"/>
              <w:right w:val="single" w:color="auto" w:sz="4" w:space="0"/>
            </w:tcBorders>
            <w:vAlign w:val="center"/>
          </w:tcPr>
          <w:p w14:paraId="5AE35D19">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7E936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3C230978">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11</w:t>
            </w:r>
          </w:p>
        </w:tc>
        <w:tc>
          <w:tcPr>
            <w:tcW w:w="1065" w:type="dxa"/>
            <w:tcBorders>
              <w:top w:val="single" w:color="auto" w:sz="4" w:space="0"/>
              <w:left w:val="single" w:color="auto" w:sz="4" w:space="0"/>
              <w:bottom w:val="single" w:color="auto" w:sz="4" w:space="0"/>
              <w:right w:val="single" w:color="auto" w:sz="4" w:space="0"/>
            </w:tcBorders>
            <w:vAlign w:val="center"/>
          </w:tcPr>
          <w:p w14:paraId="0F7320DB">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166" w:type="dxa"/>
            <w:tcBorders>
              <w:top w:val="single" w:color="auto" w:sz="4" w:space="0"/>
              <w:left w:val="single" w:color="auto" w:sz="4" w:space="0"/>
              <w:bottom w:val="single" w:color="auto" w:sz="4" w:space="0"/>
              <w:right w:val="single" w:color="auto" w:sz="4" w:space="0"/>
            </w:tcBorders>
            <w:vAlign w:val="center"/>
          </w:tcPr>
          <w:p w14:paraId="7F1179C3">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监控管理和预告警功能</w:t>
            </w:r>
          </w:p>
        </w:tc>
        <w:tc>
          <w:tcPr>
            <w:tcW w:w="4156" w:type="dxa"/>
            <w:tcBorders>
              <w:top w:val="single" w:color="auto" w:sz="4" w:space="0"/>
              <w:left w:val="single" w:color="auto" w:sz="4" w:space="0"/>
              <w:bottom w:val="single" w:color="auto" w:sz="4" w:space="0"/>
              <w:right w:val="single" w:color="auto" w:sz="4" w:space="0"/>
            </w:tcBorders>
            <w:vAlign w:val="center"/>
          </w:tcPr>
          <w:p w14:paraId="278A52B1">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设备应能提供全中文监控及操作界面和全中文远程监控管理界面，应提供8英寸以上全中文显示的LCD显示器，方便查看与操作。系统应具备电容及风扇等易损件的智能预告警功能，方便运维，需提供官方产品彩页或用户手册。</w:t>
            </w:r>
          </w:p>
        </w:tc>
        <w:tc>
          <w:tcPr>
            <w:tcW w:w="1620" w:type="dxa"/>
            <w:tcBorders>
              <w:top w:val="single" w:color="auto" w:sz="4" w:space="0"/>
              <w:left w:val="single" w:color="auto" w:sz="4" w:space="0"/>
              <w:bottom w:val="single" w:color="auto" w:sz="4" w:space="0"/>
              <w:right w:val="single" w:color="auto" w:sz="4" w:space="0"/>
            </w:tcBorders>
            <w:vAlign w:val="center"/>
          </w:tcPr>
          <w:p w14:paraId="34D1F80D">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0CEB6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71136AB4">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12</w:t>
            </w:r>
          </w:p>
        </w:tc>
        <w:tc>
          <w:tcPr>
            <w:tcW w:w="1065" w:type="dxa"/>
            <w:tcBorders>
              <w:top w:val="single" w:color="auto" w:sz="4" w:space="0"/>
              <w:left w:val="single" w:color="auto" w:sz="4" w:space="0"/>
              <w:bottom w:val="single" w:color="auto" w:sz="4" w:space="0"/>
              <w:right w:val="single" w:color="auto" w:sz="4" w:space="0"/>
            </w:tcBorders>
            <w:vAlign w:val="center"/>
          </w:tcPr>
          <w:p w14:paraId="612AA82C">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166" w:type="dxa"/>
            <w:tcBorders>
              <w:top w:val="single" w:color="auto" w:sz="4" w:space="0"/>
              <w:left w:val="single" w:color="auto" w:sz="4" w:space="0"/>
              <w:bottom w:val="single" w:color="auto" w:sz="4" w:space="0"/>
              <w:right w:val="single" w:color="auto" w:sz="4" w:space="0"/>
            </w:tcBorders>
            <w:vAlign w:val="center"/>
          </w:tcPr>
          <w:p w14:paraId="0C4FCF1A">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电池变换器要求</w:t>
            </w:r>
          </w:p>
        </w:tc>
        <w:tc>
          <w:tcPr>
            <w:tcW w:w="4156" w:type="dxa"/>
            <w:tcBorders>
              <w:top w:val="single" w:color="auto" w:sz="4" w:space="0"/>
              <w:left w:val="single" w:color="auto" w:sz="4" w:space="0"/>
              <w:bottom w:val="single" w:color="auto" w:sz="4" w:space="0"/>
              <w:right w:val="single" w:color="auto" w:sz="4" w:space="0"/>
            </w:tcBorders>
            <w:vAlign w:val="center"/>
          </w:tcPr>
          <w:p w14:paraId="2A47D253">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UPS具备独立电池变换器，不接受整流器复用电池变换器方案，提高可靠性，提升充电能力。采用2线电池，电池无需N线，节省电池线缆投资。需提供官方产品彩页或用户手册。</w:t>
            </w:r>
          </w:p>
        </w:tc>
        <w:tc>
          <w:tcPr>
            <w:tcW w:w="1620" w:type="dxa"/>
            <w:tcBorders>
              <w:top w:val="single" w:color="auto" w:sz="4" w:space="0"/>
              <w:left w:val="single" w:color="auto" w:sz="4" w:space="0"/>
              <w:bottom w:val="single" w:color="auto" w:sz="4" w:space="0"/>
              <w:right w:val="single" w:color="auto" w:sz="4" w:space="0"/>
            </w:tcBorders>
            <w:vAlign w:val="center"/>
          </w:tcPr>
          <w:p w14:paraId="1C2AF749">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4D441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3E3AFCEB">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13</w:t>
            </w:r>
          </w:p>
        </w:tc>
        <w:tc>
          <w:tcPr>
            <w:tcW w:w="1065" w:type="dxa"/>
            <w:tcBorders>
              <w:top w:val="single" w:color="auto" w:sz="4" w:space="0"/>
              <w:left w:val="single" w:color="auto" w:sz="4" w:space="0"/>
              <w:bottom w:val="single" w:color="auto" w:sz="4" w:space="0"/>
              <w:right w:val="single" w:color="auto" w:sz="4" w:space="0"/>
            </w:tcBorders>
            <w:vAlign w:val="center"/>
          </w:tcPr>
          <w:p w14:paraId="5DFF3ED5">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166" w:type="dxa"/>
            <w:tcBorders>
              <w:top w:val="single" w:color="auto" w:sz="4" w:space="0"/>
              <w:left w:val="single" w:color="auto" w:sz="4" w:space="0"/>
              <w:bottom w:val="single" w:color="auto" w:sz="4" w:space="0"/>
              <w:right w:val="single" w:color="auto" w:sz="4" w:space="0"/>
            </w:tcBorders>
            <w:vAlign w:val="center"/>
          </w:tcPr>
          <w:p w14:paraId="37E1F9DF">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波形失真度</w:t>
            </w:r>
          </w:p>
        </w:tc>
        <w:tc>
          <w:tcPr>
            <w:tcW w:w="4156" w:type="dxa"/>
            <w:tcBorders>
              <w:top w:val="single" w:color="auto" w:sz="4" w:space="0"/>
              <w:left w:val="single" w:color="auto" w:sz="4" w:space="0"/>
              <w:bottom w:val="single" w:color="auto" w:sz="4" w:space="0"/>
              <w:right w:val="single" w:color="auto" w:sz="4" w:space="0"/>
            </w:tcBorders>
            <w:vAlign w:val="center"/>
          </w:tcPr>
          <w:p w14:paraId="66FDD48A">
            <w:pPr>
              <w:pStyle w:val="6"/>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输出波形为连续的正弦波，电压波形失真度：100%阻性负载 ≤1％，100%非线性负载 ≤1％，需提供</w:t>
            </w:r>
            <w:r>
              <w:rPr>
                <w:rFonts w:hint="eastAsia"/>
              </w:rPr>
              <w:t>国家认可的认证（检测）机构出具的认证（检测）报告</w:t>
            </w:r>
            <w:r>
              <w:rPr>
                <w:rFonts w:hint="eastAsia" w:asciiTheme="minorEastAsia" w:hAnsiTheme="minorEastAsia" w:eastAsiaTheme="minorEastAsia" w:cstheme="minorEastAsia"/>
                <w:sz w:val="24"/>
              </w:rPr>
              <w:t>。</w:t>
            </w:r>
          </w:p>
        </w:tc>
        <w:tc>
          <w:tcPr>
            <w:tcW w:w="1620" w:type="dxa"/>
            <w:tcBorders>
              <w:top w:val="single" w:color="auto" w:sz="4" w:space="0"/>
              <w:left w:val="single" w:color="auto" w:sz="4" w:space="0"/>
              <w:bottom w:val="single" w:color="auto" w:sz="4" w:space="0"/>
              <w:right w:val="single" w:color="auto" w:sz="4" w:space="0"/>
            </w:tcBorders>
            <w:vAlign w:val="center"/>
          </w:tcPr>
          <w:p w14:paraId="3224C529">
            <w:pPr>
              <w:pStyle w:val="6"/>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75945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25C44D1A">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14</w:t>
            </w:r>
          </w:p>
        </w:tc>
        <w:tc>
          <w:tcPr>
            <w:tcW w:w="1065" w:type="dxa"/>
            <w:tcBorders>
              <w:top w:val="single" w:color="auto" w:sz="4" w:space="0"/>
              <w:left w:val="single" w:color="auto" w:sz="4" w:space="0"/>
              <w:bottom w:val="single" w:color="auto" w:sz="4" w:space="0"/>
              <w:right w:val="single" w:color="auto" w:sz="4" w:space="0"/>
            </w:tcBorders>
            <w:vAlign w:val="center"/>
          </w:tcPr>
          <w:p w14:paraId="4BBF2BBD">
            <w:pPr>
              <w:spacing w:line="276" w:lineRule="auto"/>
              <w:jc w:val="center"/>
              <w:rPr>
                <w:rFonts w:asciiTheme="minorEastAsia" w:hAnsiTheme="minorEastAsia" w:eastAsiaTheme="minorEastAsia" w:cstheme="minorEastAsia"/>
                <w:sz w:val="24"/>
              </w:rPr>
            </w:pPr>
          </w:p>
        </w:tc>
        <w:tc>
          <w:tcPr>
            <w:tcW w:w="2166" w:type="dxa"/>
            <w:tcBorders>
              <w:top w:val="single" w:color="auto" w:sz="4" w:space="0"/>
              <w:left w:val="single" w:color="auto" w:sz="4" w:space="0"/>
              <w:bottom w:val="single" w:color="auto" w:sz="4" w:space="0"/>
              <w:right w:val="single" w:color="auto" w:sz="4" w:space="0"/>
            </w:tcBorders>
            <w:vAlign w:val="center"/>
          </w:tcPr>
          <w:p w14:paraId="5B12C798">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功率模块独立风道设计</w:t>
            </w:r>
          </w:p>
        </w:tc>
        <w:tc>
          <w:tcPr>
            <w:tcW w:w="4156" w:type="dxa"/>
            <w:tcBorders>
              <w:top w:val="single" w:color="auto" w:sz="4" w:space="0"/>
              <w:left w:val="single" w:color="auto" w:sz="4" w:space="0"/>
              <w:bottom w:val="single" w:color="auto" w:sz="4" w:space="0"/>
              <w:right w:val="single" w:color="auto" w:sz="4" w:space="0"/>
            </w:tcBorders>
            <w:vAlign w:val="center"/>
          </w:tcPr>
          <w:p w14:paraId="379F1361">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UPS功率模块内部散热风道要求采用独立风道设计，防止灰尘积累导致短路、拉弧等故障发生。</w:t>
            </w:r>
          </w:p>
        </w:tc>
        <w:tc>
          <w:tcPr>
            <w:tcW w:w="1620" w:type="dxa"/>
            <w:tcBorders>
              <w:top w:val="single" w:color="auto" w:sz="4" w:space="0"/>
              <w:left w:val="single" w:color="auto" w:sz="4" w:space="0"/>
              <w:bottom w:val="single" w:color="auto" w:sz="4" w:space="0"/>
              <w:right w:val="single" w:color="auto" w:sz="4" w:space="0"/>
            </w:tcBorders>
            <w:vAlign w:val="center"/>
          </w:tcPr>
          <w:p w14:paraId="069A4C91">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bl>
    <w:p w14:paraId="387477E0">
      <w:pPr>
        <w:pStyle w:val="14"/>
        <w:ind w:firstLine="480"/>
        <w:rPr>
          <w:rFonts w:asciiTheme="minorEastAsia" w:hAnsiTheme="minorEastAsia" w:eastAsiaTheme="minorEastAsia" w:cstheme="minorEastAsia"/>
          <w:kern w:val="0"/>
          <w:szCs w:val="24"/>
        </w:rPr>
      </w:pPr>
    </w:p>
    <w:p w14:paraId="4BC559D9">
      <w:pPr>
        <w:pStyle w:val="2"/>
        <w:numPr>
          <w:ilvl w:val="0"/>
          <w:numId w:val="2"/>
        </w:numPr>
        <w:ind w:left="442" w:hanging="442"/>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UPS主机（250KVA)</w:t>
      </w:r>
    </w:p>
    <w:tbl>
      <w:tblPr>
        <w:tblStyle w:val="15"/>
        <w:tblW w:w="96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700"/>
        <w:gridCol w:w="1080"/>
        <w:gridCol w:w="2130"/>
        <w:gridCol w:w="4200"/>
        <w:gridCol w:w="1563"/>
      </w:tblGrid>
      <w:tr w14:paraId="558BD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79" w:hRule="atLeast"/>
          <w:jc w:val="center"/>
        </w:trPr>
        <w:tc>
          <w:tcPr>
            <w:tcW w:w="700" w:type="dxa"/>
            <w:tcBorders>
              <w:top w:val="single" w:color="auto" w:sz="4" w:space="0"/>
              <w:left w:val="single" w:color="auto" w:sz="4" w:space="0"/>
              <w:bottom w:val="single" w:color="auto" w:sz="4" w:space="0"/>
              <w:right w:val="single" w:color="auto" w:sz="4" w:space="0"/>
            </w:tcBorders>
            <w:shd w:val="clear" w:color="auto" w:fill="FFFFFF"/>
            <w:vAlign w:val="center"/>
          </w:tcPr>
          <w:p w14:paraId="2648F351">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序号</w:t>
            </w: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14:paraId="23F66373">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重要性</w:t>
            </w:r>
          </w:p>
        </w:tc>
        <w:tc>
          <w:tcPr>
            <w:tcW w:w="2130" w:type="dxa"/>
            <w:tcBorders>
              <w:top w:val="single" w:color="auto" w:sz="4" w:space="0"/>
              <w:left w:val="single" w:color="auto" w:sz="4" w:space="0"/>
              <w:bottom w:val="single" w:color="auto" w:sz="4" w:space="0"/>
              <w:right w:val="single" w:color="auto" w:sz="4" w:space="0"/>
            </w:tcBorders>
            <w:shd w:val="clear" w:color="auto" w:fill="FFFFFF"/>
            <w:vAlign w:val="center"/>
          </w:tcPr>
          <w:p w14:paraId="5D17089F">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指标项</w:t>
            </w:r>
          </w:p>
        </w:tc>
        <w:tc>
          <w:tcPr>
            <w:tcW w:w="4200" w:type="dxa"/>
            <w:tcBorders>
              <w:top w:val="single" w:color="auto" w:sz="4" w:space="0"/>
              <w:left w:val="single" w:color="auto" w:sz="4" w:space="0"/>
              <w:bottom w:val="single" w:color="auto" w:sz="4" w:space="0"/>
              <w:right w:val="single" w:color="auto" w:sz="4" w:space="0"/>
            </w:tcBorders>
            <w:shd w:val="clear" w:color="auto" w:fill="FFFFFF"/>
            <w:vAlign w:val="center"/>
          </w:tcPr>
          <w:p w14:paraId="50FBEBE3">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指标要求</w:t>
            </w:r>
          </w:p>
        </w:tc>
        <w:tc>
          <w:tcPr>
            <w:tcW w:w="1563" w:type="dxa"/>
            <w:tcBorders>
              <w:top w:val="single" w:color="auto" w:sz="4" w:space="0"/>
              <w:left w:val="single" w:color="auto" w:sz="4" w:space="0"/>
              <w:bottom w:val="single" w:color="auto" w:sz="4" w:space="0"/>
              <w:right w:val="single" w:color="auto" w:sz="4" w:space="0"/>
            </w:tcBorders>
            <w:shd w:val="clear" w:color="auto" w:fill="FFFFFF"/>
            <w:vAlign w:val="center"/>
          </w:tcPr>
          <w:p w14:paraId="6D2C911C">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是否提供证明材料</w:t>
            </w:r>
          </w:p>
        </w:tc>
      </w:tr>
      <w:tr w14:paraId="4199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00" w:type="dxa"/>
            <w:tcBorders>
              <w:top w:val="single" w:color="auto" w:sz="4" w:space="0"/>
              <w:left w:val="single" w:color="auto" w:sz="4" w:space="0"/>
              <w:bottom w:val="single" w:color="auto" w:sz="4" w:space="0"/>
              <w:right w:val="single" w:color="auto" w:sz="4" w:space="0"/>
            </w:tcBorders>
            <w:shd w:val="clear" w:color="auto" w:fill="FFFFFF"/>
            <w:vAlign w:val="center"/>
          </w:tcPr>
          <w:p w14:paraId="5B792A0A">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14:paraId="3F2B7A01">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130" w:type="dxa"/>
            <w:tcBorders>
              <w:top w:val="single" w:color="auto" w:sz="4" w:space="0"/>
              <w:left w:val="single" w:color="auto" w:sz="4" w:space="0"/>
              <w:bottom w:val="single" w:color="auto" w:sz="4" w:space="0"/>
              <w:right w:val="single" w:color="auto" w:sz="4" w:space="0"/>
            </w:tcBorders>
            <w:shd w:val="clear" w:color="auto" w:fill="FFFFFF"/>
            <w:vAlign w:val="center"/>
          </w:tcPr>
          <w:p w14:paraId="43C219C6">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容量要求</w:t>
            </w:r>
          </w:p>
        </w:tc>
        <w:tc>
          <w:tcPr>
            <w:tcW w:w="4200" w:type="dxa"/>
            <w:tcBorders>
              <w:top w:val="single" w:color="auto" w:sz="4" w:space="0"/>
              <w:left w:val="single" w:color="auto" w:sz="4" w:space="0"/>
              <w:bottom w:val="single" w:color="auto" w:sz="4" w:space="0"/>
              <w:right w:val="single" w:color="auto" w:sz="4" w:space="0"/>
            </w:tcBorders>
            <w:shd w:val="clear" w:color="auto" w:fill="FFFFFF"/>
            <w:vAlign w:val="center"/>
          </w:tcPr>
          <w:p w14:paraId="75E7BC10">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模块化UPS电源系统，单个功率模块不低于60kVA，单系统容量为不低于250kVA。</w:t>
            </w:r>
          </w:p>
        </w:tc>
        <w:tc>
          <w:tcPr>
            <w:tcW w:w="1563" w:type="dxa"/>
            <w:tcBorders>
              <w:top w:val="single" w:color="auto" w:sz="4" w:space="0"/>
              <w:left w:val="single" w:color="auto" w:sz="4" w:space="0"/>
              <w:bottom w:val="single" w:color="auto" w:sz="4" w:space="0"/>
              <w:right w:val="single" w:color="auto" w:sz="4" w:space="0"/>
            </w:tcBorders>
            <w:shd w:val="clear" w:color="auto" w:fill="FFFFFF"/>
            <w:vAlign w:val="center"/>
          </w:tcPr>
          <w:p w14:paraId="0B71DA35">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54B3C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79" w:hRule="atLeast"/>
          <w:jc w:val="center"/>
        </w:trPr>
        <w:tc>
          <w:tcPr>
            <w:tcW w:w="700" w:type="dxa"/>
            <w:tcBorders>
              <w:top w:val="single" w:color="auto" w:sz="4" w:space="0"/>
              <w:left w:val="single" w:color="auto" w:sz="4" w:space="0"/>
              <w:bottom w:val="single" w:color="auto" w:sz="4" w:space="0"/>
              <w:right w:val="single" w:color="auto" w:sz="4" w:space="0"/>
            </w:tcBorders>
            <w:shd w:val="clear" w:color="auto" w:fill="FFFFFF"/>
            <w:vAlign w:val="center"/>
          </w:tcPr>
          <w:p w14:paraId="5FF4D014">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w:t>
            </w: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14:paraId="4AF357C3">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130" w:type="dxa"/>
            <w:tcBorders>
              <w:top w:val="single" w:color="auto" w:sz="4" w:space="0"/>
              <w:left w:val="single" w:color="auto" w:sz="4" w:space="0"/>
              <w:bottom w:val="single" w:color="auto" w:sz="4" w:space="0"/>
              <w:right w:val="single" w:color="auto" w:sz="4" w:space="0"/>
            </w:tcBorders>
            <w:shd w:val="clear" w:color="auto" w:fill="FFFFFF"/>
            <w:vAlign w:val="center"/>
          </w:tcPr>
          <w:p w14:paraId="45A41A11">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基本要求</w:t>
            </w:r>
          </w:p>
        </w:tc>
        <w:tc>
          <w:tcPr>
            <w:tcW w:w="4200" w:type="dxa"/>
            <w:tcBorders>
              <w:top w:val="single" w:color="auto" w:sz="4" w:space="0"/>
              <w:left w:val="single" w:color="auto" w:sz="4" w:space="0"/>
              <w:bottom w:val="single" w:color="auto" w:sz="4" w:space="0"/>
              <w:right w:val="single" w:color="auto" w:sz="4" w:space="0"/>
            </w:tcBorders>
            <w:shd w:val="clear" w:color="auto" w:fill="FFFFFF"/>
            <w:vAlign w:val="center"/>
          </w:tcPr>
          <w:p w14:paraId="2CBCC3A9">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UPS系统内部的功率模块并联采用分散控制技术，每个功率模块具有独立DSP控制，并联模块间自主均流，不得有固定的主控制模块进行集中控制，以避免单点故障的瓶颈，确保整机可靠性，需提供官方产品彩页或用户手册。</w:t>
            </w:r>
          </w:p>
        </w:tc>
        <w:tc>
          <w:tcPr>
            <w:tcW w:w="1563" w:type="dxa"/>
            <w:tcBorders>
              <w:top w:val="single" w:color="auto" w:sz="4" w:space="0"/>
              <w:left w:val="single" w:color="auto" w:sz="4" w:space="0"/>
              <w:bottom w:val="single" w:color="auto" w:sz="4" w:space="0"/>
              <w:right w:val="single" w:color="auto" w:sz="4" w:space="0"/>
            </w:tcBorders>
            <w:shd w:val="clear" w:color="auto" w:fill="FFFFFF"/>
            <w:vAlign w:val="center"/>
          </w:tcPr>
          <w:p w14:paraId="3123E631">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32A55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00" w:type="dxa"/>
            <w:tcBorders>
              <w:top w:val="single" w:color="auto" w:sz="4" w:space="0"/>
              <w:left w:val="single" w:color="auto" w:sz="4" w:space="0"/>
              <w:bottom w:val="single" w:color="auto" w:sz="4" w:space="0"/>
              <w:right w:val="single" w:color="auto" w:sz="4" w:space="0"/>
            </w:tcBorders>
            <w:shd w:val="clear" w:color="auto" w:fill="FFFFFF"/>
            <w:vAlign w:val="center"/>
          </w:tcPr>
          <w:p w14:paraId="3E21B630">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w:t>
            </w: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14:paraId="7218AABD">
            <w:pPr>
              <w:spacing w:line="276" w:lineRule="auto"/>
              <w:jc w:val="center"/>
              <w:rPr>
                <w:rFonts w:asciiTheme="minorEastAsia" w:hAnsiTheme="minorEastAsia" w:eastAsiaTheme="minorEastAsia" w:cstheme="minorEastAsia"/>
                <w:sz w:val="24"/>
              </w:rPr>
            </w:pPr>
          </w:p>
        </w:tc>
        <w:tc>
          <w:tcPr>
            <w:tcW w:w="2130" w:type="dxa"/>
            <w:tcBorders>
              <w:top w:val="single" w:color="auto" w:sz="4" w:space="0"/>
              <w:left w:val="single" w:color="auto" w:sz="4" w:space="0"/>
              <w:bottom w:val="single" w:color="auto" w:sz="4" w:space="0"/>
              <w:right w:val="single" w:color="auto" w:sz="4" w:space="0"/>
            </w:tcBorders>
            <w:shd w:val="clear" w:color="auto" w:fill="FFFFFF"/>
            <w:vAlign w:val="center"/>
          </w:tcPr>
          <w:p w14:paraId="643F0513">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结构防护等级要求</w:t>
            </w:r>
          </w:p>
        </w:tc>
        <w:tc>
          <w:tcPr>
            <w:tcW w:w="4200" w:type="dxa"/>
            <w:tcBorders>
              <w:top w:val="single" w:color="auto" w:sz="4" w:space="0"/>
              <w:left w:val="single" w:color="auto" w:sz="4" w:space="0"/>
              <w:bottom w:val="single" w:color="auto" w:sz="4" w:space="0"/>
              <w:right w:val="single" w:color="auto" w:sz="4" w:space="0"/>
            </w:tcBorders>
            <w:shd w:val="clear" w:color="auto" w:fill="FFFFFF"/>
            <w:vAlign w:val="center"/>
          </w:tcPr>
          <w:p w14:paraId="08BE273E">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需满足IP20防护等级。</w:t>
            </w:r>
          </w:p>
        </w:tc>
        <w:tc>
          <w:tcPr>
            <w:tcW w:w="1563" w:type="dxa"/>
            <w:tcBorders>
              <w:top w:val="single" w:color="auto" w:sz="4" w:space="0"/>
              <w:left w:val="single" w:color="auto" w:sz="4" w:space="0"/>
              <w:bottom w:val="single" w:color="auto" w:sz="4" w:space="0"/>
              <w:right w:val="single" w:color="auto" w:sz="4" w:space="0"/>
            </w:tcBorders>
            <w:shd w:val="clear" w:color="auto" w:fill="FFFFFF"/>
            <w:vAlign w:val="center"/>
          </w:tcPr>
          <w:p w14:paraId="6927E85D">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18197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00" w:type="dxa"/>
            <w:tcBorders>
              <w:top w:val="single" w:color="auto" w:sz="4" w:space="0"/>
              <w:left w:val="single" w:color="auto" w:sz="4" w:space="0"/>
              <w:bottom w:val="single" w:color="auto" w:sz="4" w:space="0"/>
              <w:right w:val="single" w:color="auto" w:sz="4" w:space="0"/>
            </w:tcBorders>
            <w:shd w:val="clear" w:color="auto" w:fill="FFFFFF"/>
            <w:vAlign w:val="center"/>
          </w:tcPr>
          <w:p w14:paraId="71B786C2">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w:t>
            </w: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14:paraId="1BE8F5B1">
            <w:pPr>
              <w:spacing w:line="276" w:lineRule="auto"/>
              <w:jc w:val="center"/>
              <w:rPr>
                <w:rFonts w:asciiTheme="minorEastAsia" w:hAnsiTheme="minorEastAsia" w:eastAsiaTheme="minorEastAsia" w:cstheme="minorEastAsia"/>
                <w:sz w:val="24"/>
              </w:rPr>
            </w:pPr>
          </w:p>
        </w:tc>
        <w:tc>
          <w:tcPr>
            <w:tcW w:w="2130" w:type="dxa"/>
            <w:tcBorders>
              <w:top w:val="single" w:color="auto" w:sz="4" w:space="0"/>
              <w:left w:val="single" w:color="auto" w:sz="4" w:space="0"/>
              <w:bottom w:val="single" w:color="auto" w:sz="4" w:space="0"/>
              <w:right w:val="single" w:color="auto" w:sz="4" w:space="0"/>
            </w:tcBorders>
            <w:shd w:val="clear" w:color="auto" w:fill="FFFFFF"/>
            <w:vAlign w:val="center"/>
          </w:tcPr>
          <w:p w14:paraId="2A61D246">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输入谐波含量要求</w:t>
            </w:r>
          </w:p>
        </w:tc>
        <w:tc>
          <w:tcPr>
            <w:tcW w:w="4200" w:type="dxa"/>
            <w:tcBorders>
              <w:top w:val="single" w:color="auto" w:sz="4" w:space="0"/>
              <w:left w:val="single" w:color="auto" w:sz="4" w:space="0"/>
              <w:bottom w:val="single" w:color="auto" w:sz="4" w:space="0"/>
              <w:right w:val="single" w:color="auto" w:sz="4" w:space="0"/>
            </w:tcBorders>
            <w:shd w:val="clear" w:color="auto" w:fill="FFFFFF"/>
            <w:vAlign w:val="center"/>
          </w:tcPr>
          <w:p w14:paraId="4D6EE966">
            <w:pPr>
              <w:pStyle w:val="6"/>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整流器输入性能应符合YD/T 2165-2017《通信用模块化不间断电源》中一类UPS标准，双变换工作时，输入谐波电流总含量, 满载时＜1.5%,50%负载率时＜2%，30%负载率时＜3%。</w:t>
            </w:r>
          </w:p>
        </w:tc>
        <w:tc>
          <w:tcPr>
            <w:tcW w:w="1563" w:type="dxa"/>
            <w:tcBorders>
              <w:top w:val="single" w:color="auto" w:sz="4" w:space="0"/>
              <w:left w:val="single" w:color="auto" w:sz="4" w:space="0"/>
              <w:bottom w:val="single" w:color="auto" w:sz="4" w:space="0"/>
              <w:right w:val="single" w:color="auto" w:sz="4" w:space="0"/>
            </w:tcBorders>
            <w:shd w:val="clear" w:color="auto" w:fill="FFFFFF"/>
            <w:vAlign w:val="center"/>
          </w:tcPr>
          <w:p w14:paraId="5DCB8B56">
            <w:pPr>
              <w:pStyle w:val="6"/>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7F29A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00" w:type="dxa"/>
            <w:tcBorders>
              <w:top w:val="single" w:color="auto" w:sz="4" w:space="0"/>
              <w:left w:val="single" w:color="auto" w:sz="4" w:space="0"/>
              <w:bottom w:val="single" w:color="auto" w:sz="4" w:space="0"/>
              <w:right w:val="single" w:color="auto" w:sz="4" w:space="0"/>
            </w:tcBorders>
            <w:shd w:val="clear" w:color="auto" w:fill="FFFFFF"/>
            <w:vAlign w:val="center"/>
          </w:tcPr>
          <w:p w14:paraId="79FF341F">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w:t>
            </w: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14:paraId="63811AF1">
            <w:pPr>
              <w:spacing w:line="276" w:lineRule="auto"/>
              <w:jc w:val="center"/>
              <w:rPr>
                <w:rFonts w:asciiTheme="minorEastAsia" w:hAnsiTheme="minorEastAsia" w:eastAsiaTheme="minorEastAsia" w:cstheme="minorEastAsia"/>
                <w:sz w:val="24"/>
              </w:rPr>
            </w:pPr>
          </w:p>
        </w:tc>
        <w:tc>
          <w:tcPr>
            <w:tcW w:w="2130" w:type="dxa"/>
            <w:tcBorders>
              <w:top w:val="single" w:color="auto" w:sz="4" w:space="0"/>
              <w:left w:val="single" w:color="auto" w:sz="4" w:space="0"/>
              <w:bottom w:val="single" w:color="auto" w:sz="4" w:space="0"/>
              <w:right w:val="single" w:color="auto" w:sz="4" w:space="0"/>
            </w:tcBorders>
            <w:shd w:val="clear" w:color="auto" w:fill="FFFFFF"/>
            <w:vAlign w:val="center"/>
          </w:tcPr>
          <w:p w14:paraId="5E5D8285">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系统效率</w:t>
            </w:r>
          </w:p>
        </w:tc>
        <w:tc>
          <w:tcPr>
            <w:tcW w:w="4200" w:type="dxa"/>
            <w:tcBorders>
              <w:top w:val="single" w:color="auto" w:sz="4" w:space="0"/>
              <w:left w:val="single" w:color="auto" w:sz="4" w:space="0"/>
              <w:bottom w:val="single" w:color="auto" w:sz="4" w:space="0"/>
              <w:right w:val="single" w:color="auto" w:sz="4" w:space="0"/>
            </w:tcBorders>
            <w:shd w:val="clear" w:color="auto" w:fill="FFFFFF"/>
            <w:vAlign w:val="center"/>
          </w:tcPr>
          <w:p w14:paraId="4D15BEB0">
            <w:pPr>
              <w:pStyle w:val="6"/>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整机运行效率：30%及50%负载时，效率≥97.5%。</w:t>
            </w:r>
          </w:p>
        </w:tc>
        <w:tc>
          <w:tcPr>
            <w:tcW w:w="1563" w:type="dxa"/>
            <w:tcBorders>
              <w:top w:val="single" w:color="auto" w:sz="4" w:space="0"/>
              <w:left w:val="single" w:color="auto" w:sz="4" w:space="0"/>
              <w:bottom w:val="single" w:color="auto" w:sz="4" w:space="0"/>
              <w:right w:val="single" w:color="auto" w:sz="4" w:space="0"/>
            </w:tcBorders>
            <w:shd w:val="clear" w:color="auto" w:fill="FFFFFF"/>
            <w:vAlign w:val="center"/>
          </w:tcPr>
          <w:p w14:paraId="16677256">
            <w:pPr>
              <w:pStyle w:val="6"/>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4B6D3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00" w:type="dxa"/>
            <w:tcBorders>
              <w:top w:val="single" w:color="auto" w:sz="4" w:space="0"/>
              <w:left w:val="single" w:color="auto" w:sz="4" w:space="0"/>
              <w:bottom w:val="single" w:color="auto" w:sz="4" w:space="0"/>
              <w:right w:val="single" w:color="auto" w:sz="4" w:space="0"/>
            </w:tcBorders>
            <w:shd w:val="clear" w:color="auto" w:fill="FFFFFF"/>
            <w:vAlign w:val="center"/>
          </w:tcPr>
          <w:p w14:paraId="0AF3F967">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6</w:t>
            </w: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14:paraId="65F5A668">
            <w:pPr>
              <w:spacing w:line="276" w:lineRule="auto"/>
              <w:jc w:val="center"/>
              <w:rPr>
                <w:rFonts w:asciiTheme="minorEastAsia" w:hAnsiTheme="minorEastAsia" w:eastAsiaTheme="minorEastAsia" w:cstheme="minorEastAsia"/>
                <w:sz w:val="24"/>
              </w:rPr>
            </w:pPr>
          </w:p>
        </w:tc>
        <w:tc>
          <w:tcPr>
            <w:tcW w:w="2130" w:type="dxa"/>
            <w:tcBorders>
              <w:top w:val="single" w:color="auto" w:sz="4" w:space="0"/>
              <w:left w:val="single" w:color="auto" w:sz="4" w:space="0"/>
              <w:bottom w:val="single" w:color="auto" w:sz="4" w:space="0"/>
              <w:right w:val="single" w:color="auto" w:sz="4" w:space="0"/>
            </w:tcBorders>
            <w:shd w:val="clear" w:color="auto" w:fill="FFFFFF"/>
            <w:vAlign w:val="center"/>
          </w:tcPr>
          <w:p w14:paraId="143D91BF">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过载能力要求</w:t>
            </w:r>
          </w:p>
        </w:tc>
        <w:tc>
          <w:tcPr>
            <w:tcW w:w="4200" w:type="dxa"/>
            <w:tcBorders>
              <w:top w:val="single" w:color="auto" w:sz="4" w:space="0"/>
              <w:left w:val="single" w:color="auto" w:sz="4" w:space="0"/>
              <w:bottom w:val="single" w:color="auto" w:sz="4" w:space="0"/>
              <w:right w:val="single" w:color="auto" w:sz="4" w:space="0"/>
            </w:tcBorders>
            <w:shd w:val="clear" w:color="auto" w:fill="FFFFFF"/>
            <w:vAlign w:val="center"/>
          </w:tcPr>
          <w:p w14:paraId="19F619EA">
            <w:pPr>
              <w:pStyle w:val="6"/>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逆变器过载能力：110%额定电流，过载1小时；125%额定电流，</w:t>
            </w:r>
            <w:r>
              <w:rPr>
                <w:rFonts w:asciiTheme="minorEastAsia" w:hAnsiTheme="minorEastAsia" w:eastAsiaTheme="minorEastAsia" w:cstheme="minorEastAsia"/>
                <w:sz w:val="24"/>
              </w:rPr>
              <w:t>过载</w:t>
            </w:r>
            <w:r>
              <w:rPr>
                <w:rFonts w:hint="eastAsia" w:asciiTheme="minorEastAsia" w:hAnsiTheme="minorEastAsia" w:eastAsiaTheme="minorEastAsia" w:cstheme="minorEastAsia"/>
                <w:sz w:val="24"/>
              </w:rPr>
              <w:t>不小于10min；150%额定电流，过载1分钟后转旁路供电。其中，125%额定电流，过载不小于10min。</w:t>
            </w:r>
          </w:p>
        </w:tc>
        <w:tc>
          <w:tcPr>
            <w:tcW w:w="1563" w:type="dxa"/>
            <w:tcBorders>
              <w:top w:val="single" w:color="auto" w:sz="4" w:space="0"/>
              <w:left w:val="single" w:color="auto" w:sz="4" w:space="0"/>
              <w:bottom w:val="single" w:color="auto" w:sz="4" w:space="0"/>
              <w:right w:val="single" w:color="auto" w:sz="4" w:space="0"/>
            </w:tcBorders>
            <w:shd w:val="clear" w:color="auto" w:fill="FFFFFF"/>
            <w:vAlign w:val="center"/>
          </w:tcPr>
          <w:p w14:paraId="13C36E64">
            <w:pPr>
              <w:pStyle w:val="6"/>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29D7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79" w:hRule="atLeast"/>
          <w:jc w:val="center"/>
        </w:trPr>
        <w:tc>
          <w:tcPr>
            <w:tcW w:w="700" w:type="dxa"/>
            <w:tcBorders>
              <w:top w:val="single" w:color="auto" w:sz="4" w:space="0"/>
              <w:left w:val="single" w:color="auto" w:sz="4" w:space="0"/>
              <w:bottom w:val="single" w:color="auto" w:sz="4" w:space="0"/>
              <w:right w:val="single" w:color="auto" w:sz="4" w:space="0"/>
            </w:tcBorders>
            <w:shd w:val="clear" w:color="auto" w:fill="FFFFFF"/>
            <w:vAlign w:val="center"/>
          </w:tcPr>
          <w:p w14:paraId="2BC93B3B">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7</w:t>
            </w: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14:paraId="28FAF4A2">
            <w:pPr>
              <w:spacing w:line="276" w:lineRule="auto"/>
              <w:jc w:val="center"/>
              <w:rPr>
                <w:rFonts w:asciiTheme="minorEastAsia" w:hAnsiTheme="minorEastAsia" w:eastAsiaTheme="minorEastAsia" w:cstheme="minorEastAsia"/>
                <w:sz w:val="24"/>
              </w:rPr>
            </w:pPr>
          </w:p>
        </w:tc>
        <w:tc>
          <w:tcPr>
            <w:tcW w:w="2130" w:type="dxa"/>
            <w:tcBorders>
              <w:top w:val="single" w:color="auto" w:sz="4" w:space="0"/>
              <w:left w:val="single" w:color="auto" w:sz="4" w:space="0"/>
              <w:bottom w:val="single" w:color="auto" w:sz="4" w:space="0"/>
              <w:right w:val="single" w:color="auto" w:sz="4" w:space="0"/>
            </w:tcBorders>
            <w:shd w:val="clear" w:color="auto" w:fill="FFFFFF"/>
            <w:vAlign w:val="center"/>
          </w:tcPr>
          <w:p w14:paraId="2053B1EB">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输出电压不平衡度要求</w:t>
            </w:r>
          </w:p>
        </w:tc>
        <w:tc>
          <w:tcPr>
            <w:tcW w:w="4200" w:type="dxa"/>
            <w:tcBorders>
              <w:top w:val="single" w:color="auto" w:sz="4" w:space="0"/>
              <w:left w:val="single" w:color="auto" w:sz="4" w:space="0"/>
              <w:bottom w:val="single" w:color="auto" w:sz="4" w:space="0"/>
              <w:right w:val="single" w:color="auto" w:sz="4" w:space="0"/>
            </w:tcBorders>
            <w:shd w:val="clear" w:color="auto" w:fill="FFFFFF"/>
            <w:vAlign w:val="center"/>
          </w:tcPr>
          <w:p w14:paraId="36C1AEDC">
            <w:pPr>
              <w:pStyle w:val="6"/>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三相负载不平衡度：100%负载时，三相输出电压不平衡度满足：≤±0.5％（平衡负载），≤±1％（100％不平衡负载）。</w:t>
            </w:r>
          </w:p>
        </w:tc>
        <w:tc>
          <w:tcPr>
            <w:tcW w:w="1563" w:type="dxa"/>
            <w:tcBorders>
              <w:top w:val="single" w:color="auto" w:sz="4" w:space="0"/>
              <w:left w:val="single" w:color="auto" w:sz="4" w:space="0"/>
              <w:bottom w:val="single" w:color="auto" w:sz="4" w:space="0"/>
              <w:right w:val="single" w:color="auto" w:sz="4" w:space="0"/>
            </w:tcBorders>
            <w:shd w:val="clear" w:color="auto" w:fill="FFFFFF"/>
            <w:vAlign w:val="center"/>
          </w:tcPr>
          <w:p w14:paraId="2AB5C6EB">
            <w:pPr>
              <w:pStyle w:val="6"/>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6255E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00" w:type="dxa"/>
            <w:tcBorders>
              <w:top w:val="single" w:color="auto" w:sz="4" w:space="0"/>
              <w:left w:val="single" w:color="auto" w:sz="4" w:space="0"/>
              <w:bottom w:val="single" w:color="auto" w:sz="4" w:space="0"/>
              <w:right w:val="single" w:color="auto" w:sz="4" w:space="0"/>
            </w:tcBorders>
            <w:shd w:val="clear" w:color="auto" w:fill="FFFFFF"/>
            <w:vAlign w:val="center"/>
          </w:tcPr>
          <w:p w14:paraId="44A66398">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8</w:t>
            </w: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14:paraId="3E6C3E4D">
            <w:pPr>
              <w:spacing w:line="276" w:lineRule="auto"/>
              <w:jc w:val="center"/>
              <w:rPr>
                <w:rFonts w:asciiTheme="minorEastAsia" w:hAnsiTheme="minorEastAsia" w:eastAsiaTheme="minorEastAsia" w:cstheme="minorEastAsia"/>
                <w:sz w:val="24"/>
              </w:rPr>
            </w:pPr>
          </w:p>
        </w:tc>
        <w:tc>
          <w:tcPr>
            <w:tcW w:w="2130" w:type="dxa"/>
            <w:tcBorders>
              <w:top w:val="single" w:color="auto" w:sz="4" w:space="0"/>
              <w:left w:val="single" w:color="auto" w:sz="4" w:space="0"/>
              <w:bottom w:val="single" w:color="auto" w:sz="4" w:space="0"/>
              <w:right w:val="single" w:color="auto" w:sz="4" w:space="0"/>
            </w:tcBorders>
            <w:shd w:val="clear" w:color="auto" w:fill="FFFFFF"/>
            <w:vAlign w:val="center"/>
          </w:tcPr>
          <w:p w14:paraId="22ABE23D">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旁路逆变切换时间</w:t>
            </w:r>
          </w:p>
        </w:tc>
        <w:tc>
          <w:tcPr>
            <w:tcW w:w="4200" w:type="dxa"/>
            <w:tcBorders>
              <w:top w:val="single" w:color="auto" w:sz="4" w:space="0"/>
              <w:left w:val="single" w:color="auto" w:sz="4" w:space="0"/>
              <w:bottom w:val="single" w:color="auto" w:sz="4" w:space="0"/>
              <w:right w:val="single" w:color="auto" w:sz="4" w:space="0"/>
            </w:tcBorders>
            <w:shd w:val="clear" w:color="auto" w:fill="FFFFFF"/>
            <w:vAlign w:val="center"/>
          </w:tcPr>
          <w:p w14:paraId="355FC4E1">
            <w:pPr>
              <w:pStyle w:val="6"/>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从逆变器停止工作时起，到电网直接供电时止或从电网直接供电起到恢复逆变器工作时止所需要的时间&lt;2ms。</w:t>
            </w:r>
          </w:p>
        </w:tc>
        <w:tc>
          <w:tcPr>
            <w:tcW w:w="1563" w:type="dxa"/>
            <w:tcBorders>
              <w:top w:val="single" w:color="auto" w:sz="4" w:space="0"/>
              <w:left w:val="single" w:color="auto" w:sz="4" w:space="0"/>
              <w:bottom w:val="single" w:color="auto" w:sz="4" w:space="0"/>
              <w:right w:val="single" w:color="auto" w:sz="4" w:space="0"/>
            </w:tcBorders>
            <w:shd w:val="clear" w:color="auto" w:fill="FFFFFF"/>
            <w:vAlign w:val="center"/>
          </w:tcPr>
          <w:p w14:paraId="2A7F47F0">
            <w:pPr>
              <w:pStyle w:val="6"/>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764AC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79" w:hRule="atLeast"/>
          <w:jc w:val="center"/>
        </w:trPr>
        <w:tc>
          <w:tcPr>
            <w:tcW w:w="700" w:type="dxa"/>
            <w:tcBorders>
              <w:top w:val="single" w:color="auto" w:sz="4" w:space="0"/>
              <w:left w:val="single" w:color="auto" w:sz="4" w:space="0"/>
              <w:bottom w:val="single" w:color="auto" w:sz="4" w:space="0"/>
              <w:right w:val="single" w:color="auto" w:sz="4" w:space="0"/>
            </w:tcBorders>
            <w:shd w:val="clear" w:color="auto" w:fill="FFFFFF"/>
            <w:vAlign w:val="center"/>
          </w:tcPr>
          <w:p w14:paraId="3BEB24C6">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9</w:t>
            </w: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14:paraId="22A0285E">
            <w:pPr>
              <w:spacing w:line="276" w:lineRule="auto"/>
              <w:jc w:val="center"/>
              <w:rPr>
                <w:rFonts w:asciiTheme="minorEastAsia" w:hAnsiTheme="minorEastAsia" w:eastAsiaTheme="minorEastAsia" w:cstheme="minorEastAsia"/>
                <w:sz w:val="24"/>
              </w:rPr>
            </w:pPr>
          </w:p>
        </w:tc>
        <w:tc>
          <w:tcPr>
            <w:tcW w:w="2130" w:type="dxa"/>
            <w:tcBorders>
              <w:top w:val="single" w:color="auto" w:sz="4" w:space="0"/>
              <w:left w:val="single" w:color="auto" w:sz="4" w:space="0"/>
              <w:bottom w:val="single" w:color="auto" w:sz="4" w:space="0"/>
              <w:right w:val="single" w:color="auto" w:sz="4" w:space="0"/>
            </w:tcBorders>
            <w:shd w:val="clear" w:color="auto" w:fill="FFFFFF"/>
            <w:vAlign w:val="center"/>
          </w:tcPr>
          <w:p w14:paraId="450141B2">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动态在线模式</w:t>
            </w:r>
          </w:p>
        </w:tc>
        <w:tc>
          <w:tcPr>
            <w:tcW w:w="4200" w:type="dxa"/>
            <w:tcBorders>
              <w:top w:val="single" w:color="auto" w:sz="4" w:space="0"/>
              <w:left w:val="single" w:color="auto" w:sz="4" w:space="0"/>
              <w:bottom w:val="single" w:color="auto" w:sz="4" w:space="0"/>
              <w:right w:val="single" w:color="auto" w:sz="4" w:space="0"/>
            </w:tcBorders>
            <w:shd w:val="clear" w:color="auto" w:fill="FFFFFF"/>
            <w:vAlign w:val="center"/>
          </w:tcPr>
          <w:p w14:paraId="0996AA50">
            <w:pPr>
              <w:pStyle w:val="6"/>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要求所投标设备具备动态在线模式（超级ECO模式），可使静态旁路和逆变器同时在线，此工况下，输入电流谐波应满足，满载时＜2.5%，50%负载时＜5%，30%负载时＜9%；输入功率因数应≥0.99（40%，50%，60%，70%，80%，90%，100%负载率时均满足）。</w:t>
            </w:r>
          </w:p>
        </w:tc>
        <w:tc>
          <w:tcPr>
            <w:tcW w:w="1563" w:type="dxa"/>
            <w:tcBorders>
              <w:top w:val="single" w:color="auto" w:sz="4" w:space="0"/>
              <w:left w:val="single" w:color="auto" w:sz="4" w:space="0"/>
              <w:bottom w:val="single" w:color="auto" w:sz="4" w:space="0"/>
              <w:right w:val="single" w:color="auto" w:sz="4" w:space="0"/>
            </w:tcBorders>
            <w:shd w:val="clear" w:color="auto" w:fill="FFFFFF"/>
            <w:vAlign w:val="center"/>
          </w:tcPr>
          <w:p w14:paraId="57A9462F">
            <w:pPr>
              <w:pStyle w:val="6"/>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1272C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00" w:type="dxa"/>
            <w:tcBorders>
              <w:top w:val="single" w:color="auto" w:sz="4" w:space="0"/>
              <w:left w:val="single" w:color="auto" w:sz="4" w:space="0"/>
              <w:bottom w:val="single" w:color="auto" w:sz="4" w:space="0"/>
              <w:right w:val="single" w:color="auto" w:sz="4" w:space="0"/>
            </w:tcBorders>
            <w:shd w:val="clear" w:color="auto" w:fill="FFFFFF"/>
            <w:vAlign w:val="center"/>
          </w:tcPr>
          <w:p w14:paraId="053D8C73">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10</w:t>
            </w: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14:paraId="366A9691">
            <w:pPr>
              <w:spacing w:line="276" w:lineRule="auto"/>
              <w:jc w:val="center"/>
              <w:rPr>
                <w:rFonts w:asciiTheme="minorEastAsia" w:hAnsiTheme="minorEastAsia" w:eastAsiaTheme="minorEastAsia" w:cstheme="minorEastAsia"/>
                <w:sz w:val="24"/>
              </w:rPr>
            </w:pPr>
          </w:p>
        </w:tc>
        <w:tc>
          <w:tcPr>
            <w:tcW w:w="2130" w:type="dxa"/>
            <w:tcBorders>
              <w:top w:val="single" w:color="auto" w:sz="4" w:space="0"/>
              <w:left w:val="single" w:color="auto" w:sz="4" w:space="0"/>
              <w:bottom w:val="single" w:color="auto" w:sz="4" w:space="0"/>
              <w:right w:val="single" w:color="auto" w:sz="4" w:space="0"/>
            </w:tcBorders>
            <w:shd w:val="clear" w:color="auto" w:fill="FFFFFF"/>
            <w:vAlign w:val="center"/>
          </w:tcPr>
          <w:p w14:paraId="36AEE867">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高温带载能力</w:t>
            </w:r>
          </w:p>
        </w:tc>
        <w:tc>
          <w:tcPr>
            <w:tcW w:w="4200" w:type="dxa"/>
            <w:tcBorders>
              <w:top w:val="single" w:color="auto" w:sz="4" w:space="0"/>
              <w:left w:val="single" w:color="auto" w:sz="4" w:space="0"/>
              <w:bottom w:val="single" w:color="auto" w:sz="4" w:space="0"/>
              <w:right w:val="single" w:color="auto" w:sz="4" w:space="0"/>
            </w:tcBorders>
            <w:shd w:val="clear" w:color="auto" w:fill="FFFFFF"/>
            <w:vAlign w:val="center"/>
          </w:tcPr>
          <w:p w14:paraId="3202C4A5">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UPS设备需具备良好的高温带载能力，40℃持续运行不降额，50℃环境温度仍可输出80%额定功率。</w:t>
            </w:r>
          </w:p>
        </w:tc>
        <w:tc>
          <w:tcPr>
            <w:tcW w:w="1563" w:type="dxa"/>
            <w:tcBorders>
              <w:top w:val="single" w:color="auto" w:sz="4" w:space="0"/>
              <w:left w:val="single" w:color="auto" w:sz="4" w:space="0"/>
              <w:bottom w:val="single" w:color="auto" w:sz="4" w:space="0"/>
              <w:right w:val="single" w:color="auto" w:sz="4" w:space="0"/>
            </w:tcBorders>
            <w:shd w:val="clear" w:color="auto" w:fill="FFFFFF"/>
            <w:vAlign w:val="center"/>
          </w:tcPr>
          <w:p w14:paraId="135337ED">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r w14:paraId="6E1F3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79" w:hRule="atLeast"/>
          <w:jc w:val="center"/>
        </w:trPr>
        <w:tc>
          <w:tcPr>
            <w:tcW w:w="700" w:type="dxa"/>
            <w:tcBorders>
              <w:top w:val="single" w:color="auto" w:sz="4" w:space="0"/>
              <w:left w:val="single" w:color="auto" w:sz="4" w:space="0"/>
              <w:bottom w:val="single" w:color="auto" w:sz="4" w:space="0"/>
              <w:right w:val="single" w:color="auto" w:sz="4" w:space="0"/>
            </w:tcBorders>
            <w:shd w:val="clear" w:color="auto" w:fill="FFFFFF"/>
            <w:vAlign w:val="center"/>
          </w:tcPr>
          <w:p w14:paraId="73675860">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11</w:t>
            </w: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14:paraId="4A095034">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130" w:type="dxa"/>
            <w:tcBorders>
              <w:top w:val="single" w:color="auto" w:sz="4" w:space="0"/>
              <w:left w:val="single" w:color="auto" w:sz="4" w:space="0"/>
              <w:bottom w:val="single" w:color="auto" w:sz="4" w:space="0"/>
              <w:right w:val="single" w:color="auto" w:sz="4" w:space="0"/>
            </w:tcBorders>
            <w:shd w:val="clear" w:color="auto" w:fill="FFFFFF"/>
            <w:vAlign w:val="center"/>
          </w:tcPr>
          <w:p w14:paraId="2206A2CD">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监控管理和预告警功能</w:t>
            </w:r>
          </w:p>
        </w:tc>
        <w:tc>
          <w:tcPr>
            <w:tcW w:w="4200" w:type="dxa"/>
            <w:tcBorders>
              <w:top w:val="single" w:color="auto" w:sz="4" w:space="0"/>
              <w:left w:val="single" w:color="auto" w:sz="4" w:space="0"/>
              <w:bottom w:val="single" w:color="auto" w:sz="4" w:space="0"/>
              <w:right w:val="single" w:color="auto" w:sz="4" w:space="0"/>
            </w:tcBorders>
            <w:shd w:val="clear" w:color="auto" w:fill="FFFFFF"/>
            <w:vAlign w:val="center"/>
          </w:tcPr>
          <w:p w14:paraId="044A3933">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设备应能提供全中文监控及操作界面和全中文远程监控管理界面，应提供8英寸以上全中文显示的LCD显示器，方便查看与操作。系统应具备电容及风扇等易损件的智能预告警功能，方便运维，需提供官方产品彩页或用户手册。</w:t>
            </w:r>
          </w:p>
        </w:tc>
        <w:tc>
          <w:tcPr>
            <w:tcW w:w="1563" w:type="dxa"/>
            <w:tcBorders>
              <w:top w:val="single" w:color="auto" w:sz="4" w:space="0"/>
              <w:left w:val="single" w:color="auto" w:sz="4" w:space="0"/>
              <w:bottom w:val="single" w:color="auto" w:sz="4" w:space="0"/>
              <w:right w:val="single" w:color="auto" w:sz="4" w:space="0"/>
            </w:tcBorders>
            <w:shd w:val="clear" w:color="auto" w:fill="FFFFFF"/>
            <w:vAlign w:val="center"/>
          </w:tcPr>
          <w:p w14:paraId="58F2D634">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495BA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79" w:hRule="atLeast"/>
          <w:jc w:val="center"/>
        </w:trPr>
        <w:tc>
          <w:tcPr>
            <w:tcW w:w="700" w:type="dxa"/>
            <w:tcBorders>
              <w:top w:val="single" w:color="auto" w:sz="4" w:space="0"/>
              <w:left w:val="single" w:color="auto" w:sz="4" w:space="0"/>
              <w:bottom w:val="single" w:color="auto" w:sz="4" w:space="0"/>
              <w:right w:val="single" w:color="auto" w:sz="4" w:space="0"/>
            </w:tcBorders>
            <w:shd w:val="clear" w:color="auto" w:fill="FFFFFF"/>
            <w:vAlign w:val="center"/>
          </w:tcPr>
          <w:p w14:paraId="6E7D9F73">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12</w:t>
            </w: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14:paraId="4CD7DA1E">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130" w:type="dxa"/>
            <w:tcBorders>
              <w:top w:val="single" w:color="auto" w:sz="4" w:space="0"/>
              <w:left w:val="single" w:color="auto" w:sz="4" w:space="0"/>
              <w:bottom w:val="single" w:color="auto" w:sz="4" w:space="0"/>
              <w:right w:val="single" w:color="auto" w:sz="4" w:space="0"/>
            </w:tcBorders>
            <w:shd w:val="clear" w:color="auto" w:fill="FFFFFF"/>
            <w:vAlign w:val="center"/>
          </w:tcPr>
          <w:p w14:paraId="5543D19D">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电池变换器要求</w:t>
            </w:r>
          </w:p>
        </w:tc>
        <w:tc>
          <w:tcPr>
            <w:tcW w:w="4200" w:type="dxa"/>
            <w:tcBorders>
              <w:top w:val="single" w:color="auto" w:sz="4" w:space="0"/>
              <w:left w:val="single" w:color="auto" w:sz="4" w:space="0"/>
              <w:bottom w:val="single" w:color="auto" w:sz="4" w:space="0"/>
              <w:right w:val="single" w:color="auto" w:sz="4" w:space="0"/>
            </w:tcBorders>
            <w:shd w:val="clear" w:color="auto" w:fill="FFFFFF"/>
            <w:vAlign w:val="center"/>
          </w:tcPr>
          <w:p w14:paraId="22210FAD">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UPS具备独立电池变换器，不接受整流器复用电池变换器方案，提高可靠性，提升充电能力。采用2线电池，电池无需N线，节省电池线缆投资。需提供官方产品彩页或用户手册。</w:t>
            </w:r>
          </w:p>
        </w:tc>
        <w:tc>
          <w:tcPr>
            <w:tcW w:w="1563" w:type="dxa"/>
            <w:tcBorders>
              <w:top w:val="single" w:color="auto" w:sz="4" w:space="0"/>
              <w:left w:val="single" w:color="auto" w:sz="4" w:space="0"/>
              <w:bottom w:val="single" w:color="auto" w:sz="4" w:space="0"/>
              <w:right w:val="single" w:color="auto" w:sz="4" w:space="0"/>
            </w:tcBorders>
            <w:shd w:val="clear" w:color="auto" w:fill="FFFFFF"/>
            <w:vAlign w:val="center"/>
          </w:tcPr>
          <w:p w14:paraId="248F07D1">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60962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79" w:hRule="atLeast"/>
          <w:jc w:val="center"/>
        </w:trPr>
        <w:tc>
          <w:tcPr>
            <w:tcW w:w="700" w:type="dxa"/>
            <w:tcBorders>
              <w:top w:val="single" w:color="auto" w:sz="4" w:space="0"/>
              <w:left w:val="single" w:color="auto" w:sz="4" w:space="0"/>
              <w:bottom w:val="single" w:color="auto" w:sz="4" w:space="0"/>
              <w:right w:val="single" w:color="auto" w:sz="4" w:space="0"/>
            </w:tcBorders>
            <w:shd w:val="clear" w:color="auto" w:fill="FFFFFF"/>
            <w:vAlign w:val="center"/>
          </w:tcPr>
          <w:p w14:paraId="63705C00">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13</w:t>
            </w: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14:paraId="284E4767">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130" w:type="dxa"/>
            <w:tcBorders>
              <w:top w:val="single" w:color="auto" w:sz="4" w:space="0"/>
              <w:left w:val="single" w:color="auto" w:sz="4" w:space="0"/>
              <w:bottom w:val="single" w:color="auto" w:sz="4" w:space="0"/>
              <w:right w:val="single" w:color="auto" w:sz="4" w:space="0"/>
            </w:tcBorders>
            <w:shd w:val="clear" w:color="auto" w:fill="FFFFFF"/>
            <w:vAlign w:val="center"/>
          </w:tcPr>
          <w:p w14:paraId="208D179F">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波形失真度</w:t>
            </w:r>
          </w:p>
        </w:tc>
        <w:tc>
          <w:tcPr>
            <w:tcW w:w="4200" w:type="dxa"/>
            <w:tcBorders>
              <w:top w:val="single" w:color="auto" w:sz="4" w:space="0"/>
              <w:left w:val="single" w:color="auto" w:sz="4" w:space="0"/>
              <w:bottom w:val="single" w:color="auto" w:sz="4" w:space="0"/>
              <w:right w:val="single" w:color="auto" w:sz="4" w:space="0"/>
            </w:tcBorders>
            <w:shd w:val="clear" w:color="auto" w:fill="FFFFFF"/>
            <w:vAlign w:val="center"/>
          </w:tcPr>
          <w:p w14:paraId="5E994375">
            <w:pPr>
              <w:pStyle w:val="6"/>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输出波形为连续的正弦波，电压波形失真度：100%阻性负载 ≤1％，100%非线性负载 ≤1％，需提供</w:t>
            </w:r>
            <w:r>
              <w:rPr>
                <w:rFonts w:hint="eastAsia"/>
              </w:rPr>
              <w:t>国家认可的认证（检测）机构出具的认证（检测）报告</w:t>
            </w:r>
            <w:r>
              <w:rPr>
                <w:rFonts w:hint="eastAsia" w:asciiTheme="minorEastAsia" w:hAnsiTheme="minorEastAsia" w:eastAsiaTheme="minorEastAsia" w:cstheme="minorEastAsia"/>
                <w:sz w:val="24"/>
              </w:rPr>
              <w:t>。</w:t>
            </w:r>
          </w:p>
        </w:tc>
        <w:tc>
          <w:tcPr>
            <w:tcW w:w="1563" w:type="dxa"/>
            <w:tcBorders>
              <w:top w:val="single" w:color="auto" w:sz="4" w:space="0"/>
              <w:left w:val="single" w:color="auto" w:sz="4" w:space="0"/>
              <w:bottom w:val="single" w:color="auto" w:sz="4" w:space="0"/>
              <w:right w:val="single" w:color="auto" w:sz="4" w:space="0"/>
            </w:tcBorders>
            <w:shd w:val="clear" w:color="auto" w:fill="FFFFFF"/>
            <w:vAlign w:val="center"/>
          </w:tcPr>
          <w:p w14:paraId="60F5DD84">
            <w:pPr>
              <w:pStyle w:val="6"/>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是</w:t>
            </w:r>
          </w:p>
        </w:tc>
      </w:tr>
      <w:tr w14:paraId="1E5E4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79" w:hRule="atLeast"/>
          <w:jc w:val="center"/>
        </w:trPr>
        <w:tc>
          <w:tcPr>
            <w:tcW w:w="700" w:type="dxa"/>
            <w:tcBorders>
              <w:top w:val="single" w:color="auto" w:sz="4" w:space="0"/>
              <w:left w:val="single" w:color="auto" w:sz="4" w:space="0"/>
              <w:bottom w:val="single" w:color="auto" w:sz="4" w:space="0"/>
              <w:right w:val="single" w:color="auto" w:sz="4" w:space="0"/>
            </w:tcBorders>
            <w:shd w:val="clear" w:color="auto" w:fill="FFFFFF"/>
            <w:vAlign w:val="center"/>
          </w:tcPr>
          <w:p w14:paraId="59CD0330">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14</w:t>
            </w: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14:paraId="7D19F304">
            <w:pPr>
              <w:spacing w:line="276" w:lineRule="auto"/>
              <w:jc w:val="center"/>
              <w:rPr>
                <w:rFonts w:asciiTheme="minorEastAsia" w:hAnsiTheme="minorEastAsia" w:eastAsiaTheme="minorEastAsia" w:cstheme="minorEastAsia"/>
                <w:sz w:val="24"/>
              </w:rPr>
            </w:pPr>
          </w:p>
        </w:tc>
        <w:tc>
          <w:tcPr>
            <w:tcW w:w="2130" w:type="dxa"/>
            <w:tcBorders>
              <w:top w:val="single" w:color="auto" w:sz="4" w:space="0"/>
              <w:left w:val="single" w:color="auto" w:sz="4" w:space="0"/>
              <w:bottom w:val="single" w:color="auto" w:sz="4" w:space="0"/>
              <w:right w:val="single" w:color="auto" w:sz="4" w:space="0"/>
            </w:tcBorders>
            <w:shd w:val="clear" w:color="auto" w:fill="FFFFFF"/>
            <w:vAlign w:val="center"/>
          </w:tcPr>
          <w:p w14:paraId="7C755BB4">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功率模块独立风道设计</w:t>
            </w:r>
          </w:p>
        </w:tc>
        <w:tc>
          <w:tcPr>
            <w:tcW w:w="4200" w:type="dxa"/>
            <w:tcBorders>
              <w:top w:val="single" w:color="auto" w:sz="4" w:space="0"/>
              <w:left w:val="single" w:color="auto" w:sz="4" w:space="0"/>
              <w:bottom w:val="single" w:color="auto" w:sz="4" w:space="0"/>
              <w:right w:val="single" w:color="auto" w:sz="4" w:space="0"/>
            </w:tcBorders>
            <w:shd w:val="clear" w:color="auto" w:fill="FFFFFF"/>
            <w:vAlign w:val="center"/>
          </w:tcPr>
          <w:p w14:paraId="004A61FE">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UPS功率模块内部散热风道要求采用独立风道设计，防止灰尘积累导致短路、拉弧等故障发生。</w:t>
            </w:r>
          </w:p>
        </w:tc>
        <w:tc>
          <w:tcPr>
            <w:tcW w:w="1563" w:type="dxa"/>
            <w:tcBorders>
              <w:top w:val="single" w:color="auto" w:sz="4" w:space="0"/>
              <w:left w:val="single" w:color="auto" w:sz="4" w:space="0"/>
              <w:bottom w:val="single" w:color="auto" w:sz="4" w:space="0"/>
              <w:right w:val="single" w:color="auto" w:sz="4" w:space="0"/>
            </w:tcBorders>
            <w:shd w:val="clear" w:color="auto" w:fill="FFFFFF"/>
            <w:vAlign w:val="center"/>
          </w:tcPr>
          <w:p w14:paraId="43443EA9">
            <w:pPr>
              <w:spacing w:line="276" w:lineRule="auto"/>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否</w:t>
            </w:r>
          </w:p>
        </w:tc>
      </w:tr>
    </w:tbl>
    <w:p w14:paraId="2E2573D6">
      <w:pPr>
        <w:rPr>
          <w:rFonts w:asciiTheme="minorEastAsia" w:hAnsiTheme="minorEastAsia" w:eastAsiaTheme="minorEastAsia" w:cstheme="minorEastAsia"/>
          <w:sz w:val="24"/>
        </w:rPr>
      </w:pPr>
    </w:p>
    <w:p w14:paraId="6DBC128D">
      <w:pPr>
        <w:rPr>
          <w:rFonts w:asciiTheme="minorEastAsia" w:hAnsiTheme="minorEastAsia" w:eastAsiaTheme="minorEastAsia" w:cstheme="minorEastAsia"/>
          <w:sz w:val="24"/>
        </w:rPr>
      </w:pPr>
    </w:p>
    <w:p w14:paraId="3580F61C">
      <w:pPr>
        <w:pStyle w:val="2"/>
        <w:keepNext w:val="0"/>
        <w:keepLines w:val="0"/>
        <w:tabs>
          <w:tab w:val="left" w:pos="0"/>
        </w:tabs>
        <w:autoSpaceDE/>
        <w:adjustRightInd/>
        <w:spacing w:before="0" w:line="360" w:lineRule="auto"/>
        <w:ind w:firstLine="482" w:firstLineChars="200"/>
        <w:jc w:val="left"/>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四、项目实施管理要求</w:t>
      </w:r>
    </w:p>
    <w:p w14:paraId="4B4560CD">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投标人应重视项目组织及人员管理，给出项目组织结构图并对组织职责及人员分工进行详细说明。必须重视项目实施的质量管理与安全保密管理措施，确保本项目安全实施并确保质量符合要求。必须重视项目计划与进度管理，确保在规定的时间内完成项目所需的全部工作和必须完成的工作各个过程。</w:t>
      </w:r>
    </w:p>
    <w:p w14:paraId="2B6C6C48">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在项目实施过程中投标人须加强与采购人多渠道沟通，沟通方式不限于定期会议、文件汇报和专题会议。通过沟通确保在项目实施过程中存在的问题能够及时理解并达成一致，使问题得到有效快速地解决。</w:t>
      </w:r>
    </w:p>
    <w:p w14:paraId="36A755E7">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为了按时完成项目建设的全部工作，投标人需提供进度计划管理方案，给出本项目实施总体计划、详细进度计划、进度计划控制方法和保障措施，确保能够按照项目时间要求完成项目的实施。</w:t>
      </w:r>
    </w:p>
    <w:p w14:paraId="3604FF0A">
      <w:pPr>
        <w:spacing w:line="360" w:lineRule="auto"/>
        <w:ind w:firstLine="480" w:firstLineChars="200"/>
        <w:rPr>
          <w:rStyle w:val="22"/>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rPr>
        <w:t>项目建设周期：合同签订后30个日历日内完成所有设备到货，到货后30个日历日内安装、调试。投标人应在规定时间内完成项目所有建设内容完成终验，进入质保期。若因采购人或法律政策等原因导致项目起始时间变化、发生暂停，项目总期限不变，时间相应顺延。</w:t>
      </w:r>
    </w:p>
    <w:p w14:paraId="178B02A9">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项目实施要求：投标人应结合本项目实际实施需求，提供完整合理的项目实施方案，方案内容包括但不限于实施组织与人员、总体周期计划与各阶段详细计划以及实施质量保障。</w:t>
      </w:r>
    </w:p>
    <w:p w14:paraId="46114819">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项目实施地点及部署要求：采购人指定的地点，部署方式为本地化部署方式。</w:t>
      </w:r>
    </w:p>
    <w:p w14:paraId="3CD3E0F2">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项目实施人员要求：为确保项目实施质量达到预期目标，投标人应建立分工明确、职责清楚的项目管理组织架构、明确各岗位的职责和任职资格，提供具有类似项目实施和管理经验且稳定的专业化团队。投标人应承诺在项目不同阶段根据项目需求配置足够的人员组织实施项目，确保按项目进度完成建设工作。项目建设过程中，投标人可更换采购人认为不合适的人员。</w:t>
      </w:r>
    </w:p>
    <w:p w14:paraId="6C360693">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采购人提供必要的场地和部署工作条件，协调组织相关责任人及时配合项目相关实施与验收工作。</w:t>
      </w:r>
    </w:p>
    <w:p w14:paraId="1C9E50F9">
      <w:pPr>
        <w:pStyle w:val="2"/>
        <w:keepNext w:val="0"/>
        <w:keepLines w:val="0"/>
        <w:tabs>
          <w:tab w:val="left" w:pos="0"/>
        </w:tabs>
        <w:autoSpaceDE/>
        <w:adjustRightInd/>
        <w:spacing w:before="0" w:line="360" w:lineRule="auto"/>
        <w:ind w:firstLine="482" w:firstLineChars="200"/>
        <w:jc w:val="left"/>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五、项目人员培训要求</w:t>
      </w:r>
    </w:p>
    <w:p w14:paraId="172D853A">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培训工作是整个项目得以正常运行的关键，除了对系统使用人员的专项培训以外，应对系统维护人员进行系统维护的培训。具体培训要求如下：</w:t>
      </w:r>
    </w:p>
    <w:p w14:paraId="79A4B12C">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投标人须为本项目建设的系统管理及使用人员提供培训服务，通过系统化的培训使培训对象能够熟练地掌握系统使用和维护方法，使其能够独立管理、使用和维护项目相关系统。</w:t>
      </w:r>
    </w:p>
    <w:p w14:paraId="725EAA27">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投标人应在投标文件中提出详细的培训计划，计划内容应包括培训项目、培训次数、培训地点、培训讲师要求、培训对象、日程安排及其他相关事项。培训教材包括视频文件、培训PPT资料，培训所使用的语言和教材必须是中文。</w:t>
      </w:r>
    </w:p>
    <w:p w14:paraId="433F7CD9">
      <w:pPr>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技术培训的内容必须涵盖软件的日常操作、系统管理维护以及基本的故障诊断与排错。培训教材应由中标人提供，并确保内容全面、易于理解。培训讲师应具备丰富的相关领域经验，能够有效传授知识和技能。培训对象应包括系统管理员、技术支持人员及其他相关操作人员，确保其能够熟练掌握软件的使用与维护。</w:t>
      </w:r>
    </w:p>
    <w:p w14:paraId="6F52A30E">
      <w:pPr>
        <w:pStyle w:val="2"/>
        <w:keepNext w:val="0"/>
        <w:keepLines w:val="0"/>
        <w:tabs>
          <w:tab w:val="left" w:pos="0"/>
        </w:tabs>
        <w:autoSpaceDE/>
        <w:adjustRightInd/>
        <w:spacing w:before="0" w:line="360" w:lineRule="auto"/>
        <w:ind w:firstLine="482" w:firstLineChars="200"/>
        <w:jc w:val="left"/>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六、项目售后服务要求</w:t>
      </w:r>
    </w:p>
    <w:p w14:paraId="3B9B8A03">
      <w:pPr>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针对本项目的售后服务，投标人须提供完整可行的售后服务方案，包括但不限于售后服务机构及服务团队构成、售后服务方式、服务响应时间及服务内容。</w:t>
      </w:r>
    </w:p>
    <w:p w14:paraId="250269D3">
      <w:pPr>
        <w:pStyle w:val="23"/>
        <w:numPr>
          <w:ilvl w:val="0"/>
          <w:numId w:val="3"/>
        </w:numPr>
        <w:spacing w:line="360" w:lineRule="auto"/>
        <w:ind w:firstLineChars="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售后服务质保年限</w:t>
      </w:r>
    </w:p>
    <w:p w14:paraId="09A6BDDF">
      <w:pPr>
        <w:pStyle w:val="14"/>
        <w:ind w:firstLine="48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提供≥六年的质保服务的货物：HIS核心数据库服务器、HIS核心数据库灾备服务器、PACS/HIS/EMR应用服务器超融合集群、临床数据中心hadoop集群、其他业务数据库虚拟化服务器、其他业务超融合集群、外网DMZ超融合集群、外网业务超融合集群、内外网交互区超融合集群、医保超融合集群、应用负载均衡、存储管理服务器、安全管理服务器、临床科研基础数据库与儿科专科专病数据库服务器1、临床科研基础数据库与儿科专科专病数据库服务器2、其他应用物理服务器；</w:t>
      </w:r>
    </w:p>
    <w:p w14:paraId="64BB5878">
      <w:pPr>
        <w:pStyle w:val="14"/>
        <w:ind w:firstLine="48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提供≥原厂五年的质保服务：模块化UPS（400KVA)、UPS主机（60KVA)、UPS主机(120KVA）、UPS主机（150KVA)、UPS主机（200KVA）、UPS主机（250KVA)。</w:t>
      </w:r>
    </w:p>
    <w:p w14:paraId="6628ACDA">
      <w:pPr>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2、售后服务团队</w:t>
      </w:r>
    </w:p>
    <w:p w14:paraId="670578C3">
      <w:pPr>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投标人需建立售后服务机构以及提供专业化的技术服务团队，包括不限于售后服务工程师。在项目质保期内提供快速、及时的故障排除、技术咨询等服务。</w:t>
      </w:r>
    </w:p>
    <w:p w14:paraId="48A916F6">
      <w:pPr>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3、售后服务方式</w:t>
      </w:r>
    </w:p>
    <w:p w14:paraId="79DCF901">
      <w:pPr>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提供包括但不限于电话支持服务、现场支持服务、远程支持服务方式满足采购人服务需求。</w:t>
      </w:r>
    </w:p>
    <w:p w14:paraId="7330AAB4">
      <w:pPr>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4、售后服务时间</w:t>
      </w:r>
    </w:p>
    <w:p w14:paraId="6A1EB2EE">
      <w:pPr>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售后服务时间不低于如下要求：</w:t>
      </w:r>
    </w:p>
    <w:p w14:paraId="26F0D1D3">
      <w:pPr>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电话支持服务：投标人需提供每周7X24小时电话服务，随时接受客户对系统操作的技术咨询和技术交流，及时解答客户遇到的问题，并定期电话回访客户进行满意度调查。</w:t>
      </w:r>
    </w:p>
    <w:p w14:paraId="091286E7">
      <w:pPr>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远程支持服务：提供多样化线上服务渠道，包括但不限于邮件、微信；采用远程技术方法在2小时内给予排除，若远程方法无法排除，应派遣技术人员提供上门支持服务。</w:t>
      </w:r>
    </w:p>
    <w:p w14:paraId="33A5E8F2">
      <w:pPr>
        <w:widowControl/>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现场支持服务：项目售后期间需安排巡检，对系统运行状态进行监测、管理和维护。质保期间内接到保修后，在24小时内排除普通故障，4小时内排除重大故障。</w:t>
      </w:r>
    </w:p>
    <w:p w14:paraId="5AA0C507">
      <w:pPr>
        <w:rPr>
          <w:rFonts w:asciiTheme="minorEastAsia" w:hAnsiTheme="minorEastAsia" w:eastAsiaTheme="minorEastAsia" w:cstheme="minorEastAsia"/>
          <w:sz w:val="24"/>
        </w:rPr>
      </w:pPr>
    </w:p>
    <w:p w14:paraId="6A834941"/>
    <w:p w14:paraId="170B11D9">
      <w:pPr>
        <w:spacing w:line="360" w:lineRule="auto"/>
        <w:contextualSpacing/>
        <w:outlineLvl w:val="0"/>
        <w:rPr>
          <w:rFonts w:ascii="宋体" w:hAnsi="宋体" w:cs="宋体"/>
          <w:sz w:val="24"/>
        </w:rPr>
      </w:pPr>
      <w:r>
        <w:rPr>
          <w:sz w:val="36"/>
          <w:szCs w:val="36"/>
        </w:rPr>
        <w:br w:type="page"/>
      </w:r>
      <w:r>
        <w:rPr>
          <w:rFonts w:hint="eastAsia" w:ascii="宋体" w:hAnsi="宋体" w:cs="宋体"/>
          <w:sz w:val="24"/>
        </w:rPr>
        <w:t>3包：首都医科大学附属首都儿童医学中心通州院区信息化配套建设项目-第三包</w:t>
      </w:r>
    </w:p>
    <w:p w14:paraId="5C098586">
      <w:pPr>
        <w:numPr>
          <w:ilvl w:val="0"/>
          <w:numId w:val="4"/>
        </w:numPr>
        <w:spacing w:line="360" w:lineRule="auto"/>
        <w:ind w:firstLine="0"/>
        <w:contextualSpacing/>
        <w:outlineLvl w:val="0"/>
        <w:rPr>
          <w:rFonts w:ascii="宋体" w:hAnsi="宋体" w:cs="宋体"/>
          <w:b/>
          <w:sz w:val="24"/>
        </w:rPr>
      </w:pPr>
      <w:r>
        <w:rPr>
          <w:rFonts w:hint="eastAsia" w:ascii="宋体" w:hAnsi="宋体" w:cs="宋体"/>
          <w:b/>
          <w:sz w:val="24"/>
        </w:rPr>
        <w:t>采购标的</w:t>
      </w:r>
    </w:p>
    <w:p w14:paraId="29A52795">
      <w:pPr>
        <w:spacing w:line="360" w:lineRule="auto"/>
        <w:contextualSpacing/>
        <w:outlineLvl w:val="1"/>
        <w:rPr>
          <w:rFonts w:ascii="宋体" w:hAnsi="宋体" w:cs="宋体"/>
          <w:bCs/>
          <w:sz w:val="24"/>
        </w:rPr>
      </w:pPr>
      <w:r>
        <w:rPr>
          <w:rFonts w:hint="eastAsia" w:ascii="宋体" w:hAnsi="宋体" w:cs="宋体"/>
          <w:bCs/>
          <w:sz w:val="24"/>
        </w:rPr>
        <w:t>1. 采购标的</w:t>
      </w:r>
    </w:p>
    <w:p w14:paraId="165D4D1A">
      <w:pPr>
        <w:spacing w:line="360" w:lineRule="auto"/>
        <w:contextualSpacing/>
        <w:rPr>
          <w:rFonts w:ascii="宋体" w:hAnsi="宋体" w:cs="宋体"/>
          <w:bCs/>
          <w:sz w:val="24"/>
        </w:rPr>
      </w:pPr>
      <w:r>
        <w:rPr>
          <w:rFonts w:hint="eastAsia" w:ascii="宋体" w:hAnsi="宋体" w:cs="宋体"/>
          <w:bCs/>
          <w:sz w:val="24"/>
        </w:rPr>
        <w:t>说明：如为货物采购，须标明是否接受进口产品，表明核心产品。</w:t>
      </w:r>
    </w:p>
    <w:tbl>
      <w:tblPr>
        <w:tblStyle w:val="15"/>
        <w:tblW w:w="87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552"/>
        <w:gridCol w:w="1134"/>
        <w:gridCol w:w="1984"/>
        <w:gridCol w:w="1418"/>
        <w:gridCol w:w="819"/>
      </w:tblGrid>
      <w:tr w14:paraId="46E58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817" w:type="dxa"/>
            <w:vAlign w:val="center"/>
          </w:tcPr>
          <w:p w14:paraId="7C249DED">
            <w:pPr>
              <w:widowControl/>
              <w:spacing w:line="360" w:lineRule="auto"/>
              <w:jc w:val="center"/>
              <w:rPr>
                <w:rFonts w:ascii="宋体" w:hAnsi="宋体" w:cs="宋体"/>
                <w:b/>
                <w:bCs/>
                <w:kern w:val="0"/>
                <w:sz w:val="24"/>
              </w:rPr>
            </w:pPr>
            <w:r>
              <w:rPr>
                <w:rFonts w:hint="eastAsia" w:ascii="宋体" w:hAnsi="宋体" w:cs="宋体"/>
                <w:b/>
                <w:bCs/>
                <w:kern w:val="0"/>
                <w:sz w:val="24"/>
              </w:rPr>
              <w:t>序号</w:t>
            </w:r>
          </w:p>
        </w:tc>
        <w:tc>
          <w:tcPr>
            <w:tcW w:w="2552" w:type="dxa"/>
            <w:vAlign w:val="center"/>
          </w:tcPr>
          <w:p w14:paraId="7C229BFA">
            <w:pPr>
              <w:widowControl/>
              <w:spacing w:line="360" w:lineRule="auto"/>
              <w:jc w:val="center"/>
              <w:rPr>
                <w:rFonts w:ascii="宋体" w:hAnsi="宋体" w:cs="宋体"/>
                <w:b/>
                <w:bCs/>
                <w:kern w:val="0"/>
                <w:sz w:val="24"/>
              </w:rPr>
            </w:pPr>
            <w:r>
              <w:rPr>
                <w:rFonts w:hint="eastAsia" w:ascii="宋体" w:hAnsi="宋体" w:cs="宋体"/>
                <w:b/>
                <w:bCs/>
                <w:kern w:val="0"/>
                <w:sz w:val="24"/>
              </w:rPr>
              <w:t>标的名称</w:t>
            </w:r>
          </w:p>
        </w:tc>
        <w:tc>
          <w:tcPr>
            <w:tcW w:w="1134" w:type="dxa"/>
            <w:vAlign w:val="center"/>
          </w:tcPr>
          <w:p w14:paraId="3ECDC598">
            <w:pPr>
              <w:widowControl/>
              <w:spacing w:line="360" w:lineRule="auto"/>
              <w:jc w:val="center"/>
              <w:rPr>
                <w:rFonts w:ascii="宋体" w:hAnsi="宋体" w:cs="宋体"/>
                <w:b/>
                <w:bCs/>
                <w:kern w:val="0"/>
                <w:sz w:val="24"/>
              </w:rPr>
            </w:pPr>
            <w:r>
              <w:rPr>
                <w:rFonts w:hint="eastAsia" w:ascii="宋体" w:hAnsi="宋体" w:cs="宋体"/>
                <w:b/>
                <w:bCs/>
                <w:kern w:val="0"/>
                <w:sz w:val="24"/>
              </w:rPr>
              <w:t>数量</w:t>
            </w:r>
          </w:p>
        </w:tc>
        <w:tc>
          <w:tcPr>
            <w:tcW w:w="1984" w:type="dxa"/>
            <w:vAlign w:val="center"/>
          </w:tcPr>
          <w:p w14:paraId="38E3A499">
            <w:pPr>
              <w:widowControl/>
              <w:spacing w:line="360" w:lineRule="auto"/>
              <w:jc w:val="center"/>
              <w:rPr>
                <w:rFonts w:ascii="宋体" w:hAnsi="宋体" w:cs="宋体"/>
                <w:b/>
                <w:bCs/>
                <w:kern w:val="0"/>
                <w:sz w:val="24"/>
              </w:rPr>
            </w:pPr>
            <w:r>
              <w:rPr>
                <w:rFonts w:hint="eastAsia" w:ascii="宋体" w:hAnsi="宋体" w:cs="宋体"/>
                <w:b/>
                <w:bCs/>
                <w:kern w:val="0"/>
                <w:sz w:val="24"/>
              </w:rPr>
              <w:t>招标控制单价</w:t>
            </w:r>
          </w:p>
          <w:p w14:paraId="72E9D760">
            <w:pPr>
              <w:widowControl/>
              <w:spacing w:line="360" w:lineRule="auto"/>
              <w:jc w:val="center"/>
              <w:rPr>
                <w:rFonts w:ascii="宋体" w:hAnsi="宋体" w:cs="宋体"/>
                <w:b/>
                <w:bCs/>
                <w:kern w:val="0"/>
                <w:sz w:val="24"/>
              </w:rPr>
            </w:pPr>
            <w:r>
              <w:rPr>
                <w:rFonts w:hint="eastAsia" w:ascii="宋体" w:hAnsi="宋体" w:cs="宋体"/>
                <w:b/>
                <w:bCs/>
                <w:kern w:val="0"/>
                <w:sz w:val="24"/>
              </w:rPr>
              <w:t>（元/台套）</w:t>
            </w:r>
          </w:p>
        </w:tc>
        <w:tc>
          <w:tcPr>
            <w:tcW w:w="1418" w:type="dxa"/>
            <w:vAlign w:val="center"/>
          </w:tcPr>
          <w:p w14:paraId="2749D2BD">
            <w:pPr>
              <w:widowControl/>
              <w:spacing w:line="360" w:lineRule="auto"/>
              <w:jc w:val="center"/>
              <w:rPr>
                <w:rFonts w:ascii="宋体" w:hAnsi="宋体" w:cs="宋体"/>
                <w:b/>
                <w:bCs/>
                <w:kern w:val="0"/>
                <w:sz w:val="24"/>
              </w:rPr>
            </w:pPr>
            <w:r>
              <w:rPr>
                <w:rFonts w:hint="eastAsia" w:ascii="宋体" w:hAnsi="宋体" w:cs="宋体"/>
                <w:b/>
                <w:bCs/>
                <w:kern w:val="0"/>
                <w:sz w:val="24"/>
              </w:rPr>
              <w:t>是否接受进口产品</w:t>
            </w:r>
          </w:p>
        </w:tc>
        <w:tc>
          <w:tcPr>
            <w:tcW w:w="819" w:type="dxa"/>
            <w:noWrap/>
            <w:vAlign w:val="center"/>
          </w:tcPr>
          <w:p w14:paraId="3D410CF3">
            <w:pPr>
              <w:widowControl/>
              <w:spacing w:line="360" w:lineRule="auto"/>
              <w:jc w:val="center"/>
              <w:rPr>
                <w:rFonts w:ascii="宋体" w:hAnsi="宋体" w:cs="宋体"/>
                <w:b/>
                <w:bCs/>
                <w:kern w:val="0"/>
                <w:sz w:val="24"/>
              </w:rPr>
            </w:pPr>
            <w:r>
              <w:rPr>
                <w:rFonts w:hint="eastAsia" w:ascii="宋体" w:hAnsi="宋体" w:cs="宋体"/>
                <w:b/>
                <w:bCs/>
                <w:kern w:val="0"/>
                <w:sz w:val="24"/>
              </w:rPr>
              <w:t>核心产品</w:t>
            </w:r>
          </w:p>
        </w:tc>
      </w:tr>
      <w:tr w14:paraId="05F67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14:paraId="6D258EF9">
            <w:pPr>
              <w:widowControl/>
              <w:spacing w:line="360" w:lineRule="auto"/>
              <w:jc w:val="center"/>
              <w:rPr>
                <w:rFonts w:ascii="宋体" w:hAnsi="宋体" w:cs="宋体"/>
                <w:kern w:val="0"/>
                <w:sz w:val="24"/>
              </w:rPr>
            </w:pPr>
            <w:r>
              <w:rPr>
                <w:rFonts w:hint="eastAsia" w:ascii="宋体" w:hAnsi="宋体" w:cs="宋体"/>
                <w:kern w:val="0"/>
                <w:sz w:val="24"/>
              </w:rPr>
              <w:t>1</w:t>
            </w:r>
          </w:p>
        </w:tc>
        <w:tc>
          <w:tcPr>
            <w:tcW w:w="2552" w:type="dxa"/>
            <w:vAlign w:val="center"/>
          </w:tcPr>
          <w:p w14:paraId="529D03C4">
            <w:pPr>
              <w:widowControl/>
              <w:spacing w:line="360" w:lineRule="auto"/>
              <w:jc w:val="center"/>
              <w:rPr>
                <w:rFonts w:ascii="宋体" w:hAnsi="宋体" w:cs="宋体"/>
                <w:b/>
                <w:bCs/>
                <w:kern w:val="0"/>
                <w:sz w:val="24"/>
              </w:rPr>
            </w:pPr>
            <w:r>
              <w:rPr>
                <w:rFonts w:hint="eastAsia" w:ascii="宋体" w:hAnsi="宋体" w:cs="宋体"/>
                <w:b/>
                <w:bCs/>
                <w:kern w:val="0"/>
                <w:sz w:val="24"/>
              </w:rPr>
              <w:t>后勤UPS（30KVA）</w:t>
            </w:r>
          </w:p>
        </w:tc>
        <w:tc>
          <w:tcPr>
            <w:tcW w:w="1134" w:type="dxa"/>
            <w:vAlign w:val="center"/>
          </w:tcPr>
          <w:p w14:paraId="77287710">
            <w:pPr>
              <w:widowControl/>
              <w:spacing w:line="360" w:lineRule="auto"/>
              <w:jc w:val="center"/>
              <w:rPr>
                <w:rFonts w:ascii="宋体" w:hAnsi="宋体" w:cs="宋体"/>
                <w:b/>
                <w:bCs/>
                <w:kern w:val="0"/>
                <w:sz w:val="24"/>
              </w:rPr>
            </w:pPr>
            <w:r>
              <w:rPr>
                <w:rFonts w:hint="eastAsia" w:ascii="宋体" w:hAnsi="宋体" w:cs="宋体"/>
                <w:b/>
                <w:bCs/>
                <w:kern w:val="0"/>
                <w:sz w:val="24"/>
              </w:rPr>
              <w:t>1套</w:t>
            </w:r>
          </w:p>
        </w:tc>
        <w:tc>
          <w:tcPr>
            <w:tcW w:w="1984" w:type="dxa"/>
            <w:noWrap/>
            <w:vAlign w:val="center"/>
          </w:tcPr>
          <w:p w14:paraId="07239226">
            <w:pPr>
              <w:widowControl/>
              <w:spacing w:line="360" w:lineRule="auto"/>
              <w:jc w:val="center"/>
              <w:rPr>
                <w:rFonts w:ascii="宋体" w:hAnsi="宋体" w:cs="宋体"/>
                <w:b/>
                <w:bCs/>
                <w:kern w:val="0"/>
                <w:sz w:val="24"/>
              </w:rPr>
            </w:pPr>
            <w:r>
              <w:rPr>
                <w:rFonts w:hint="eastAsia" w:ascii="宋体" w:hAnsi="宋体" w:cs="宋体"/>
                <w:b/>
                <w:bCs/>
                <w:kern w:val="0"/>
                <w:sz w:val="24"/>
              </w:rPr>
              <w:t>25,000.00</w:t>
            </w:r>
          </w:p>
        </w:tc>
        <w:tc>
          <w:tcPr>
            <w:tcW w:w="1418" w:type="dxa"/>
            <w:noWrap/>
            <w:vAlign w:val="center"/>
          </w:tcPr>
          <w:p w14:paraId="58EF4757">
            <w:pPr>
              <w:widowControl/>
              <w:spacing w:line="360" w:lineRule="auto"/>
              <w:jc w:val="center"/>
              <w:rPr>
                <w:rFonts w:ascii="宋体" w:hAnsi="宋体" w:cs="宋体"/>
                <w:b/>
                <w:bCs/>
                <w:kern w:val="0"/>
                <w:sz w:val="24"/>
              </w:rPr>
            </w:pPr>
            <w:r>
              <w:rPr>
                <w:rFonts w:hint="eastAsia" w:ascii="宋体" w:hAnsi="宋体" w:cs="宋体"/>
                <w:b/>
                <w:bCs/>
                <w:kern w:val="0"/>
                <w:sz w:val="24"/>
              </w:rPr>
              <w:t>否</w:t>
            </w:r>
          </w:p>
        </w:tc>
        <w:tc>
          <w:tcPr>
            <w:tcW w:w="819" w:type="dxa"/>
            <w:noWrap/>
            <w:vAlign w:val="center"/>
          </w:tcPr>
          <w:p w14:paraId="6183C3B6">
            <w:pPr>
              <w:widowControl/>
              <w:spacing w:line="360" w:lineRule="auto"/>
              <w:jc w:val="center"/>
              <w:rPr>
                <w:rFonts w:ascii="宋体" w:hAnsi="宋体" w:cs="宋体"/>
                <w:b/>
                <w:bCs/>
                <w:kern w:val="0"/>
                <w:sz w:val="24"/>
              </w:rPr>
            </w:pPr>
            <w:r>
              <w:rPr>
                <w:rFonts w:hint="eastAsia" w:ascii="宋体" w:hAnsi="宋体" w:cs="宋体"/>
                <w:b/>
                <w:bCs/>
                <w:kern w:val="0"/>
                <w:sz w:val="24"/>
              </w:rPr>
              <w:t>是</w:t>
            </w:r>
          </w:p>
        </w:tc>
      </w:tr>
      <w:tr w14:paraId="45052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14:paraId="4F1E9E6A">
            <w:pPr>
              <w:widowControl/>
              <w:spacing w:line="360" w:lineRule="auto"/>
              <w:jc w:val="center"/>
              <w:rPr>
                <w:rFonts w:ascii="宋体" w:hAnsi="宋体" w:cs="宋体"/>
                <w:kern w:val="0"/>
                <w:sz w:val="24"/>
              </w:rPr>
            </w:pPr>
            <w:r>
              <w:rPr>
                <w:rFonts w:hint="eastAsia" w:ascii="宋体" w:hAnsi="宋体" w:cs="宋体"/>
                <w:kern w:val="0"/>
                <w:sz w:val="24"/>
              </w:rPr>
              <w:t>2</w:t>
            </w:r>
          </w:p>
        </w:tc>
        <w:tc>
          <w:tcPr>
            <w:tcW w:w="2552" w:type="dxa"/>
            <w:vAlign w:val="center"/>
          </w:tcPr>
          <w:p w14:paraId="08E1C9FF">
            <w:pPr>
              <w:widowControl/>
              <w:spacing w:line="360" w:lineRule="auto"/>
              <w:jc w:val="center"/>
              <w:rPr>
                <w:rFonts w:ascii="宋体" w:hAnsi="宋体" w:cs="宋体"/>
                <w:kern w:val="0"/>
                <w:sz w:val="24"/>
              </w:rPr>
            </w:pPr>
            <w:r>
              <w:rPr>
                <w:rFonts w:hint="eastAsia" w:ascii="宋体" w:hAnsi="宋体" w:cs="宋体"/>
                <w:kern w:val="0"/>
                <w:sz w:val="24"/>
              </w:rPr>
              <w:t>会议平板一体机</w:t>
            </w:r>
          </w:p>
        </w:tc>
        <w:tc>
          <w:tcPr>
            <w:tcW w:w="1134" w:type="dxa"/>
            <w:vAlign w:val="center"/>
          </w:tcPr>
          <w:p w14:paraId="4B845602">
            <w:pPr>
              <w:widowControl/>
              <w:spacing w:line="360" w:lineRule="auto"/>
              <w:jc w:val="center"/>
              <w:rPr>
                <w:rFonts w:ascii="宋体" w:hAnsi="宋体" w:cs="宋体"/>
                <w:kern w:val="0"/>
                <w:sz w:val="24"/>
              </w:rPr>
            </w:pPr>
            <w:r>
              <w:rPr>
                <w:rFonts w:hint="eastAsia" w:ascii="宋体" w:hAnsi="宋体" w:cs="宋体"/>
                <w:kern w:val="0"/>
                <w:sz w:val="24"/>
              </w:rPr>
              <w:t>12台</w:t>
            </w:r>
          </w:p>
        </w:tc>
        <w:tc>
          <w:tcPr>
            <w:tcW w:w="1984" w:type="dxa"/>
            <w:noWrap/>
            <w:vAlign w:val="center"/>
          </w:tcPr>
          <w:p w14:paraId="7B391480">
            <w:pPr>
              <w:widowControl/>
              <w:spacing w:line="360" w:lineRule="auto"/>
              <w:jc w:val="center"/>
              <w:rPr>
                <w:rFonts w:ascii="宋体" w:hAnsi="宋体" w:cs="宋体"/>
                <w:kern w:val="0"/>
                <w:sz w:val="24"/>
              </w:rPr>
            </w:pPr>
            <w:r>
              <w:rPr>
                <w:rFonts w:hint="eastAsia" w:ascii="宋体" w:hAnsi="宋体" w:cs="宋体"/>
                <w:kern w:val="0"/>
                <w:sz w:val="24"/>
              </w:rPr>
              <w:t>25,000.00</w:t>
            </w:r>
          </w:p>
        </w:tc>
        <w:tc>
          <w:tcPr>
            <w:tcW w:w="1418" w:type="dxa"/>
            <w:noWrap/>
            <w:vAlign w:val="center"/>
          </w:tcPr>
          <w:p w14:paraId="51741378">
            <w:pPr>
              <w:widowControl/>
              <w:spacing w:line="360" w:lineRule="auto"/>
              <w:jc w:val="center"/>
              <w:rPr>
                <w:rFonts w:ascii="宋体" w:hAnsi="宋体" w:cs="宋体"/>
                <w:kern w:val="0"/>
                <w:sz w:val="24"/>
              </w:rPr>
            </w:pPr>
            <w:r>
              <w:rPr>
                <w:rFonts w:hint="eastAsia" w:ascii="宋体" w:hAnsi="宋体" w:cs="宋体"/>
                <w:kern w:val="0"/>
                <w:sz w:val="24"/>
              </w:rPr>
              <w:t>否</w:t>
            </w:r>
          </w:p>
        </w:tc>
        <w:tc>
          <w:tcPr>
            <w:tcW w:w="819" w:type="dxa"/>
            <w:noWrap/>
            <w:vAlign w:val="center"/>
          </w:tcPr>
          <w:p w14:paraId="48798158">
            <w:pPr>
              <w:widowControl/>
              <w:spacing w:line="360" w:lineRule="auto"/>
              <w:jc w:val="center"/>
              <w:rPr>
                <w:rFonts w:ascii="宋体" w:hAnsi="宋体" w:cs="宋体"/>
                <w:kern w:val="0"/>
                <w:sz w:val="24"/>
              </w:rPr>
            </w:pPr>
            <w:r>
              <w:rPr>
                <w:rFonts w:hint="eastAsia" w:ascii="宋体" w:hAnsi="宋体" w:cs="宋体"/>
                <w:kern w:val="0"/>
                <w:sz w:val="24"/>
              </w:rPr>
              <w:t>否</w:t>
            </w:r>
          </w:p>
        </w:tc>
      </w:tr>
      <w:tr w14:paraId="10D97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14:paraId="6CC46FAC">
            <w:pPr>
              <w:widowControl/>
              <w:spacing w:line="360" w:lineRule="auto"/>
              <w:jc w:val="center"/>
              <w:rPr>
                <w:rFonts w:ascii="宋体" w:hAnsi="宋体" w:cs="宋体"/>
                <w:kern w:val="0"/>
                <w:sz w:val="24"/>
              </w:rPr>
            </w:pPr>
            <w:r>
              <w:rPr>
                <w:rFonts w:hint="eastAsia" w:ascii="宋体" w:hAnsi="宋体" w:cs="宋体"/>
                <w:kern w:val="0"/>
                <w:sz w:val="24"/>
              </w:rPr>
              <w:t>3</w:t>
            </w:r>
          </w:p>
        </w:tc>
        <w:tc>
          <w:tcPr>
            <w:tcW w:w="2552" w:type="dxa"/>
            <w:vAlign w:val="center"/>
          </w:tcPr>
          <w:p w14:paraId="79902668">
            <w:pPr>
              <w:widowControl/>
              <w:spacing w:line="360" w:lineRule="auto"/>
              <w:jc w:val="center"/>
              <w:rPr>
                <w:rFonts w:ascii="宋体" w:hAnsi="宋体" w:cs="宋体"/>
                <w:kern w:val="0"/>
                <w:sz w:val="24"/>
              </w:rPr>
            </w:pPr>
            <w:r>
              <w:rPr>
                <w:rFonts w:hint="eastAsia" w:ascii="宋体" w:hAnsi="宋体" w:cs="宋体"/>
                <w:kern w:val="0"/>
                <w:sz w:val="24"/>
              </w:rPr>
              <w:t>75寸显示器</w:t>
            </w:r>
          </w:p>
        </w:tc>
        <w:tc>
          <w:tcPr>
            <w:tcW w:w="1134" w:type="dxa"/>
            <w:vAlign w:val="center"/>
          </w:tcPr>
          <w:p w14:paraId="7886D1FA">
            <w:pPr>
              <w:widowControl/>
              <w:spacing w:line="360" w:lineRule="auto"/>
              <w:jc w:val="center"/>
              <w:rPr>
                <w:rFonts w:ascii="宋体" w:hAnsi="宋体" w:cs="宋体"/>
                <w:kern w:val="0"/>
                <w:sz w:val="24"/>
              </w:rPr>
            </w:pPr>
            <w:r>
              <w:rPr>
                <w:rFonts w:hint="eastAsia" w:ascii="宋体" w:hAnsi="宋体" w:cs="宋体"/>
                <w:kern w:val="0"/>
                <w:sz w:val="24"/>
              </w:rPr>
              <w:t>1台</w:t>
            </w:r>
          </w:p>
        </w:tc>
        <w:tc>
          <w:tcPr>
            <w:tcW w:w="1984" w:type="dxa"/>
            <w:noWrap/>
            <w:vAlign w:val="center"/>
          </w:tcPr>
          <w:p w14:paraId="6292E1EC">
            <w:pPr>
              <w:widowControl/>
              <w:spacing w:line="360" w:lineRule="auto"/>
              <w:jc w:val="center"/>
              <w:rPr>
                <w:rFonts w:ascii="宋体" w:hAnsi="宋体" w:cs="宋体"/>
                <w:kern w:val="0"/>
                <w:sz w:val="24"/>
              </w:rPr>
            </w:pPr>
            <w:r>
              <w:rPr>
                <w:rFonts w:hint="eastAsia" w:ascii="宋体" w:hAnsi="宋体" w:cs="宋体"/>
                <w:kern w:val="0"/>
                <w:sz w:val="24"/>
              </w:rPr>
              <w:t>5,000.00</w:t>
            </w:r>
          </w:p>
        </w:tc>
        <w:tc>
          <w:tcPr>
            <w:tcW w:w="1418" w:type="dxa"/>
            <w:noWrap/>
            <w:vAlign w:val="center"/>
          </w:tcPr>
          <w:p w14:paraId="39971F5D">
            <w:pPr>
              <w:widowControl/>
              <w:spacing w:line="360" w:lineRule="auto"/>
              <w:jc w:val="center"/>
              <w:rPr>
                <w:rFonts w:ascii="宋体" w:hAnsi="宋体" w:cs="宋体"/>
                <w:kern w:val="0"/>
                <w:sz w:val="24"/>
              </w:rPr>
            </w:pPr>
            <w:r>
              <w:rPr>
                <w:rFonts w:hint="eastAsia" w:ascii="宋体" w:hAnsi="宋体" w:cs="宋体"/>
                <w:kern w:val="0"/>
                <w:sz w:val="24"/>
              </w:rPr>
              <w:t>否</w:t>
            </w:r>
          </w:p>
        </w:tc>
        <w:tc>
          <w:tcPr>
            <w:tcW w:w="819" w:type="dxa"/>
            <w:noWrap/>
            <w:vAlign w:val="center"/>
          </w:tcPr>
          <w:p w14:paraId="74FB3AA4">
            <w:pPr>
              <w:widowControl/>
              <w:spacing w:line="360" w:lineRule="auto"/>
              <w:jc w:val="center"/>
              <w:rPr>
                <w:rFonts w:ascii="宋体" w:hAnsi="宋体" w:cs="宋体"/>
                <w:kern w:val="0"/>
                <w:sz w:val="24"/>
              </w:rPr>
            </w:pPr>
            <w:r>
              <w:rPr>
                <w:rFonts w:hint="eastAsia" w:ascii="宋体" w:hAnsi="宋体" w:cs="宋体"/>
                <w:kern w:val="0"/>
                <w:sz w:val="24"/>
              </w:rPr>
              <w:t>否</w:t>
            </w:r>
          </w:p>
        </w:tc>
      </w:tr>
      <w:tr w14:paraId="7F889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14:paraId="3A2576C1">
            <w:pPr>
              <w:widowControl/>
              <w:spacing w:line="360" w:lineRule="auto"/>
              <w:jc w:val="center"/>
              <w:rPr>
                <w:rFonts w:ascii="宋体" w:hAnsi="宋体" w:cs="宋体"/>
                <w:kern w:val="0"/>
                <w:sz w:val="24"/>
              </w:rPr>
            </w:pPr>
            <w:r>
              <w:rPr>
                <w:rFonts w:hint="eastAsia" w:ascii="宋体" w:hAnsi="宋体" w:cs="宋体"/>
                <w:kern w:val="0"/>
                <w:sz w:val="24"/>
              </w:rPr>
              <w:t>4</w:t>
            </w:r>
          </w:p>
        </w:tc>
        <w:tc>
          <w:tcPr>
            <w:tcW w:w="2552" w:type="dxa"/>
            <w:vAlign w:val="center"/>
          </w:tcPr>
          <w:p w14:paraId="4793BA2F">
            <w:pPr>
              <w:widowControl/>
              <w:spacing w:line="360" w:lineRule="auto"/>
              <w:jc w:val="center"/>
              <w:rPr>
                <w:rFonts w:ascii="宋体" w:hAnsi="宋体" w:cs="宋体"/>
                <w:kern w:val="0"/>
                <w:sz w:val="24"/>
              </w:rPr>
            </w:pPr>
            <w:r>
              <w:rPr>
                <w:rFonts w:hint="eastAsia" w:ascii="宋体" w:hAnsi="宋体" w:cs="宋体"/>
                <w:kern w:val="0"/>
                <w:sz w:val="24"/>
              </w:rPr>
              <w:t>32寸显示器</w:t>
            </w:r>
          </w:p>
        </w:tc>
        <w:tc>
          <w:tcPr>
            <w:tcW w:w="1134" w:type="dxa"/>
            <w:vAlign w:val="center"/>
          </w:tcPr>
          <w:p w14:paraId="398BF208">
            <w:pPr>
              <w:widowControl/>
              <w:spacing w:line="360" w:lineRule="auto"/>
              <w:jc w:val="center"/>
              <w:rPr>
                <w:rFonts w:ascii="宋体" w:hAnsi="宋体" w:cs="宋体"/>
                <w:kern w:val="0"/>
                <w:sz w:val="24"/>
              </w:rPr>
            </w:pPr>
            <w:r>
              <w:rPr>
                <w:rFonts w:hint="eastAsia" w:ascii="宋体" w:hAnsi="宋体" w:cs="宋体"/>
                <w:kern w:val="0"/>
                <w:sz w:val="24"/>
              </w:rPr>
              <w:t>2台</w:t>
            </w:r>
          </w:p>
        </w:tc>
        <w:tc>
          <w:tcPr>
            <w:tcW w:w="1984" w:type="dxa"/>
            <w:noWrap/>
            <w:vAlign w:val="center"/>
          </w:tcPr>
          <w:p w14:paraId="0B300B9F">
            <w:pPr>
              <w:widowControl/>
              <w:spacing w:line="360" w:lineRule="auto"/>
              <w:jc w:val="center"/>
              <w:rPr>
                <w:rFonts w:ascii="宋体" w:hAnsi="宋体" w:cs="宋体"/>
                <w:kern w:val="0"/>
                <w:sz w:val="24"/>
              </w:rPr>
            </w:pPr>
            <w:r>
              <w:rPr>
                <w:rFonts w:hint="eastAsia" w:ascii="宋体" w:hAnsi="宋体" w:cs="宋体"/>
                <w:kern w:val="0"/>
                <w:sz w:val="24"/>
              </w:rPr>
              <w:t>2,000.00</w:t>
            </w:r>
          </w:p>
        </w:tc>
        <w:tc>
          <w:tcPr>
            <w:tcW w:w="1418" w:type="dxa"/>
            <w:noWrap/>
            <w:vAlign w:val="center"/>
          </w:tcPr>
          <w:p w14:paraId="2C5AE1C6">
            <w:pPr>
              <w:widowControl/>
              <w:spacing w:line="360" w:lineRule="auto"/>
              <w:jc w:val="center"/>
              <w:rPr>
                <w:rFonts w:ascii="宋体" w:hAnsi="宋体" w:cs="宋体"/>
                <w:kern w:val="0"/>
                <w:sz w:val="24"/>
              </w:rPr>
            </w:pPr>
            <w:r>
              <w:rPr>
                <w:rFonts w:hint="eastAsia" w:ascii="宋体" w:hAnsi="宋体" w:cs="宋体"/>
                <w:kern w:val="0"/>
                <w:sz w:val="24"/>
              </w:rPr>
              <w:t>否</w:t>
            </w:r>
          </w:p>
        </w:tc>
        <w:tc>
          <w:tcPr>
            <w:tcW w:w="819" w:type="dxa"/>
            <w:noWrap/>
            <w:vAlign w:val="center"/>
          </w:tcPr>
          <w:p w14:paraId="536D6844">
            <w:pPr>
              <w:widowControl/>
              <w:spacing w:line="360" w:lineRule="auto"/>
              <w:jc w:val="center"/>
              <w:rPr>
                <w:rFonts w:ascii="宋体" w:hAnsi="宋体" w:cs="宋体"/>
                <w:kern w:val="0"/>
                <w:sz w:val="24"/>
              </w:rPr>
            </w:pPr>
            <w:r>
              <w:rPr>
                <w:rFonts w:hint="eastAsia" w:ascii="宋体" w:hAnsi="宋体" w:cs="宋体"/>
                <w:kern w:val="0"/>
                <w:sz w:val="24"/>
              </w:rPr>
              <w:t>否</w:t>
            </w:r>
          </w:p>
        </w:tc>
      </w:tr>
      <w:tr w14:paraId="0B48A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14:paraId="2E826E75">
            <w:pPr>
              <w:widowControl/>
              <w:spacing w:line="360" w:lineRule="auto"/>
              <w:jc w:val="center"/>
              <w:rPr>
                <w:rFonts w:ascii="宋体" w:hAnsi="宋体" w:cs="宋体"/>
                <w:kern w:val="0"/>
                <w:sz w:val="24"/>
              </w:rPr>
            </w:pPr>
            <w:r>
              <w:rPr>
                <w:rFonts w:hint="eastAsia" w:ascii="宋体" w:hAnsi="宋体" w:cs="宋体"/>
                <w:kern w:val="0"/>
                <w:sz w:val="24"/>
              </w:rPr>
              <w:t>5</w:t>
            </w:r>
          </w:p>
        </w:tc>
        <w:tc>
          <w:tcPr>
            <w:tcW w:w="2552" w:type="dxa"/>
            <w:vAlign w:val="center"/>
          </w:tcPr>
          <w:p w14:paraId="40B02F9F">
            <w:pPr>
              <w:widowControl/>
              <w:spacing w:line="360" w:lineRule="auto"/>
              <w:jc w:val="center"/>
              <w:rPr>
                <w:rFonts w:ascii="宋体" w:hAnsi="宋体" w:cs="宋体"/>
                <w:kern w:val="0"/>
                <w:sz w:val="24"/>
              </w:rPr>
            </w:pPr>
            <w:r>
              <w:rPr>
                <w:rFonts w:hint="eastAsia" w:ascii="宋体" w:hAnsi="宋体" w:cs="宋体"/>
                <w:kern w:val="0"/>
                <w:sz w:val="24"/>
              </w:rPr>
              <w:t>60寸显示器</w:t>
            </w:r>
          </w:p>
        </w:tc>
        <w:tc>
          <w:tcPr>
            <w:tcW w:w="1134" w:type="dxa"/>
            <w:vAlign w:val="center"/>
          </w:tcPr>
          <w:p w14:paraId="21095296">
            <w:pPr>
              <w:widowControl/>
              <w:spacing w:line="360" w:lineRule="auto"/>
              <w:jc w:val="center"/>
              <w:rPr>
                <w:rFonts w:ascii="宋体" w:hAnsi="宋体" w:cs="宋体"/>
                <w:kern w:val="0"/>
                <w:sz w:val="24"/>
              </w:rPr>
            </w:pPr>
            <w:r>
              <w:rPr>
                <w:rFonts w:hint="eastAsia" w:ascii="宋体" w:hAnsi="宋体" w:cs="宋体"/>
                <w:kern w:val="0"/>
                <w:sz w:val="24"/>
              </w:rPr>
              <w:t>2台</w:t>
            </w:r>
          </w:p>
        </w:tc>
        <w:tc>
          <w:tcPr>
            <w:tcW w:w="1984" w:type="dxa"/>
            <w:noWrap/>
            <w:vAlign w:val="center"/>
          </w:tcPr>
          <w:p w14:paraId="5F147BA5">
            <w:pPr>
              <w:widowControl/>
              <w:spacing w:line="360" w:lineRule="auto"/>
              <w:jc w:val="center"/>
              <w:rPr>
                <w:rFonts w:ascii="宋体" w:hAnsi="宋体" w:cs="宋体"/>
                <w:kern w:val="0"/>
                <w:sz w:val="24"/>
              </w:rPr>
            </w:pPr>
            <w:r>
              <w:rPr>
                <w:rFonts w:hint="eastAsia" w:ascii="宋体" w:hAnsi="宋体" w:cs="宋体"/>
                <w:kern w:val="0"/>
                <w:sz w:val="24"/>
              </w:rPr>
              <w:t>3,500.00</w:t>
            </w:r>
          </w:p>
        </w:tc>
        <w:tc>
          <w:tcPr>
            <w:tcW w:w="1418" w:type="dxa"/>
            <w:noWrap/>
            <w:vAlign w:val="center"/>
          </w:tcPr>
          <w:p w14:paraId="312466AE">
            <w:pPr>
              <w:widowControl/>
              <w:spacing w:line="360" w:lineRule="auto"/>
              <w:jc w:val="center"/>
              <w:rPr>
                <w:rFonts w:ascii="宋体" w:hAnsi="宋体" w:cs="宋体"/>
                <w:kern w:val="0"/>
                <w:sz w:val="24"/>
              </w:rPr>
            </w:pPr>
            <w:r>
              <w:rPr>
                <w:rFonts w:hint="eastAsia" w:ascii="宋体" w:hAnsi="宋体" w:cs="宋体"/>
                <w:kern w:val="0"/>
                <w:sz w:val="24"/>
              </w:rPr>
              <w:t>否</w:t>
            </w:r>
          </w:p>
        </w:tc>
        <w:tc>
          <w:tcPr>
            <w:tcW w:w="819" w:type="dxa"/>
            <w:noWrap/>
            <w:vAlign w:val="center"/>
          </w:tcPr>
          <w:p w14:paraId="69F47F2D">
            <w:pPr>
              <w:widowControl/>
              <w:spacing w:line="360" w:lineRule="auto"/>
              <w:jc w:val="center"/>
              <w:rPr>
                <w:rFonts w:ascii="宋体" w:hAnsi="宋体" w:cs="宋体"/>
                <w:kern w:val="0"/>
                <w:sz w:val="24"/>
              </w:rPr>
            </w:pPr>
            <w:r>
              <w:rPr>
                <w:rFonts w:hint="eastAsia" w:ascii="宋体" w:hAnsi="宋体" w:cs="宋体"/>
                <w:kern w:val="0"/>
                <w:sz w:val="24"/>
              </w:rPr>
              <w:t>否</w:t>
            </w:r>
          </w:p>
        </w:tc>
      </w:tr>
      <w:tr w14:paraId="6898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14:paraId="3D9991D8">
            <w:pPr>
              <w:widowControl/>
              <w:spacing w:line="360" w:lineRule="auto"/>
              <w:jc w:val="center"/>
              <w:rPr>
                <w:rFonts w:ascii="宋体" w:hAnsi="宋体" w:cs="宋体"/>
                <w:kern w:val="0"/>
                <w:sz w:val="24"/>
              </w:rPr>
            </w:pPr>
            <w:r>
              <w:rPr>
                <w:rFonts w:hint="eastAsia" w:ascii="宋体" w:hAnsi="宋体" w:cs="宋体"/>
                <w:kern w:val="0"/>
                <w:sz w:val="24"/>
              </w:rPr>
              <w:t>6</w:t>
            </w:r>
          </w:p>
        </w:tc>
        <w:tc>
          <w:tcPr>
            <w:tcW w:w="2552" w:type="dxa"/>
            <w:vAlign w:val="center"/>
          </w:tcPr>
          <w:p w14:paraId="5267C24F">
            <w:pPr>
              <w:widowControl/>
              <w:spacing w:line="360" w:lineRule="auto"/>
              <w:jc w:val="center"/>
              <w:rPr>
                <w:rFonts w:ascii="宋体" w:hAnsi="宋体" w:cs="宋体"/>
                <w:kern w:val="0"/>
                <w:sz w:val="24"/>
              </w:rPr>
            </w:pPr>
            <w:r>
              <w:rPr>
                <w:rFonts w:hint="eastAsia" w:ascii="宋体" w:hAnsi="宋体" w:cs="宋体"/>
                <w:kern w:val="0"/>
                <w:sz w:val="24"/>
              </w:rPr>
              <w:t>98寸显示器</w:t>
            </w:r>
          </w:p>
        </w:tc>
        <w:tc>
          <w:tcPr>
            <w:tcW w:w="1134" w:type="dxa"/>
            <w:vAlign w:val="center"/>
          </w:tcPr>
          <w:p w14:paraId="4D13E590">
            <w:pPr>
              <w:widowControl/>
              <w:spacing w:line="360" w:lineRule="auto"/>
              <w:jc w:val="center"/>
              <w:rPr>
                <w:rFonts w:ascii="宋体" w:hAnsi="宋体" w:cs="宋体"/>
                <w:kern w:val="0"/>
                <w:sz w:val="24"/>
              </w:rPr>
            </w:pPr>
            <w:r>
              <w:rPr>
                <w:rFonts w:hint="eastAsia" w:ascii="宋体" w:hAnsi="宋体" w:cs="宋体"/>
                <w:kern w:val="0"/>
                <w:sz w:val="24"/>
              </w:rPr>
              <w:t>4台</w:t>
            </w:r>
          </w:p>
        </w:tc>
        <w:tc>
          <w:tcPr>
            <w:tcW w:w="1984" w:type="dxa"/>
            <w:noWrap/>
            <w:vAlign w:val="center"/>
          </w:tcPr>
          <w:p w14:paraId="7BDA3180">
            <w:pPr>
              <w:widowControl/>
              <w:spacing w:line="360" w:lineRule="auto"/>
              <w:jc w:val="center"/>
              <w:rPr>
                <w:rFonts w:ascii="宋体" w:hAnsi="宋体" w:cs="宋体"/>
                <w:kern w:val="0"/>
                <w:sz w:val="24"/>
              </w:rPr>
            </w:pPr>
            <w:r>
              <w:rPr>
                <w:rFonts w:hint="eastAsia" w:ascii="宋体" w:hAnsi="宋体" w:cs="宋体"/>
                <w:kern w:val="0"/>
                <w:sz w:val="24"/>
              </w:rPr>
              <w:t>14,000.00</w:t>
            </w:r>
          </w:p>
        </w:tc>
        <w:tc>
          <w:tcPr>
            <w:tcW w:w="1418" w:type="dxa"/>
            <w:noWrap/>
            <w:vAlign w:val="center"/>
          </w:tcPr>
          <w:p w14:paraId="68911C3E">
            <w:pPr>
              <w:widowControl/>
              <w:spacing w:line="360" w:lineRule="auto"/>
              <w:jc w:val="center"/>
              <w:rPr>
                <w:rFonts w:ascii="宋体" w:hAnsi="宋体" w:cs="宋体"/>
                <w:kern w:val="0"/>
                <w:sz w:val="24"/>
              </w:rPr>
            </w:pPr>
            <w:r>
              <w:rPr>
                <w:rFonts w:hint="eastAsia" w:ascii="宋体" w:hAnsi="宋体" w:cs="宋体"/>
                <w:kern w:val="0"/>
                <w:sz w:val="24"/>
              </w:rPr>
              <w:t>否</w:t>
            </w:r>
          </w:p>
        </w:tc>
        <w:tc>
          <w:tcPr>
            <w:tcW w:w="819" w:type="dxa"/>
            <w:noWrap/>
            <w:vAlign w:val="center"/>
          </w:tcPr>
          <w:p w14:paraId="661455F8">
            <w:pPr>
              <w:widowControl/>
              <w:spacing w:line="360" w:lineRule="auto"/>
              <w:jc w:val="center"/>
              <w:rPr>
                <w:rFonts w:ascii="宋体" w:hAnsi="宋体" w:cs="宋体"/>
                <w:kern w:val="0"/>
                <w:sz w:val="24"/>
              </w:rPr>
            </w:pPr>
            <w:r>
              <w:rPr>
                <w:rFonts w:hint="eastAsia" w:ascii="宋体" w:hAnsi="宋体" w:cs="宋体"/>
                <w:kern w:val="0"/>
                <w:sz w:val="24"/>
              </w:rPr>
              <w:t>否</w:t>
            </w:r>
          </w:p>
        </w:tc>
      </w:tr>
      <w:tr w14:paraId="53CA3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14:paraId="3BE34D0C">
            <w:pPr>
              <w:widowControl/>
              <w:spacing w:line="360" w:lineRule="auto"/>
              <w:jc w:val="center"/>
              <w:rPr>
                <w:rFonts w:ascii="宋体" w:hAnsi="宋体" w:cs="宋体"/>
                <w:kern w:val="0"/>
                <w:sz w:val="24"/>
              </w:rPr>
            </w:pPr>
            <w:r>
              <w:rPr>
                <w:rFonts w:hint="eastAsia" w:ascii="宋体" w:hAnsi="宋体" w:cs="宋体"/>
                <w:kern w:val="0"/>
                <w:sz w:val="24"/>
              </w:rPr>
              <w:t>7</w:t>
            </w:r>
          </w:p>
        </w:tc>
        <w:tc>
          <w:tcPr>
            <w:tcW w:w="2552" w:type="dxa"/>
            <w:vAlign w:val="center"/>
          </w:tcPr>
          <w:p w14:paraId="70B558A2">
            <w:pPr>
              <w:widowControl/>
              <w:spacing w:line="360" w:lineRule="auto"/>
              <w:jc w:val="center"/>
              <w:rPr>
                <w:rFonts w:ascii="宋体" w:hAnsi="宋体" w:cs="宋体"/>
                <w:kern w:val="0"/>
                <w:sz w:val="24"/>
              </w:rPr>
            </w:pPr>
            <w:r>
              <w:rPr>
                <w:rFonts w:hint="eastAsia" w:ascii="宋体" w:hAnsi="宋体" w:cs="宋体"/>
                <w:kern w:val="0"/>
                <w:sz w:val="24"/>
              </w:rPr>
              <w:t>55寸液晶电视</w:t>
            </w:r>
          </w:p>
        </w:tc>
        <w:tc>
          <w:tcPr>
            <w:tcW w:w="1134" w:type="dxa"/>
            <w:vAlign w:val="center"/>
          </w:tcPr>
          <w:p w14:paraId="29056E60">
            <w:pPr>
              <w:widowControl/>
              <w:spacing w:line="360" w:lineRule="auto"/>
              <w:jc w:val="center"/>
              <w:rPr>
                <w:rFonts w:ascii="宋体" w:hAnsi="宋体" w:cs="宋体"/>
                <w:kern w:val="0"/>
                <w:sz w:val="24"/>
              </w:rPr>
            </w:pPr>
            <w:r>
              <w:rPr>
                <w:rFonts w:hint="eastAsia" w:ascii="宋体" w:hAnsi="宋体" w:cs="宋体"/>
                <w:kern w:val="0"/>
                <w:sz w:val="24"/>
              </w:rPr>
              <w:t>4台</w:t>
            </w:r>
          </w:p>
        </w:tc>
        <w:tc>
          <w:tcPr>
            <w:tcW w:w="1984" w:type="dxa"/>
            <w:noWrap/>
            <w:vAlign w:val="center"/>
          </w:tcPr>
          <w:p w14:paraId="068C0E76">
            <w:pPr>
              <w:widowControl/>
              <w:spacing w:line="360" w:lineRule="auto"/>
              <w:jc w:val="center"/>
              <w:rPr>
                <w:rFonts w:ascii="宋体" w:hAnsi="宋体" w:cs="宋体"/>
                <w:kern w:val="0"/>
                <w:sz w:val="24"/>
              </w:rPr>
            </w:pPr>
            <w:r>
              <w:rPr>
                <w:rFonts w:hint="eastAsia" w:ascii="宋体" w:hAnsi="宋体" w:cs="宋体"/>
                <w:kern w:val="0"/>
                <w:sz w:val="24"/>
              </w:rPr>
              <w:t>3,500.00</w:t>
            </w:r>
          </w:p>
        </w:tc>
        <w:tc>
          <w:tcPr>
            <w:tcW w:w="1418" w:type="dxa"/>
            <w:noWrap/>
            <w:vAlign w:val="center"/>
          </w:tcPr>
          <w:p w14:paraId="03DA4D57">
            <w:pPr>
              <w:widowControl/>
              <w:spacing w:line="360" w:lineRule="auto"/>
              <w:jc w:val="center"/>
              <w:rPr>
                <w:rFonts w:ascii="宋体" w:hAnsi="宋体" w:cs="宋体"/>
                <w:kern w:val="0"/>
                <w:sz w:val="24"/>
              </w:rPr>
            </w:pPr>
            <w:r>
              <w:rPr>
                <w:rFonts w:hint="eastAsia" w:ascii="宋体" w:hAnsi="宋体" w:cs="宋体"/>
                <w:kern w:val="0"/>
                <w:sz w:val="24"/>
              </w:rPr>
              <w:t>否</w:t>
            </w:r>
          </w:p>
        </w:tc>
        <w:tc>
          <w:tcPr>
            <w:tcW w:w="819" w:type="dxa"/>
            <w:noWrap/>
            <w:vAlign w:val="center"/>
          </w:tcPr>
          <w:p w14:paraId="5EC59A7F">
            <w:pPr>
              <w:widowControl/>
              <w:spacing w:line="360" w:lineRule="auto"/>
              <w:jc w:val="center"/>
              <w:rPr>
                <w:rFonts w:ascii="宋体" w:hAnsi="宋体" w:cs="宋体"/>
                <w:kern w:val="0"/>
                <w:sz w:val="24"/>
              </w:rPr>
            </w:pPr>
            <w:r>
              <w:rPr>
                <w:rFonts w:hint="eastAsia" w:ascii="宋体" w:hAnsi="宋体" w:cs="宋体"/>
                <w:kern w:val="0"/>
                <w:sz w:val="24"/>
              </w:rPr>
              <w:t>否</w:t>
            </w:r>
          </w:p>
        </w:tc>
      </w:tr>
      <w:tr w14:paraId="2C2F2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14:paraId="2D63A7D8">
            <w:pPr>
              <w:widowControl/>
              <w:spacing w:line="360" w:lineRule="auto"/>
              <w:jc w:val="center"/>
              <w:rPr>
                <w:rFonts w:ascii="宋体" w:hAnsi="宋体" w:cs="宋体"/>
                <w:kern w:val="0"/>
                <w:sz w:val="24"/>
              </w:rPr>
            </w:pPr>
            <w:r>
              <w:rPr>
                <w:rFonts w:hint="eastAsia" w:ascii="宋体" w:hAnsi="宋体" w:cs="宋体"/>
                <w:kern w:val="0"/>
                <w:sz w:val="24"/>
              </w:rPr>
              <w:t>8</w:t>
            </w:r>
          </w:p>
        </w:tc>
        <w:tc>
          <w:tcPr>
            <w:tcW w:w="2552" w:type="dxa"/>
            <w:vAlign w:val="center"/>
          </w:tcPr>
          <w:p w14:paraId="131C3246">
            <w:pPr>
              <w:widowControl/>
              <w:spacing w:line="360" w:lineRule="auto"/>
              <w:jc w:val="center"/>
              <w:rPr>
                <w:rFonts w:ascii="宋体" w:hAnsi="宋体" w:cs="宋体"/>
                <w:kern w:val="0"/>
                <w:sz w:val="24"/>
              </w:rPr>
            </w:pPr>
            <w:r>
              <w:rPr>
                <w:rFonts w:hint="eastAsia" w:ascii="宋体" w:hAnsi="宋体" w:cs="宋体"/>
                <w:kern w:val="0"/>
                <w:sz w:val="24"/>
              </w:rPr>
              <w:t>80寸液晶电视</w:t>
            </w:r>
          </w:p>
        </w:tc>
        <w:tc>
          <w:tcPr>
            <w:tcW w:w="1134" w:type="dxa"/>
            <w:vAlign w:val="center"/>
          </w:tcPr>
          <w:p w14:paraId="34F70BD2">
            <w:pPr>
              <w:widowControl/>
              <w:spacing w:line="360" w:lineRule="auto"/>
              <w:jc w:val="center"/>
              <w:rPr>
                <w:rFonts w:ascii="宋体" w:hAnsi="宋体" w:cs="宋体"/>
                <w:kern w:val="0"/>
                <w:sz w:val="24"/>
              </w:rPr>
            </w:pPr>
            <w:r>
              <w:rPr>
                <w:rFonts w:hint="eastAsia" w:ascii="宋体" w:hAnsi="宋体" w:cs="宋体"/>
                <w:kern w:val="0"/>
                <w:sz w:val="24"/>
              </w:rPr>
              <w:t>1台</w:t>
            </w:r>
          </w:p>
        </w:tc>
        <w:tc>
          <w:tcPr>
            <w:tcW w:w="1984" w:type="dxa"/>
            <w:noWrap/>
            <w:vAlign w:val="center"/>
          </w:tcPr>
          <w:p w14:paraId="44FD12B7">
            <w:pPr>
              <w:widowControl/>
              <w:spacing w:line="360" w:lineRule="auto"/>
              <w:jc w:val="center"/>
              <w:rPr>
                <w:rFonts w:ascii="宋体" w:hAnsi="宋体" w:cs="宋体"/>
                <w:kern w:val="0"/>
                <w:sz w:val="24"/>
              </w:rPr>
            </w:pPr>
            <w:r>
              <w:rPr>
                <w:rFonts w:hint="eastAsia" w:ascii="宋体" w:hAnsi="宋体" w:cs="宋体"/>
                <w:kern w:val="0"/>
                <w:sz w:val="24"/>
              </w:rPr>
              <w:t>5,100.00</w:t>
            </w:r>
          </w:p>
        </w:tc>
        <w:tc>
          <w:tcPr>
            <w:tcW w:w="1418" w:type="dxa"/>
            <w:noWrap/>
            <w:vAlign w:val="center"/>
          </w:tcPr>
          <w:p w14:paraId="7B21044C">
            <w:pPr>
              <w:widowControl/>
              <w:spacing w:line="360" w:lineRule="auto"/>
              <w:jc w:val="center"/>
              <w:rPr>
                <w:rFonts w:ascii="宋体" w:hAnsi="宋体" w:cs="宋体"/>
                <w:kern w:val="0"/>
                <w:sz w:val="24"/>
              </w:rPr>
            </w:pPr>
            <w:r>
              <w:rPr>
                <w:rFonts w:hint="eastAsia" w:ascii="宋体" w:hAnsi="宋体" w:cs="宋体"/>
                <w:kern w:val="0"/>
                <w:sz w:val="24"/>
              </w:rPr>
              <w:t>否</w:t>
            </w:r>
          </w:p>
        </w:tc>
        <w:tc>
          <w:tcPr>
            <w:tcW w:w="819" w:type="dxa"/>
            <w:noWrap/>
            <w:vAlign w:val="center"/>
          </w:tcPr>
          <w:p w14:paraId="7DC47798">
            <w:pPr>
              <w:widowControl/>
              <w:spacing w:line="360" w:lineRule="auto"/>
              <w:jc w:val="center"/>
              <w:rPr>
                <w:rFonts w:ascii="宋体" w:hAnsi="宋体" w:cs="宋体"/>
                <w:kern w:val="0"/>
                <w:sz w:val="24"/>
              </w:rPr>
            </w:pPr>
            <w:r>
              <w:rPr>
                <w:rFonts w:hint="eastAsia" w:ascii="宋体" w:hAnsi="宋体" w:cs="宋体"/>
                <w:kern w:val="0"/>
                <w:sz w:val="24"/>
              </w:rPr>
              <w:t>否</w:t>
            </w:r>
          </w:p>
        </w:tc>
      </w:tr>
      <w:tr w14:paraId="7F1E5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14:paraId="0077D2C4">
            <w:pPr>
              <w:widowControl/>
              <w:spacing w:line="360" w:lineRule="auto"/>
              <w:jc w:val="center"/>
              <w:rPr>
                <w:rFonts w:ascii="宋体" w:hAnsi="宋体" w:cs="宋体"/>
                <w:kern w:val="0"/>
                <w:sz w:val="24"/>
              </w:rPr>
            </w:pPr>
            <w:r>
              <w:rPr>
                <w:rFonts w:hint="eastAsia" w:ascii="宋体" w:hAnsi="宋体" w:cs="宋体"/>
                <w:kern w:val="0"/>
                <w:sz w:val="24"/>
              </w:rPr>
              <w:t>9</w:t>
            </w:r>
          </w:p>
        </w:tc>
        <w:tc>
          <w:tcPr>
            <w:tcW w:w="2552" w:type="dxa"/>
            <w:vAlign w:val="center"/>
          </w:tcPr>
          <w:p w14:paraId="31F3B6F5">
            <w:pPr>
              <w:widowControl/>
              <w:spacing w:line="360" w:lineRule="auto"/>
              <w:jc w:val="center"/>
              <w:rPr>
                <w:rFonts w:ascii="宋体" w:hAnsi="宋体" w:cs="宋体"/>
                <w:kern w:val="0"/>
                <w:sz w:val="24"/>
              </w:rPr>
            </w:pPr>
            <w:r>
              <w:rPr>
                <w:rFonts w:hint="eastAsia" w:ascii="宋体" w:hAnsi="宋体" w:cs="宋体"/>
                <w:kern w:val="0"/>
                <w:sz w:val="24"/>
              </w:rPr>
              <w:t>安防UPS（60KVA）</w:t>
            </w:r>
          </w:p>
        </w:tc>
        <w:tc>
          <w:tcPr>
            <w:tcW w:w="1134" w:type="dxa"/>
            <w:vAlign w:val="center"/>
          </w:tcPr>
          <w:p w14:paraId="7865AA38">
            <w:pPr>
              <w:widowControl/>
              <w:spacing w:line="360" w:lineRule="auto"/>
              <w:jc w:val="center"/>
              <w:rPr>
                <w:rFonts w:ascii="宋体" w:hAnsi="宋体" w:cs="宋体"/>
                <w:kern w:val="0"/>
                <w:sz w:val="24"/>
              </w:rPr>
            </w:pPr>
            <w:r>
              <w:rPr>
                <w:rFonts w:hint="eastAsia" w:ascii="宋体" w:hAnsi="宋体" w:cs="宋体"/>
                <w:kern w:val="0"/>
                <w:sz w:val="24"/>
              </w:rPr>
              <w:t>1套</w:t>
            </w:r>
          </w:p>
        </w:tc>
        <w:tc>
          <w:tcPr>
            <w:tcW w:w="1984" w:type="dxa"/>
            <w:noWrap/>
            <w:vAlign w:val="center"/>
          </w:tcPr>
          <w:p w14:paraId="6212981C">
            <w:pPr>
              <w:widowControl/>
              <w:spacing w:line="360" w:lineRule="auto"/>
              <w:jc w:val="center"/>
              <w:rPr>
                <w:rFonts w:ascii="宋体" w:hAnsi="宋体" w:cs="宋体"/>
                <w:kern w:val="0"/>
                <w:sz w:val="24"/>
              </w:rPr>
            </w:pPr>
            <w:r>
              <w:rPr>
                <w:rFonts w:hint="eastAsia" w:ascii="宋体" w:hAnsi="宋体" w:cs="宋体"/>
                <w:kern w:val="0"/>
                <w:sz w:val="24"/>
              </w:rPr>
              <w:t>54,000.00</w:t>
            </w:r>
          </w:p>
        </w:tc>
        <w:tc>
          <w:tcPr>
            <w:tcW w:w="1418" w:type="dxa"/>
            <w:noWrap/>
            <w:vAlign w:val="center"/>
          </w:tcPr>
          <w:p w14:paraId="2CF5F9FE">
            <w:pPr>
              <w:widowControl/>
              <w:spacing w:line="360" w:lineRule="auto"/>
              <w:jc w:val="center"/>
              <w:rPr>
                <w:rFonts w:ascii="宋体" w:hAnsi="宋体" w:cs="宋体"/>
                <w:kern w:val="0"/>
                <w:sz w:val="24"/>
              </w:rPr>
            </w:pPr>
            <w:r>
              <w:rPr>
                <w:rFonts w:hint="eastAsia" w:ascii="宋体" w:hAnsi="宋体" w:cs="宋体"/>
                <w:kern w:val="0"/>
                <w:sz w:val="24"/>
              </w:rPr>
              <w:t>否</w:t>
            </w:r>
          </w:p>
        </w:tc>
        <w:tc>
          <w:tcPr>
            <w:tcW w:w="819" w:type="dxa"/>
            <w:noWrap/>
            <w:vAlign w:val="center"/>
          </w:tcPr>
          <w:p w14:paraId="48A20098">
            <w:pPr>
              <w:widowControl/>
              <w:spacing w:line="360" w:lineRule="auto"/>
              <w:jc w:val="center"/>
              <w:rPr>
                <w:rFonts w:ascii="宋体" w:hAnsi="宋体" w:cs="宋体"/>
                <w:kern w:val="0"/>
                <w:sz w:val="24"/>
              </w:rPr>
            </w:pPr>
            <w:r>
              <w:rPr>
                <w:rFonts w:hint="eastAsia" w:ascii="宋体" w:hAnsi="宋体" w:cs="宋体"/>
                <w:kern w:val="0"/>
                <w:sz w:val="24"/>
              </w:rPr>
              <w:t>否</w:t>
            </w:r>
          </w:p>
        </w:tc>
      </w:tr>
    </w:tbl>
    <w:p w14:paraId="7E929F7A">
      <w:pPr>
        <w:spacing w:line="360" w:lineRule="auto"/>
        <w:contextualSpacing/>
        <w:rPr>
          <w:rFonts w:ascii="宋体" w:hAnsi="宋体" w:cs="宋体"/>
          <w:bCs/>
          <w:sz w:val="24"/>
        </w:rPr>
      </w:pPr>
    </w:p>
    <w:p w14:paraId="7DC56EFB">
      <w:pPr>
        <w:spacing w:line="360" w:lineRule="auto"/>
        <w:contextualSpacing/>
        <w:outlineLvl w:val="1"/>
        <w:rPr>
          <w:rFonts w:ascii="宋体" w:hAnsi="宋体" w:cs="宋体"/>
          <w:bCs/>
          <w:sz w:val="24"/>
        </w:rPr>
      </w:pPr>
      <w:r>
        <w:rPr>
          <w:rFonts w:hint="eastAsia" w:ascii="宋体" w:hAnsi="宋体" w:cs="宋体"/>
          <w:bCs/>
          <w:sz w:val="24"/>
        </w:rPr>
        <w:t>2. 项目背景/项目概述</w:t>
      </w:r>
    </w:p>
    <w:p w14:paraId="1087882F">
      <w:pPr>
        <w:spacing w:line="360" w:lineRule="auto"/>
        <w:ind w:firstLine="480" w:firstLineChars="200"/>
        <w:rPr>
          <w:rFonts w:ascii="宋体" w:hAnsi="宋体" w:cs="宋体"/>
          <w:sz w:val="24"/>
        </w:rPr>
      </w:pPr>
      <w:r>
        <w:rPr>
          <w:rFonts w:hint="eastAsia" w:ascii="宋体" w:hAnsi="宋体" w:cs="宋体"/>
          <w:sz w:val="24"/>
        </w:rPr>
        <w:t>首都医科大学附属首都儿童医学中心通州院区是落实北京市总体规划发展战略、优化北京城市副中心及周边区域儿科医疗资源布局、解决患儿“看病难”问题的重要民生工程之一，也是北京市重点配套工程、全市“3个100”重点项目。项目建成后，通州新院区将定位为人性化、智慧化、现代化和数字化的三级甲等儿科专科医院，实现科研与临床紧密结合，集医疗、教学、科研、预防、儿童康复、儿童健康管理于一体，成为北京城市副中心及周边地区以儿童疑难危重症诊治、急危重症救治为核心，辐射京津冀的儿科综合诊疗高地，主要承担通州区域、北京城市副中心及周边居民儿童医疗健康服务保障功能，守护儿童全生命周期健康。</w:t>
      </w:r>
    </w:p>
    <w:p w14:paraId="379D97C2">
      <w:pPr>
        <w:spacing w:line="360" w:lineRule="auto"/>
        <w:ind w:firstLine="480" w:firstLineChars="200"/>
        <w:rPr>
          <w:rFonts w:ascii="宋体" w:hAnsi="宋体" w:cs="宋体"/>
          <w:sz w:val="24"/>
        </w:rPr>
      </w:pPr>
      <w:r>
        <w:rPr>
          <w:rFonts w:hint="eastAsia" w:ascii="宋体" w:hAnsi="宋体" w:cs="宋体"/>
          <w:sz w:val="24"/>
        </w:rPr>
        <w:t>通过本项目建设的产品需符合产品质量标准，并满足采购人使用需要，完成UPS、</w:t>
      </w:r>
      <w:r>
        <w:rPr>
          <w:rFonts w:hint="eastAsia" w:ascii="宋体" w:hAnsi="宋体" w:cs="宋体"/>
          <w:kern w:val="0"/>
          <w:sz w:val="24"/>
        </w:rPr>
        <w:t>会议平板一体机、显示器、液晶电视</w:t>
      </w:r>
      <w:r>
        <w:rPr>
          <w:rFonts w:hint="eastAsia" w:ascii="宋体" w:hAnsi="宋体" w:cs="宋体"/>
          <w:sz w:val="24"/>
        </w:rPr>
        <w:t>等系统建设，构建满足未来智慧医院发展需求的信息化基础设施。</w:t>
      </w:r>
    </w:p>
    <w:p w14:paraId="6307FA2D">
      <w:pPr>
        <w:numPr>
          <w:ilvl w:val="0"/>
          <w:numId w:val="4"/>
        </w:numPr>
        <w:spacing w:line="360" w:lineRule="auto"/>
        <w:ind w:firstLine="0"/>
        <w:contextualSpacing/>
        <w:outlineLvl w:val="0"/>
        <w:rPr>
          <w:rFonts w:ascii="宋体" w:hAnsi="宋体" w:cs="宋体"/>
          <w:b/>
          <w:sz w:val="24"/>
        </w:rPr>
      </w:pPr>
      <w:r>
        <w:rPr>
          <w:rFonts w:hint="eastAsia" w:ascii="宋体" w:hAnsi="宋体" w:cs="宋体"/>
          <w:b/>
          <w:sz w:val="24"/>
        </w:rPr>
        <w:t>商务要求</w:t>
      </w:r>
    </w:p>
    <w:p w14:paraId="21FB2155">
      <w:pPr>
        <w:spacing w:line="360" w:lineRule="auto"/>
        <w:contextualSpacing/>
        <w:outlineLvl w:val="1"/>
        <w:rPr>
          <w:rFonts w:ascii="宋体" w:hAnsi="宋体" w:cs="宋体"/>
          <w:bCs/>
          <w:i/>
          <w:sz w:val="24"/>
        </w:rPr>
      </w:pPr>
      <w:r>
        <w:rPr>
          <w:rFonts w:hint="eastAsia" w:ascii="宋体" w:hAnsi="宋体" w:cs="宋体"/>
          <w:bCs/>
          <w:sz w:val="24"/>
        </w:rPr>
        <w:t>1. 交付（实施）的时间（期限）和地点（范围）</w:t>
      </w:r>
    </w:p>
    <w:p w14:paraId="12BC1F7B">
      <w:pPr>
        <w:spacing w:line="360" w:lineRule="auto"/>
        <w:ind w:firstLine="480" w:firstLineChars="200"/>
        <w:contextualSpacing/>
        <w:rPr>
          <w:rFonts w:ascii="宋体" w:hAnsi="宋体" w:cs="宋体"/>
          <w:sz w:val="24"/>
        </w:rPr>
      </w:pPr>
      <w:r>
        <w:rPr>
          <w:rFonts w:hint="eastAsia" w:ascii="宋体" w:hAnsi="宋体" w:cs="宋体"/>
          <w:sz w:val="24"/>
        </w:rPr>
        <w:t>项目建设周期：合同签订之日起，本项目建设周期为18个月。自签订合同之日起30个日历日内到货，现场具备安装条件后90个日历日内完成安装、调试。</w:t>
      </w:r>
    </w:p>
    <w:p w14:paraId="75C23A0C">
      <w:pPr>
        <w:spacing w:line="360" w:lineRule="auto"/>
        <w:ind w:firstLine="480" w:firstLineChars="200"/>
        <w:rPr>
          <w:rFonts w:ascii="宋体" w:hAnsi="宋体" w:cs="宋体"/>
          <w:sz w:val="24"/>
        </w:rPr>
      </w:pPr>
      <w:r>
        <w:rPr>
          <w:rFonts w:hint="eastAsia" w:ascii="宋体" w:hAnsi="宋体" w:cs="宋体"/>
          <w:sz w:val="24"/>
        </w:rPr>
        <w:t>采购项目（标的）交付的地点：首都医科大学附属首都儿童医学中心指定地点。</w:t>
      </w:r>
    </w:p>
    <w:p w14:paraId="4B8260DA">
      <w:pPr>
        <w:spacing w:line="360" w:lineRule="auto"/>
        <w:contextualSpacing/>
        <w:outlineLvl w:val="1"/>
        <w:rPr>
          <w:rFonts w:ascii="宋体" w:hAnsi="宋体" w:cs="宋体"/>
          <w:bCs/>
          <w:sz w:val="24"/>
        </w:rPr>
      </w:pPr>
      <w:r>
        <w:rPr>
          <w:rFonts w:hint="eastAsia" w:ascii="宋体" w:hAnsi="宋体" w:cs="宋体"/>
          <w:bCs/>
          <w:sz w:val="24"/>
        </w:rPr>
        <w:t>2. 付款条件（进度和方式）</w:t>
      </w:r>
    </w:p>
    <w:p w14:paraId="53D05AFD">
      <w:pPr>
        <w:spacing w:line="360" w:lineRule="auto"/>
        <w:ind w:firstLine="480" w:firstLineChars="200"/>
        <w:contextualSpacing/>
        <w:rPr>
          <w:rFonts w:ascii="宋体" w:hAnsi="宋体" w:cs="宋体"/>
          <w:bCs/>
          <w:sz w:val="24"/>
        </w:rPr>
      </w:pPr>
      <w:r>
        <w:rPr>
          <w:rFonts w:hint="eastAsia" w:ascii="宋体" w:hAnsi="宋体" w:cs="宋体"/>
          <w:bCs/>
          <w:sz w:val="24"/>
        </w:rPr>
        <w:t>（1）合同签订后，在项目财政批复资金到账后30个工作日内，采购人向中标人支付合同总金额的30%作为首付款。</w:t>
      </w:r>
    </w:p>
    <w:p w14:paraId="45C990E8">
      <w:pPr>
        <w:spacing w:line="360" w:lineRule="auto"/>
        <w:ind w:firstLine="480" w:firstLineChars="200"/>
        <w:contextualSpacing/>
        <w:rPr>
          <w:rFonts w:ascii="宋体" w:hAnsi="宋体" w:cs="宋体"/>
          <w:bCs/>
          <w:sz w:val="24"/>
        </w:rPr>
      </w:pPr>
      <w:r>
        <w:rPr>
          <w:rFonts w:hint="eastAsia" w:ascii="宋体" w:hAnsi="宋体" w:cs="宋体"/>
          <w:bCs/>
          <w:sz w:val="24"/>
        </w:rPr>
        <w:t>（2）在合同规定之日内，货物到达采购人指定地点并经采购人到货验收合格后15个工作日内，中标人向采购人提供合同总金额的10%的履约保函，履约保函期限要求不低于1年。采购人在收到中标人从银行开具的履约保函后，在财政批复资金到账后30个工作日内，采购人向中标人支付合同总金额的60%。</w:t>
      </w:r>
    </w:p>
    <w:p w14:paraId="271A61E7">
      <w:pPr>
        <w:spacing w:line="360" w:lineRule="auto"/>
        <w:ind w:firstLine="480" w:firstLineChars="200"/>
        <w:contextualSpacing/>
        <w:rPr>
          <w:rFonts w:ascii="宋体" w:hAnsi="宋体" w:cs="宋体"/>
          <w:bCs/>
          <w:sz w:val="24"/>
        </w:rPr>
      </w:pPr>
      <w:r>
        <w:rPr>
          <w:rFonts w:hint="eastAsia" w:ascii="宋体" w:hAnsi="宋体" w:cs="宋体"/>
          <w:bCs/>
          <w:sz w:val="24"/>
        </w:rPr>
        <w:t>（3）合同终验完成后，在财政批复资金到账后30个工作日内，采购人向中标人支付合同总金额的10%。</w:t>
      </w:r>
    </w:p>
    <w:p w14:paraId="12E66794">
      <w:pPr>
        <w:spacing w:line="360" w:lineRule="auto"/>
        <w:ind w:firstLine="480" w:firstLineChars="200"/>
        <w:rPr>
          <w:rFonts w:ascii="宋体" w:hAnsi="宋体" w:cs="宋体"/>
          <w:sz w:val="24"/>
        </w:rPr>
      </w:pPr>
      <w:r>
        <w:rPr>
          <w:rFonts w:hint="eastAsia" w:ascii="宋体" w:hAnsi="宋体" w:cs="宋体"/>
          <w:bCs/>
          <w:sz w:val="24"/>
        </w:rPr>
        <w:t>（4）若合同终验完成前，履约保函已到期并需要续期，中标人需在保函到期前15个工作日内按采购人要求的期限重新提供保函。</w:t>
      </w:r>
    </w:p>
    <w:p w14:paraId="78EF5D08">
      <w:pPr>
        <w:spacing w:line="360" w:lineRule="auto"/>
        <w:contextualSpacing/>
        <w:outlineLvl w:val="1"/>
        <w:rPr>
          <w:rFonts w:ascii="宋体" w:hAnsi="宋体" w:cs="宋体"/>
          <w:bCs/>
          <w:sz w:val="24"/>
        </w:rPr>
      </w:pPr>
      <w:r>
        <w:rPr>
          <w:rFonts w:hint="eastAsia" w:ascii="宋体" w:hAnsi="宋体" w:cs="宋体"/>
          <w:bCs/>
          <w:sz w:val="24"/>
        </w:rPr>
        <w:t>3. 包装和运输（如适用，须满足《关于印发〈商品包装政府采购需求标准（试行）〉、〈快递包装政府采购需求标准（试行）〉的通知》（财办库﹝2020﹞123号））</w:t>
      </w:r>
    </w:p>
    <w:p w14:paraId="1BF6353C">
      <w:pPr>
        <w:spacing w:line="360" w:lineRule="auto"/>
        <w:contextualSpacing/>
        <w:rPr>
          <w:rFonts w:ascii="宋体" w:hAnsi="宋体" w:cs="宋体"/>
          <w:sz w:val="24"/>
        </w:rPr>
      </w:pPr>
    </w:p>
    <w:p w14:paraId="6ED2BDD2">
      <w:pPr>
        <w:spacing w:line="360" w:lineRule="auto"/>
        <w:contextualSpacing/>
        <w:outlineLvl w:val="1"/>
        <w:rPr>
          <w:rFonts w:ascii="宋体" w:hAnsi="宋体" w:cs="宋体"/>
          <w:bCs/>
          <w:sz w:val="24"/>
        </w:rPr>
      </w:pPr>
      <w:r>
        <w:rPr>
          <w:rFonts w:hint="eastAsia" w:ascii="宋体" w:hAnsi="宋体" w:cs="宋体"/>
          <w:bCs/>
          <w:sz w:val="24"/>
        </w:rPr>
        <w:t>4. 售后服务（质保期）</w:t>
      </w:r>
    </w:p>
    <w:p w14:paraId="608ECC40">
      <w:pPr>
        <w:spacing w:line="360" w:lineRule="auto"/>
        <w:ind w:firstLine="482" w:firstLineChars="200"/>
        <w:rPr>
          <w:rFonts w:ascii="宋体" w:hAnsi="宋体" w:cs="宋体"/>
          <w:b/>
          <w:bCs/>
          <w:sz w:val="24"/>
        </w:rPr>
      </w:pPr>
      <w:r>
        <w:rPr>
          <w:rFonts w:hint="eastAsia" w:ascii="宋体" w:hAnsi="宋体" w:cs="宋体"/>
          <w:b/>
          <w:bCs/>
          <w:kern w:val="0"/>
          <w:sz w:val="24"/>
        </w:rPr>
        <w:t>★</w:t>
      </w:r>
      <w:r>
        <w:rPr>
          <w:rFonts w:hint="eastAsia" w:ascii="宋体" w:hAnsi="宋体" w:cs="宋体"/>
          <w:b/>
          <w:bCs/>
          <w:sz w:val="24"/>
        </w:rPr>
        <w:t>质保期：会议平板一体机、75寸显示器、后勤UPS（30KVA）和安防UPS（60KVA），自验收合格之日起提供不少于三年的质保服务并加盖投标人公章，否则作无效投标处理；32寸显示器、60寸显示器、98寸显示器、55寸液晶电视、80寸液晶电视，自验收合格之日起提供不少于二年的质保服务并加盖投标人公章，否则作无效投标处理。</w:t>
      </w:r>
    </w:p>
    <w:p w14:paraId="510FFF51">
      <w:pPr>
        <w:autoSpaceDE w:val="0"/>
        <w:autoSpaceDN w:val="0"/>
        <w:adjustRightInd w:val="0"/>
        <w:spacing w:line="360" w:lineRule="auto"/>
        <w:ind w:firstLine="420"/>
        <w:jc w:val="left"/>
        <w:rPr>
          <w:rFonts w:ascii="宋体" w:hAnsi="宋体" w:cs="宋体"/>
          <w:sz w:val="24"/>
        </w:rPr>
      </w:pPr>
    </w:p>
    <w:p w14:paraId="0293424C">
      <w:pPr>
        <w:numPr>
          <w:ilvl w:val="0"/>
          <w:numId w:val="4"/>
        </w:numPr>
        <w:spacing w:line="360" w:lineRule="auto"/>
        <w:ind w:firstLine="0"/>
        <w:contextualSpacing/>
        <w:outlineLvl w:val="0"/>
        <w:rPr>
          <w:rFonts w:ascii="宋体" w:hAnsi="宋体" w:cs="宋体"/>
          <w:b/>
          <w:sz w:val="24"/>
        </w:rPr>
      </w:pPr>
      <w:r>
        <w:rPr>
          <w:rFonts w:hint="eastAsia" w:ascii="宋体" w:hAnsi="宋体" w:cs="宋体"/>
          <w:b/>
          <w:sz w:val="24"/>
        </w:rPr>
        <w:t>技术要求</w:t>
      </w:r>
    </w:p>
    <w:p w14:paraId="35EBB06B">
      <w:pPr>
        <w:spacing w:line="360" w:lineRule="auto"/>
        <w:contextualSpacing/>
        <w:outlineLvl w:val="1"/>
        <w:rPr>
          <w:rFonts w:ascii="宋体" w:hAnsi="宋体" w:cs="宋体"/>
          <w:bCs/>
          <w:sz w:val="24"/>
        </w:rPr>
      </w:pPr>
      <w:r>
        <w:rPr>
          <w:rFonts w:hint="eastAsia" w:ascii="宋体" w:hAnsi="宋体" w:cs="宋体"/>
          <w:bCs/>
          <w:sz w:val="24"/>
        </w:rPr>
        <w:t>1. 基本要求</w:t>
      </w:r>
    </w:p>
    <w:p w14:paraId="5468667C">
      <w:pPr>
        <w:spacing w:line="360" w:lineRule="auto"/>
        <w:ind w:firstLine="480" w:firstLineChars="200"/>
        <w:contextualSpacing/>
        <w:outlineLvl w:val="2"/>
        <w:rPr>
          <w:rFonts w:ascii="宋体" w:hAnsi="宋体" w:cs="宋体"/>
          <w:sz w:val="24"/>
        </w:rPr>
      </w:pPr>
      <w:r>
        <w:rPr>
          <w:rFonts w:hint="eastAsia" w:ascii="宋体" w:hAnsi="宋体" w:cs="宋体"/>
          <w:sz w:val="24"/>
        </w:rPr>
        <w:t>1.1 采购标的需实现的功能或者目标</w:t>
      </w:r>
    </w:p>
    <w:p w14:paraId="00494BAE">
      <w:pPr>
        <w:spacing w:line="360" w:lineRule="auto"/>
        <w:ind w:firstLine="480" w:firstLineChars="200"/>
        <w:rPr>
          <w:rFonts w:ascii="宋体" w:hAnsi="宋体" w:cs="宋体"/>
          <w:sz w:val="24"/>
        </w:rPr>
      </w:pPr>
      <w:r>
        <w:rPr>
          <w:rFonts w:hint="eastAsia" w:ascii="宋体" w:hAnsi="宋体" w:cs="宋体"/>
          <w:sz w:val="24"/>
        </w:rPr>
        <w:t>本次采购旨在通过购置UPS电源系统、显示设备及会议设备，提升机房运行安全性、关键区域监控可视化水平及会议汇报能力。具体功能与目标如下：</w:t>
      </w:r>
    </w:p>
    <w:p w14:paraId="335F1CE5">
      <w:pPr>
        <w:spacing w:line="360" w:lineRule="auto"/>
        <w:ind w:firstLine="480" w:firstLineChars="200"/>
        <w:rPr>
          <w:rFonts w:ascii="宋体" w:hAnsi="宋体" w:cs="宋体"/>
          <w:sz w:val="24"/>
        </w:rPr>
      </w:pPr>
      <w:r>
        <w:rPr>
          <w:rFonts w:hint="eastAsia" w:ascii="宋体" w:hAnsi="宋体" w:cs="宋体"/>
          <w:sz w:val="24"/>
        </w:rPr>
        <w:t>1.1.1 保障核心机房不间断供电</w:t>
      </w:r>
    </w:p>
    <w:p w14:paraId="44DD07CA">
      <w:pPr>
        <w:spacing w:line="360" w:lineRule="auto"/>
        <w:ind w:firstLine="480" w:firstLineChars="200"/>
        <w:rPr>
          <w:rFonts w:ascii="宋体" w:hAnsi="宋体" w:cs="宋体"/>
          <w:sz w:val="24"/>
        </w:rPr>
      </w:pPr>
      <w:r>
        <w:rPr>
          <w:rFonts w:hint="eastAsia" w:ascii="宋体" w:hAnsi="宋体" w:cs="宋体"/>
          <w:sz w:val="24"/>
        </w:rPr>
        <w:t>后勤机房（30KVA UPS）：为后勤机房内的服务器、网络设备及存储设备提供稳定的电力环境。在市电波动或中断时，实现零切换时间（在线式）供电，后备时间满足满载30分钟以上（可根据实际情况补充具体分钟数），确保后勤业务系统不因断电导致数据丢失或服务中断。</w:t>
      </w:r>
    </w:p>
    <w:p w14:paraId="5B4306FE">
      <w:pPr>
        <w:spacing w:line="360" w:lineRule="auto"/>
        <w:ind w:firstLine="480" w:firstLineChars="200"/>
        <w:rPr>
          <w:rFonts w:ascii="宋体" w:hAnsi="宋体" w:cs="宋体"/>
          <w:sz w:val="24"/>
        </w:rPr>
      </w:pPr>
      <w:r>
        <w:rPr>
          <w:rFonts w:hint="eastAsia" w:ascii="宋体" w:hAnsi="宋体" w:cs="宋体"/>
          <w:sz w:val="24"/>
        </w:rPr>
        <w:t>安防机房（60KVA UPS）：为保卫处安防系统（视频监控、门禁、报警主机等）提供高可靠性供电。确保在突发断电情况下，安防系统持续运行，保障重点区域监控不中断、报警功能有效。</w:t>
      </w:r>
    </w:p>
    <w:p w14:paraId="08C94F8C">
      <w:pPr>
        <w:spacing w:line="360" w:lineRule="auto"/>
        <w:ind w:firstLine="480" w:firstLineChars="200"/>
        <w:rPr>
          <w:rFonts w:ascii="宋体" w:hAnsi="宋体" w:cs="宋体"/>
          <w:sz w:val="24"/>
        </w:rPr>
      </w:pPr>
      <w:r>
        <w:rPr>
          <w:rFonts w:hint="eastAsia" w:ascii="宋体" w:hAnsi="宋体" w:cs="宋体"/>
          <w:sz w:val="24"/>
        </w:rPr>
        <w:t>1.1.2 提升会议与报告厅音视频展示能力</w:t>
      </w:r>
    </w:p>
    <w:p w14:paraId="29FD17FB">
      <w:pPr>
        <w:spacing w:line="360" w:lineRule="auto"/>
        <w:ind w:firstLine="480" w:firstLineChars="200"/>
        <w:rPr>
          <w:rFonts w:ascii="宋体" w:hAnsi="宋体" w:cs="宋体"/>
          <w:sz w:val="24"/>
        </w:rPr>
      </w:pPr>
      <w:r>
        <w:rPr>
          <w:rFonts w:hint="eastAsia" w:ascii="宋体" w:hAnsi="宋体" w:cs="宋体"/>
          <w:sz w:val="24"/>
        </w:rPr>
        <w:t>会议室设备：部署会议平板一体机（含内置系统及触控功能）与75寸显示器，实现本地/远程视频会议、无线投屏、白板书写、文件演示等功能，满足日常行政会议、技术讨论及跨部门协作需求。</w:t>
      </w:r>
    </w:p>
    <w:p w14:paraId="26A3C016">
      <w:pPr>
        <w:spacing w:line="360" w:lineRule="auto"/>
        <w:ind w:firstLine="480" w:firstLineChars="200"/>
        <w:rPr>
          <w:rFonts w:ascii="宋体" w:hAnsi="宋体" w:cs="宋体"/>
          <w:sz w:val="24"/>
        </w:rPr>
      </w:pPr>
      <w:r>
        <w:rPr>
          <w:rFonts w:hint="eastAsia" w:ascii="宋体" w:hAnsi="宋体" w:cs="宋体"/>
          <w:sz w:val="24"/>
        </w:rPr>
        <w:t>报告厅设备：配置32寸/60寸显示器及98寸存储显示设备，用于大型活动、培训、汇报场景。98寸设备需支持高清视频播放、图文展示及外部信号源接入，并具备本地存储或网络调取功能。</w:t>
      </w:r>
    </w:p>
    <w:p w14:paraId="116BF275">
      <w:pPr>
        <w:spacing w:line="360" w:lineRule="auto"/>
        <w:ind w:firstLine="480" w:firstLineChars="200"/>
        <w:rPr>
          <w:rFonts w:ascii="宋体" w:hAnsi="宋体" w:cs="宋体"/>
          <w:sz w:val="24"/>
        </w:rPr>
      </w:pPr>
      <w:r>
        <w:rPr>
          <w:rFonts w:hint="eastAsia" w:ascii="宋体" w:hAnsi="宋体" w:cs="宋体"/>
          <w:sz w:val="24"/>
        </w:rPr>
        <w:t>1.1.3 强化关键与敏感区域的可视化监控</w:t>
      </w:r>
    </w:p>
    <w:p w14:paraId="2406A023">
      <w:pPr>
        <w:spacing w:line="360" w:lineRule="auto"/>
        <w:ind w:firstLine="480" w:firstLineChars="200"/>
        <w:rPr>
          <w:rFonts w:ascii="宋体" w:hAnsi="宋体" w:cs="宋体"/>
          <w:sz w:val="24"/>
        </w:rPr>
      </w:pPr>
      <w:r>
        <w:rPr>
          <w:rFonts w:hint="eastAsia" w:ascii="宋体" w:hAnsi="宋体" w:cs="宋体"/>
          <w:sz w:val="24"/>
        </w:rPr>
        <w:t>洁净区域（80寸液晶电视）：实时显示该区域内的视频图像（如洁净生产区、实验室或手术室等），便于管理人员在不进入洁净区的情况下掌握现场动态，降低污染风险并提高响应效率。</w:t>
      </w:r>
    </w:p>
    <w:p w14:paraId="5B42126A">
      <w:pPr>
        <w:spacing w:line="360" w:lineRule="auto"/>
        <w:ind w:firstLine="480" w:firstLineChars="200"/>
        <w:rPr>
          <w:rFonts w:ascii="宋体" w:hAnsi="宋体" w:cs="宋体"/>
          <w:sz w:val="24"/>
        </w:rPr>
      </w:pPr>
      <w:r>
        <w:rPr>
          <w:rFonts w:hint="eastAsia" w:ascii="宋体" w:hAnsi="宋体" w:cs="宋体"/>
          <w:sz w:val="24"/>
        </w:rPr>
        <w:t>警务工作区域（80寸液晶电视）：集中显示来自各安防子系统（如入侵报警、周界报警、消防报警等）的报警信息及联动视频画面，帮助警务/安保人员快速定位警情、核实事件并启动应急预案。</w:t>
      </w:r>
    </w:p>
    <w:p w14:paraId="26DF4569">
      <w:pPr>
        <w:spacing w:line="360" w:lineRule="auto"/>
        <w:ind w:firstLine="480" w:firstLineChars="200"/>
        <w:contextualSpacing/>
        <w:outlineLvl w:val="2"/>
        <w:rPr>
          <w:rFonts w:ascii="宋体" w:hAnsi="宋体" w:cs="宋体"/>
          <w:sz w:val="24"/>
        </w:rPr>
      </w:pPr>
      <w:r>
        <w:rPr>
          <w:rFonts w:hint="eastAsia" w:ascii="宋体" w:hAnsi="宋体" w:cs="宋体"/>
          <w:sz w:val="24"/>
        </w:rPr>
        <w:t>1.2 需执行的国家相关标准、行业标准、地方标准或者其他标准、规范</w:t>
      </w:r>
    </w:p>
    <w:p w14:paraId="12FB7399">
      <w:pPr>
        <w:spacing w:line="360" w:lineRule="auto"/>
        <w:ind w:firstLine="480" w:firstLineChars="200"/>
        <w:rPr>
          <w:rFonts w:ascii="宋体" w:hAnsi="宋体" w:cs="宋体"/>
          <w:sz w:val="24"/>
        </w:rPr>
      </w:pPr>
      <w:r>
        <w:rPr>
          <w:rFonts w:hint="eastAsia" w:ascii="宋体" w:hAnsi="宋体" w:cs="宋体"/>
          <w:sz w:val="24"/>
        </w:rPr>
        <w:t>GB/T 7260-202x 系列</w:t>
      </w:r>
      <w:r>
        <w:rPr>
          <w:rFonts w:hint="eastAsia" w:ascii="宋体" w:hAnsi="宋体" w:cs="宋体"/>
          <w:sz w:val="24"/>
        </w:rPr>
        <w:tab/>
      </w:r>
      <w:r>
        <w:rPr>
          <w:rFonts w:hint="eastAsia" w:ascii="宋体" w:hAnsi="宋体" w:cs="宋体"/>
          <w:sz w:val="24"/>
        </w:rPr>
        <w:t>《不间断电源设备（UPS）》</w:t>
      </w:r>
    </w:p>
    <w:p w14:paraId="4BE8ACF6">
      <w:pPr>
        <w:spacing w:line="360" w:lineRule="auto"/>
        <w:ind w:firstLine="480" w:firstLineChars="200"/>
        <w:rPr>
          <w:rFonts w:ascii="宋体" w:hAnsi="宋体" w:cs="宋体"/>
          <w:sz w:val="24"/>
        </w:rPr>
      </w:pPr>
      <w:r>
        <w:rPr>
          <w:rFonts w:hint="eastAsia" w:ascii="宋体" w:hAnsi="宋体" w:cs="宋体"/>
          <w:sz w:val="24"/>
        </w:rPr>
        <w:t>GB 4943.1-2022</w:t>
      </w:r>
      <w:r>
        <w:rPr>
          <w:rFonts w:hint="eastAsia" w:ascii="宋体" w:hAnsi="宋体" w:cs="宋体"/>
          <w:sz w:val="24"/>
        </w:rPr>
        <w:tab/>
      </w:r>
      <w:r>
        <w:rPr>
          <w:rFonts w:hint="eastAsia" w:ascii="宋体" w:hAnsi="宋体" w:cs="宋体"/>
          <w:sz w:val="24"/>
        </w:rPr>
        <w:t>《音视频、信息技术和通信技术设备 第1部分：安全要求》</w:t>
      </w:r>
    </w:p>
    <w:p w14:paraId="132E1F39">
      <w:pPr>
        <w:spacing w:line="360" w:lineRule="auto"/>
        <w:ind w:firstLine="480" w:firstLineChars="200"/>
        <w:rPr>
          <w:rFonts w:ascii="宋体" w:hAnsi="宋体" w:cs="宋体"/>
          <w:sz w:val="24"/>
        </w:rPr>
      </w:pPr>
      <w:r>
        <w:rPr>
          <w:rFonts w:hint="eastAsia" w:ascii="宋体" w:hAnsi="宋体" w:cs="宋体"/>
          <w:sz w:val="24"/>
        </w:rPr>
        <w:t>GB/T 14715-2017</w:t>
      </w:r>
      <w:r>
        <w:rPr>
          <w:rFonts w:hint="eastAsia" w:ascii="宋体" w:hAnsi="宋体" w:cs="宋体"/>
          <w:sz w:val="24"/>
        </w:rPr>
        <w:tab/>
      </w:r>
      <w:r>
        <w:rPr>
          <w:rFonts w:hint="eastAsia" w:ascii="宋体" w:hAnsi="宋体" w:cs="宋体"/>
          <w:sz w:val="24"/>
        </w:rPr>
        <w:t>《信息技术设备用不间断电源通用规范》</w:t>
      </w:r>
    </w:p>
    <w:p w14:paraId="2141E321">
      <w:pPr>
        <w:spacing w:line="360" w:lineRule="auto"/>
        <w:ind w:firstLine="480" w:firstLineChars="200"/>
        <w:rPr>
          <w:rFonts w:ascii="宋体" w:hAnsi="宋体" w:cs="宋体"/>
          <w:sz w:val="24"/>
        </w:rPr>
      </w:pPr>
      <w:r>
        <w:rPr>
          <w:rFonts w:hint="eastAsia" w:ascii="宋体" w:hAnsi="宋体" w:cs="宋体"/>
          <w:sz w:val="24"/>
        </w:rPr>
        <w:t>YD/T 1095-2018</w:t>
      </w:r>
      <w:r>
        <w:rPr>
          <w:rFonts w:hint="eastAsia" w:ascii="宋体" w:hAnsi="宋体" w:cs="宋体"/>
          <w:sz w:val="24"/>
        </w:rPr>
        <w:tab/>
      </w:r>
      <w:r>
        <w:rPr>
          <w:rFonts w:hint="eastAsia" w:ascii="宋体" w:hAnsi="宋体" w:cs="宋体"/>
          <w:sz w:val="24"/>
        </w:rPr>
        <w:t>《通信用不间断电源（UPS）》</w:t>
      </w:r>
    </w:p>
    <w:p w14:paraId="713E8F53">
      <w:pPr>
        <w:spacing w:line="360" w:lineRule="auto"/>
        <w:ind w:firstLine="480" w:firstLineChars="200"/>
        <w:rPr>
          <w:rFonts w:ascii="宋体" w:hAnsi="宋体" w:cs="宋体"/>
          <w:sz w:val="24"/>
        </w:rPr>
      </w:pPr>
      <w:r>
        <w:rPr>
          <w:rFonts w:hint="eastAsia" w:ascii="宋体" w:hAnsi="宋体" w:cs="宋体"/>
          <w:sz w:val="24"/>
        </w:rPr>
        <w:t>GB 4943.1-2022</w:t>
      </w:r>
      <w:r>
        <w:rPr>
          <w:rFonts w:hint="eastAsia" w:ascii="宋体" w:hAnsi="宋体" w:cs="宋体"/>
          <w:sz w:val="24"/>
        </w:rPr>
        <w:tab/>
      </w:r>
      <w:r>
        <w:rPr>
          <w:rFonts w:hint="eastAsia" w:ascii="宋体" w:hAnsi="宋体" w:cs="宋体"/>
          <w:sz w:val="24"/>
        </w:rPr>
        <w:t>《音视频、信息技术和通信技术设备 第1部分：安全要求》</w:t>
      </w:r>
    </w:p>
    <w:p w14:paraId="7A7E9118">
      <w:pPr>
        <w:spacing w:line="360" w:lineRule="auto"/>
        <w:ind w:firstLine="480" w:firstLineChars="200"/>
        <w:rPr>
          <w:rFonts w:ascii="宋体" w:hAnsi="宋体" w:cs="宋体"/>
          <w:sz w:val="24"/>
        </w:rPr>
      </w:pPr>
      <w:r>
        <w:rPr>
          <w:rFonts w:hint="eastAsia" w:ascii="宋体" w:hAnsi="宋体" w:cs="宋体"/>
          <w:sz w:val="24"/>
        </w:rPr>
        <w:t>GB/T 9254.1-2021</w:t>
      </w:r>
      <w:r>
        <w:rPr>
          <w:rFonts w:hint="eastAsia" w:ascii="宋体" w:hAnsi="宋体" w:cs="宋体"/>
          <w:sz w:val="24"/>
        </w:rPr>
        <w:tab/>
      </w:r>
      <w:r>
        <w:rPr>
          <w:rFonts w:hint="eastAsia" w:ascii="宋体" w:hAnsi="宋体" w:cs="宋体"/>
          <w:sz w:val="24"/>
        </w:rPr>
        <w:t>《信息技术设备的无线电骚扰限值和测量方法》</w:t>
      </w:r>
    </w:p>
    <w:p w14:paraId="22DCEED4">
      <w:pPr>
        <w:spacing w:line="360" w:lineRule="auto"/>
        <w:ind w:firstLine="480" w:firstLineChars="200"/>
        <w:rPr>
          <w:rFonts w:ascii="宋体" w:hAnsi="宋体" w:cs="宋体"/>
          <w:sz w:val="24"/>
        </w:rPr>
      </w:pPr>
      <w:r>
        <w:rPr>
          <w:rFonts w:hint="eastAsia" w:ascii="宋体" w:hAnsi="宋体" w:cs="宋体"/>
          <w:sz w:val="24"/>
        </w:rPr>
        <w:t>GB 21520-2015</w:t>
      </w:r>
      <w:r>
        <w:rPr>
          <w:rFonts w:hint="eastAsia" w:ascii="宋体" w:hAnsi="宋体" w:cs="宋体"/>
          <w:sz w:val="24"/>
        </w:rPr>
        <w:tab/>
      </w:r>
      <w:r>
        <w:rPr>
          <w:rFonts w:hint="eastAsia" w:ascii="宋体" w:hAnsi="宋体" w:cs="宋体"/>
          <w:sz w:val="24"/>
        </w:rPr>
        <w:t>《计算机显示器能效限定值及能效等级》</w:t>
      </w:r>
    </w:p>
    <w:p w14:paraId="092AD92C">
      <w:pPr>
        <w:spacing w:line="360" w:lineRule="auto"/>
        <w:ind w:firstLine="480" w:firstLineChars="200"/>
        <w:rPr>
          <w:rFonts w:ascii="宋体" w:hAnsi="宋体" w:cs="宋体"/>
          <w:sz w:val="24"/>
        </w:rPr>
      </w:pPr>
      <w:r>
        <w:rPr>
          <w:rFonts w:hint="eastAsia" w:ascii="宋体" w:hAnsi="宋体" w:cs="宋体"/>
          <w:sz w:val="24"/>
        </w:rPr>
        <w:t>GB 24850-2020</w:t>
      </w:r>
      <w:r>
        <w:rPr>
          <w:rFonts w:hint="eastAsia" w:ascii="宋体" w:hAnsi="宋体" w:cs="宋体"/>
          <w:sz w:val="24"/>
        </w:rPr>
        <w:tab/>
      </w:r>
      <w:r>
        <w:rPr>
          <w:rFonts w:hint="eastAsia" w:ascii="宋体" w:hAnsi="宋体" w:cs="宋体"/>
          <w:sz w:val="24"/>
        </w:rPr>
        <w:t>《平板电视与数字电视接收器能效限定值及能效等级》</w:t>
      </w:r>
    </w:p>
    <w:p w14:paraId="190EBEA8">
      <w:pPr>
        <w:spacing w:line="360" w:lineRule="auto"/>
        <w:ind w:firstLine="480" w:firstLineChars="200"/>
        <w:rPr>
          <w:rFonts w:ascii="宋体" w:hAnsi="宋体" w:cs="宋体"/>
          <w:sz w:val="24"/>
        </w:rPr>
      </w:pPr>
      <w:r>
        <w:rPr>
          <w:rFonts w:hint="eastAsia" w:ascii="宋体" w:hAnsi="宋体" w:cs="宋体"/>
          <w:sz w:val="24"/>
        </w:rPr>
        <w:t>SJ/T 11343-2015</w:t>
      </w:r>
      <w:r>
        <w:rPr>
          <w:rFonts w:hint="eastAsia" w:ascii="宋体" w:hAnsi="宋体" w:cs="宋体"/>
          <w:sz w:val="24"/>
        </w:rPr>
        <w:tab/>
      </w:r>
      <w:r>
        <w:rPr>
          <w:rFonts w:hint="eastAsia" w:ascii="宋体" w:hAnsi="宋体" w:cs="宋体"/>
          <w:sz w:val="24"/>
        </w:rPr>
        <w:t>《数字电视液晶显示器通用规范》</w:t>
      </w:r>
    </w:p>
    <w:p w14:paraId="2C0CF758">
      <w:pPr>
        <w:spacing w:line="360" w:lineRule="auto"/>
        <w:ind w:firstLine="480" w:firstLineChars="200"/>
        <w:rPr>
          <w:rFonts w:ascii="宋体" w:hAnsi="宋体" w:cs="宋体"/>
          <w:sz w:val="24"/>
        </w:rPr>
      </w:pPr>
      <w:r>
        <w:rPr>
          <w:rFonts w:hint="eastAsia" w:ascii="宋体" w:hAnsi="宋体" w:cs="宋体"/>
          <w:sz w:val="24"/>
        </w:rPr>
        <w:t>SJ/T 11694-2017</w:t>
      </w:r>
      <w:r>
        <w:rPr>
          <w:rFonts w:hint="eastAsia" w:ascii="宋体" w:hAnsi="宋体" w:cs="宋体"/>
          <w:sz w:val="24"/>
        </w:rPr>
        <w:tab/>
      </w:r>
      <w:r>
        <w:rPr>
          <w:rFonts w:hint="eastAsia" w:ascii="宋体" w:hAnsi="宋体" w:cs="宋体"/>
          <w:sz w:val="24"/>
        </w:rPr>
        <w:t>《交互式电子白板 技术规范》（适用于会议平板一体机）</w:t>
      </w:r>
    </w:p>
    <w:p w14:paraId="2E024911">
      <w:pPr>
        <w:spacing w:line="360" w:lineRule="auto"/>
        <w:ind w:firstLine="480" w:firstLineChars="200"/>
        <w:rPr>
          <w:rFonts w:ascii="宋体" w:hAnsi="宋体" w:cs="宋体"/>
          <w:sz w:val="24"/>
        </w:rPr>
      </w:pPr>
      <w:r>
        <w:rPr>
          <w:rFonts w:hint="eastAsia" w:ascii="宋体" w:hAnsi="宋体" w:cs="宋体"/>
          <w:sz w:val="24"/>
        </w:rPr>
        <w:t>GB 50348-2018</w:t>
      </w:r>
      <w:r>
        <w:rPr>
          <w:rFonts w:hint="eastAsia" w:ascii="宋体" w:hAnsi="宋体" w:cs="宋体"/>
          <w:sz w:val="24"/>
        </w:rPr>
        <w:tab/>
      </w:r>
      <w:r>
        <w:rPr>
          <w:rFonts w:hint="eastAsia" w:ascii="宋体" w:hAnsi="宋体" w:cs="宋体"/>
          <w:sz w:val="24"/>
        </w:rPr>
        <w:t>《安全防范工程技术标准》</w:t>
      </w:r>
    </w:p>
    <w:p w14:paraId="3AAD1CC9">
      <w:pPr>
        <w:spacing w:line="360" w:lineRule="auto"/>
        <w:ind w:firstLine="480" w:firstLineChars="200"/>
        <w:rPr>
          <w:rFonts w:ascii="宋体" w:hAnsi="宋体" w:cs="宋体"/>
          <w:sz w:val="24"/>
        </w:rPr>
      </w:pPr>
      <w:r>
        <w:rPr>
          <w:rFonts w:hint="eastAsia" w:ascii="宋体" w:hAnsi="宋体" w:cs="宋体"/>
          <w:sz w:val="24"/>
        </w:rPr>
        <w:t>GB 50311-2016</w:t>
      </w:r>
      <w:r>
        <w:rPr>
          <w:rFonts w:hint="eastAsia" w:ascii="宋体" w:hAnsi="宋体" w:cs="宋体"/>
          <w:sz w:val="24"/>
        </w:rPr>
        <w:tab/>
      </w:r>
      <w:r>
        <w:rPr>
          <w:rFonts w:hint="eastAsia" w:ascii="宋体" w:hAnsi="宋体" w:cs="宋体"/>
          <w:sz w:val="24"/>
        </w:rPr>
        <w:t>《综合布线系统工程设计规范》</w:t>
      </w:r>
    </w:p>
    <w:p w14:paraId="043A7FE8">
      <w:pPr>
        <w:spacing w:line="360" w:lineRule="auto"/>
        <w:ind w:firstLine="480" w:firstLineChars="200"/>
        <w:rPr>
          <w:rFonts w:ascii="宋体" w:hAnsi="宋体" w:cs="宋体"/>
          <w:sz w:val="24"/>
        </w:rPr>
      </w:pPr>
      <w:r>
        <w:rPr>
          <w:rFonts w:hint="eastAsia" w:ascii="宋体" w:hAnsi="宋体" w:cs="宋体"/>
          <w:sz w:val="24"/>
        </w:rPr>
        <w:t>GB 50312-2016</w:t>
      </w:r>
      <w:r>
        <w:rPr>
          <w:rFonts w:hint="eastAsia" w:ascii="宋体" w:hAnsi="宋体" w:cs="宋体"/>
          <w:sz w:val="24"/>
        </w:rPr>
        <w:tab/>
      </w:r>
      <w:r>
        <w:rPr>
          <w:rFonts w:hint="eastAsia" w:ascii="宋体" w:hAnsi="宋体" w:cs="宋体"/>
          <w:sz w:val="24"/>
        </w:rPr>
        <w:t>《综合布线系统工程验收规范》</w:t>
      </w:r>
    </w:p>
    <w:p w14:paraId="09ECF3B2">
      <w:pPr>
        <w:spacing w:line="360" w:lineRule="auto"/>
        <w:ind w:firstLine="480" w:firstLineChars="200"/>
        <w:rPr>
          <w:rFonts w:ascii="宋体" w:hAnsi="宋体" w:cs="宋体"/>
          <w:sz w:val="24"/>
        </w:rPr>
      </w:pPr>
      <w:r>
        <w:rPr>
          <w:rFonts w:hint="eastAsia" w:ascii="宋体" w:hAnsi="宋体" w:cs="宋体"/>
          <w:sz w:val="24"/>
        </w:rPr>
        <w:t>GB 50174-2017</w:t>
      </w:r>
      <w:r>
        <w:rPr>
          <w:rFonts w:hint="eastAsia" w:ascii="宋体" w:hAnsi="宋体" w:cs="宋体"/>
          <w:sz w:val="24"/>
        </w:rPr>
        <w:tab/>
      </w:r>
      <w:r>
        <w:rPr>
          <w:rFonts w:hint="eastAsia" w:ascii="宋体" w:hAnsi="宋体" w:cs="宋体"/>
          <w:sz w:val="24"/>
        </w:rPr>
        <w:t>《数据中心设计规范》（适用于UPS及机房环境）</w:t>
      </w:r>
    </w:p>
    <w:p w14:paraId="5BA164B4">
      <w:pPr>
        <w:spacing w:line="360" w:lineRule="auto"/>
        <w:ind w:firstLine="480" w:firstLineChars="200"/>
        <w:rPr>
          <w:rFonts w:ascii="宋体" w:hAnsi="宋体" w:cs="宋体"/>
          <w:sz w:val="24"/>
        </w:rPr>
      </w:pPr>
      <w:r>
        <w:rPr>
          <w:rFonts w:hint="eastAsia" w:ascii="宋体" w:hAnsi="宋体" w:cs="宋体"/>
          <w:sz w:val="24"/>
        </w:rPr>
        <w:t>GB/T 17626 系列</w:t>
      </w:r>
      <w:r>
        <w:rPr>
          <w:rFonts w:hint="eastAsia" w:ascii="宋体" w:hAnsi="宋体" w:cs="宋体"/>
          <w:sz w:val="24"/>
        </w:rPr>
        <w:tab/>
      </w:r>
      <w:r>
        <w:rPr>
          <w:rFonts w:hint="eastAsia" w:ascii="宋体" w:hAnsi="宋体" w:cs="宋体"/>
          <w:sz w:val="24"/>
        </w:rPr>
        <w:t>《电磁兼容 试验和测量技术》</w:t>
      </w:r>
    </w:p>
    <w:p w14:paraId="0E138B0A">
      <w:pPr>
        <w:spacing w:line="360" w:lineRule="auto"/>
        <w:ind w:firstLine="480" w:firstLineChars="200"/>
        <w:rPr>
          <w:rFonts w:ascii="宋体" w:hAnsi="宋体" w:cs="宋体"/>
          <w:sz w:val="24"/>
        </w:rPr>
      </w:pPr>
      <w:r>
        <w:rPr>
          <w:rFonts w:hint="eastAsia" w:ascii="宋体" w:hAnsi="宋体" w:cs="宋体"/>
          <w:sz w:val="24"/>
        </w:rPr>
        <w:t>GB 50054-2011</w:t>
      </w:r>
      <w:r>
        <w:rPr>
          <w:rFonts w:hint="eastAsia" w:ascii="宋体" w:hAnsi="宋体" w:cs="宋体"/>
          <w:sz w:val="24"/>
        </w:rPr>
        <w:tab/>
      </w:r>
      <w:r>
        <w:rPr>
          <w:rFonts w:hint="eastAsia" w:ascii="宋体" w:hAnsi="宋体" w:cs="宋体"/>
          <w:sz w:val="24"/>
        </w:rPr>
        <w:t>《低压配电设计规范》</w:t>
      </w:r>
    </w:p>
    <w:p w14:paraId="5528F405">
      <w:pPr>
        <w:spacing w:line="360" w:lineRule="auto"/>
        <w:contextualSpacing/>
        <w:outlineLvl w:val="1"/>
        <w:rPr>
          <w:rFonts w:ascii="宋体" w:hAnsi="宋体" w:cs="宋体"/>
          <w:bCs/>
          <w:sz w:val="24"/>
        </w:rPr>
      </w:pPr>
      <w:r>
        <w:rPr>
          <w:rFonts w:hint="eastAsia" w:ascii="宋体" w:hAnsi="宋体" w:cs="宋体"/>
          <w:bCs/>
          <w:sz w:val="24"/>
        </w:rPr>
        <w:t>2. 服务内容及要求/货物技术要求</w:t>
      </w:r>
    </w:p>
    <w:p w14:paraId="2844D4DF">
      <w:pPr>
        <w:spacing w:line="360" w:lineRule="auto"/>
        <w:ind w:firstLine="480" w:firstLineChars="200"/>
        <w:contextualSpacing/>
        <w:outlineLvl w:val="2"/>
        <w:rPr>
          <w:rFonts w:ascii="宋体" w:hAnsi="宋体" w:cs="宋体"/>
          <w:sz w:val="24"/>
        </w:rPr>
      </w:pPr>
      <w:r>
        <w:rPr>
          <w:rFonts w:hint="eastAsia" w:ascii="宋体" w:hAnsi="宋体" w:cs="宋体"/>
          <w:sz w:val="24"/>
        </w:rPr>
        <w:t>2.1采购标的需满足的性能、材料、结构、外观、质量、安全、技术规格、物理特性等要求</w:t>
      </w:r>
    </w:p>
    <w:p w14:paraId="08042D1C">
      <w:pPr>
        <w:pStyle w:val="23"/>
        <w:spacing w:line="360" w:lineRule="auto"/>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技术指标按重要性分为 “★”、“#”两种标示方式。★代表关键指标，#代表重要指标。标示“★”的关键指标有1项不满足即按无效投标处理。</w:t>
      </w:r>
    </w:p>
    <w:p w14:paraId="60AC5B31">
      <w:pPr>
        <w:pStyle w:val="23"/>
        <w:ind w:firstLine="480"/>
        <w:contextualSpacing/>
        <w:outlineLvl w:val="2"/>
        <w:rPr>
          <w:rFonts w:ascii="宋体" w:hAnsi="宋体" w:cs="宋体"/>
          <w:sz w:val="24"/>
        </w:rPr>
      </w:pPr>
      <w:r>
        <w:rPr>
          <w:rFonts w:hint="eastAsia" w:ascii="宋体" w:hAnsi="宋体" w:cs="宋体"/>
          <w:sz w:val="24"/>
        </w:rPr>
        <w:t>2.1.1后勤UPS（30KVA）</w:t>
      </w:r>
    </w:p>
    <w:tbl>
      <w:tblPr>
        <w:tblStyle w:val="15"/>
        <w:tblW w:w="8724" w:type="dxa"/>
        <w:tblInd w:w="0" w:type="dxa"/>
        <w:tblLayout w:type="fixed"/>
        <w:tblCellMar>
          <w:top w:w="0" w:type="dxa"/>
          <w:left w:w="108" w:type="dxa"/>
          <w:bottom w:w="0" w:type="dxa"/>
          <w:right w:w="108" w:type="dxa"/>
        </w:tblCellMar>
      </w:tblPr>
      <w:tblGrid>
        <w:gridCol w:w="673"/>
        <w:gridCol w:w="993"/>
        <w:gridCol w:w="5955"/>
        <w:gridCol w:w="1103"/>
      </w:tblGrid>
      <w:tr w14:paraId="28678099">
        <w:tblPrEx>
          <w:tblCellMar>
            <w:top w:w="0" w:type="dxa"/>
            <w:left w:w="108" w:type="dxa"/>
            <w:bottom w:w="0" w:type="dxa"/>
            <w:right w:w="108" w:type="dxa"/>
          </w:tblCellMar>
        </w:tblPrEx>
        <w:trPr>
          <w:trHeight w:val="540" w:hRule="atLeast"/>
          <w:tblHeader/>
        </w:trPr>
        <w:tc>
          <w:tcPr>
            <w:tcW w:w="673" w:type="dxa"/>
            <w:tcBorders>
              <w:top w:val="single" w:color="auto" w:sz="4" w:space="0"/>
              <w:left w:val="single" w:color="auto" w:sz="4" w:space="0"/>
              <w:bottom w:val="single" w:color="auto" w:sz="4" w:space="0"/>
              <w:right w:val="single" w:color="auto" w:sz="4" w:space="0"/>
            </w:tcBorders>
            <w:vAlign w:val="center"/>
          </w:tcPr>
          <w:p w14:paraId="7FECE6DD">
            <w:pPr>
              <w:widowControl/>
              <w:jc w:val="center"/>
              <w:rPr>
                <w:rFonts w:ascii="宋体" w:hAnsi="宋体" w:cs="宋体"/>
                <w:b/>
                <w:bCs/>
                <w:kern w:val="0"/>
                <w:sz w:val="24"/>
              </w:rPr>
            </w:pPr>
            <w:r>
              <w:rPr>
                <w:rFonts w:hint="eastAsia" w:ascii="宋体" w:hAnsi="宋体" w:cs="宋体"/>
                <w:b/>
                <w:bCs/>
                <w:kern w:val="0"/>
                <w:sz w:val="24"/>
              </w:rPr>
              <w:t>序号</w:t>
            </w:r>
          </w:p>
        </w:tc>
        <w:tc>
          <w:tcPr>
            <w:tcW w:w="993" w:type="dxa"/>
            <w:tcBorders>
              <w:top w:val="single" w:color="auto" w:sz="4" w:space="0"/>
              <w:left w:val="nil"/>
              <w:bottom w:val="single" w:color="auto" w:sz="4" w:space="0"/>
              <w:right w:val="single" w:color="auto" w:sz="4" w:space="0"/>
            </w:tcBorders>
            <w:vAlign w:val="center"/>
          </w:tcPr>
          <w:p w14:paraId="6256F51D">
            <w:pPr>
              <w:widowControl/>
              <w:jc w:val="center"/>
              <w:rPr>
                <w:rFonts w:ascii="宋体" w:hAnsi="宋体" w:cs="宋体"/>
                <w:b/>
                <w:bCs/>
                <w:kern w:val="0"/>
                <w:sz w:val="24"/>
              </w:rPr>
            </w:pPr>
            <w:r>
              <w:rPr>
                <w:rFonts w:hint="eastAsia" w:ascii="宋体" w:hAnsi="宋体" w:cs="宋体"/>
                <w:b/>
                <w:bCs/>
                <w:kern w:val="0"/>
                <w:sz w:val="24"/>
              </w:rPr>
              <w:t>重要性</w:t>
            </w:r>
          </w:p>
        </w:tc>
        <w:tc>
          <w:tcPr>
            <w:tcW w:w="5955" w:type="dxa"/>
            <w:tcBorders>
              <w:top w:val="single" w:color="auto" w:sz="4" w:space="0"/>
              <w:left w:val="nil"/>
              <w:bottom w:val="single" w:color="auto" w:sz="4" w:space="0"/>
              <w:right w:val="single" w:color="auto" w:sz="4" w:space="0"/>
            </w:tcBorders>
            <w:vAlign w:val="center"/>
          </w:tcPr>
          <w:p w14:paraId="3B0C56B0">
            <w:pPr>
              <w:widowControl/>
              <w:jc w:val="center"/>
              <w:rPr>
                <w:rFonts w:ascii="宋体" w:hAnsi="宋体" w:cs="宋体"/>
                <w:b/>
                <w:bCs/>
                <w:kern w:val="0"/>
                <w:sz w:val="24"/>
              </w:rPr>
            </w:pPr>
            <w:r>
              <w:rPr>
                <w:rFonts w:hint="eastAsia" w:ascii="宋体" w:hAnsi="宋体" w:cs="宋体"/>
                <w:b/>
                <w:bCs/>
                <w:kern w:val="0"/>
                <w:sz w:val="24"/>
              </w:rPr>
              <w:t>具体指标内容</w:t>
            </w:r>
          </w:p>
        </w:tc>
        <w:tc>
          <w:tcPr>
            <w:tcW w:w="1103" w:type="dxa"/>
            <w:tcBorders>
              <w:top w:val="single" w:color="auto" w:sz="4" w:space="0"/>
              <w:left w:val="nil"/>
              <w:bottom w:val="single" w:color="auto" w:sz="4" w:space="0"/>
              <w:right w:val="single" w:color="auto" w:sz="4" w:space="0"/>
            </w:tcBorders>
            <w:vAlign w:val="center"/>
          </w:tcPr>
          <w:p w14:paraId="74F99855">
            <w:pPr>
              <w:widowControl/>
              <w:jc w:val="center"/>
              <w:rPr>
                <w:rFonts w:ascii="宋体" w:hAnsi="宋体" w:cs="宋体"/>
                <w:b/>
                <w:bCs/>
                <w:kern w:val="0"/>
                <w:sz w:val="24"/>
              </w:rPr>
            </w:pPr>
            <w:r>
              <w:rPr>
                <w:rFonts w:hint="eastAsia" w:ascii="宋体" w:hAnsi="宋体" w:cs="宋体"/>
                <w:b/>
                <w:bCs/>
                <w:kern w:val="0"/>
                <w:sz w:val="24"/>
              </w:rPr>
              <w:t>是否需要证明材料</w:t>
            </w:r>
          </w:p>
        </w:tc>
      </w:tr>
      <w:tr w14:paraId="280E5296">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589012A4">
            <w:pPr>
              <w:widowControl/>
              <w:jc w:val="center"/>
              <w:rPr>
                <w:rFonts w:ascii="宋体" w:hAnsi="宋体" w:cs="宋体"/>
                <w:kern w:val="0"/>
                <w:sz w:val="24"/>
              </w:rPr>
            </w:pPr>
            <w:r>
              <w:rPr>
                <w:rFonts w:hint="eastAsia" w:ascii="宋体" w:hAnsi="宋体" w:cs="宋体"/>
                <w:kern w:val="0"/>
                <w:sz w:val="24"/>
              </w:rPr>
              <w:t>1</w:t>
            </w:r>
          </w:p>
        </w:tc>
        <w:tc>
          <w:tcPr>
            <w:tcW w:w="993" w:type="dxa"/>
            <w:tcBorders>
              <w:top w:val="nil"/>
              <w:left w:val="nil"/>
              <w:bottom w:val="single" w:color="auto" w:sz="4" w:space="0"/>
              <w:right w:val="single" w:color="auto" w:sz="4" w:space="0"/>
            </w:tcBorders>
            <w:vAlign w:val="center"/>
          </w:tcPr>
          <w:p w14:paraId="46C8FF56">
            <w:pPr>
              <w:widowControl/>
              <w:jc w:val="center"/>
              <w:rPr>
                <w:rFonts w:ascii="宋体" w:hAnsi="宋体" w:cs="宋体"/>
                <w:kern w:val="0"/>
                <w:sz w:val="24"/>
              </w:rPr>
            </w:pPr>
            <w:r>
              <w:rPr>
                <w:rFonts w:hint="eastAsia" w:ascii="宋体" w:hAnsi="宋体" w:cs="宋体"/>
                <w:kern w:val="0"/>
                <w:sz w:val="24"/>
              </w:rPr>
              <w:t>★</w:t>
            </w:r>
          </w:p>
        </w:tc>
        <w:tc>
          <w:tcPr>
            <w:tcW w:w="5955" w:type="dxa"/>
            <w:tcBorders>
              <w:top w:val="nil"/>
              <w:left w:val="nil"/>
              <w:bottom w:val="single" w:color="auto" w:sz="4" w:space="0"/>
              <w:right w:val="single" w:color="auto" w:sz="4" w:space="0"/>
            </w:tcBorders>
            <w:vAlign w:val="center"/>
          </w:tcPr>
          <w:p w14:paraId="2B4D0EE1">
            <w:pPr>
              <w:widowControl/>
              <w:rPr>
                <w:rFonts w:ascii="宋体" w:hAnsi="宋体" w:cs="宋体"/>
                <w:kern w:val="0"/>
                <w:sz w:val="24"/>
              </w:rPr>
            </w:pPr>
            <w:r>
              <w:rPr>
                <w:rFonts w:hint="eastAsia" w:ascii="宋体" w:hAnsi="宋体" w:cs="宋体"/>
                <w:kern w:val="0"/>
                <w:sz w:val="24"/>
              </w:rPr>
              <w:t>额定容量：≥30KVA。</w:t>
            </w:r>
            <w:r>
              <w:rPr>
                <w:rFonts w:hint="eastAsia" w:ascii="宋体" w:hAnsi="宋体"/>
                <w:color w:val="000000"/>
                <w:sz w:val="24"/>
                <w:highlight w:val="none"/>
              </w:rPr>
              <w:t>（提供产品规格书</w:t>
            </w:r>
            <w:r>
              <w:rPr>
                <w:rFonts w:hint="eastAsia" w:ascii="宋体" w:hAnsi="宋体"/>
                <w:color w:val="000000"/>
                <w:sz w:val="24"/>
                <w:highlight w:val="none"/>
                <w:lang w:eastAsia="zh-CN"/>
              </w:rPr>
              <w:t>或</w:t>
            </w:r>
            <w:r>
              <w:rPr>
                <w:rFonts w:hint="eastAsia" w:ascii="宋体" w:hAnsi="宋体"/>
                <w:color w:val="000000"/>
                <w:sz w:val="24"/>
                <w:highlight w:val="none"/>
              </w:rPr>
              <w:t>提供具备资质的第三方检测机构出具的检测报告</w:t>
            </w:r>
            <w:r>
              <w:rPr>
                <w:rFonts w:hint="eastAsia" w:ascii="宋体" w:hAnsi="宋体"/>
                <w:color w:val="000000"/>
                <w:sz w:val="24"/>
                <w:highlight w:val="none"/>
                <w:lang w:eastAsia="zh-CN"/>
              </w:rPr>
              <w:t>或提供产品认证证书</w:t>
            </w:r>
            <w:r>
              <w:rPr>
                <w:rFonts w:hint="eastAsia" w:ascii="宋体" w:hAnsi="宋体"/>
                <w:color w:val="000000"/>
                <w:sz w:val="24"/>
                <w:highlight w:val="none"/>
              </w:rPr>
              <w:t>）</w:t>
            </w:r>
          </w:p>
        </w:tc>
        <w:tc>
          <w:tcPr>
            <w:tcW w:w="1103" w:type="dxa"/>
            <w:tcBorders>
              <w:top w:val="nil"/>
              <w:left w:val="nil"/>
              <w:bottom w:val="single" w:color="auto" w:sz="4" w:space="0"/>
              <w:right w:val="single" w:color="auto" w:sz="4" w:space="0"/>
            </w:tcBorders>
            <w:noWrap/>
            <w:vAlign w:val="center"/>
          </w:tcPr>
          <w:p w14:paraId="437691E6">
            <w:pPr>
              <w:widowControl/>
              <w:jc w:val="center"/>
              <w:rPr>
                <w:rFonts w:ascii="宋体" w:hAnsi="宋体" w:cs="宋体"/>
                <w:kern w:val="0"/>
                <w:sz w:val="24"/>
              </w:rPr>
            </w:pPr>
            <w:r>
              <w:rPr>
                <w:rFonts w:hint="eastAsia" w:ascii="宋体" w:hAnsi="宋体" w:cs="宋体"/>
                <w:kern w:val="0"/>
                <w:sz w:val="24"/>
              </w:rPr>
              <w:t>是</w:t>
            </w:r>
          </w:p>
        </w:tc>
      </w:tr>
      <w:tr w14:paraId="1854880C">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3C45D7E3">
            <w:pPr>
              <w:widowControl/>
              <w:jc w:val="center"/>
              <w:rPr>
                <w:rFonts w:ascii="宋体" w:hAnsi="宋体" w:cs="宋体"/>
                <w:kern w:val="0"/>
                <w:sz w:val="24"/>
              </w:rPr>
            </w:pPr>
            <w:r>
              <w:rPr>
                <w:rFonts w:hint="eastAsia" w:ascii="宋体" w:hAnsi="宋体" w:cs="宋体"/>
                <w:kern w:val="0"/>
                <w:sz w:val="24"/>
              </w:rPr>
              <w:t>2</w:t>
            </w:r>
          </w:p>
        </w:tc>
        <w:tc>
          <w:tcPr>
            <w:tcW w:w="993" w:type="dxa"/>
            <w:tcBorders>
              <w:top w:val="nil"/>
              <w:left w:val="nil"/>
              <w:bottom w:val="single" w:color="auto" w:sz="4" w:space="0"/>
              <w:right w:val="single" w:color="auto" w:sz="4" w:space="0"/>
            </w:tcBorders>
            <w:vAlign w:val="center"/>
          </w:tcPr>
          <w:p w14:paraId="4883804D">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0465443D">
            <w:pPr>
              <w:widowControl/>
              <w:rPr>
                <w:rFonts w:ascii="宋体" w:hAnsi="宋体" w:cs="宋体"/>
                <w:kern w:val="0"/>
                <w:sz w:val="24"/>
              </w:rPr>
            </w:pPr>
            <w:r>
              <w:rPr>
                <w:rFonts w:hint="eastAsia" w:ascii="宋体" w:hAnsi="宋体" w:cs="宋体"/>
                <w:kern w:val="0"/>
                <w:sz w:val="24"/>
              </w:rPr>
              <w:t>工作方式：三进三出在线式。配置双DSP控制器。系统采用模块化设计，系统内所有风扇采取冗余设计，配备EPO紧急关机功能。</w:t>
            </w:r>
          </w:p>
        </w:tc>
        <w:tc>
          <w:tcPr>
            <w:tcW w:w="1103" w:type="dxa"/>
            <w:tcBorders>
              <w:top w:val="nil"/>
              <w:left w:val="nil"/>
              <w:bottom w:val="single" w:color="auto" w:sz="4" w:space="0"/>
              <w:right w:val="single" w:color="auto" w:sz="4" w:space="0"/>
            </w:tcBorders>
            <w:noWrap/>
            <w:vAlign w:val="center"/>
          </w:tcPr>
          <w:p w14:paraId="1B09309E">
            <w:pPr>
              <w:widowControl/>
              <w:jc w:val="center"/>
              <w:rPr>
                <w:rFonts w:ascii="宋体" w:hAnsi="宋体" w:cs="宋体"/>
                <w:kern w:val="0"/>
                <w:sz w:val="24"/>
              </w:rPr>
            </w:pPr>
            <w:r>
              <w:rPr>
                <w:rFonts w:hint="eastAsia" w:ascii="宋体" w:hAnsi="宋体" w:cs="宋体"/>
                <w:kern w:val="0"/>
                <w:sz w:val="24"/>
              </w:rPr>
              <w:t>否</w:t>
            </w:r>
          </w:p>
        </w:tc>
      </w:tr>
      <w:tr w14:paraId="07C17CD3">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29E98E28">
            <w:pPr>
              <w:widowControl/>
              <w:jc w:val="center"/>
              <w:rPr>
                <w:rFonts w:ascii="宋体" w:hAnsi="宋体" w:cs="宋体"/>
                <w:kern w:val="0"/>
                <w:sz w:val="24"/>
              </w:rPr>
            </w:pPr>
            <w:r>
              <w:rPr>
                <w:rFonts w:hint="eastAsia" w:ascii="宋体" w:hAnsi="宋体" w:cs="宋体"/>
                <w:kern w:val="0"/>
                <w:sz w:val="24"/>
              </w:rPr>
              <w:t>3</w:t>
            </w:r>
          </w:p>
        </w:tc>
        <w:tc>
          <w:tcPr>
            <w:tcW w:w="993" w:type="dxa"/>
            <w:tcBorders>
              <w:top w:val="nil"/>
              <w:left w:val="nil"/>
              <w:bottom w:val="single" w:color="auto" w:sz="4" w:space="0"/>
              <w:right w:val="single" w:color="auto" w:sz="4" w:space="0"/>
            </w:tcBorders>
            <w:vAlign w:val="center"/>
          </w:tcPr>
          <w:p w14:paraId="7BCE5FE0">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16A87E29">
            <w:pPr>
              <w:widowControl/>
              <w:rPr>
                <w:rFonts w:ascii="宋体" w:hAnsi="宋体" w:cs="宋体"/>
                <w:kern w:val="0"/>
                <w:sz w:val="24"/>
              </w:rPr>
            </w:pPr>
            <w:r>
              <w:rPr>
                <w:rFonts w:hint="eastAsia" w:ascii="宋体" w:hAnsi="宋体" w:cs="宋体"/>
                <w:kern w:val="0"/>
                <w:sz w:val="24"/>
              </w:rPr>
              <w:t>输入电压范围：覆盖380V/400V/415V，三相四线制，输入功率因数≥0.99，输入谐波电流≤3%，整机效率≥96%，频率范围：覆盖40-70HZ。</w:t>
            </w:r>
          </w:p>
        </w:tc>
        <w:tc>
          <w:tcPr>
            <w:tcW w:w="1103" w:type="dxa"/>
            <w:tcBorders>
              <w:top w:val="nil"/>
              <w:left w:val="nil"/>
              <w:bottom w:val="single" w:color="auto" w:sz="4" w:space="0"/>
              <w:right w:val="single" w:color="auto" w:sz="4" w:space="0"/>
            </w:tcBorders>
            <w:noWrap/>
            <w:vAlign w:val="center"/>
          </w:tcPr>
          <w:p w14:paraId="768C2266">
            <w:pPr>
              <w:widowControl/>
              <w:jc w:val="center"/>
              <w:rPr>
                <w:rFonts w:ascii="宋体" w:hAnsi="宋体" w:cs="宋体"/>
                <w:kern w:val="0"/>
                <w:sz w:val="24"/>
              </w:rPr>
            </w:pPr>
            <w:r>
              <w:rPr>
                <w:rFonts w:hint="eastAsia" w:ascii="宋体" w:hAnsi="宋体" w:cs="宋体"/>
                <w:kern w:val="0"/>
                <w:sz w:val="24"/>
              </w:rPr>
              <w:t>否</w:t>
            </w:r>
          </w:p>
        </w:tc>
      </w:tr>
      <w:tr w14:paraId="74DCFC85">
        <w:tblPrEx>
          <w:tblCellMar>
            <w:top w:w="0" w:type="dxa"/>
            <w:left w:w="108" w:type="dxa"/>
            <w:bottom w:w="0" w:type="dxa"/>
            <w:right w:w="108" w:type="dxa"/>
          </w:tblCellMar>
        </w:tblPrEx>
        <w:trPr>
          <w:trHeight w:val="540" w:hRule="atLeast"/>
        </w:trPr>
        <w:tc>
          <w:tcPr>
            <w:tcW w:w="673" w:type="dxa"/>
            <w:tcBorders>
              <w:top w:val="nil"/>
              <w:left w:val="single" w:color="auto" w:sz="4" w:space="0"/>
              <w:bottom w:val="single" w:color="auto" w:sz="4" w:space="0"/>
              <w:right w:val="single" w:color="auto" w:sz="4" w:space="0"/>
            </w:tcBorders>
            <w:vAlign w:val="center"/>
          </w:tcPr>
          <w:p w14:paraId="601182A2">
            <w:pPr>
              <w:widowControl/>
              <w:jc w:val="center"/>
              <w:rPr>
                <w:rFonts w:ascii="宋体" w:hAnsi="宋体" w:cs="宋体"/>
                <w:kern w:val="0"/>
                <w:sz w:val="24"/>
              </w:rPr>
            </w:pPr>
            <w:r>
              <w:rPr>
                <w:rFonts w:hint="eastAsia" w:ascii="宋体" w:hAnsi="宋体" w:cs="宋体"/>
                <w:kern w:val="0"/>
                <w:sz w:val="24"/>
              </w:rPr>
              <w:t>4</w:t>
            </w:r>
          </w:p>
        </w:tc>
        <w:tc>
          <w:tcPr>
            <w:tcW w:w="993" w:type="dxa"/>
            <w:tcBorders>
              <w:top w:val="nil"/>
              <w:left w:val="nil"/>
              <w:bottom w:val="single" w:color="auto" w:sz="4" w:space="0"/>
              <w:right w:val="single" w:color="auto" w:sz="4" w:space="0"/>
            </w:tcBorders>
            <w:vAlign w:val="center"/>
          </w:tcPr>
          <w:p w14:paraId="69F493A2">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00E45998">
            <w:pPr>
              <w:widowControl/>
              <w:rPr>
                <w:rFonts w:ascii="宋体" w:hAnsi="宋体" w:cs="宋体"/>
                <w:kern w:val="0"/>
                <w:sz w:val="24"/>
              </w:rPr>
            </w:pPr>
            <w:r>
              <w:rPr>
                <w:rFonts w:hint="eastAsia" w:ascii="宋体" w:hAnsi="宋体" w:cs="宋体"/>
                <w:kern w:val="0"/>
                <w:sz w:val="24"/>
              </w:rPr>
              <w:t>输出电压精度：不低于±0.5%，动态电压瞬变：≤2%（0-100%负载变化），电压畸变率：THD＜0.5%（线性负载）/THD＜3%（非线性负载），功率因素：≥0.9，输出频率：50/60HZ，过载能力：105%长期/ 110%60min/125%10min/150%1min。</w:t>
            </w:r>
          </w:p>
        </w:tc>
        <w:tc>
          <w:tcPr>
            <w:tcW w:w="1103" w:type="dxa"/>
            <w:tcBorders>
              <w:top w:val="nil"/>
              <w:left w:val="nil"/>
              <w:bottom w:val="single" w:color="auto" w:sz="4" w:space="0"/>
              <w:right w:val="single" w:color="auto" w:sz="4" w:space="0"/>
            </w:tcBorders>
            <w:noWrap/>
            <w:vAlign w:val="center"/>
          </w:tcPr>
          <w:p w14:paraId="78E2981B">
            <w:pPr>
              <w:widowControl/>
              <w:jc w:val="center"/>
              <w:rPr>
                <w:rFonts w:ascii="宋体" w:hAnsi="宋体" w:cs="宋体"/>
                <w:kern w:val="0"/>
                <w:sz w:val="24"/>
              </w:rPr>
            </w:pPr>
            <w:r>
              <w:rPr>
                <w:rFonts w:hint="eastAsia" w:ascii="宋体" w:hAnsi="宋体" w:cs="宋体"/>
                <w:kern w:val="0"/>
                <w:sz w:val="24"/>
              </w:rPr>
              <w:t>否</w:t>
            </w:r>
          </w:p>
        </w:tc>
      </w:tr>
      <w:tr w14:paraId="6031F702">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695E290C">
            <w:pPr>
              <w:widowControl/>
              <w:jc w:val="center"/>
              <w:rPr>
                <w:rFonts w:ascii="宋体" w:hAnsi="宋体" w:cs="宋体"/>
                <w:kern w:val="0"/>
                <w:sz w:val="24"/>
              </w:rPr>
            </w:pPr>
            <w:r>
              <w:rPr>
                <w:rFonts w:hint="eastAsia" w:ascii="宋体" w:hAnsi="宋体" w:cs="宋体"/>
                <w:kern w:val="0"/>
                <w:sz w:val="24"/>
              </w:rPr>
              <w:t>5</w:t>
            </w:r>
          </w:p>
        </w:tc>
        <w:tc>
          <w:tcPr>
            <w:tcW w:w="993" w:type="dxa"/>
            <w:tcBorders>
              <w:top w:val="nil"/>
              <w:left w:val="nil"/>
              <w:bottom w:val="single" w:color="auto" w:sz="4" w:space="0"/>
              <w:right w:val="single" w:color="auto" w:sz="4" w:space="0"/>
            </w:tcBorders>
            <w:vAlign w:val="center"/>
          </w:tcPr>
          <w:p w14:paraId="66E361FF">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2757556C">
            <w:pPr>
              <w:widowControl/>
              <w:rPr>
                <w:rFonts w:ascii="宋体" w:hAnsi="宋体" w:cs="宋体"/>
                <w:kern w:val="0"/>
                <w:sz w:val="24"/>
              </w:rPr>
            </w:pPr>
            <w:r>
              <w:rPr>
                <w:rFonts w:hint="eastAsia" w:ascii="宋体" w:hAnsi="宋体" w:cs="宋体"/>
                <w:kern w:val="0"/>
                <w:sz w:val="24"/>
              </w:rPr>
              <w:t>显示屏：LCD+LED。</w:t>
            </w:r>
          </w:p>
        </w:tc>
        <w:tc>
          <w:tcPr>
            <w:tcW w:w="1103" w:type="dxa"/>
            <w:tcBorders>
              <w:top w:val="nil"/>
              <w:left w:val="nil"/>
              <w:bottom w:val="single" w:color="auto" w:sz="4" w:space="0"/>
              <w:right w:val="single" w:color="auto" w:sz="4" w:space="0"/>
            </w:tcBorders>
            <w:noWrap/>
            <w:vAlign w:val="center"/>
          </w:tcPr>
          <w:p w14:paraId="79C24327">
            <w:pPr>
              <w:widowControl/>
              <w:jc w:val="center"/>
              <w:rPr>
                <w:rFonts w:ascii="宋体" w:hAnsi="宋体" w:cs="宋体"/>
                <w:kern w:val="0"/>
                <w:sz w:val="24"/>
              </w:rPr>
            </w:pPr>
            <w:r>
              <w:rPr>
                <w:rFonts w:hint="eastAsia" w:ascii="宋体" w:hAnsi="宋体" w:cs="宋体"/>
                <w:kern w:val="0"/>
                <w:sz w:val="24"/>
              </w:rPr>
              <w:t>否</w:t>
            </w:r>
          </w:p>
        </w:tc>
      </w:tr>
      <w:tr w14:paraId="5C9AAB68">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55C44AF4">
            <w:pPr>
              <w:widowControl/>
              <w:jc w:val="center"/>
              <w:rPr>
                <w:rFonts w:ascii="宋体" w:hAnsi="宋体" w:cs="宋体"/>
                <w:kern w:val="0"/>
                <w:sz w:val="24"/>
              </w:rPr>
            </w:pPr>
            <w:r>
              <w:rPr>
                <w:rFonts w:hint="eastAsia" w:ascii="宋体" w:hAnsi="宋体" w:cs="宋体"/>
                <w:kern w:val="0"/>
                <w:sz w:val="24"/>
              </w:rPr>
              <w:t>6</w:t>
            </w:r>
          </w:p>
        </w:tc>
        <w:tc>
          <w:tcPr>
            <w:tcW w:w="993" w:type="dxa"/>
            <w:tcBorders>
              <w:top w:val="nil"/>
              <w:left w:val="nil"/>
              <w:bottom w:val="single" w:color="auto" w:sz="4" w:space="0"/>
              <w:right w:val="single" w:color="auto" w:sz="4" w:space="0"/>
            </w:tcBorders>
            <w:vAlign w:val="center"/>
          </w:tcPr>
          <w:p w14:paraId="64253523">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49B5E3EE">
            <w:pPr>
              <w:widowControl/>
              <w:rPr>
                <w:rFonts w:ascii="宋体" w:hAnsi="宋体" w:cs="宋体"/>
                <w:kern w:val="0"/>
                <w:sz w:val="24"/>
              </w:rPr>
            </w:pPr>
            <w:r>
              <w:rPr>
                <w:rFonts w:hint="eastAsia" w:ascii="宋体" w:hAnsi="宋体" w:cs="宋体"/>
                <w:kern w:val="0"/>
                <w:sz w:val="24"/>
              </w:rPr>
              <w:t>防护等级：≥IP20。</w:t>
            </w:r>
          </w:p>
        </w:tc>
        <w:tc>
          <w:tcPr>
            <w:tcW w:w="1103" w:type="dxa"/>
            <w:tcBorders>
              <w:top w:val="nil"/>
              <w:left w:val="nil"/>
              <w:bottom w:val="single" w:color="auto" w:sz="4" w:space="0"/>
              <w:right w:val="single" w:color="auto" w:sz="4" w:space="0"/>
            </w:tcBorders>
            <w:noWrap/>
            <w:vAlign w:val="center"/>
          </w:tcPr>
          <w:p w14:paraId="3C1859BA">
            <w:pPr>
              <w:widowControl/>
              <w:jc w:val="center"/>
              <w:rPr>
                <w:rFonts w:ascii="宋体" w:hAnsi="宋体" w:cs="宋体"/>
                <w:kern w:val="0"/>
                <w:sz w:val="24"/>
              </w:rPr>
            </w:pPr>
            <w:r>
              <w:rPr>
                <w:rFonts w:hint="eastAsia" w:ascii="宋体" w:hAnsi="宋体" w:cs="宋体"/>
                <w:kern w:val="0"/>
                <w:sz w:val="24"/>
              </w:rPr>
              <w:t>否</w:t>
            </w:r>
          </w:p>
        </w:tc>
      </w:tr>
      <w:tr w14:paraId="0EC609B7">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7B5C1F2D">
            <w:pPr>
              <w:widowControl/>
              <w:jc w:val="center"/>
              <w:rPr>
                <w:rFonts w:ascii="宋体" w:hAnsi="宋体" w:cs="宋体"/>
                <w:kern w:val="0"/>
                <w:sz w:val="24"/>
              </w:rPr>
            </w:pPr>
            <w:r>
              <w:rPr>
                <w:rFonts w:hint="eastAsia" w:ascii="宋体" w:hAnsi="宋体" w:cs="宋体"/>
                <w:kern w:val="0"/>
                <w:sz w:val="24"/>
              </w:rPr>
              <w:t>7</w:t>
            </w:r>
          </w:p>
        </w:tc>
        <w:tc>
          <w:tcPr>
            <w:tcW w:w="993" w:type="dxa"/>
            <w:tcBorders>
              <w:top w:val="nil"/>
              <w:left w:val="nil"/>
              <w:bottom w:val="single" w:color="auto" w:sz="4" w:space="0"/>
              <w:right w:val="single" w:color="auto" w:sz="4" w:space="0"/>
            </w:tcBorders>
            <w:vAlign w:val="center"/>
          </w:tcPr>
          <w:p w14:paraId="46D7E900">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1481BDA9">
            <w:pPr>
              <w:widowControl/>
              <w:rPr>
                <w:rFonts w:ascii="宋体" w:hAnsi="宋体" w:cs="宋体"/>
                <w:kern w:val="0"/>
                <w:sz w:val="24"/>
              </w:rPr>
            </w:pPr>
            <w:r>
              <w:rPr>
                <w:rFonts w:hint="eastAsia" w:ascii="宋体" w:hAnsi="宋体" w:cs="宋体"/>
                <w:kern w:val="0"/>
                <w:sz w:val="24"/>
              </w:rPr>
              <w:t>通信接口：标配RS232,RS482。</w:t>
            </w:r>
          </w:p>
        </w:tc>
        <w:tc>
          <w:tcPr>
            <w:tcW w:w="1103" w:type="dxa"/>
            <w:tcBorders>
              <w:top w:val="nil"/>
              <w:left w:val="nil"/>
              <w:bottom w:val="single" w:color="auto" w:sz="4" w:space="0"/>
              <w:right w:val="single" w:color="auto" w:sz="4" w:space="0"/>
            </w:tcBorders>
            <w:noWrap/>
            <w:vAlign w:val="center"/>
          </w:tcPr>
          <w:p w14:paraId="27A47D6F">
            <w:pPr>
              <w:widowControl/>
              <w:jc w:val="center"/>
              <w:rPr>
                <w:rFonts w:ascii="宋体" w:hAnsi="宋体" w:cs="宋体"/>
                <w:kern w:val="0"/>
                <w:sz w:val="24"/>
              </w:rPr>
            </w:pPr>
            <w:r>
              <w:rPr>
                <w:rFonts w:hint="eastAsia" w:ascii="宋体" w:hAnsi="宋体" w:cs="宋体"/>
                <w:kern w:val="0"/>
                <w:sz w:val="24"/>
              </w:rPr>
              <w:t>否</w:t>
            </w:r>
          </w:p>
        </w:tc>
      </w:tr>
      <w:tr w14:paraId="6651E769">
        <w:tblPrEx>
          <w:tblCellMar>
            <w:top w:w="0" w:type="dxa"/>
            <w:left w:w="108" w:type="dxa"/>
            <w:bottom w:w="0" w:type="dxa"/>
            <w:right w:w="108" w:type="dxa"/>
          </w:tblCellMar>
        </w:tblPrEx>
        <w:trPr>
          <w:trHeight w:val="840" w:hRule="atLeast"/>
        </w:trPr>
        <w:tc>
          <w:tcPr>
            <w:tcW w:w="673" w:type="dxa"/>
            <w:tcBorders>
              <w:top w:val="nil"/>
              <w:left w:val="single" w:color="auto" w:sz="4" w:space="0"/>
              <w:bottom w:val="single" w:color="auto" w:sz="4" w:space="0"/>
              <w:right w:val="single" w:color="auto" w:sz="4" w:space="0"/>
            </w:tcBorders>
            <w:vAlign w:val="center"/>
          </w:tcPr>
          <w:p w14:paraId="2FB16F6F">
            <w:pPr>
              <w:widowControl/>
              <w:jc w:val="center"/>
              <w:rPr>
                <w:rFonts w:ascii="宋体" w:hAnsi="宋体" w:cs="宋体"/>
                <w:kern w:val="0"/>
                <w:sz w:val="24"/>
              </w:rPr>
            </w:pPr>
            <w:r>
              <w:rPr>
                <w:rFonts w:hint="eastAsia" w:ascii="宋体" w:hAnsi="宋体" w:cs="宋体"/>
                <w:kern w:val="0"/>
                <w:sz w:val="24"/>
              </w:rPr>
              <w:t>8</w:t>
            </w:r>
          </w:p>
        </w:tc>
        <w:tc>
          <w:tcPr>
            <w:tcW w:w="993" w:type="dxa"/>
            <w:tcBorders>
              <w:top w:val="nil"/>
              <w:left w:val="nil"/>
              <w:bottom w:val="single" w:color="auto" w:sz="4" w:space="0"/>
              <w:right w:val="single" w:color="auto" w:sz="4" w:space="0"/>
            </w:tcBorders>
            <w:vAlign w:val="center"/>
          </w:tcPr>
          <w:p w14:paraId="0AD22B51">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25115912">
            <w:pPr>
              <w:widowControl/>
              <w:rPr>
                <w:rFonts w:ascii="宋体" w:hAnsi="宋体" w:cs="宋体"/>
                <w:kern w:val="0"/>
                <w:sz w:val="24"/>
              </w:rPr>
            </w:pPr>
            <w:r>
              <w:rPr>
                <w:rFonts w:hint="eastAsia" w:ascii="宋体" w:hAnsi="宋体" w:cs="宋体"/>
                <w:kern w:val="0"/>
                <w:sz w:val="24"/>
              </w:rPr>
              <w:t>含UPS主机散力架1套：50mm*50mm角钢，100mm*50mm槽钢，采用网格化井字形结构。焊材选择：采用ER50-6镀铜焊丝，配合CO₂气体保护焊工艺，确保焊缝金属韧性及抗裂性，焊缝强度与母材匹配度≥95%以上。焊接规范：严格执行《钢结构焊接规范》(GB 50661-2011)，包括坡口加工、定位焊、多层多道焊等全流程控制。防锈防腐：所有焊接点需做防锈防腐处理，通常采用静电喷粉烤漆工艺，涂层附着牢固，防氧化，耐酸碱。</w:t>
            </w:r>
          </w:p>
        </w:tc>
        <w:tc>
          <w:tcPr>
            <w:tcW w:w="1103" w:type="dxa"/>
            <w:tcBorders>
              <w:top w:val="nil"/>
              <w:left w:val="nil"/>
              <w:bottom w:val="single" w:color="auto" w:sz="4" w:space="0"/>
              <w:right w:val="single" w:color="auto" w:sz="4" w:space="0"/>
            </w:tcBorders>
            <w:noWrap/>
            <w:vAlign w:val="center"/>
          </w:tcPr>
          <w:p w14:paraId="15510A50">
            <w:pPr>
              <w:widowControl/>
              <w:jc w:val="center"/>
              <w:rPr>
                <w:rFonts w:ascii="宋体" w:hAnsi="宋体" w:cs="宋体"/>
                <w:kern w:val="0"/>
                <w:sz w:val="24"/>
              </w:rPr>
            </w:pPr>
            <w:r>
              <w:rPr>
                <w:rFonts w:hint="eastAsia" w:ascii="宋体" w:hAnsi="宋体" w:cs="宋体"/>
                <w:kern w:val="0"/>
                <w:sz w:val="24"/>
              </w:rPr>
              <w:t>否</w:t>
            </w:r>
          </w:p>
        </w:tc>
      </w:tr>
      <w:tr w14:paraId="20D6A33F">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044D1F47">
            <w:pPr>
              <w:widowControl/>
              <w:jc w:val="center"/>
              <w:rPr>
                <w:rFonts w:ascii="宋体" w:hAnsi="宋体" w:cs="宋体"/>
                <w:kern w:val="0"/>
                <w:sz w:val="24"/>
              </w:rPr>
            </w:pPr>
            <w:r>
              <w:rPr>
                <w:rFonts w:hint="eastAsia" w:ascii="宋体" w:hAnsi="宋体" w:cs="宋体"/>
                <w:kern w:val="0"/>
                <w:sz w:val="24"/>
              </w:rPr>
              <w:t>9</w:t>
            </w:r>
          </w:p>
        </w:tc>
        <w:tc>
          <w:tcPr>
            <w:tcW w:w="993" w:type="dxa"/>
            <w:tcBorders>
              <w:top w:val="nil"/>
              <w:left w:val="nil"/>
              <w:bottom w:val="single" w:color="auto" w:sz="4" w:space="0"/>
              <w:right w:val="single" w:color="auto" w:sz="4" w:space="0"/>
            </w:tcBorders>
            <w:vAlign w:val="center"/>
          </w:tcPr>
          <w:p w14:paraId="10A1ACD8">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6E559CED">
            <w:pPr>
              <w:widowControl/>
              <w:rPr>
                <w:rFonts w:ascii="宋体" w:hAnsi="宋体" w:cs="宋体"/>
                <w:kern w:val="0"/>
                <w:sz w:val="24"/>
              </w:rPr>
            </w:pPr>
            <w:r>
              <w:rPr>
                <w:rFonts w:hint="eastAsia" w:ascii="宋体" w:hAnsi="宋体" w:cs="宋体"/>
                <w:kern w:val="0"/>
                <w:sz w:val="24"/>
              </w:rPr>
              <w:t>含电池连接线：低烟无卤，阻燃BVR线缆。（长度满足现场实际需要）</w:t>
            </w:r>
          </w:p>
        </w:tc>
        <w:tc>
          <w:tcPr>
            <w:tcW w:w="1103" w:type="dxa"/>
            <w:tcBorders>
              <w:top w:val="nil"/>
              <w:left w:val="nil"/>
              <w:bottom w:val="single" w:color="auto" w:sz="4" w:space="0"/>
              <w:right w:val="single" w:color="auto" w:sz="4" w:space="0"/>
            </w:tcBorders>
            <w:noWrap/>
            <w:vAlign w:val="center"/>
          </w:tcPr>
          <w:p w14:paraId="4189D2DB">
            <w:pPr>
              <w:widowControl/>
              <w:jc w:val="center"/>
              <w:rPr>
                <w:rFonts w:ascii="宋体" w:hAnsi="宋体" w:cs="宋体"/>
                <w:kern w:val="0"/>
                <w:sz w:val="24"/>
              </w:rPr>
            </w:pPr>
            <w:r>
              <w:rPr>
                <w:rFonts w:hint="eastAsia" w:ascii="宋体" w:hAnsi="宋体" w:cs="宋体"/>
                <w:kern w:val="0"/>
                <w:sz w:val="24"/>
              </w:rPr>
              <w:t>否</w:t>
            </w:r>
          </w:p>
        </w:tc>
      </w:tr>
      <w:tr w14:paraId="4EFCE09C">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431E77D5">
            <w:pPr>
              <w:widowControl/>
              <w:jc w:val="center"/>
              <w:rPr>
                <w:rFonts w:ascii="宋体" w:hAnsi="宋体" w:cs="宋体"/>
                <w:kern w:val="0"/>
                <w:sz w:val="24"/>
              </w:rPr>
            </w:pPr>
            <w:r>
              <w:rPr>
                <w:rFonts w:hint="eastAsia" w:ascii="宋体" w:hAnsi="宋体" w:cs="宋体"/>
                <w:kern w:val="0"/>
                <w:sz w:val="24"/>
              </w:rPr>
              <w:t>10</w:t>
            </w:r>
          </w:p>
        </w:tc>
        <w:tc>
          <w:tcPr>
            <w:tcW w:w="993" w:type="dxa"/>
            <w:tcBorders>
              <w:top w:val="nil"/>
              <w:left w:val="nil"/>
              <w:bottom w:val="single" w:color="auto" w:sz="4" w:space="0"/>
              <w:right w:val="single" w:color="auto" w:sz="4" w:space="0"/>
            </w:tcBorders>
            <w:vAlign w:val="center"/>
          </w:tcPr>
          <w:p w14:paraId="4F1282D7">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6E5613CA">
            <w:pPr>
              <w:widowControl/>
              <w:rPr>
                <w:rFonts w:ascii="宋体" w:hAnsi="宋体" w:cs="宋体"/>
                <w:kern w:val="0"/>
                <w:sz w:val="24"/>
              </w:rPr>
            </w:pPr>
            <w:r>
              <w:rPr>
                <w:rFonts w:hint="eastAsia" w:ascii="宋体" w:hAnsi="宋体" w:cs="宋体"/>
                <w:kern w:val="0"/>
                <w:sz w:val="24"/>
              </w:rPr>
              <w:t>含输入输出线缆：低烟无卤，阻燃YJV电缆（长度满足现场实际需要）</w:t>
            </w:r>
          </w:p>
        </w:tc>
        <w:tc>
          <w:tcPr>
            <w:tcW w:w="1103" w:type="dxa"/>
            <w:tcBorders>
              <w:top w:val="nil"/>
              <w:left w:val="nil"/>
              <w:bottom w:val="single" w:color="auto" w:sz="4" w:space="0"/>
              <w:right w:val="single" w:color="auto" w:sz="4" w:space="0"/>
            </w:tcBorders>
            <w:noWrap/>
            <w:vAlign w:val="center"/>
          </w:tcPr>
          <w:p w14:paraId="18385ADA">
            <w:pPr>
              <w:widowControl/>
              <w:jc w:val="center"/>
              <w:rPr>
                <w:rFonts w:ascii="宋体" w:hAnsi="宋体" w:cs="宋体"/>
                <w:kern w:val="0"/>
                <w:sz w:val="24"/>
              </w:rPr>
            </w:pPr>
            <w:r>
              <w:rPr>
                <w:rFonts w:hint="eastAsia" w:ascii="宋体" w:hAnsi="宋体" w:cs="宋体"/>
                <w:kern w:val="0"/>
                <w:sz w:val="24"/>
              </w:rPr>
              <w:t>否</w:t>
            </w:r>
          </w:p>
        </w:tc>
      </w:tr>
    </w:tbl>
    <w:p w14:paraId="47CE8751">
      <w:pPr>
        <w:spacing w:line="360" w:lineRule="auto"/>
        <w:rPr>
          <w:rFonts w:ascii="宋体" w:hAnsi="宋体" w:cs="宋体"/>
          <w:sz w:val="24"/>
        </w:rPr>
      </w:pPr>
    </w:p>
    <w:p w14:paraId="399E4B2E">
      <w:pPr>
        <w:spacing w:line="360" w:lineRule="auto"/>
        <w:ind w:left="420" w:leftChars="200"/>
        <w:outlineLvl w:val="3"/>
        <w:rPr>
          <w:rFonts w:ascii="宋体" w:hAnsi="宋体" w:cs="宋体"/>
          <w:sz w:val="24"/>
        </w:rPr>
      </w:pPr>
      <w:r>
        <w:rPr>
          <w:rFonts w:hint="eastAsia" w:ascii="宋体" w:hAnsi="宋体" w:cs="宋体"/>
          <w:sz w:val="24"/>
        </w:rPr>
        <w:t>2.1.2 会议平板一体机</w:t>
      </w:r>
    </w:p>
    <w:tbl>
      <w:tblPr>
        <w:tblStyle w:val="15"/>
        <w:tblW w:w="8724" w:type="dxa"/>
        <w:tblInd w:w="0" w:type="dxa"/>
        <w:tblLayout w:type="fixed"/>
        <w:tblCellMar>
          <w:top w:w="0" w:type="dxa"/>
          <w:left w:w="108" w:type="dxa"/>
          <w:bottom w:w="0" w:type="dxa"/>
          <w:right w:w="108" w:type="dxa"/>
        </w:tblCellMar>
      </w:tblPr>
      <w:tblGrid>
        <w:gridCol w:w="673"/>
        <w:gridCol w:w="993"/>
        <w:gridCol w:w="5955"/>
        <w:gridCol w:w="1103"/>
      </w:tblGrid>
      <w:tr w14:paraId="00EF8F1E">
        <w:tblPrEx>
          <w:tblCellMar>
            <w:top w:w="0" w:type="dxa"/>
            <w:left w:w="108" w:type="dxa"/>
            <w:bottom w:w="0" w:type="dxa"/>
            <w:right w:w="108" w:type="dxa"/>
          </w:tblCellMar>
        </w:tblPrEx>
        <w:trPr>
          <w:trHeight w:val="540" w:hRule="atLeast"/>
          <w:tblHeader/>
        </w:trPr>
        <w:tc>
          <w:tcPr>
            <w:tcW w:w="673" w:type="dxa"/>
            <w:tcBorders>
              <w:top w:val="single" w:color="auto" w:sz="4" w:space="0"/>
              <w:left w:val="single" w:color="auto" w:sz="4" w:space="0"/>
              <w:bottom w:val="single" w:color="auto" w:sz="4" w:space="0"/>
              <w:right w:val="single" w:color="auto" w:sz="4" w:space="0"/>
            </w:tcBorders>
            <w:vAlign w:val="center"/>
          </w:tcPr>
          <w:p w14:paraId="1F0DF43C">
            <w:pPr>
              <w:widowControl/>
              <w:jc w:val="center"/>
              <w:rPr>
                <w:rFonts w:ascii="宋体" w:hAnsi="宋体" w:cs="宋体"/>
                <w:b/>
                <w:bCs/>
                <w:kern w:val="0"/>
                <w:sz w:val="24"/>
              </w:rPr>
            </w:pPr>
            <w:r>
              <w:rPr>
                <w:rFonts w:hint="eastAsia" w:ascii="宋体" w:hAnsi="宋体" w:cs="宋体"/>
                <w:b/>
                <w:bCs/>
                <w:kern w:val="0"/>
                <w:sz w:val="24"/>
              </w:rPr>
              <w:t>序号</w:t>
            </w:r>
          </w:p>
        </w:tc>
        <w:tc>
          <w:tcPr>
            <w:tcW w:w="993" w:type="dxa"/>
            <w:tcBorders>
              <w:top w:val="single" w:color="auto" w:sz="4" w:space="0"/>
              <w:left w:val="nil"/>
              <w:bottom w:val="single" w:color="auto" w:sz="4" w:space="0"/>
              <w:right w:val="single" w:color="auto" w:sz="4" w:space="0"/>
            </w:tcBorders>
            <w:vAlign w:val="center"/>
          </w:tcPr>
          <w:p w14:paraId="2C78408B">
            <w:pPr>
              <w:widowControl/>
              <w:jc w:val="center"/>
              <w:rPr>
                <w:rFonts w:ascii="宋体" w:hAnsi="宋体" w:cs="宋体"/>
                <w:b/>
                <w:bCs/>
                <w:kern w:val="0"/>
                <w:sz w:val="24"/>
              </w:rPr>
            </w:pPr>
            <w:r>
              <w:rPr>
                <w:rFonts w:hint="eastAsia" w:ascii="宋体" w:hAnsi="宋体" w:cs="宋体"/>
                <w:b/>
                <w:bCs/>
                <w:kern w:val="0"/>
                <w:sz w:val="24"/>
              </w:rPr>
              <w:t>重要性</w:t>
            </w:r>
          </w:p>
        </w:tc>
        <w:tc>
          <w:tcPr>
            <w:tcW w:w="5955" w:type="dxa"/>
            <w:tcBorders>
              <w:top w:val="single" w:color="auto" w:sz="4" w:space="0"/>
              <w:left w:val="nil"/>
              <w:bottom w:val="single" w:color="auto" w:sz="4" w:space="0"/>
              <w:right w:val="single" w:color="auto" w:sz="4" w:space="0"/>
            </w:tcBorders>
            <w:vAlign w:val="center"/>
          </w:tcPr>
          <w:p w14:paraId="1037E58F">
            <w:pPr>
              <w:widowControl/>
              <w:jc w:val="center"/>
              <w:rPr>
                <w:rFonts w:ascii="宋体" w:hAnsi="宋体" w:cs="宋体"/>
                <w:b/>
                <w:bCs/>
                <w:kern w:val="0"/>
                <w:sz w:val="24"/>
              </w:rPr>
            </w:pPr>
            <w:r>
              <w:rPr>
                <w:rFonts w:hint="eastAsia" w:ascii="宋体" w:hAnsi="宋体" w:cs="宋体"/>
                <w:b/>
                <w:bCs/>
                <w:kern w:val="0"/>
                <w:sz w:val="24"/>
              </w:rPr>
              <w:t>具体指标内容</w:t>
            </w:r>
          </w:p>
        </w:tc>
        <w:tc>
          <w:tcPr>
            <w:tcW w:w="1103" w:type="dxa"/>
            <w:tcBorders>
              <w:top w:val="single" w:color="auto" w:sz="4" w:space="0"/>
              <w:left w:val="nil"/>
              <w:bottom w:val="single" w:color="auto" w:sz="4" w:space="0"/>
              <w:right w:val="single" w:color="auto" w:sz="4" w:space="0"/>
            </w:tcBorders>
            <w:vAlign w:val="center"/>
          </w:tcPr>
          <w:p w14:paraId="089F7DC3">
            <w:pPr>
              <w:widowControl/>
              <w:jc w:val="center"/>
              <w:rPr>
                <w:rFonts w:ascii="宋体" w:hAnsi="宋体" w:cs="宋体"/>
                <w:b/>
                <w:bCs/>
                <w:kern w:val="0"/>
                <w:sz w:val="24"/>
              </w:rPr>
            </w:pPr>
            <w:r>
              <w:rPr>
                <w:rFonts w:hint="eastAsia" w:ascii="宋体" w:hAnsi="宋体" w:cs="宋体"/>
                <w:b/>
                <w:bCs/>
                <w:kern w:val="0"/>
                <w:sz w:val="24"/>
              </w:rPr>
              <w:t>是否需要证明材料</w:t>
            </w:r>
          </w:p>
        </w:tc>
      </w:tr>
      <w:tr w14:paraId="66E3FEEE">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24DDDF18">
            <w:pPr>
              <w:widowControl/>
              <w:jc w:val="center"/>
              <w:rPr>
                <w:rFonts w:ascii="宋体" w:hAnsi="宋体" w:cs="宋体"/>
                <w:kern w:val="0"/>
                <w:sz w:val="24"/>
              </w:rPr>
            </w:pPr>
            <w:r>
              <w:rPr>
                <w:rFonts w:hint="eastAsia" w:ascii="宋体" w:hAnsi="宋体" w:cs="宋体"/>
                <w:kern w:val="0"/>
                <w:sz w:val="24"/>
              </w:rPr>
              <w:t>1</w:t>
            </w:r>
          </w:p>
        </w:tc>
        <w:tc>
          <w:tcPr>
            <w:tcW w:w="993" w:type="dxa"/>
            <w:tcBorders>
              <w:top w:val="nil"/>
              <w:left w:val="nil"/>
              <w:bottom w:val="single" w:color="auto" w:sz="4" w:space="0"/>
              <w:right w:val="single" w:color="auto" w:sz="4" w:space="0"/>
            </w:tcBorders>
            <w:vAlign w:val="center"/>
          </w:tcPr>
          <w:p w14:paraId="514086AB">
            <w:pPr>
              <w:widowControl/>
              <w:jc w:val="center"/>
              <w:rPr>
                <w:rFonts w:ascii="宋体" w:hAnsi="宋体" w:cs="宋体"/>
                <w:kern w:val="0"/>
                <w:sz w:val="24"/>
              </w:rPr>
            </w:pPr>
            <w:r>
              <w:rPr>
                <w:rFonts w:hint="eastAsia" w:ascii="宋体" w:hAnsi="宋体" w:cs="宋体"/>
                <w:kern w:val="0"/>
                <w:sz w:val="24"/>
              </w:rPr>
              <w:t>#</w:t>
            </w:r>
          </w:p>
        </w:tc>
        <w:tc>
          <w:tcPr>
            <w:tcW w:w="5955" w:type="dxa"/>
            <w:tcBorders>
              <w:top w:val="nil"/>
              <w:left w:val="nil"/>
              <w:bottom w:val="single" w:color="auto" w:sz="4" w:space="0"/>
              <w:right w:val="single" w:color="auto" w:sz="4" w:space="0"/>
            </w:tcBorders>
            <w:vAlign w:val="center"/>
          </w:tcPr>
          <w:p w14:paraId="409CAE08">
            <w:pPr>
              <w:widowControl/>
              <w:rPr>
                <w:rFonts w:ascii="宋体" w:hAnsi="宋体" w:cs="宋体"/>
                <w:kern w:val="0"/>
                <w:sz w:val="24"/>
              </w:rPr>
            </w:pPr>
            <w:r>
              <w:rPr>
                <w:rFonts w:hint="eastAsia" w:ascii="宋体" w:hAnsi="宋体" w:cs="宋体"/>
                <w:kern w:val="0"/>
                <w:sz w:val="24"/>
              </w:rPr>
              <w:t xml:space="preserve">尺寸≥98英寸DLED液晶，分辨率≥3840*2160像素，显示区域≥2160.8（H）×1216.4（V）mm； </w:t>
            </w:r>
            <w:r>
              <w:rPr>
                <w:rFonts w:hint="eastAsia" w:ascii="宋体" w:hAnsi="宋体"/>
                <w:color w:val="000000"/>
                <w:sz w:val="24"/>
                <w:highlight w:val="none"/>
              </w:rPr>
              <w:t>（提供具备资质的第三方检测机构出具的</w:t>
            </w:r>
            <w:r>
              <w:rPr>
                <w:rFonts w:hint="eastAsia" w:ascii="宋体" w:hAnsi="宋体"/>
                <w:color w:val="000000"/>
                <w:sz w:val="24"/>
                <w:highlight w:val="none"/>
                <w:lang w:eastAsia="zh-CN"/>
              </w:rPr>
              <w:t>检验</w:t>
            </w:r>
            <w:r>
              <w:rPr>
                <w:rFonts w:hint="eastAsia" w:ascii="宋体" w:hAnsi="宋体"/>
                <w:color w:val="000000"/>
                <w:sz w:val="24"/>
                <w:highlight w:val="none"/>
              </w:rPr>
              <w:t>报告）</w:t>
            </w:r>
          </w:p>
        </w:tc>
        <w:tc>
          <w:tcPr>
            <w:tcW w:w="1103" w:type="dxa"/>
            <w:tcBorders>
              <w:top w:val="nil"/>
              <w:left w:val="nil"/>
              <w:bottom w:val="single" w:color="auto" w:sz="4" w:space="0"/>
              <w:right w:val="single" w:color="auto" w:sz="4" w:space="0"/>
            </w:tcBorders>
            <w:noWrap/>
            <w:vAlign w:val="center"/>
          </w:tcPr>
          <w:p w14:paraId="34C21882">
            <w:pPr>
              <w:widowControl/>
              <w:jc w:val="center"/>
              <w:rPr>
                <w:rFonts w:ascii="宋体" w:hAnsi="宋体" w:cs="宋体"/>
                <w:kern w:val="0"/>
                <w:sz w:val="24"/>
              </w:rPr>
            </w:pPr>
            <w:r>
              <w:rPr>
                <w:rFonts w:hint="eastAsia" w:ascii="宋体" w:hAnsi="宋体" w:cs="宋体"/>
                <w:kern w:val="0"/>
                <w:sz w:val="24"/>
              </w:rPr>
              <w:t>是</w:t>
            </w:r>
          </w:p>
        </w:tc>
      </w:tr>
      <w:tr w14:paraId="4DCD3083">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46248491">
            <w:pPr>
              <w:widowControl/>
              <w:jc w:val="center"/>
              <w:rPr>
                <w:rFonts w:ascii="宋体" w:hAnsi="宋体" w:cs="宋体"/>
                <w:kern w:val="0"/>
                <w:sz w:val="24"/>
              </w:rPr>
            </w:pPr>
            <w:r>
              <w:rPr>
                <w:rFonts w:hint="eastAsia" w:ascii="宋体" w:hAnsi="宋体" w:cs="宋体"/>
                <w:kern w:val="0"/>
                <w:sz w:val="24"/>
              </w:rPr>
              <w:t>2</w:t>
            </w:r>
          </w:p>
        </w:tc>
        <w:tc>
          <w:tcPr>
            <w:tcW w:w="993" w:type="dxa"/>
            <w:tcBorders>
              <w:top w:val="nil"/>
              <w:left w:val="nil"/>
              <w:bottom w:val="single" w:color="auto" w:sz="4" w:space="0"/>
              <w:right w:val="single" w:color="auto" w:sz="4" w:space="0"/>
            </w:tcBorders>
            <w:vAlign w:val="center"/>
          </w:tcPr>
          <w:p w14:paraId="5DCA4073">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228160CF">
            <w:pPr>
              <w:widowControl/>
              <w:rPr>
                <w:rFonts w:ascii="宋体" w:hAnsi="宋体" w:cs="宋体"/>
                <w:kern w:val="0"/>
                <w:sz w:val="24"/>
              </w:rPr>
            </w:pPr>
            <w:r>
              <w:rPr>
                <w:rFonts w:hint="eastAsia" w:ascii="宋体" w:hAnsi="宋体" w:cs="宋体"/>
                <w:kern w:val="0"/>
                <w:sz w:val="24"/>
              </w:rPr>
              <w:t>对比度≥4000：1；</w:t>
            </w:r>
          </w:p>
        </w:tc>
        <w:tc>
          <w:tcPr>
            <w:tcW w:w="1103" w:type="dxa"/>
            <w:tcBorders>
              <w:top w:val="nil"/>
              <w:left w:val="nil"/>
              <w:bottom w:val="single" w:color="auto" w:sz="4" w:space="0"/>
              <w:right w:val="single" w:color="auto" w:sz="4" w:space="0"/>
            </w:tcBorders>
            <w:noWrap/>
            <w:vAlign w:val="center"/>
          </w:tcPr>
          <w:p w14:paraId="1DD9348C">
            <w:pPr>
              <w:widowControl/>
              <w:jc w:val="center"/>
              <w:rPr>
                <w:rFonts w:ascii="宋体" w:hAnsi="宋体" w:cs="宋体"/>
                <w:kern w:val="0"/>
                <w:sz w:val="24"/>
              </w:rPr>
            </w:pPr>
            <w:r>
              <w:rPr>
                <w:rFonts w:hint="eastAsia" w:ascii="宋体" w:hAnsi="宋体" w:cs="宋体"/>
                <w:kern w:val="0"/>
                <w:sz w:val="24"/>
              </w:rPr>
              <w:t>否</w:t>
            </w:r>
          </w:p>
        </w:tc>
      </w:tr>
      <w:tr w14:paraId="58F50A24">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15050949">
            <w:pPr>
              <w:widowControl/>
              <w:jc w:val="center"/>
              <w:rPr>
                <w:rFonts w:ascii="宋体" w:hAnsi="宋体" w:cs="宋体"/>
                <w:kern w:val="0"/>
                <w:sz w:val="24"/>
              </w:rPr>
            </w:pPr>
            <w:r>
              <w:rPr>
                <w:rFonts w:hint="eastAsia" w:ascii="宋体" w:hAnsi="宋体" w:cs="宋体"/>
                <w:kern w:val="0"/>
                <w:sz w:val="24"/>
              </w:rPr>
              <w:t>3</w:t>
            </w:r>
          </w:p>
        </w:tc>
        <w:tc>
          <w:tcPr>
            <w:tcW w:w="993" w:type="dxa"/>
            <w:tcBorders>
              <w:top w:val="nil"/>
              <w:left w:val="nil"/>
              <w:bottom w:val="single" w:color="auto" w:sz="4" w:space="0"/>
              <w:right w:val="single" w:color="auto" w:sz="4" w:space="0"/>
            </w:tcBorders>
            <w:vAlign w:val="center"/>
          </w:tcPr>
          <w:p w14:paraId="1AEC083B">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1174B388">
            <w:pPr>
              <w:widowControl/>
              <w:rPr>
                <w:rFonts w:ascii="宋体" w:hAnsi="宋体" w:cs="宋体"/>
                <w:kern w:val="0"/>
                <w:sz w:val="24"/>
              </w:rPr>
            </w:pPr>
            <w:r>
              <w:rPr>
                <w:rFonts w:hint="eastAsia" w:ascii="宋体" w:hAnsi="宋体" w:cs="宋体"/>
                <w:kern w:val="0"/>
                <w:sz w:val="24"/>
              </w:rPr>
              <w:t>支持无线传屏功能；</w:t>
            </w:r>
          </w:p>
        </w:tc>
        <w:tc>
          <w:tcPr>
            <w:tcW w:w="1103" w:type="dxa"/>
            <w:tcBorders>
              <w:top w:val="nil"/>
              <w:left w:val="nil"/>
              <w:bottom w:val="single" w:color="auto" w:sz="4" w:space="0"/>
              <w:right w:val="single" w:color="auto" w:sz="4" w:space="0"/>
            </w:tcBorders>
            <w:noWrap/>
            <w:vAlign w:val="center"/>
          </w:tcPr>
          <w:p w14:paraId="680DE972">
            <w:pPr>
              <w:widowControl/>
              <w:jc w:val="center"/>
              <w:rPr>
                <w:rFonts w:ascii="宋体" w:hAnsi="宋体" w:cs="宋体"/>
                <w:kern w:val="0"/>
                <w:sz w:val="24"/>
              </w:rPr>
            </w:pPr>
            <w:r>
              <w:rPr>
                <w:rFonts w:hint="eastAsia" w:ascii="宋体" w:hAnsi="宋体" w:cs="宋体"/>
                <w:kern w:val="0"/>
                <w:sz w:val="24"/>
              </w:rPr>
              <w:t>否</w:t>
            </w:r>
          </w:p>
        </w:tc>
      </w:tr>
      <w:tr w14:paraId="104D7259">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30182872">
            <w:pPr>
              <w:widowControl/>
              <w:jc w:val="center"/>
              <w:rPr>
                <w:rFonts w:ascii="宋体" w:hAnsi="宋体" w:cs="宋体"/>
                <w:kern w:val="0"/>
                <w:sz w:val="24"/>
              </w:rPr>
            </w:pPr>
            <w:r>
              <w:rPr>
                <w:rFonts w:hint="eastAsia" w:ascii="宋体" w:hAnsi="宋体" w:cs="宋体"/>
                <w:kern w:val="0"/>
                <w:sz w:val="24"/>
              </w:rPr>
              <w:t>4</w:t>
            </w:r>
          </w:p>
        </w:tc>
        <w:tc>
          <w:tcPr>
            <w:tcW w:w="993" w:type="dxa"/>
            <w:tcBorders>
              <w:top w:val="nil"/>
              <w:left w:val="nil"/>
              <w:bottom w:val="single" w:color="auto" w:sz="4" w:space="0"/>
              <w:right w:val="single" w:color="auto" w:sz="4" w:space="0"/>
            </w:tcBorders>
            <w:vAlign w:val="center"/>
          </w:tcPr>
          <w:p w14:paraId="62413600">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65820480">
            <w:pPr>
              <w:widowControl/>
              <w:rPr>
                <w:rFonts w:ascii="宋体" w:hAnsi="宋体" w:cs="宋体"/>
                <w:kern w:val="0"/>
                <w:sz w:val="24"/>
              </w:rPr>
            </w:pPr>
            <w:r>
              <w:rPr>
                <w:rFonts w:hint="eastAsia" w:ascii="宋体" w:hAnsi="宋体" w:cs="宋体"/>
                <w:kern w:val="0"/>
                <w:sz w:val="24"/>
              </w:rPr>
              <w:t>低书写高精度红外触控，全贴合3-4mm防眩光钢化玻璃；</w:t>
            </w:r>
          </w:p>
        </w:tc>
        <w:tc>
          <w:tcPr>
            <w:tcW w:w="1103" w:type="dxa"/>
            <w:tcBorders>
              <w:top w:val="nil"/>
              <w:left w:val="nil"/>
              <w:bottom w:val="single" w:color="auto" w:sz="4" w:space="0"/>
              <w:right w:val="single" w:color="auto" w:sz="4" w:space="0"/>
            </w:tcBorders>
            <w:noWrap/>
            <w:vAlign w:val="center"/>
          </w:tcPr>
          <w:p w14:paraId="46E74F23">
            <w:pPr>
              <w:widowControl/>
              <w:jc w:val="center"/>
              <w:rPr>
                <w:rFonts w:ascii="宋体" w:hAnsi="宋体" w:cs="宋体"/>
                <w:kern w:val="0"/>
                <w:sz w:val="24"/>
              </w:rPr>
            </w:pPr>
            <w:r>
              <w:rPr>
                <w:rFonts w:hint="eastAsia" w:ascii="宋体" w:hAnsi="宋体" w:cs="宋体"/>
                <w:kern w:val="0"/>
                <w:sz w:val="24"/>
              </w:rPr>
              <w:t>否</w:t>
            </w:r>
          </w:p>
        </w:tc>
      </w:tr>
      <w:tr w14:paraId="67C0A492">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402D9AFD">
            <w:pPr>
              <w:widowControl/>
              <w:jc w:val="center"/>
              <w:rPr>
                <w:rFonts w:ascii="宋体" w:hAnsi="宋体" w:cs="宋体"/>
                <w:kern w:val="0"/>
                <w:sz w:val="24"/>
              </w:rPr>
            </w:pPr>
            <w:r>
              <w:rPr>
                <w:rFonts w:hint="eastAsia" w:ascii="宋体" w:hAnsi="宋体" w:cs="宋体"/>
                <w:kern w:val="0"/>
                <w:sz w:val="24"/>
              </w:rPr>
              <w:t>5</w:t>
            </w:r>
          </w:p>
        </w:tc>
        <w:tc>
          <w:tcPr>
            <w:tcW w:w="993" w:type="dxa"/>
            <w:tcBorders>
              <w:top w:val="nil"/>
              <w:left w:val="nil"/>
              <w:bottom w:val="single" w:color="auto" w:sz="4" w:space="0"/>
              <w:right w:val="single" w:color="auto" w:sz="4" w:space="0"/>
            </w:tcBorders>
            <w:vAlign w:val="center"/>
          </w:tcPr>
          <w:p w14:paraId="50AB2C1B">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568D55D0">
            <w:pPr>
              <w:widowControl/>
              <w:rPr>
                <w:rFonts w:ascii="宋体" w:hAnsi="宋体" w:cs="宋体"/>
                <w:kern w:val="0"/>
                <w:sz w:val="24"/>
              </w:rPr>
            </w:pPr>
            <w:r>
              <w:rPr>
                <w:rFonts w:hint="eastAsia" w:ascii="宋体" w:hAnsi="宋体" w:cs="宋体"/>
                <w:kern w:val="0"/>
                <w:sz w:val="24"/>
              </w:rPr>
              <w:t>一键开机：≥20点触控技术，书写精度不低于±2mm；</w:t>
            </w:r>
          </w:p>
        </w:tc>
        <w:tc>
          <w:tcPr>
            <w:tcW w:w="1103" w:type="dxa"/>
            <w:tcBorders>
              <w:top w:val="nil"/>
              <w:left w:val="nil"/>
              <w:bottom w:val="single" w:color="auto" w:sz="4" w:space="0"/>
              <w:right w:val="single" w:color="auto" w:sz="4" w:space="0"/>
            </w:tcBorders>
            <w:noWrap/>
            <w:vAlign w:val="center"/>
          </w:tcPr>
          <w:p w14:paraId="5C93CD1B">
            <w:pPr>
              <w:widowControl/>
              <w:jc w:val="center"/>
              <w:rPr>
                <w:rFonts w:ascii="宋体" w:hAnsi="宋体" w:cs="宋体"/>
                <w:kern w:val="0"/>
                <w:sz w:val="24"/>
              </w:rPr>
            </w:pPr>
            <w:r>
              <w:rPr>
                <w:rFonts w:hint="eastAsia" w:ascii="宋体" w:hAnsi="宋体" w:cs="宋体"/>
                <w:kern w:val="0"/>
                <w:sz w:val="24"/>
              </w:rPr>
              <w:t>否</w:t>
            </w:r>
          </w:p>
        </w:tc>
      </w:tr>
      <w:tr w14:paraId="37B9DF7F">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16D42954">
            <w:pPr>
              <w:widowControl/>
              <w:jc w:val="center"/>
              <w:rPr>
                <w:rFonts w:ascii="宋体" w:hAnsi="宋体" w:cs="宋体"/>
                <w:kern w:val="0"/>
                <w:sz w:val="24"/>
              </w:rPr>
            </w:pPr>
            <w:r>
              <w:rPr>
                <w:rFonts w:hint="eastAsia" w:ascii="宋体" w:hAnsi="宋体" w:cs="宋体"/>
                <w:kern w:val="0"/>
                <w:sz w:val="24"/>
              </w:rPr>
              <w:t>6</w:t>
            </w:r>
          </w:p>
        </w:tc>
        <w:tc>
          <w:tcPr>
            <w:tcW w:w="993" w:type="dxa"/>
            <w:tcBorders>
              <w:top w:val="nil"/>
              <w:left w:val="nil"/>
              <w:bottom w:val="single" w:color="auto" w:sz="4" w:space="0"/>
              <w:right w:val="single" w:color="auto" w:sz="4" w:space="0"/>
            </w:tcBorders>
            <w:vAlign w:val="center"/>
          </w:tcPr>
          <w:p w14:paraId="45B1B5A7">
            <w:pPr>
              <w:widowControl/>
              <w:jc w:val="center"/>
              <w:rPr>
                <w:rFonts w:ascii="宋体" w:hAnsi="宋体" w:cs="宋体"/>
                <w:kern w:val="0"/>
                <w:sz w:val="24"/>
              </w:rPr>
            </w:pPr>
            <w:r>
              <w:rPr>
                <w:rFonts w:hint="eastAsia" w:ascii="宋体" w:hAnsi="宋体" w:cs="宋体"/>
                <w:kern w:val="0"/>
                <w:sz w:val="24"/>
              </w:rPr>
              <w:t>#</w:t>
            </w:r>
          </w:p>
        </w:tc>
        <w:tc>
          <w:tcPr>
            <w:tcW w:w="5955" w:type="dxa"/>
            <w:tcBorders>
              <w:top w:val="nil"/>
              <w:left w:val="nil"/>
              <w:bottom w:val="single" w:color="auto" w:sz="4" w:space="0"/>
              <w:right w:val="single" w:color="auto" w:sz="4" w:space="0"/>
            </w:tcBorders>
            <w:vAlign w:val="center"/>
          </w:tcPr>
          <w:p w14:paraId="35C5F3DC">
            <w:pPr>
              <w:widowControl/>
              <w:rPr>
                <w:rFonts w:ascii="宋体" w:hAnsi="宋体" w:cs="宋体"/>
                <w:kern w:val="0"/>
                <w:sz w:val="24"/>
              </w:rPr>
            </w:pPr>
            <w:r>
              <w:rPr>
                <w:rFonts w:hint="eastAsia" w:ascii="宋体" w:hAnsi="宋体" w:cs="宋体"/>
                <w:kern w:val="0"/>
                <w:sz w:val="24"/>
              </w:rPr>
              <w:t>整机抗撞抗划抗腐蚀，不低于莫氏七级硬度；</w:t>
            </w:r>
            <w:r>
              <w:rPr>
                <w:rFonts w:hint="eastAsia" w:ascii="宋体" w:hAnsi="宋体"/>
                <w:color w:val="000000"/>
                <w:sz w:val="24"/>
                <w:highlight w:val="none"/>
              </w:rPr>
              <w:t>（提供具备资质的第三方检测机构出具的</w:t>
            </w:r>
            <w:r>
              <w:rPr>
                <w:rFonts w:hint="eastAsia" w:ascii="宋体" w:hAnsi="宋体"/>
                <w:color w:val="000000"/>
                <w:sz w:val="24"/>
                <w:highlight w:val="none"/>
                <w:lang w:eastAsia="zh-CN"/>
              </w:rPr>
              <w:t>检验</w:t>
            </w:r>
            <w:r>
              <w:rPr>
                <w:rFonts w:hint="eastAsia" w:ascii="宋体" w:hAnsi="宋体"/>
                <w:color w:val="000000"/>
                <w:sz w:val="24"/>
                <w:highlight w:val="none"/>
              </w:rPr>
              <w:t>报告</w:t>
            </w:r>
            <w:r>
              <w:rPr>
                <w:rFonts w:hint="eastAsia" w:ascii="宋体" w:hAnsi="宋体"/>
                <w:color w:val="000000"/>
                <w:sz w:val="24"/>
                <w:highlight w:val="yellow"/>
              </w:rPr>
              <w:t>）</w:t>
            </w:r>
            <w:r>
              <w:rPr>
                <w:rFonts w:hint="eastAsia" w:ascii="宋体" w:hAnsi="宋体" w:cs="宋体"/>
                <w:kern w:val="0"/>
                <w:sz w:val="24"/>
                <w:highlight w:val="yellow"/>
              </w:rPr>
              <w:t xml:space="preserve"> </w:t>
            </w:r>
          </w:p>
        </w:tc>
        <w:tc>
          <w:tcPr>
            <w:tcW w:w="1103" w:type="dxa"/>
            <w:tcBorders>
              <w:top w:val="nil"/>
              <w:left w:val="nil"/>
              <w:bottom w:val="single" w:color="auto" w:sz="4" w:space="0"/>
              <w:right w:val="single" w:color="auto" w:sz="4" w:space="0"/>
            </w:tcBorders>
            <w:noWrap/>
            <w:vAlign w:val="center"/>
          </w:tcPr>
          <w:p w14:paraId="3C0A97AC">
            <w:pPr>
              <w:widowControl/>
              <w:jc w:val="center"/>
              <w:rPr>
                <w:rFonts w:ascii="宋体" w:hAnsi="宋体" w:cs="宋体"/>
                <w:kern w:val="0"/>
                <w:sz w:val="24"/>
              </w:rPr>
            </w:pPr>
            <w:r>
              <w:rPr>
                <w:rFonts w:hint="eastAsia" w:ascii="宋体" w:hAnsi="宋体" w:cs="宋体"/>
                <w:kern w:val="0"/>
                <w:sz w:val="24"/>
              </w:rPr>
              <w:t>是</w:t>
            </w:r>
          </w:p>
        </w:tc>
      </w:tr>
      <w:tr w14:paraId="3C30B1F5">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6E0A2A3E">
            <w:pPr>
              <w:widowControl/>
              <w:jc w:val="center"/>
              <w:rPr>
                <w:rFonts w:ascii="宋体" w:hAnsi="宋体" w:cs="宋体"/>
                <w:kern w:val="0"/>
                <w:sz w:val="24"/>
              </w:rPr>
            </w:pPr>
            <w:r>
              <w:rPr>
                <w:rFonts w:hint="eastAsia" w:ascii="宋体" w:hAnsi="宋体" w:cs="宋体"/>
                <w:kern w:val="0"/>
                <w:sz w:val="24"/>
              </w:rPr>
              <w:t>7</w:t>
            </w:r>
          </w:p>
        </w:tc>
        <w:tc>
          <w:tcPr>
            <w:tcW w:w="993" w:type="dxa"/>
            <w:tcBorders>
              <w:top w:val="nil"/>
              <w:left w:val="nil"/>
              <w:bottom w:val="single" w:color="auto" w:sz="4" w:space="0"/>
              <w:right w:val="single" w:color="auto" w:sz="4" w:space="0"/>
            </w:tcBorders>
            <w:vAlign w:val="center"/>
          </w:tcPr>
          <w:p w14:paraId="36550505">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437E16F9">
            <w:pPr>
              <w:widowControl/>
              <w:rPr>
                <w:rFonts w:ascii="宋体" w:hAnsi="宋体" w:cs="宋体"/>
                <w:kern w:val="0"/>
                <w:sz w:val="24"/>
              </w:rPr>
            </w:pPr>
            <w:r>
              <w:rPr>
                <w:rFonts w:hint="eastAsia" w:ascii="宋体" w:hAnsi="宋体" w:cs="宋体"/>
                <w:kern w:val="0"/>
                <w:sz w:val="24"/>
              </w:rPr>
              <w:t>支持一网通、支持Wi-Fi双频2.4G/5G；</w:t>
            </w:r>
          </w:p>
        </w:tc>
        <w:tc>
          <w:tcPr>
            <w:tcW w:w="1103" w:type="dxa"/>
            <w:tcBorders>
              <w:top w:val="nil"/>
              <w:left w:val="nil"/>
              <w:bottom w:val="single" w:color="auto" w:sz="4" w:space="0"/>
              <w:right w:val="single" w:color="auto" w:sz="4" w:space="0"/>
            </w:tcBorders>
            <w:noWrap/>
            <w:vAlign w:val="center"/>
          </w:tcPr>
          <w:p w14:paraId="767C43D8">
            <w:pPr>
              <w:widowControl/>
              <w:jc w:val="center"/>
              <w:rPr>
                <w:rFonts w:ascii="宋体" w:hAnsi="宋体" w:cs="宋体"/>
                <w:kern w:val="0"/>
                <w:sz w:val="24"/>
              </w:rPr>
            </w:pPr>
            <w:r>
              <w:rPr>
                <w:rFonts w:hint="eastAsia" w:ascii="宋体" w:hAnsi="宋体" w:cs="宋体"/>
                <w:kern w:val="0"/>
                <w:sz w:val="24"/>
              </w:rPr>
              <w:t>否</w:t>
            </w:r>
          </w:p>
        </w:tc>
      </w:tr>
      <w:tr w14:paraId="22A3C6E8">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2216A0E4">
            <w:pPr>
              <w:widowControl/>
              <w:jc w:val="center"/>
              <w:rPr>
                <w:rFonts w:ascii="宋体" w:hAnsi="宋体" w:cs="宋体"/>
                <w:kern w:val="0"/>
                <w:sz w:val="24"/>
              </w:rPr>
            </w:pPr>
            <w:r>
              <w:rPr>
                <w:rFonts w:hint="eastAsia" w:ascii="宋体" w:hAnsi="宋体" w:cs="宋体"/>
                <w:kern w:val="0"/>
                <w:sz w:val="24"/>
              </w:rPr>
              <w:t>8</w:t>
            </w:r>
          </w:p>
        </w:tc>
        <w:tc>
          <w:tcPr>
            <w:tcW w:w="993" w:type="dxa"/>
            <w:tcBorders>
              <w:top w:val="nil"/>
              <w:left w:val="nil"/>
              <w:bottom w:val="single" w:color="auto" w:sz="4" w:space="0"/>
              <w:right w:val="single" w:color="auto" w:sz="4" w:space="0"/>
            </w:tcBorders>
            <w:vAlign w:val="center"/>
          </w:tcPr>
          <w:p w14:paraId="5EB9247D">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245129FC">
            <w:pPr>
              <w:widowControl/>
              <w:rPr>
                <w:rFonts w:ascii="宋体" w:hAnsi="宋体" w:cs="宋体"/>
                <w:kern w:val="0"/>
                <w:sz w:val="24"/>
              </w:rPr>
            </w:pPr>
            <w:r>
              <w:rPr>
                <w:rFonts w:hint="eastAsia" w:ascii="宋体" w:hAnsi="宋体" w:cs="宋体"/>
                <w:kern w:val="0"/>
                <w:sz w:val="24"/>
              </w:rPr>
              <w:t>内置≥4800万像素AI摄像头HDR功能，≥8颗阵列数字麦克风≥8米有效拾音；</w:t>
            </w:r>
          </w:p>
        </w:tc>
        <w:tc>
          <w:tcPr>
            <w:tcW w:w="1103" w:type="dxa"/>
            <w:tcBorders>
              <w:top w:val="nil"/>
              <w:left w:val="nil"/>
              <w:bottom w:val="single" w:color="auto" w:sz="4" w:space="0"/>
              <w:right w:val="single" w:color="auto" w:sz="4" w:space="0"/>
            </w:tcBorders>
            <w:noWrap/>
            <w:vAlign w:val="center"/>
          </w:tcPr>
          <w:p w14:paraId="04443206">
            <w:pPr>
              <w:widowControl/>
              <w:jc w:val="center"/>
              <w:rPr>
                <w:rFonts w:ascii="宋体" w:hAnsi="宋体" w:cs="宋体"/>
                <w:kern w:val="0"/>
                <w:sz w:val="24"/>
              </w:rPr>
            </w:pPr>
            <w:r>
              <w:rPr>
                <w:rFonts w:hint="eastAsia" w:ascii="宋体" w:hAnsi="宋体" w:cs="宋体"/>
                <w:kern w:val="0"/>
                <w:sz w:val="24"/>
              </w:rPr>
              <w:t>否</w:t>
            </w:r>
          </w:p>
        </w:tc>
      </w:tr>
      <w:tr w14:paraId="6F304613">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00A92969">
            <w:pPr>
              <w:widowControl/>
              <w:jc w:val="center"/>
              <w:rPr>
                <w:rFonts w:ascii="宋体" w:hAnsi="宋体" w:cs="宋体"/>
                <w:kern w:val="0"/>
                <w:sz w:val="24"/>
              </w:rPr>
            </w:pPr>
            <w:r>
              <w:rPr>
                <w:rFonts w:hint="eastAsia" w:ascii="宋体" w:hAnsi="宋体" w:cs="宋体"/>
                <w:kern w:val="0"/>
                <w:sz w:val="24"/>
              </w:rPr>
              <w:t>9</w:t>
            </w:r>
          </w:p>
        </w:tc>
        <w:tc>
          <w:tcPr>
            <w:tcW w:w="993" w:type="dxa"/>
            <w:tcBorders>
              <w:top w:val="nil"/>
              <w:left w:val="nil"/>
              <w:bottom w:val="single" w:color="auto" w:sz="4" w:space="0"/>
              <w:right w:val="single" w:color="auto" w:sz="4" w:space="0"/>
            </w:tcBorders>
            <w:vAlign w:val="center"/>
          </w:tcPr>
          <w:p w14:paraId="60ED8177">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0D0BA6D5">
            <w:pPr>
              <w:widowControl/>
              <w:rPr>
                <w:rFonts w:ascii="宋体" w:hAnsi="宋体" w:cs="宋体"/>
                <w:kern w:val="0"/>
                <w:sz w:val="24"/>
              </w:rPr>
            </w:pPr>
            <w:r>
              <w:rPr>
                <w:rFonts w:hint="eastAsia" w:ascii="宋体" w:hAnsi="宋体" w:cs="宋体"/>
                <w:kern w:val="0"/>
                <w:sz w:val="24"/>
              </w:rPr>
              <w:t>前置全功能Type C接口，整机不低于1路HDMI OUT视频输出接口；</w:t>
            </w:r>
          </w:p>
        </w:tc>
        <w:tc>
          <w:tcPr>
            <w:tcW w:w="1103" w:type="dxa"/>
            <w:tcBorders>
              <w:top w:val="nil"/>
              <w:left w:val="nil"/>
              <w:bottom w:val="single" w:color="auto" w:sz="4" w:space="0"/>
              <w:right w:val="single" w:color="auto" w:sz="4" w:space="0"/>
            </w:tcBorders>
            <w:noWrap/>
            <w:vAlign w:val="center"/>
          </w:tcPr>
          <w:p w14:paraId="32506267">
            <w:pPr>
              <w:widowControl/>
              <w:jc w:val="center"/>
              <w:rPr>
                <w:rFonts w:ascii="宋体" w:hAnsi="宋体" w:cs="宋体"/>
                <w:kern w:val="0"/>
                <w:sz w:val="24"/>
              </w:rPr>
            </w:pPr>
            <w:r>
              <w:rPr>
                <w:rFonts w:hint="eastAsia" w:ascii="宋体" w:hAnsi="宋体" w:cs="宋体"/>
                <w:kern w:val="0"/>
                <w:sz w:val="24"/>
              </w:rPr>
              <w:t>否</w:t>
            </w:r>
          </w:p>
        </w:tc>
      </w:tr>
      <w:tr w14:paraId="31302C43">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77F04C38">
            <w:pPr>
              <w:widowControl/>
              <w:jc w:val="center"/>
              <w:rPr>
                <w:rFonts w:ascii="宋体" w:hAnsi="宋体" w:cs="宋体"/>
                <w:kern w:val="0"/>
                <w:sz w:val="24"/>
              </w:rPr>
            </w:pPr>
            <w:r>
              <w:rPr>
                <w:rFonts w:hint="eastAsia" w:ascii="宋体" w:hAnsi="宋体" w:cs="宋体"/>
                <w:kern w:val="0"/>
                <w:sz w:val="24"/>
              </w:rPr>
              <w:t>10</w:t>
            </w:r>
          </w:p>
        </w:tc>
        <w:tc>
          <w:tcPr>
            <w:tcW w:w="993" w:type="dxa"/>
            <w:tcBorders>
              <w:top w:val="nil"/>
              <w:left w:val="nil"/>
              <w:bottom w:val="single" w:color="auto" w:sz="4" w:space="0"/>
              <w:right w:val="single" w:color="auto" w:sz="4" w:space="0"/>
            </w:tcBorders>
            <w:vAlign w:val="center"/>
          </w:tcPr>
          <w:p w14:paraId="087CAED3">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65425657">
            <w:pPr>
              <w:widowControl/>
              <w:rPr>
                <w:rFonts w:ascii="宋体" w:hAnsi="宋体" w:cs="宋体"/>
                <w:kern w:val="0"/>
                <w:sz w:val="24"/>
              </w:rPr>
            </w:pPr>
            <w:r>
              <w:rPr>
                <w:rFonts w:hint="eastAsia" w:ascii="宋体" w:hAnsi="宋体" w:cs="宋体"/>
                <w:kern w:val="0"/>
                <w:sz w:val="24"/>
              </w:rPr>
              <w:t>国产处理器≥八核，主频≥2.2GHZ,运行内存≥8G，物理存储≥128G；</w:t>
            </w:r>
          </w:p>
        </w:tc>
        <w:tc>
          <w:tcPr>
            <w:tcW w:w="1103" w:type="dxa"/>
            <w:tcBorders>
              <w:top w:val="nil"/>
              <w:left w:val="nil"/>
              <w:bottom w:val="single" w:color="auto" w:sz="4" w:space="0"/>
              <w:right w:val="single" w:color="auto" w:sz="4" w:space="0"/>
            </w:tcBorders>
            <w:noWrap/>
            <w:vAlign w:val="center"/>
          </w:tcPr>
          <w:p w14:paraId="6413F6F6">
            <w:pPr>
              <w:widowControl/>
              <w:jc w:val="center"/>
              <w:rPr>
                <w:rFonts w:ascii="宋体" w:hAnsi="宋体" w:cs="宋体"/>
                <w:kern w:val="0"/>
                <w:sz w:val="24"/>
              </w:rPr>
            </w:pPr>
            <w:r>
              <w:rPr>
                <w:rFonts w:hint="eastAsia" w:ascii="宋体" w:hAnsi="宋体" w:cs="宋体"/>
                <w:kern w:val="0"/>
                <w:sz w:val="24"/>
              </w:rPr>
              <w:t>否</w:t>
            </w:r>
          </w:p>
        </w:tc>
      </w:tr>
      <w:tr w14:paraId="77549C7D">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4D5B6456">
            <w:pPr>
              <w:widowControl/>
              <w:jc w:val="center"/>
              <w:rPr>
                <w:rFonts w:ascii="宋体" w:hAnsi="宋体" w:cs="宋体"/>
                <w:kern w:val="0"/>
                <w:sz w:val="24"/>
              </w:rPr>
            </w:pPr>
            <w:r>
              <w:rPr>
                <w:rFonts w:hint="eastAsia" w:ascii="宋体" w:hAnsi="宋体" w:cs="宋体"/>
                <w:kern w:val="0"/>
                <w:sz w:val="24"/>
              </w:rPr>
              <w:t>11</w:t>
            </w:r>
          </w:p>
        </w:tc>
        <w:tc>
          <w:tcPr>
            <w:tcW w:w="993" w:type="dxa"/>
            <w:tcBorders>
              <w:top w:val="nil"/>
              <w:left w:val="nil"/>
              <w:bottom w:val="single" w:color="auto" w:sz="4" w:space="0"/>
              <w:right w:val="single" w:color="auto" w:sz="4" w:space="0"/>
            </w:tcBorders>
            <w:vAlign w:val="center"/>
          </w:tcPr>
          <w:p w14:paraId="344E22AF">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664C915E">
            <w:pPr>
              <w:widowControl/>
              <w:rPr>
                <w:rFonts w:ascii="宋体" w:hAnsi="宋体" w:cs="宋体"/>
                <w:kern w:val="0"/>
                <w:sz w:val="24"/>
              </w:rPr>
            </w:pPr>
            <w:r>
              <w:rPr>
                <w:rFonts w:hint="eastAsia" w:ascii="宋体" w:hAnsi="宋体" w:cs="宋体"/>
                <w:kern w:val="0"/>
                <w:sz w:val="24"/>
              </w:rPr>
              <w:t>待机状态下HDMI/VGA/RS232通道&amp;网络信号输入智能唤醒；</w:t>
            </w:r>
          </w:p>
        </w:tc>
        <w:tc>
          <w:tcPr>
            <w:tcW w:w="1103" w:type="dxa"/>
            <w:tcBorders>
              <w:top w:val="nil"/>
              <w:left w:val="nil"/>
              <w:bottom w:val="single" w:color="auto" w:sz="4" w:space="0"/>
              <w:right w:val="single" w:color="auto" w:sz="4" w:space="0"/>
            </w:tcBorders>
            <w:noWrap/>
            <w:vAlign w:val="center"/>
          </w:tcPr>
          <w:p w14:paraId="53104CA8">
            <w:pPr>
              <w:widowControl/>
              <w:jc w:val="center"/>
              <w:rPr>
                <w:rFonts w:ascii="宋体" w:hAnsi="宋体" w:cs="宋体"/>
                <w:kern w:val="0"/>
                <w:sz w:val="24"/>
              </w:rPr>
            </w:pPr>
            <w:r>
              <w:rPr>
                <w:rFonts w:hint="eastAsia" w:ascii="宋体" w:hAnsi="宋体" w:cs="宋体"/>
                <w:kern w:val="0"/>
                <w:sz w:val="24"/>
              </w:rPr>
              <w:t>否</w:t>
            </w:r>
          </w:p>
        </w:tc>
      </w:tr>
      <w:tr w14:paraId="5C56E285">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1D4E09EC">
            <w:pPr>
              <w:widowControl/>
              <w:jc w:val="center"/>
              <w:rPr>
                <w:rFonts w:ascii="宋体" w:hAnsi="宋体" w:cs="宋体"/>
                <w:kern w:val="0"/>
                <w:sz w:val="24"/>
              </w:rPr>
            </w:pPr>
            <w:r>
              <w:rPr>
                <w:rFonts w:hint="eastAsia" w:ascii="宋体" w:hAnsi="宋体" w:cs="宋体"/>
                <w:kern w:val="0"/>
                <w:sz w:val="24"/>
              </w:rPr>
              <w:t>12</w:t>
            </w:r>
          </w:p>
        </w:tc>
        <w:tc>
          <w:tcPr>
            <w:tcW w:w="993" w:type="dxa"/>
            <w:tcBorders>
              <w:top w:val="nil"/>
              <w:left w:val="nil"/>
              <w:bottom w:val="single" w:color="auto" w:sz="4" w:space="0"/>
              <w:right w:val="single" w:color="auto" w:sz="4" w:space="0"/>
            </w:tcBorders>
            <w:vAlign w:val="center"/>
          </w:tcPr>
          <w:p w14:paraId="6152A288">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2D6544EE">
            <w:pPr>
              <w:widowControl/>
              <w:rPr>
                <w:rFonts w:ascii="宋体" w:hAnsi="宋体" w:cs="宋体"/>
                <w:kern w:val="0"/>
                <w:sz w:val="24"/>
              </w:rPr>
            </w:pPr>
            <w:r>
              <w:rPr>
                <w:rFonts w:hint="eastAsia" w:ascii="宋体" w:hAnsi="宋体" w:cs="宋体"/>
                <w:kern w:val="0"/>
                <w:sz w:val="24"/>
              </w:rPr>
              <w:t>系统配超薄插拔式模块、PC模块；</w:t>
            </w:r>
          </w:p>
        </w:tc>
        <w:tc>
          <w:tcPr>
            <w:tcW w:w="1103" w:type="dxa"/>
            <w:tcBorders>
              <w:top w:val="nil"/>
              <w:left w:val="nil"/>
              <w:bottom w:val="single" w:color="auto" w:sz="4" w:space="0"/>
              <w:right w:val="single" w:color="auto" w:sz="4" w:space="0"/>
            </w:tcBorders>
            <w:noWrap/>
            <w:vAlign w:val="center"/>
          </w:tcPr>
          <w:p w14:paraId="455B4C54">
            <w:pPr>
              <w:widowControl/>
              <w:jc w:val="center"/>
              <w:rPr>
                <w:rFonts w:ascii="宋体" w:hAnsi="宋体" w:cs="宋体"/>
                <w:kern w:val="0"/>
                <w:sz w:val="24"/>
              </w:rPr>
            </w:pPr>
            <w:r>
              <w:rPr>
                <w:rFonts w:hint="eastAsia" w:ascii="宋体" w:hAnsi="宋体" w:cs="宋体"/>
                <w:kern w:val="0"/>
                <w:sz w:val="24"/>
              </w:rPr>
              <w:t>否</w:t>
            </w:r>
          </w:p>
        </w:tc>
      </w:tr>
      <w:tr w14:paraId="717BEBC9">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70EA6A9C">
            <w:pPr>
              <w:widowControl/>
              <w:jc w:val="center"/>
              <w:rPr>
                <w:rFonts w:ascii="宋体" w:hAnsi="宋体" w:cs="宋体"/>
                <w:kern w:val="0"/>
                <w:sz w:val="24"/>
              </w:rPr>
            </w:pPr>
            <w:r>
              <w:rPr>
                <w:rFonts w:hint="eastAsia" w:ascii="宋体" w:hAnsi="宋体" w:cs="宋体"/>
                <w:kern w:val="0"/>
                <w:sz w:val="24"/>
              </w:rPr>
              <w:t>13</w:t>
            </w:r>
          </w:p>
        </w:tc>
        <w:tc>
          <w:tcPr>
            <w:tcW w:w="993" w:type="dxa"/>
            <w:tcBorders>
              <w:top w:val="nil"/>
              <w:left w:val="nil"/>
              <w:bottom w:val="single" w:color="auto" w:sz="4" w:space="0"/>
              <w:right w:val="single" w:color="auto" w:sz="4" w:space="0"/>
            </w:tcBorders>
            <w:vAlign w:val="center"/>
          </w:tcPr>
          <w:p w14:paraId="24F78F28">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3030BE21">
            <w:pPr>
              <w:widowControl/>
              <w:rPr>
                <w:rFonts w:ascii="宋体" w:hAnsi="宋体" w:cs="宋体"/>
                <w:kern w:val="0"/>
                <w:sz w:val="24"/>
              </w:rPr>
            </w:pPr>
            <w:r>
              <w:rPr>
                <w:rFonts w:hint="eastAsia" w:ascii="宋体" w:hAnsi="宋体" w:cs="宋体"/>
                <w:kern w:val="0"/>
                <w:sz w:val="24"/>
              </w:rPr>
              <w:t>支持系统：操作系统及国产化操作系统；</w:t>
            </w:r>
          </w:p>
        </w:tc>
        <w:tc>
          <w:tcPr>
            <w:tcW w:w="1103" w:type="dxa"/>
            <w:tcBorders>
              <w:top w:val="nil"/>
              <w:left w:val="nil"/>
              <w:bottom w:val="single" w:color="auto" w:sz="4" w:space="0"/>
              <w:right w:val="single" w:color="auto" w:sz="4" w:space="0"/>
            </w:tcBorders>
            <w:noWrap/>
            <w:vAlign w:val="center"/>
          </w:tcPr>
          <w:p w14:paraId="724C06E9">
            <w:pPr>
              <w:widowControl/>
              <w:jc w:val="center"/>
              <w:rPr>
                <w:rFonts w:ascii="宋体" w:hAnsi="宋体" w:cs="宋体"/>
                <w:kern w:val="0"/>
                <w:sz w:val="24"/>
              </w:rPr>
            </w:pPr>
            <w:r>
              <w:rPr>
                <w:rFonts w:hint="eastAsia" w:ascii="宋体" w:hAnsi="宋体" w:cs="宋体"/>
                <w:kern w:val="0"/>
                <w:sz w:val="24"/>
              </w:rPr>
              <w:t>否</w:t>
            </w:r>
          </w:p>
        </w:tc>
      </w:tr>
      <w:tr w14:paraId="03507CC0">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77C452D3">
            <w:pPr>
              <w:widowControl/>
              <w:jc w:val="center"/>
              <w:rPr>
                <w:rFonts w:ascii="宋体" w:hAnsi="宋体" w:cs="宋体"/>
                <w:kern w:val="0"/>
                <w:sz w:val="24"/>
              </w:rPr>
            </w:pPr>
            <w:r>
              <w:rPr>
                <w:rFonts w:hint="eastAsia" w:ascii="宋体" w:hAnsi="宋体" w:cs="宋体"/>
                <w:kern w:val="0"/>
                <w:sz w:val="24"/>
              </w:rPr>
              <w:t>14</w:t>
            </w:r>
          </w:p>
        </w:tc>
        <w:tc>
          <w:tcPr>
            <w:tcW w:w="993" w:type="dxa"/>
            <w:tcBorders>
              <w:top w:val="nil"/>
              <w:left w:val="nil"/>
              <w:bottom w:val="single" w:color="auto" w:sz="4" w:space="0"/>
              <w:right w:val="single" w:color="auto" w:sz="4" w:space="0"/>
            </w:tcBorders>
            <w:vAlign w:val="center"/>
          </w:tcPr>
          <w:p w14:paraId="77507D58">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2D9000EE">
            <w:pPr>
              <w:widowControl/>
              <w:rPr>
                <w:rFonts w:ascii="宋体" w:hAnsi="宋体" w:cs="宋体"/>
                <w:kern w:val="0"/>
                <w:sz w:val="24"/>
              </w:rPr>
            </w:pPr>
            <w:r>
              <w:rPr>
                <w:rFonts w:hint="eastAsia" w:ascii="宋体" w:hAnsi="宋体" w:cs="宋体"/>
                <w:kern w:val="0"/>
                <w:sz w:val="24"/>
              </w:rPr>
              <w:t>白板模式下支持双笔同时书写双色显示；</w:t>
            </w:r>
          </w:p>
        </w:tc>
        <w:tc>
          <w:tcPr>
            <w:tcW w:w="1103" w:type="dxa"/>
            <w:tcBorders>
              <w:top w:val="nil"/>
              <w:left w:val="nil"/>
              <w:bottom w:val="single" w:color="auto" w:sz="4" w:space="0"/>
              <w:right w:val="single" w:color="auto" w:sz="4" w:space="0"/>
            </w:tcBorders>
            <w:noWrap/>
            <w:vAlign w:val="center"/>
          </w:tcPr>
          <w:p w14:paraId="132DE171">
            <w:pPr>
              <w:widowControl/>
              <w:jc w:val="center"/>
              <w:rPr>
                <w:rFonts w:ascii="宋体" w:hAnsi="宋体" w:cs="宋体"/>
                <w:kern w:val="0"/>
                <w:sz w:val="24"/>
              </w:rPr>
            </w:pPr>
            <w:r>
              <w:rPr>
                <w:rFonts w:hint="eastAsia" w:ascii="宋体" w:hAnsi="宋体" w:cs="宋体"/>
                <w:kern w:val="0"/>
                <w:sz w:val="24"/>
              </w:rPr>
              <w:t>否</w:t>
            </w:r>
          </w:p>
        </w:tc>
      </w:tr>
      <w:tr w14:paraId="5EBDD5BC">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4E6531BF">
            <w:pPr>
              <w:widowControl/>
              <w:jc w:val="center"/>
              <w:rPr>
                <w:rFonts w:ascii="宋体" w:hAnsi="宋体" w:cs="宋体"/>
                <w:kern w:val="0"/>
                <w:sz w:val="24"/>
              </w:rPr>
            </w:pPr>
            <w:r>
              <w:rPr>
                <w:rFonts w:hint="eastAsia" w:ascii="宋体" w:hAnsi="宋体" w:cs="宋体"/>
                <w:kern w:val="0"/>
                <w:sz w:val="24"/>
              </w:rPr>
              <w:t>15</w:t>
            </w:r>
          </w:p>
        </w:tc>
        <w:tc>
          <w:tcPr>
            <w:tcW w:w="993" w:type="dxa"/>
            <w:tcBorders>
              <w:top w:val="nil"/>
              <w:left w:val="nil"/>
              <w:bottom w:val="single" w:color="auto" w:sz="4" w:space="0"/>
              <w:right w:val="single" w:color="auto" w:sz="4" w:space="0"/>
            </w:tcBorders>
            <w:vAlign w:val="center"/>
          </w:tcPr>
          <w:p w14:paraId="4C20405A">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1CC73D56">
            <w:pPr>
              <w:widowControl/>
              <w:rPr>
                <w:rFonts w:ascii="宋体" w:hAnsi="宋体" w:cs="宋体"/>
                <w:kern w:val="0"/>
                <w:sz w:val="24"/>
              </w:rPr>
            </w:pPr>
            <w:r>
              <w:rPr>
                <w:rFonts w:hint="eastAsia" w:ascii="宋体" w:hAnsi="宋体" w:cs="宋体"/>
                <w:kern w:val="0"/>
                <w:sz w:val="24"/>
              </w:rPr>
              <w:t>多分屏应用，任务并行；</w:t>
            </w:r>
          </w:p>
        </w:tc>
        <w:tc>
          <w:tcPr>
            <w:tcW w:w="1103" w:type="dxa"/>
            <w:tcBorders>
              <w:top w:val="nil"/>
              <w:left w:val="nil"/>
              <w:bottom w:val="single" w:color="auto" w:sz="4" w:space="0"/>
              <w:right w:val="single" w:color="auto" w:sz="4" w:space="0"/>
            </w:tcBorders>
            <w:noWrap/>
            <w:vAlign w:val="center"/>
          </w:tcPr>
          <w:p w14:paraId="111E1D2B">
            <w:pPr>
              <w:widowControl/>
              <w:jc w:val="center"/>
              <w:rPr>
                <w:rFonts w:ascii="宋体" w:hAnsi="宋体" w:cs="宋体"/>
                <w:kern w:val="0"/>
                <w:sz w:val="24"/>
              </w:rPr>
            </w:pPr>
            <w:r>
              <w:rPr>
                <w:rFonts w:hint="eastAsia" w:ascii="宋体" w:hAnsi="宋体" w:cs="宋体"/>
                <w:kern w:val="0"/>
                <w:sz w:val="24"/>
              </w:rPr>
              <w:t>否</w:t>
            </w:r>
          </w:p>
        </w:tc>
      </w:tr>
      <w:tr w14:paraId="08DC360F">
        <w:tblPrEx>
          <w:tblCellMar>
            <w:top w:w="0" w:type="dxa"/>
            <w:left w:w="108" w:type="dxa"/>
            <w:bottom w:w="0" w:type="dxa"/>
            <w:right w:w="108" w:type="dxa"/>
          </w:tblCellMar>
        </w:tblPrEx>
        <w:trPr>
          <w:trHeight w:val="540" w:hRule="atLeast"/>
        </w:trPr>
        <w:tc>
          <w:tcPr>
            <w:tcW w:w="673" w:type="dxa"/>
            <w:tcBorders>
              <w:top w:val="nil"/>
              <w:left w:val="single" w:color="auto" w:sz="4" w:space="0"/>
              <w:bottom w:val="single" w:color="auto" w:sz="4" w:space="0"/>
              <w:right w:val="single" w:color="auto" w:sz="4" w:space="0"/>
            </w:tcBorders>
            <w:vAlign w:val="center"/>
          </w:tcPr>
          <w:p w14:paraId="26C80753">
            <w:pPr>
              <w:widowControl/>
              <w:jc w:val="center"/>
              <w:rPr>
                <w:rFonts w:ascii="宋体" w:hAnsi="宋体" w:cs="宋体"/>
                <w:kern w:val="0"/>
                <w:sz w:val="24"/>
              </w:rPr>
            </w:pPr>
            <w:r>
              <w:rPr>
                <w:rFonts w:hint="eastAsia" w:ascii="宋体" w:hAnsi="宋体" w:cs="宋体"/>
                <w:kern w:val="0"/>
                <w:sz w:val="24"/>
              </w:rPr>
              <w:t>16</w:t>
            </w:r>
          </w:p>
        </w:tc>
        <w:tc>
          <w:tcPr>
            <w:tcW w:w="993" w:type="dxa"/>
            <w:tcBorders>
              <w:top w:val="nil"/>
              <w:left w:val="nil"/>
              <w:bottom w:val="single" w:color="auto" w:sz="4" w:space="0"/>
              <w:right w:val="single" w:color="auto" w:sz="4" w:space="0"/>
            </w:tcBorders>
            <w:vAlign w:val="center"/>
          </w:tcPr>
          <w:p w14:paraId="2CFACC28">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233385F8">
            <w:pPr>
              <w:widowControl/>
              <w:rPr>
                <w:rFonts w:ascii="宋体" w:hAnsi="宋体" w:cs="宋体"/>
                <w:kern w:val="0"/>
                <w:sz w:val="24"/>
              </w:rPr>
            </w:pPr>
            <w:r>
              <w:rPr>
                <w:rFonts w:hint="eastAsia" w:ascii="宋体" w:hAnsi="宋体" w:cs="宋体"/>
                <w:kern w:val="0"/>
                <w:sz w:val="24"/>
              </w:rPr>
              <w:t>侧边栏：在屏幕两侧均有可收缩／可展开的悬浮按键，可实现返回、主页、进程管理、批注等最常用的系统操作按键。在屏幕两侧均可通过手势滑动拉出侧拉拦，可实现手机传屏、计时器、截图等常用系统操作。实现录屏等功能；</w:t>
            </w:r>
          </w:p>
        </w:tc>
        <w:tc>
          <w:tcPr>
            <w:tcW w:w="1103" w:type="dxa"/>
            <w:tcBorders>
              <w:top w:val="nil"/>
              <w:left w:val="nil"/>
              <w:bottom w:val="single" w:color="auto" w:sz="4" w:space="0"/>
              <w:right w:val="single" w:color="auto" w:sz="4" w:space="0"/>
            </w:tcBorders>
            <w:noWrap/>
            <w:vAlign w:val="center"/>
          </w:tcPr>
          <w:p w14:paraId="5680ADB9">
            <w:pPr>
              <w:widowControl/>
              <w:jc w:val="center"/>
              <w:rPr>
                <w:rFonts w:ascii="宋体" w:hAnsi="宋体" w:cs="宋体"/>
                <w:kern w:val="0"/>
                <w:sz w:val="24"/>
              </w:rPr>
            </w:pPr>
            <w:r>
              <w:rPr>
                <w:rFonts w:hint="eastAsia" w:ascii="宋体" w:hAnsi="宋体" w:cs="宋体"/>
                <w:kern w:val="0"/>
                <w:sz w:val="24"/>
              </w:rPr>
              <w:t>否</w:t>
            </w:r>
          </w:p>
        </w:tc>
      </w:tr>
      <w:tr w14:paraId="72774EC5">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4A3A13AC">
            <w:pPr>
              <w:widowControl/>
              <w:jc w:val="center"/>
              <w:rPr>
                <w:rFonts w:ascii="宋体" w:hAnsi="宋体" w:cs="宋体"/>
                <w:kern w:val="0"/>
                <w:sz w:val="24"/>
              </w:rPr>
            </w:pPr>
            <w:r>
              <w:rPr>
                <w:rFonts w:hint="eastAsia" w:ascii="宋体" w:hAnsi="宋体" w:cs="宋体"/>
                <w:kern w:val="0"/>
                <w:sz w:val="24"/>
              </w:rPr>
              <w:t>17</w:t>
            </w:r>
          </w:p>
        </w:tc>
        <w:tc>
          <w:tcPr>
            <w:tcW w:w="993" w:type="dxa"/>
            <w:tcBorders>
              <w:top w:val="nil"/>
              <w:left w:val="nil"/>
              <w:bottom w:val="single" w:color="auto" w:sz="4" w:space="0"/>
              <w:right w:val="single" w:color="auto" w:sz="4" w:space="0"/>
            </w:tcBorders>
            <w:vAlign w:val="center"/>
          </w:tcPr>
          <w:p w14:paraId="6D223AB7">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186B32EB">
            <w:pPr>
              <w:widowControl/>
              <w:rPr>
                <w:rFonts w:ascii="宋体" w:hAnsi="宋体" w:cs="宋体"/>
                <w:kern w:val="0"/>
                <w:sz w:val="24"/>
              </w:rPr>
            </w:pPr>
            <w:r>
              <w:rPr>
                <w:rFonts w:hint="eastAsia" w:ascii="宋体" w:hAnsi="宋体" w:cs="宋体"/>
                <w:kern w:val="0"/>
                <w:sz w:val="24"/>
              </w:rPr>
              <w:t>用户可编辑任意欢迎词内容、位置及背景图片，快速生成欢迎词界面进行签名、书写，并直接生成二维码分享到手机、平板电脑等移动端；</w:t>
            </w:r>
          </w:p>
        </w:tc>
        <w:tc>
          <w:tcPr>
            <w:tcW w:w="1103" w:type="dxa"/>
            <w:tcBorders>
              <w:top w:val="nil"/>
              <w:left w:val="nil"/>
              <w:bottom w:val="single" w:color="auto" w:sz="4" w:space="0"/>
              <w:right w:val="single" w:color="auto" w:sz="4" w:space="0"/>
            </w:tcBorders>
            <w:noWrap/>
            <w:vAlign w:val="center"/>
          </w:tcPr>
          <w:p w14:paraId="5D60576A">
            <w:pPr>
              <w:widowControl/>
              <w:jc w:val="center"/>
              <w:rPr>
                <w:rFonts w:ascii="宋体" w:hAnsi="宋体" w:cs="宋体"/>
                <w:kern w:val="0"/>
                <w:sz w:val="24"/>
              </w:rPr>
            </w:pPr>
            <w:r>
              <w:rPr>
                <w:rFonts w:hint="eastAsia" w:ascii="宋体" w:hAnsi="宋体" w:cs="宋体"/>
                <w:kern w:val="0"/>
                <w:sz w:val="24"/>
              </w:rPr>
              <w:t>否</w:t>
            </w:r>
          </w:p>
        </w:tc>
      </w:tr>
      <w:tr w14:paraId="604622E4">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164618DE">
            <w:pPr>
              <w:widowControl/>
              <w:jc w:val="center"/>
              <w:rPr>
                <w:rFonts w:ascii="宋体" w:hAnsi="宋体" w:cs="宋体"/>
                <w:kern w:val="0"/>
                <w:sz w:val="24"/>
              </w:rPr>
            </w:pPr>
            <w:r>
              <w:rPr>
                <w:rFonts w:hint="eastAsia" w:ascii="宋体" w:hAnsi="宋体" w:cs="宋体"/>
                <w:kern w:val="0"/>
                <w:sz w:val="24"/>
              </w:rPr>
              <w:t>18</w:t>
            </w:r>
          </w:p>
        </w:tc>
        <w:tc>
          <w:tcPr>
            <w:tcW w:w="993" w:type="dxa"/>
            <w:tcBorders>
              <w:top w:val="nil"/>
              <w:left w:val="nil"/>
              <w:bottom w:val="single" w:color="auto" w:sz="4" w:space="0"/>
              <w:right w:val="single" w:color="auto" w:sz="4" w:space="0"/>
            </w:tcBorders>
            <w:vAlign w:val="center"/>
          </w:tcPr>
          <w:p w14:paraId="50985059">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3D3AF1C2">
            <w:pPr>
              <w:widowControl/>
              <w:rPr>
                <w:rFonts w:ascii="宋体" w:hAnsi="宋体" w:cs="宋体"/>
                <w:kern w:val="0"/>
                <w:sz w:val="24"/>
              </w:rPr>
            </w:pPr>
            <w:r>
              <w:rPr>
                <w:rFonts w:hint="eastAsia" w:ascii="宋体" w:hAnsi="宋体" w:cs="宋体"/>
                <w:kern w:val="0"/>
                <w:sz w:val="24"/>
              </w:rPr>
              <w:t>支持移动设备无线投屏≥4投屏，支持反向触控，手机、平板电脑等设备通过无线WIFI进行传输。</w:t>
            </w:r>
          </w:p>
        </w:tc>
        <w:tc>
          <w:tcPr>
            <w:tcW w:w="1103" w:type="dxa"/>
            <w:tcBorders>
              <w:top w:val="nil"/>
              <w:left w:val="nil"/>
              <w:bottom w:val="single" w:color="auto" w:sz="4" w:space="0"/>
              <w:right w:val="single" w:color="auto" w:sz="4" w:space="0"/>
            </w:tcBorders>
            <w:noWrap/>
            <w:vAlign w:val="center"/>
          </w:tcPr>
          <w:p w14:paraId="2024AED6">
            <w:pPr>
              <w:widowControl/>
              <w:jc w:val="center"/>
              <w:rPr>
                <w:rFonts w:ascii="宋体" w:hAnsi="宋体" w:cs="宋体"/>
                <w:kern w:val="0"/>
                <w:sz w:val="24"/>
              </w:rPr>
            </w:pPr>
            <w:r>
              <w:rPr>
                <w:rFonts w:hint="eastAsia" w:ascii="宋体" w:hAnsi="宋体" w:cs="宋体"/>
                <w:kern w:val="0"/>
                <w:sz w:val="24"/>
              </w:rPr>
              <w:t>否</w:t>
            </w:r>
          </w:p>
        </w:tc>
      </w:tr>
      <w:tr w14:paraId="4D871FB5">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026F78FF">
            <w:pPr>
              <w:widowControl/>
              <w:jc w:val="center"/>
              <w:rPr>
                <w:rFonts w:ascii="宋体" w:hAnsi="宋体" w:cs="宋体"/>
                <w:kern w:val="0"/>
                <w:sz w:val="24"/>
              </w:rPr>
            </w:pPr>
            <w:r>
              <w:rPr>
                <w:rFonts w:hint="eastAsia" w:ascii="宋体" w:hAnsi="宋体" w:cs="宋体"/>
                <w:kern w:val="0"/>
                <w:sz w:val="24"/>
              </w:rPr>
              <w:t>19</w:t>
            </w:r>
          </w:p>
        </w:tc>
        <w:tc>
          <w:tcPr>
            <w:tcW w:w="993" w:type="dxa"/>
            <w:tcBorders>
              <w:top w:val="nil"/>
              <w:left w:val="nil"/>
              <w:bottom w:val="single" w:color="auto" w:sz="4" w:space="0"/>
              <w:right w:val="single" w:color="auto" w:sz="4" w:space="0"/>
            </w:tcBorders>
            <w:vAlign w:val="center"/>
          </w:tcPr>
          <w:p w14:paraId="3E5D4CEB">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4E996084">
            <w:pPr>
              <w:widowControl/>
              <w:rPr>
                <w:rFonts w:ascii="宋体" w:hAnsi="宋体" w:cs="宋体"/>
                <w:kern w:val="0"/>
                <w:sz w:val="24"/>
              </w:rPr>
            </w:pPr>
            <w:r>
              <w:rPr>
                <w:rFonts w:hint="eastAsia" w:ascii="宋体" w:hAnsi="宋体" w:cs="宋体"/>
                <w:kern w:val="0"/>
                <w:sz w:val="24"/>
              </w:rPr>
              <w:t>色彩度：≥10bit；亮度：中心点≥350 cd/㎡；可视角度：≥178°（H）/178°(V)；背光灯寿命：＞50000小时；音响喇叭：2*≥10W立体高低音音响。</w:t>
            </w:r>
          </w:p>
        </w:tc>
        <w:tc>
          <w:tcPr>
            <w:tcW w:w="1103" w:type="dxa"/>
            <w:tcBorders>
              <w:top w:val="nil"/>
              <w:left w:val="nil"/>
              <w:bottom w:val="single" w:color="auto" w:sz="4" w:space="0"/>
              <w:right w:val="single" w:color="auto" w:sz="4" w:space="0"/>
            </w:tcBorders>
            <w:noWrap/>
            <w:vAlign w:val="center"/>
          </w:tcPr>
          <w:p w14:paraId="47E1CFC9">
            <w:pPr>
              <w:widowControl/>
              <w:jc w:val="center"/>
              <w:rPr>
                <w:rFonts w:ascii="宋体" w:hAnsi="宋体" w:cs="宋体"/>
                <w:kern w:val="0"/>
                <w:sz w:val="24"/>
              </w:rPr>
            </w:pPr>
            <w:r>
              <w:rPr>
                <w:rFonts w:hint="eastAsia" w:ascii="宋体" w:hAnsi="宋体" w:cs="宋体"/>
                <w:kern w:val="0"/>
                <w:sz w:val="24"/>
              </w:rPr>
              <w:t>否</w:t>
            </w:r>
          </w:p>
        </w:tc>
      </w:tr>
      <w:tr w14:paraId="5ED4BB54">
        <w:tblPrEx>
          <w:tblCellMar>
            <w:top w:w="0" w:type="dxa"/>
            <w:left w:w="108" w:type="dxa"/>
            <w:bottom w:w="0" w:type="dxa"/>
            <w:right w:w="108" w:type="dxa"/>
          </w:tblCellMar>
        </w:tblPrEx>
        <w:trPr>
          <w:trHeight w:val="270" w:hRule="atLeast"/>
        </w:trPr>
        <w:tc>
          <w:tcPr>
            <w:tcW w:w="673" w:type="dxa"/>
            <w:tcBorders>
              <w:top w:val="single" w:color="auto" w:sz="4" w:space="0"/>
              <w:left w:val="single" w:color="auto" w:sz="4" w:space="0"/>
              <w:bottom w:val="single" w:color="auto" w:sz="4" w:space="0"/>
              <w:right w:val="single" w:color="auto" w:sz="4" w:space="0"/>
            </w:tcBorders>
            <w:vAlign w:val="center"/>
          </w:tcPr>
          <w:p w14:paraId="6A95A8E3">
            <w:pPr>
              <w:widowControl/>
              <w:jc w:val="center"/>
              <w:rPr>
                <w:rFonts w:ascii="宋体" w:hAnsi="宋体" w:cs="宋体"/>
                <w:kern w:val="0"/>
                <w:sz w:val="24"/>
              </w:rPr>
            </w:pPr>
            <w:r>
              <w:rPr>
                <w:rFonts w:hint="eastAsia" w:ascii="宋体" w:hAnsi="宋体" w:cs="宋体"/>
                <w:kern w:val="0"/>
                <w:sz w:val="24"/>
              </w:rPr>
              <w:t>20</w:t>
            </w:r>
          </w:p>
        </w:tc>
        <w:tc>
          <w:tcPr>
            <w:tcW w:w="993" w:type="dxa"/>
            <w:tcBorders>
              <w:top w:val="single" w:color="auto" w:sz="4" w:space="0"/>
              <w:left w:val="nil"/>
              <w:bottom w:val="single" w:color="auto" w:sz="4" w:space="0"/>
              <w:right w:val="single" w:color="auto" w:sz="4" w:space="0"/>
            </w:tcBorders>
            <w:vAlign w:val="center"/>
          </w:tcPr>
          <w:p w14:paraId="758A67D5">
            <w:pPr>
              <w:widowControl/>
              <w:jc w:val="center"/>
              <w:rPr>
                <w:rFonts w:ascii="宋体" w:hAnsi="宋体" w:cs="宋体"/>
                <w:kern w:val="0"/>
                <w:sz w:val="24"/>
              </w:rPr>
            </w:pPr>
          </w:p>
        </w:tc>
        <w:tc>
          <w:tcPr>
            <w:tcW w:w="5955" w:type="dxa"/>
            <w:tcBorders>
              <w:top w:val="single" w:color="auto" w:sz="4" w:space="0"/>
              <w:left w:val="nil"/>
              <w:bottom w:val="single" w:color="auto" w:sz="4" w:space="0"/>
              <w:right w:val="single" w:color="auto" w:sz="4" w:space="0"/>
            </w:tcBorders>
            <w:vAlign w:val="center"/>
          </w:tcPr>
          <w:p w14:paraId="023D96C7">
            <w:pPr>
              <w:widowControl/>
              <w:rPr>
                <w:rFonts w:ascii="宋体" w:hAnsi="宋体" w:cs="宋体"/>
                <w:kern w:val="0"/>
                <w:sz w:val="24"/>
              </w:rPr>
            </w:pPr>
            <w:r>
              <w:rPr>
                <w:rFonts w:hint="eastAsia" w:ascii="宋体" w:hAnsi="宋体" w:cs="宋体"/>
                <w:kern w:val="0"/>
                <w:sz w:val="24"/>
              </w:rPr>
              <w:t>自动光感，远程会议，无线投屏，白板书写，多通道书写、童锁、截图分享、任意批注，手机扫码等。</w:t>
            </w:r>
          </w:p>
        </w:tc>
        <w:tc>
          <w:tcPr>
            <w:tcW w:w="1103" w:type="dxa"/>
            <w:tcBorders>
              <w:top w:val="single" w:color="auto" w:sz="4" w:space="0"/>
              <w:left w:val="nil"/>
              <w:bottom w:val="single" w:color="auto" w:sz="4" w:space="0"/>
              <w:right w:val="single" w:color="auto" w:sz="4" w:space="0"/>
            </w:tcBorders>
            <w:noWrap/>
            <w:vAlign w:val="center"/>
          </w:tcPr>
          <w:p w14:paraId="1E6DB0E2">
            <w:pPr>
              <w:widowControl/>
              <w:jc w:val="center"/>
              <w:rPr>
                <w:rFonts w:ascii="宋体" w:hAnsi="宋体" w:cs="宋体"/>
                <w:kern w:val="0"/>
                <w:sz w:val="24"/>
              </w:rPr>
            </w:pPr>
            <w:r>
              <w:rPr>
                <w:rFonts w:hint="eastAsia" w:ascii="宋体" w:hAnsi="宋体" w:cs="宋体"/>
                <w:kern w:val="0"/>
                <w:sz w:val="24"/>
              </w:rPr>
              <w:t>否</w:t>
            </w:r>
          </w:p>
        </w:tc>
      </w:tr>
      <w:tr w14:paraId="66088DD1">
        <w:tblPrEx>
          <w:tblCellMar>
            <w:top w:w="0" w:type="dxa"/>
            <w:left w:w="108" w:type="dxa"/>
            <w:bottom w:w="0" w:type="dxa"/>
            <w:right w:w="108" w:type="dxa"/>
          </w:tblCellMar>
        </w:tblPrEx>
        <w:trPr>
          <w:trHeight w:val="270" w:hRule="atLeast"/>
        </w:trPr>
        <w:tc>
          <w:tcPr>
            <w:tcW w:w="673" w:type="dxa"/>
            <w:tcBorders>
              <w:top w:val="single" w:color="auto" w:sz="4" w:space="0"/>
              <w:left w:val="single" w:color="auto" w:sz="4" w:space="0"/>
              <w:bottom w:val="single" w:color="auto" w:sz="4" w:space="0"/>
              <w:right w:val="single" w:color="auto" w:sz="4" w:space="0"/>
            </w:tcBorders>
            <w:vAlign w:val="center"/>
          </w:tcPr>
          <w:p w14:paraId="1B220ED3">
            <w:pPr>
              <w:widowControl/>
              <w:jc w:val="center"/>
              <w:rPr>
                <w:rFonts w:ascii="宋体" w:hAnsi="宋体" w:cs="宋体"/>
                <w:kern w:val="0"/>
                <w:sz w:val="24"/>
              </w:rPr>
            </w:pPr>
            <w:r>
              <w:rPr>
                <w:rFonts w:hint="eastAsia" w:ascii="宋体" w:hAnsi="宋体" w:cs="宋体"/>
                <w:kern w:val="0"/>
                <w:sz w:val="24"/>
              </w:rPr>
              <w:t>21</w:t>
            </w:r>
          </w:p>
        </w:tc>
        <w:tc>
          <w:tcPr>
            <w:tcW w:w="993" w:type="dxa"/>
            <w:tcBorders>
              <w:top w:val="single" w:color="auto" w:sz="4" w:space="0"/>
              <w:left w:val="nil"/>
              <w:bottom w:val="single" w:color="auto" w:sz="4" w:space="0"/>
              <w:right w:val="single" w:color="auto" w:sz="4" w:space="0"/>
            </w:tcBorders>
            <w:vAlign w:val="center"/>
          </w:tcPr>
          <w:p w14:paraId="4F7AC932">
            <w:pPr>
              <w:widowControl/>
              <w:jc w:val="center"/>
              <w:rPr>
                <w:rFonts w:ascii="宋体" w:hAnsi="宋体" w:cs="宋体"/>
                <w:kern w:val="0"/>
                <w:sz w:val="24"/>
              </w:rPr>
            </w:pPr>
          </w:p>
        </w:tc>
        <w:tc>
          <w:tcPr>
            <w:tcW w:w="5955" w:type="dxa"/>
            <w:tcBorders>
              <w:top w:val="single" w:color="auto" w:sz="4" w:space="0"/>
              <w:left w:val="nil"/>
              <w:bottom w:val="single" w:color="auto" w:sz="4" w:space="0"/>
              <w:right w:val="single" w:color="auto" w:sz="4" w:space="0"/>
            </w:tcBorders>
            <w:vAlign w:val="center"/>
          </w:tcPr>
          <w:p w14:paraId="7DB4B9FD">
            <w:pPr>
              <w:widowControl/>
              <w:rPr>
                <w:rFonts w:ascii="宋体" w:hAnsi="宋体" w:cs="宋体"/>
                <w:kern w:val="0"/>
                <w:sz w:val="24"/>
              </w:rPr>
            </w:pPr>
            <w:r>
              <w:rPr>
                <w:rFonts w:hint="eastAsia" w:ascii="宋体" w:hAnsi="宋体" w:cs="宋体"/>
                <w:kern w:val="0"/>
                <w:sz w:val="24"/>
              </w:rPr>
              <w:t>含现场安装所需壁装支架、HDMI线缆（长度满足现场实际需要）</w:t>
            </w:r>
          </w:p>
        </w:tc>
        <w:tc>
          <w:tcPr>
            <w:tcW w:w="1103" w:type="dxa"/>
            <w:tcBorders>
              <w:top w:val="single" w:color="auto" w:sz="4" w:space="0"/>
              <w:left w:val="nil"/>
              <w:bottom w:val="single" w:color="auto" w:sz="4" w:space="0"/>
              <w:right w:val="single" w:color="auto" w:sz="4" w:space="0"/>
            </w:tcBorders>
            <w:noWrap/>
            <w:vAlign w:val="center"/>
          </w:tcPr>
          <w:p w14:paraId="107E0241">
            <w:pPr>
              <w:widowControl/>
              <w:jc w:val="center"/>
              <w:rPr>
                <w:rFonts w:ascii="宋体" w:hAnsi="宋体" w:cs="宋体"/>
                <w:kern w:val="0"/>
                <w:sz w:val="24"/>
              </w:rPr>
            </w:pPr>
            <w:r>
              <w:rPr>
                <w:rFonts w:hint="eastAsia" w:ascii="宋体" w:hAnsi="宋体" w:cs="宋体"/>
                <w:kern w:val="0"/>
                <w:sz w:val="24"/>
              </w:rPr>
              <w:t>否</w:t>
            </w:r>
          </w:p>
        </w:tc>
      </w:tr>
      <w:tr w14:paraId="738A28B6">
        <w:tblPrEx>
          <w:tblCellMar>
            <w:top w:w="0" w:type="dxa"/>
            <w:left w:w="108" w:type="dxa"/>
            <w:bottom w:w="0" w:type="dxa"/>
            <w:right w:w="108" w:type="dxa"/>
          </w:tblCellMar>
        </w:tblPrEx>
        <w:trPr>
          <w:trHeight w:val="270" w:hRule="atLeast"/>
        </w:trPr>
        <w:tc>
          <w:tcPr>
            <w:tcW w:w="673" w:type="dxa"/>
            <w:tcBorders>
              <w:top w:val="single" w:color="auto" w:sz="4" w:space="0"/>
              <w:left w:val="single" w:color="auto" w:sz="4" w:space="0"/>
              <w:bottom w:val="single" w:color="auto" w:sz="4" w:space="0"/>
              <w:right w:val="single" w:color="auto" w:sz="4" w:space="0"/>
            </w:tcBorders>
            <w:vAlign w:val="center"/>
          </w:tcPr>
          <w:p w14:paraId="41FC202A">
            <w:pPr>
              <w:widowControl/>
              <w:jc w:val="center"/>
              <w:rPr>
                <w:rFonts w:ascii="宋体" w:hAnsi="宋体" w:cs="宋体"/>
                <w:kern w:val="0"/>
                <w:sz w:val="24"/>
              </w:rPr>
            </w:pPr>
            <w:r>
              <w:rPr>
                <w:rFonts w:hint="eastAsia" w:ascii="宋体" w:hAnsi="宋体" w:cs="宋体"/>
                <w:kern w:val="0"/>
                <w:sz w:val="24"/>
              </w:rPr>
              <w:t>22</w:t>
            </w:r>
          </w:p>
        </w:tc>
        <w:tc>
          <w:tcPr>
            <w:tcW w:w="993" w:type="dxa"/>
            <w:tcBorders>
              <w:top w:val="single" w:color="auto" w:sz="4" w:space="0"/>
              <w:left w:val="nil"/>
              <w:bottom w:val="single" w:color="auto" w:sz="4" w:space="0"/>
              <w:right w:val="single" w:color="auto" w:sz="4" w:space="0"/>
            </w:tcBorders>
            <w:vAlign w:val="center"/>
          </w:tcPr>
          <w:p w14:paraId="5D76B17B">
            <w:pPr>
              <w:widowControl/>
              <w:jc w:val="center"/>
              <w:rPr>
                <w:rFonts w:ascii="宋体" w:hAnsi="宋体" w:cs="宋体"/>
                <w:kern w:val="0"/>
                <w:sz w:val="24"/>
              </w:rPr>
            </w:pPr>
            <w:r>
              <w:rPr>
                <w:rFonts w:hint="eastAsia" w:ascii="宋体" w:hAnsi="宋体" w:cs="宋体"/>
                <w:kern w:val="0"/>
                <w:sz w:val="24"/>
              </w:rPr>
              <w:t>#</w:t>
            </w:r>
          </w:p>
        </w:tc>
        <w:tc>
          <w:tcPr>
            <w:tcW w:w="5955" w:type="dxa"/>
            <w:tcBorders>
              <w:top w:val="single" w:color="auto" w:sz="4" w:space="0"/>
              <w:left w:val="nil"/>
              <w:bottom w:val="single" w:color="auto" w:sz="4" w:space="0"/>
              <w:right w:val="single" w:color="auto" w:sz="4" w:space="0"/>
            </w:tcBorders>
            <w:vAlign w:val="center"/>
          </w:tcPr>
          <w:p w14:paraId="31383AFF">
            <w:pPr>
              <w:widowControl/>
              <w:rPr>
                <w:rFonts w:ascii="宋体" w:hAnsi="宋体" w:cs="宋体"/>
                <w:kern w:val="0"/>
                <w:sz w:val="24"/>
              </w:rPr>
            </w:pPr>
            <w:r>
              <w:rPr>
                <w:rFonts w:hint="eastAsia" w:ascii="宋体" w:hAnsi="宋体" w:cs="宋体"/>
                <w:kern w:val="0"/>
                <w:sz w:val="24"/>
              </w:rPr>
              <w:t>具备能效二级及以上证书</w:t>
            </w:r>
          </w:p>
        </w:tc>
        <w:tc>
          <w:tcPr>
            <w:tcW w:w="1103" w:type="dxa"/>
            <w:tcBorders>
              <w:top w:val="single" w:color="auto" w:sz="4" w:space="0"/>
              <w:left w:val="nil"/>
              <w:bottom w:val="single" w:color="auto" w:sz="4" w:space="0"/>
              <w:right w:val="single" w:color="auto" w:sz="4" w:space="0"/>
            </w:tcBorders>
            <w:noWrap/>
            <w:vAlign w:val="center"/>
          </w:tcPr>
          <w:p w14:paraId="4294DDA3">
            <w:pPr>
              <w:widowControl/>
              <w:jc w:val="center"/>
              <w:rPr>
                <w:rFonts w:ascii="宋体" w:hAnsi="宋体" w:cs="宋体"/>
                <w:kern w:val="0"/>
                <w:sz w:val="24"/>
              </w:rPr>
            </w:pPr>
            <w:r>
              <w:rPr>
                <w:rFonts w:hint="eastAsia" w:ascii="宋体" w:hAnsi="宋体" w:cs="宋体"/>
                <w:kern w:val="0"/>
                <w:sz w:val="24"/>
              </w:rPr>
              <w:t>是</w:t>
            </w:r>
          </w:p>
        </w:tc>
      </w:tr>
    </w:tbl>
    <w:p w14:paraId="3F0BDD44">
      <w:pPr>
        <w:spacing w:line="360" w:lineRule="auto"/>
        <w:rPr>
          <w:rFonts w:ascii="宋体" w:hAnsi="宋体" w:cs="宋体"/>
          <w:sz w:val="24"/>
        </w:rPr>
      </w:pPr>
    </w:p>
    <w:p w14:paraId="53B3B11B">
      <w:pPr>
        <w:spacing w:line="360" w:lineRule="auto"/>
        <w:ind w:left="420" w:leftChars="200"/>
        <w:outlineLvl w:val="3"/>
        <w:rPr>
          <w:rFonts w:ascii="宋体" w:hAnsi="宋体" w:cs="宋体"/>
          <w:sz w:val="24"/>
        </w:rPr>
      </w:pPr>
      <w:r>
        <w:rPr>
          <w:rFonts w:hint="eastAsia" w:ascii="宋体" w:hAnsi="宋体" w:cs="宋体"/>
          <w:sz w:val="24"/>
        </w:rPr>
        <w:t>2.1.3 75寸显示器</w:t>
      </w:r>
    </w:p>
    <w:tbl>
      <w:tblPr>
        <w:tblStyle w:val="15"/>
        <w:tblW w:w="8724" w:type="dxa"/>
        <w:tblInd w:w="0" w:type="dxa"/>
        <w:tblLayout w:type="fixed"/>
        <w:tblCellMar>
          <w:top w:w="0" w:type="dxa"/>
          <w:left w:w="108" w:type="dxa"/>
          <w:bottom w:w="0" w:type="dxa"/>
          <w:right w:w="108" w:type="dxa"/>
        </w:tblCellMar>
      </w:tblPr>
      <w:tblGrid>
        <w:gridCol w:w="673"/>
        <w:gridCol w:w="993"/>
        <w:gridCol w:w="5955"/>
        <w:gridCol w:w="1103"/>
      </w:tblGrid>
      <w:tr w14:paraId="181FE3B4">
        <w:tblPrEx>
          <w:tblCellMar>
            <w:top w:w="0" w:type="dxa"/>
            <w:left w:w="108" w:type="dxa"/>
            <w:bottom w:w="0" w:type="dxa"/>
            <w:right w:w="108" w:type="dxa"/>
          </w:tblCellMar>
        </w:tblPrEx>
        <w:trPr>
          <w:trHeight w:val="540" w:hRule="atLeast"/>
          <w:tblHeader/>
        </w:trPr>
        <w:tc>
          <w:tcPr>
            <w:tcW w:w="673" w:type="dxa"/>
            <w:tcBorders>
              <w:top w:val="single" w:color="auto" w:sz="4" w:space="0"/>
              <w:left w:val="single" w:color="auto" w:sz="4" w:space="0"/>
              <w:bottom w:val="single" w:color="auto" w:sz="4" w:space="0"/>
              <w:right w:val="single" w:color="auto" w:sz="4" w:space="0"/>
            </w:tcBorders>
            <w:vAlign w:val="center"/>
          </w:tcPr>
          <w:p w14:paraId="72106418">
            <w:pPr>
              <w:widowControl/>
              <w:jc w:val="center"/>
              <w:rPr>
                <w:rFonts w:ascii="宋体" w:hAnsi="宋体" w:cs="宋体"/>
                <w:b/>
                <w:bCs/>
                <w:kern w:val="0"/>
                <w:sz w:val="24"/>
              </w:rPr>
            </w:pPr>
            <w:r>
              <w:rPr>
                <w:rFonts w:hint="eastAsia" w:ascii="宋体" w:hAnsi="宋体" w:cs="宋体"/>
                <w:b/>
                <w:bCs/>
                <w:kern w:val="0"/>
                <w:sz w:val="24"/>
              </w:rPr>
              <w:t>序号</w:t>
            </w:r>
          </w:p>
        </w:tc>
        <w:tc>
          <w:tcPr>
            <w:tcW w:w="993" w:type="dxa"/>
            <w:tcBorders>
              <w:top w:val="single" w:color="auto" w:sz="4" w:space="0"/>
              <w:left w:val="nil"/>
              <w:bottom w:val="single" w:color="auto" w:sz="4" w:space="0"/>
              <w:right w:val="single" w:color="auto" w:sz="4" w:space="0"/>
            </w:tcBorders>
            <w:vAlign w:val="center"/>
          </w:tcPr>
          <w:p w14:paraId="6793298C">
            <w:pPr>
              <w:widowControl/>
              <w:jc w:val="center"/>
              <w:rPr>
                <w:rFonts w:ascii="宋体" w:hAnsi="宋体" w:cs="宋体"/>
                <w:b/>
                <w:bCs/>
                <w:kern w:val="0"/>
                <w:sz w:val="24"/>
              </w:rPr>
            </w:pPr>
            <w:r>
              <w:rPr>
                <w:rFonts w:hint="eastAsia" w:ascii="宋体" w:hAnsi="宋体" w:cs="宋体"/>
                <w:b/>
                <w:bCs/>
                <w:kern w:val="0"/>
                <w:sz w:val="24"/>
              </w:rPr>
              <w:t>重要性</w:t>
            </w:r>
          </w:p>
        </w:tc>
        <w:tc>
          <w:tcPr>
            <w:tcW w:w="5955" w:type="dxa"/>
            <w:tcBorders>
              <w:top w:val="single" w:color="auto" w:sz="4" w:space="0"/>
              <w:left w:val="nil"/>
              <w:bottom w:val="single" w:color="auto" w:sz="4" w:space="0"/>
              <w:right w:val="single" w:color="auto" w:sz="4" w:space="0"/>
            </w:tcBorders>
            <w:vAlign w:val="center"/>
          </w:tcPr>
          <w:p w14:paraId="0AB70AF2">
            <w:pPr>
              <w:widowControl/>
              <w:jc w:val="center"/>
              <w:rPr>
                <w:rFonts w:ascii="宋体" w:hAnsi="宋体" w:cs="宋体"/>
                <w:b/>
                <w:bCs/>
                <w:kern w:val="0"/>
                <w:sz w:val="24"/>
              </w:rPr>
            </w:pPr>
            <w:r>
              <w:rPr>
                <w:rFonts w:hint="eastAsia" w:ascii="宋体" w:hAnsi="宋体" w:cs="宋体"/>
                <w:b/>
                <w:bCs/>
                <w:kern w:val="0"/>
                <w:sz w:val="24"/>
              </w:rPr>
              <w:t>具体指标内容</w:t>
            </w:r>
          </w:p>
        </w:tc>
        <w:tc>
          <w:tcPr>
            <w:tcW w:w="1103" w:type="dxa"/>
            <w:tcBorders>
              <w:top w:val="single" w:color="auto" w:sz="4" w:space="0"/>
              <w:left w:val="nil"/>
              <w:bottom w:val="single" w:color="auto" w:sz="4" w:space="0"/>
              <w:right w:val="single" w:color="auto" w:sz="4" w:space="0"/>
            </w:tcBorders>
            <w:vAlign w:val="center"/>
          </w:tcPr>
          <w:p w14:paraId="18AC2A09">
            <w:pPr>
              <w:widowControl/>
              <w:jc w:val="center"/>
              <w:rPr>
                <w:rFonts w:ascii="宋体" w:hAnsi="宋体" w:cs="宋体"/>
                <w:b/>
                <w:bCs/>
                <w:kern w:val="0"/>
                <w:sz w:val="24"/>
              </w:rPr>
            </w:pPr>
            <w:r>
              <w:rPr>
                <w:rFonts w:hint="eastAsia" w:ascii="宋体" w:hAnsi="宋体" w:cs="宋体"/>
                <w:b/>
                <w:bCs/>
                <w:kern w:val="0"/>
                <w:sz w:val="24"/>
              </w:rPr>
              <w:t>是否需要证明材料</w:t>
            </w:r>
          </w:p>
        </w:tc>
      </w:tr>
      <w:tr w14:paraId="49EE25D7">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23AB0785">
            <w:pPr>
              <w:widowControl/>
              <w:jc w:val="center"/>
              <w:rPr>
                <w:rFonts w:ascii="宋体" w:hAnsi="宋体" w:cs="宋体"/>
                <w:kern w:val="0"/>
                <w:sz w:val="24"/>
              </w:rPr>
            </w:pPr>
            <w:r>
              <w:rPr>
                <w:rFonts w:hint="eastAsia" w:ascii="宋体" w:hAnsi="宋体" w:cs="宋体"/>
                <w:kern w:val="0"/>
                <w:sz w:val="24"/>
              </w:rPr>
              <w:t>1</w:t>
            </w:r>
          </w:p>
        </w:tc>
        <w:tc>
          <w:tcPr>
            <w:tcW w:w="993" w:type="dxa"/>
            <w:tcBorders>
              <w:top w:val="nil"/>
              <w:left w:val="nil"/>
              <w:bottom w:val="single" w:color="auto" w:sz="4" w:space="0"/>
              <w:right w:val="single" w:color="auto" w:sz="4" w:space="0"/>
            </w:tcBorders>
            <w:vAlign w:val="center"/>
          </w:tcPr>
          <w:p w14:paraId="01998B2B">
            <w:pPr>
              <w:widowControl/>
              <w:jc w:val="center"/>
              <w:rPr>
                <w:rFonts w:ascii="宋体" w:hAnsi="宋体" w:cs="宋体"/>
                <w:kern w:val="0"/>
                <w:sz w:val="24"/>
              </w:rPr>
            </w:pPr>
            <w:r>
              <w:rPr>
                <w:rFonts w:hint="eastAsia" w:ascii="宋体" w:hAnsi="宋体" w:cs="宋体"/>
                <w:kern w:val="0"/>
                <w:sz w:val="24"/>
              </w:rPr>
              <w:t>#</w:t>
            </w:r>
          </w:p>
        </w:tc>
        <w:tc>
          <w:tcPr>
            <w:tcW w:w="5955" w:type="dxa"/>
            <w:tcBorders>
              <w:top w:val="nil"/>
              <w:left w:val="nil"/>
              <w:bottom w:val="single" w:color="auto" w:sz="4" w:space="0"/>
              <w:right w:val="single" w:color="auto" w:sz="4" w:space="0"/>
            </w:tcBorders>
            <w:vAlign w:val="center"/>
          </w:tcPr>
          <w:p w14:paraId="3805C210">
            <w:pPr>
              <w:widowControl/>
              <w:rPr>
                <w:rFonts w:ascii="宋体" w:hAnsi="宋体" w:cs="宋体"/>
                <w:kern w:val="0"/>
                <w:sz w:val="24"/>
              </w:rPr>
            </w:pPr>
            <w:r>
              <w:rPr>
                <w:rFonts w:hint="eastAsia" w:ascii="宋体" w:hAnsi="宋体" w:cs="宋体"/>
                <w:kern w:val="0"/>
                <w:sz w:val="24"/>
              </w:rPr>
              <w:t>尺寸≥75英寸DLED液晶，分辨率≥3840*2160像素，显示区域≥2160.8（H）×1216.4（V）mm。</w:t>
            </w:r>
            <w:r>
              <w:rPr>
                <w:rFonts w:hint="eastAsia" w:ascii="宋体" w:hAnsi="宋体"/>
                <w:color w:val="000000"/>
                <w:sz w:val="24"/>
                <w:highlight w:val="none"/>
              </w:rPr>
              <w:t>（提供具备资质的第三方检测机构出具的</w:t>
            </w:r>
            <w:r>
              <w:rPr>
                <w:rFonts w:hint="eastAsia" w:ascii="宋体" w:hAnsi="宋体"/>
                <w:color w:val="000000"/>
                <w:sz w:val="24"/>
                <w:highlight w:val="none"/>
                <w:lang w:eastAsia="zh-CN"/>
              </w:rPr>
              <w:t>检验</w:t>
            </w:r>
            <w:r>
              <w:rPr>
                <w:rFonts w:hint="eastAsia" w:ascii="宋体" w:hAnsi="宋体"/>
                <w:color w:val="000000"/>
                <w:sz w:val="24"/>
                <w:highlight w:val="none"/>
              </w:rPr>
              <w:t>报告</w:t>
            </w:r>
            <w:r>
              <w:rPr>
                <w:rFonts w:hint="eastAsia" w:ascii="宋体" w:hAnsi="宋体"/>
                <w:color w:val="000000"/>
                <w:sz w:val="24"/>
                <w:highlight w:val="yellow"/>
              </w:rPr>
              <w:t>）</w:t>
            </w:r>
          </w:p>
        </w:tc>
        <w:tc>
          <w:tcPr>
            <w:tcW w:w="1103" w:type="dxa"/>
            <w:tcBorders>
              <w:top w:val="nil"/>
              <w:left w:val="nil"/>
              <w:bottom w:val="single" w:color="auto" w:sz="4" w:space="0"/>
              <w:right w:val="single" w:color="auto" w:sz="4" w:space="0"/>
            </w:tcBorders>
            <w:noWrap/>
            <w:vAlign w:val="center"/>
          </w:tcPr>
          <w:p w14:paraId="77B4F2CC">
            <w:pPr>
              <w:widowControl/>
              <w:jc w:val="center"/>
              <w:rPr>
                <w:rFonts w:ascii="宋体" w:hAnsi="宋体" w:cs="宋体"/>
                <w:kern w:val="0"/>
                <w:sz w:val="24"/>
              </w:rPr>
            </w:pPr>
            <w:r>
              <w:rPr>
                <w:rFonts w:hint="eastAsia" w:ascii="宋体" w:hAnsi="宋体" w:cs="宋体"/>
                <w:kern w:val="0"/>
                <w:sz w:val="24"/>
              </w:rPr>
              <w:t>是</w:t>
            </w:r>
          </w:p>
        </w:tc>
      </w:tr>
      <w:tr w14:paraId="0BB537B7">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7DC99723">
            <w:pPr>
              <w:widowControl/>
              <w:jc w:val="center"/>
              <w:rPr>
                <w:rFonts w:ascii="宋体" w:hAnsi="宋体" w:cs="宋体"/>
                <w:kern w:val="0"/>
                <w:sz w:val="24"/>
              </w:rPr>
            </w:pPr>
            <w:r>
              <w:rPr>
                <w:rFonts w:hint="eastAsia" w:ascii="宋体" w:hAnsi="宋体" w:cs="宋体"/>
                <w:kern w:val="0"/>
                <w:sz w:val="24"/>
              </w:rPr>
              <w:t>2</w:t>
            </w:r>
          </w:p>
        </w:tc>
        <w:tc>
          <w:tcPr>
            <w:tcW w:w="993" w:type="dxa"/>
            <w:tcBorders>
              <w:top w:val="nil"/>
              <w:left w:val="nil"/>
              <w:bottom w:val="single" w:color="auto" w:sz="4" w:space="0"/>
              <w:right w:val="single" w:color="auto" w:sz="4" w:space="0"/>
            </w:tcBorders>
            <w:vAlign w:val="center"/>
          </w:tcPr>
          <w:p w14:paraId="6BEE7C2C">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5537E5D1">
            <w:pPr>
              <w:widowControl/>
              <w:rPr>
                <w:rFonts w:ascii="宋体" w:hAnsi="宋体" w:cs="宋体"/>
                <w:kern w:val="0"/>
                <w:sz w:val="24"/>
              </w:rPr>
            </w:pPr>
            <w:r>
              <w:rPr>
                <w:rFonts w:hint="eastAsia" w:ascii="宋体" w:hAnsi="宋体" w:cs="宋体"/>
                <w:kern w:val="0"/>
                <w:sz w:val="24"/>
              </w:rPr>
              <w:t>对比度≥4000：1</w:t>
            </w:r>
          </w:p>
        </w:tc>
        <w:tc>
          <w:tcPr>
            <w:tcW w:w="1103" w:type="dxa"/>
            <w:tcBorders>
              <w:top w:val="nil"/>
              <w:left w:val="nil"/>
              <w:bottom w:val="single" w:color="auto" w:sz="4" w:space="0"/>
              <w:right w:val="single" w:color="auto" w:sz="4" w:space="0"/>
            </w:tcBorders>
            <w:noWrap/>
            <w:vAlign w:val="center"/>
          </w:tcPr>
          <w:p w14:paraId="6200B2A5">
            <w:pPr>
              <w:widowControl/>
              <w:jc w:val="center"/>
              <w:rPr>
                <w:rFonts w:ascii="宋体" w:hAnsi="宋体" w:cs="宋体"/>
                <w:kern w:val="0"/>
                <w:sz w:val="24"/>
              </w:rPr>
            </w:pPr>
            <w:r>
              <w:rPr>
                <w:rFonts w:hint="eastAsia" w:ascii="宋体" w:hAnsi="宋体" w:cs="宋体"/>
                <w:kern w:val="0"/>
                <w:sz w:val="24"/>
              </w:rPr>
              <w:t>否</w:t>
            </w:r>
          </w:p>
        </w:tc>
      </w:tr>
      <w:tr w14:paraId="54A4F7E1">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6C2BD992">
            <w:pPr>
              <w:widowControl/>
              <w:jc w:val="center"/>
              <w:rPr>
                <w:rFonts w:ascii="宋体" w:hAnsi="宋体" w:cs="宋体"/>
                <w:kern w:val="0"/>
                <w:sz w:val="24"/>
              </w:rPr>
            </w:pPr>
            <w:r>
              <w:rPr>
                <w:rFonts w:hint="eastAsia" w:ascii="宋体" w:hAnsi="宋体" w:cs="宋体"/>
                <w:kern w:val="0"/>
                <w:sz w:val="24"/>
              </w:rPr>
              <w:t>3</w:t>
            </w:r>
          </w:p>
        </w:tc>
        <w:tc>
          <w:tcPr>
            <w:tcW w:w="993" w:type="dxa"/>
            <w:tcBorders>
              <w:top w:val="nil"/>
              <w:left w:val="nil"/>
              <w:bottom w:val="single" w:color="auto" w:sz="4" w:space="0"/>
              <w:right w:val="single" w:color="auto" w:sz="4" w:space="0"/>
            </w:tcBorders>
            <w:vAlign w:val="center"/>
          </w:tcPr>
          <w:p w14:paraId="509D0B97">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0D097FE5">
            <w:pPr>
              <w:widowControl/>
              <w:rPr>
                <w:rFonts w:ascii="宋体" w:hAnsi="宋体" w:cs="宋体"/>
                <w:kern w:val="0"/>
                <w:sz w:val="24"/>
              </w:rPr>
            </w:pPr>
            <w:r>
              <w:rPr>
                <w:rFonts w:hint="eastAsia" w:ascii="宋体" w:hAnsi="宋体" w:cs="宋体"/>
                <w:kern w:val="0"/>
                <w:sz w:val="24"/>
              </w:rPr>
              <w:t>支持无线传屏功能</w:t>
            </w:r>
          </w:p>
        </w:tc>
        <w:tc>
          <w:tcPr>
            <w:tcW w:w="1103" w:type="dxa"/>
            <w:tcBorders>
              <w:top w:val="nil"/>
              <w:left w:val="nil"/>
              <w:bottom w:val="single" w:color="auto" w:sz="4" w:space="0"/>
              <w:right w:val="single" w:color="auto" w:sz="4" w:space="0"/>
            </w:tcBorders>
            <w:noWrap/>
            <w:vAlign w:val="center"/>
          </w:tcPr>
          <w:p w14:paraId="72850340">
            <w:pPr>
              <w:widowControl/>
              <w:jc w:val="center"/>
              <w:rPr>
                <w:rFonts w:ascii="宋体" w:hAnsi="宋体" w:cs="宋体"/>
                <w:kern w:val="0"/>
                <w:sz w:val="24"/>
              </w:rPr>
            </w:pPr>
            <w:r>
              <w:rPr>
                <w:rFonts w:hint="eastAsia" w:ascii="宋体" w:hAnsi="宋体" w:cs="宋体"/>
                <w:kern w:val="0"/>
                <w:sz w:val="24"/>
              </w:rPr>
              <w:t>否</w:t>
            </w:r>
          </w:p>
        </w:tc>
      </w:tr>
      <w:tr w14:paraId="4D95F5F6">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6AAFF04E">
            <w:pPr>
              <w:widowControl/>
              <w:jc w:val="center"/>
              <w:rPr>
                <w:rFonts w:ascii="宋体" w:hAnsi="宋体" w:cs="宋体"/>
                <w:kern w:val="0"/>
                <w:sz w:val="24"/>
              </w:rPr>
            </w:pPr>
            <w:r>
              <w:rPr>
                <w:rFonts w:hint="eastAsia" w:ascii="宋体" w:hAnsi="宋体" w:cs="宋体"/>
                <w:kern w:val="0"/>
                <w:sz w:val="24"/>
              </w:rPr>
              <w:t>4</w:t>
            </w:r>
          </w:p>
        </w:tc>
        <w:tc>
          <w:tcPr>
            <w:tcW w:w="993" w:type="dxa"/>
            <w:tcBorders>
              <w:top w:val="nil"/>
              <w:left w:val="nil"/>
              <w:bottom w:val="single" w:color="auto" w:sz="4" w:space="0"/>
              <w:right w:val="single" w:color="auto" w:sz="4" w:space="0"/>
            </w:tcBorders>
            <w:vAlign w:val="center"/>
          </w:tcPr>
          <w:p w14:paraId="3D9E9331">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5674272B">
            <w:pPr>
              <w:widowControl/>
              <w:rPr>
                <w:rFonts w:ascii="宋体" w:hAnsi="宋体" w:cs="宋体"/>
                <w:kern w:val="0"/>
                <w:sz w:val="24"/>
              </w:rPr>
            </w:pPr>
            <w:r>
              <w:rPr>
                <w:rFonts w:hint="eastAsia" w:ascii="宋体" w:hAnsi="宋体" w:cs="宋体"/>
                <w:kern w:val="0"/>
                <w:sz w:val="24"/>
              </w:rPr>
              <w:t>低书写高精度红外触控，全贴合3-4mm防眩光钢化玻璃</w:t>
            </w:r>
          </w:p>
        </w:tc>
        <w:tc>
          <w:tcPr>
            <w:tcW w:w="1103" w:type="dxa"/>
            <w:tcBorders>
              <w:top w:val="nil"/>
              <w:left w:val="nil"/>
              <w:bottom w:val="single" w:color="auto" w:sz="4" w:space="0"/>
              <w:right w:val="single" w:color="auto" w:sz="4" w:space="0"/>
            </w:tcBorders>
            <w:noWrap/>
            <w:vAlign w:val="center"/>
          </w:tcPr>
          <w:p w14:paraId="4184BE1C">
            <w:pPr>
              <w:widowControl/>
              <w:jc w:val="center"/>
              <w:rPr>
                <w:rFonts w:ascii="宋体" w:hAnsi="宋体" w:cs="宋体"/>
                <w:kern w:val="0"/>
                <w:sz w:val="24"/>
              </w:rPr>
            </w:pPr>
            <w:r>
              <w:rPr>
                <w:rFonts w:hint="eastAsia" w:ascii="宋体" w:hAnsi="宋体" w:cs="宋体"/>
                <w:kern w:val="0"/>
                <w:sz w:val="24"/>
              </w:rPr>
              <w:t>否</w:t>
            </w:r>
          </w:p>
        </w:tc>
      </w:tr>
      <w:tr w14:paraId="442FD88D">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73BCD26F">
            <w:pPr>
              <w:widowControl/>
              <w:jc w:val="center"/>
              <w:rPr>
                <w:rFonts w:ascii="宋体" w:hAnsi="宋体" w:cs="宋体"/>
                <w:kern w:val="0"/>
                <w:sz w:val="24"/>
              </w:rPr>
            </w:pPr>
            <w:r>
              <w:rPr>
                <w:rFonts w:hint="eastAsia" w:ascii="宋体" w:hAnsi="宋体" w:cs="宋体"/>
                <w:kern w:val="0"/>
                <w:sz w:val="24"/>
              </w:rPr>
              <w:t>5</w:t>
            </w:r>
          </w:p>
        </w:tc>
        <w:tc>
          <w:tcPr>
            <w:tcW w:w="993" w:type="dxa"/>
            <w:tcBorders>
              <w:top w:val="nil"/>
              <w:left w:val="nil"/>
              <w:bottom w:val="single" w:color="auto" w:sz="4" w:space="0"/>
              <w:right w:val="single" w:color="auto" w:sz="4" w:space="0"/>
            </w:tcBorders>
            <w:vAlign w:val="center"/>
          </w:tcPr>
          <w:p w14:paraId="36761F01">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62F28A0A">
            <w:pPr>
              <w:widowControl/>
              <w:rPr>
                <w:rFonts w:ascii="宋体" w:hAnsi="宋体" w:cs="宋体"/>
                <w:kern w:val="0"/>
                <w:sz w:val="24"/>
              </w:rPr>
            </w:pPr>
            <w:r>
              <w:rPr>
                <w:rFonts w:hint="eastAsia" w:ascii="宋体" w:hAnsi="宋体" w:cs="宋体"/>
                <w:kern w:val="0"/>
                <w:sz w:val="24"/>
              </w:rPr>
              <w:t>一键开机：≥20点触控技术，书写精度不低于±2mm</w:t>
            </w:r>
          </w:p>
        </w:tc>
        <w:tc>
          <w:tcPr>
            <w:tcW w:w="1103" w:type="dxa"/>
            <w:tcBorders>
              <w:top w:val="nil"/>
              <w:left w:val="nil"/>
              <w:bottom w:val="single" w:color="auto" w:sz="4" w:space="0"/>
              <w:right w:val="single" w:color="auto" w:sz="4" w:space="0"/>
            </w:tcBorders>
            <w:noWrap/>
            <w:vAlign w:val="center"/>
          </w:tcPr>
          <w:p w14:paraId="005F19D2">
            <w:pPr>
              <w:widowControl/>
              <w:jc w:val="center"/>
              <w:rPr>
                <w:rFonts w:ascii="宋体" w:hAnsi="宋体" w:cs="宋体"/>
                <w:kern w:val="0"/>
                <w:sz w:val="24"/>
              </w:rPr>
            </w:pPr>
            <w:r>
              <w:rPr>
                <w:rFonts w:hint="eastAsia" w:ascii="宋体" w:hAnsi="宋体" w:cs="宋体"/>
                <w:kern w:val="0"/>
                <w:sz w:val="24"/>
              </w:rPr>
              <w:t>否</w:t>
            </w:r>
          </w:p>
        </w:tc>
      </w:tr>
      <w:tr w14:paraId="7091019A">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149935D3">
            <w:pPr>
              <w:widowControl/>
              <w:jc w:val="center"/>
              <w:rPr>
                <w:rFonts w:ascii="宋体" w:hAnsi="宋体" w:cs="宋体"/>
                <w:kern w:val="0"/>
                <w:sz w:val="24"/>
              </w:rPr>
            </w:pPr>
            <w:r>
              <w:rPr>
                <w:rFonts w:hint="eastAsia" w:ascii="宋体" w:hAnsi="宋体" w:cs="宋体"/>
                <w:kern w:val="0"/>
                <w:sz w:val="24"/>
              </w:rPr>
              <w:t>6</w:t>
            </w:r>
          </w:p>
        </w:tc>
        <w:tc>
          <w:tcPr>
            <w:tcW w:w="993" w:type="dxa"/>
            <w:tcBorders>
              <w:top w:val="nil"/>
              <w:left w:val="nil"/>
              <w:bottom w:val="single" w:color="auto" w:sz="4" w:space="0"/>
              <w:right w:val="single" w:color="auto" w:sz="4" w:space="0"/>
            </w:tcBorders>
            <w:vAlign w:val="center"/>
          </w:tcPr>
          <w:p w14:paraId="4BF3B501">
            <w:pPr>
              <w:widowControl/>
              <w:jc w:val="center"/>
              <w:rPr>
                <w:rFonts w:ascii="宋体" w:hAnsi="宋体" w:cs="宋体"/>
                <w:kern w:val="0"/>
                <w:sz w:val="24"/>
              </w:rPr>
            </w:pPr>
            <w:r>
              <w:rPr>
                <w:rFonts w:hint="eastAsia" w:ascii="宋体" w:hAnsi="宋体" w:cs="宋体"/>
                <w:kern w:val="0"/>
                <w:sz w:val="24"/>
              </w:rPr>
              <w:t>#</w:t>
            </w:r>
          </w:p>
        </w:tc>
        <w:tc>
          <w:tcPr>
            <w:tcW w:w="5955" w:type="dxa"/>
            <w:tcBorders>
              <w:top w:val="nil"/>
              <w:left w:val="nil"/>
              <w:bottom w:val="single" w:color="auto" w:sz="4" w:space="0"/>
              <w:right w:val="single" w:color="auto" w:sz="4" w:space="0"/>
            </w:tcBorders>
            <w:vAlign w:val="center"/>
          </w:tcPr>
          <w:p w14:paraId="4F0CC43C">
            <w:pPr>
              <w:widowControl/>
              <w:rPr>
                <w:rFonts w:ascii="宋体" w:hAnsi="宋体" w:cs="宋体"/>
                <w:kern w:val="0"/>
                <w:sz w:val="24"/>
              </w:rPr>
            </w:pPr>
            <w:r>
              <w:rPr>
                <w:rFonts w:hint="eastAsia" w:ascii="宋体" w:hAnsi="宋体" w:cs="宋体"/>
                <w:kern w:val="0"/>
                <w:sz w:val="24"/>
              </w:rPr>
              <w:t>整机抗撞抗划抗腐蚀，不低于莫氏七级硬度；</w:t>
            </w:r>
            <w:r>
              <w:rPr>
                <w:rFonts w:hint="eastAsia" w:ascii="宋体" w:hAnsi="宋体"/>
                <w:color w:val="000000"/>
                <w:sz w:val="24"/>
                <w:highlight w:val="none"/>
              </w:rPr>
              <w:t>（提供具备资质的第三方检测机构出具的</w:t>
            </w:r>
            <w:r>
              <w:rPr>
                <w:rFonts w:hint="eastAsia" w:ascii="宋体" w:hAnsi="宋体"/>
                <w:color w:val="000000"/>
                <w:sz w:val="24"/>
                <w:highlight w:val="none"/>
                <w:lang w:eastAsia="zh-CN"/>
              </w:rPr>
              <w:t>检验</w:t>
            </w:r>
            <w:r>
              <w:rPr>
                <w:rFonts w:hint="eastAsia" w:ascii="宋体" w:hAnsi="宋体"/>
                <w:color w:val="000000"/>
                <w:sz w:val="24"/>
                <w:highlight w:val="none"/>
              </w:rPr>
              <w:t>报告）</w:t>
            </w:r>
          </w:p>
        </w:tc>
        <w:tc>
          <w:tcPr>
            <w:tcW w:w="1103" w:type="dxa"/>
            <w:tcBorders>
              <w:top w:val="nil"/>
              <w:left w:val="nil"/>
              <w:bottom w:val="single" w:color="auto" w:sz="4" w:space="0"/>
              <w:right w:val="single" w:color="auto" w:sz="4" w:space="0"/>
            </w:tcBorders>
            <w:noWrap/>
            <w:vAlign w:val="center"/>
          </w:tcPr>
          <w:p w14:paraId="25E723A6">
            <w:pPr>
              <w:widowControl/>
              <w:jc w:val="center"/>
              <w:rPr>
                <w:rFonts w:ascii="宋体" w:hAnsi="宋体" w:cs="宋体"/>
                <w:kern w:val="0"/>
                <w:sz w:val="24"/>
              </w:rPr>
            </w:pPr>
            <w:r>
              <w:rPr>
                <w:rFonts w:hint="eastAsia" w:ascii="宋体" w:hAnsi="宋体" w:cs="宋体"/>
                <w:kern w:val="0"/>
                <w:sz w:val="24"/>
              </w:rPr>
              <w:t>是</w:t>
            </w:r>
          </w:p>
        </w:tc>
      </w:tr>
      <w:tr w14:paraId="4CC19FB3">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4ADCEACB">
            <w:pPr>
              <w:widowControl/>
              <w:jc w:val="center"/>
              <w:rPr>
                <w:rFonts w:ascii="宋体" w:hAnsi="宋体" w:cs="宋体"/>
                <w:kern w:val="0"/>
                <w:sz w:val="24"/>
              </w:rPr>
            </w:pPr>
            <w:r>
              <w:rPr>
                <w:rFonts w:hint="eastAsia" w:ascii="宋体" w:hAnsi="宋体" w:cs="宋体"/>
                <w:kern w:val="0"/>
                <w:sz w:val="24"/>
              </w:rPr>
              <w:t>7</w:t>
            </w:r>
          </w:p>
        </w:tc>
        <w:tc>
          <w:tcPr>
            <w:tcW w:w="993" w:type="dxa"/>
            <w:tcBorders>
              <w:top w:val="nil"/>
              <w:left w:val="nil"/>
              <w:bottom w:val="single" w:color="auto" w:sz="4" w:space="0"/>
              <w:right w:val="single" w:color="auto" w:sz="4" w:space="0"/>
            </w:tcBorders>
            <w:vAlign w:val="center"/>
          </w:tcPr>
          <w:p w14:paraId="69FD2E38">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2916FB45">
            <w:pPr>
              <w:widowControl/>
              <w:rPr>
                <w:rFonts w:ascii="宋体" w:hAnsi="宋体" w:cs="宋体"/>
                <w:kern w:val="0"/>
                <w:sz w:val="24"/>
              </w:rPr>
            </w:pPr>
            <w:r>
              <w:rPr>
                <w:rFonts w:hint="eastAsia" w:ascii="宋体" w:hAnsi="宋体" w:cs="宋体"/>
                <w:kern w:val="0"/>
                <w:sz w:val="24"/>
              </w:rPr>
              <w:t>支持一网通、支持Wi-Fi 双频2.4G/5G</w:t>
            </w:r>
          </w:p>
        </w:tc>
        <w:tc>
          <w:tcPr>
            <w:tcW w:w="1103" w:type="dxa"/>
            <w:tcBorders>
              <w:top w:val="nil"/>
              <w:left w:val="nil"/>
              <w:bottom w:val="single" w:color="auto" w:sz="4" w:space="0"/>
              <w:right w:val="single" w:color="auto" w:sz="4" w:space="0"/>
            </w:tcBorders>
            <w:noWrap/>
            <w:vAlign w:val="center"/>
          </w:tcPr>
          <w:p w14:paraId="2181B74B">
            <w:pPr>
              <w:widowControl/>
              <w:jc w:val="center"/>
              <w:rPr>
                <w:rFonts w:ascii="宋体" w:hAnsi="宋体" w:cs="宋体"/>
                <w:kern w:val="0"/>
                <w:sz w:val="24"/>
              </w:rPr>
            </w:pPr>
            <w:r>
              <w:rPr>
                <w:rFonts w:hint="eastAsia" w:ascii="宋体" w:hAnsi="宋体" w:cs="宋体"/>
                <w:kern w:val="0"/>
                <w:sz w:val="24"/>
              </w:rPr>
              <w:t>否</w:t>
            </w:r>
          </w:p>
        </w:tc>
      </w:tr>
      <w:tr w14:paraId="4080375E">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324E846A">
            <w:pPr>
              <w:widowControl/>
              <w:jc w:val="center"/>
              <w:rPr>
                <w:rFonts w:ascii="宋体" w:hAnsi="宋体" w:cs="宋体"/>
                <w:kern w:val="0"/>
                <w:sz w:val="24"/>
              </w:rPr>
            </w:pPr>
            <w:r>
              <w:rPr>
                <w:rFonts w:hint="eastAsia" w:ascii="宋体" w:hAnsi="宋体" w:cs="宋体"/>
                <w:kern w:val="0"/>
                <w:sz w:val="24"/>
              </w:rPr>
              <w:t>8</w:t>
            </w:r>
          </w:p>
        </w:tc>
        <w:tc>
          <w:tcPr>
            <w:tcW w:w="993" w:type="dxa"/>
            <w:tcBorders>
              <w:top w:val="nil"/>
              <w:left w:val="nil"/>
              <w:bottom w:val="single" w:color="auto" w:sz="4" w:space="0"/>
              <w:right w:val="single" w:color="auto" w:sz="4" w:space="0"/>
            </w:tcBorders>
            <w:vAlign w:val="center"/>
          </w:tcPr>
          <w:p w14:paraId="493F2AE0">
            <w:pPr>
              <w:widowControl/>
              <w:jc w:val="center"/>
              <w:rPr>
                <w:rFonts w:ascii="宋体" w:hAnsi="宋体" w:cs="宋体"/>
                <w:kern w:val="0"/>
                <w:sz w:val="24"/>
              </w:rPr>
            </w:pPr>
            <w:r>
              <w:rPr>
                <w:rFonts w:hint="eastAsia" w:ascii="宋体" w:hAnsi="宋体" w:cs="宋体"/>
                <w:kern w:val="0"/>
                <w:sz w:val="24"/>
              </w:rPr>
              <w:t>#</w:t>
            </w:r>
          </w:p>
        </w:tc>
        <w:tc>
          <w:tcPr>
            <w:tcW w:w="5955" w:type="dxa"/>
            <w:tcBorders>
              <w:top w:val="nil"/>
              <w:left w:val="nil"/>
              <w:bottom w:val="single" w:color="auto" w:sz="4" w:space="0"/>
              <w:right w:val="single" w:color="auto" w:sz="4" w:space="0"/>
            </w:tcBorders>
            <w:vAlign w:val="center"/>
          </w:tcPr>
          <w:p w14:paraId="728715BF">
            <w:pPr>
              <w:widowControl/>
              <w:rPr>
                <w:rFonts w:ascii="宋体" w:hAnsi="宋体" w:cs="宋体"/>
                <w:kern w:val="0"/>
                <w:sz w:val="24"/>
              </w:rPr>
            </w:pPr>
            <w:r>
              <w:rPr>
                <w:rFonts w:hint="eastAsia" w:ascii="宋体" w:hAnsi="宋体" w:cs="宋体"/>
                <w:kern w:val="0"/>
                <w:sz w:val="24"/>
              </w:rPr>
              <w:t>内置≥4800万像素AI摄像头HDR功能，≥8颗阵列数字麦克风≥8米有效拾音。</w:t>
            </w:r>
            <w:r>
              <w:rPr>
                <w:rFonts w:hint="eastAsia" w:ascii="宋体" w:hAnsi="宋体"/>
                <w:color w:val="000000"/>
                <w:sz w:val="24"/>
                <w:highlight w:val="none"/>
              </w:rPr>
              <w:t>（提供具备资质的第三方检测机构出具的</w:t>
            </w:r>
            <w:r>
              <w:rPr>
                <w:rFonts w:hint="eastAsia" w:ascii="宋体" w:hAnsi="宋体"/>
                <w:color w:val="000000"/>
                <w:sz w:val="24"/>
                <w:highlight w:val="none"/>
                <w:lang w:eastAsia="zh-CN"/>
              </w:rPr>
              <w:t>检验</w:t>
            </w:r>
            <w:r>
              <w:rPr>
                <w:rFonts w:hint="eastAsia" w:ascii="宋体" w:hAnsi="宋体"/>
                <w:color w:val="000000"/>
                <w:sz w:val="24"/>
                <w:highlight w:val="none"/>
              </w:rPr>
              <w:t>报告</w:t>
            </w:r>
            <w:r>
              <w:rPr>
                <w:rFonts w:hint="eastAsia" w:ascii="宋体" w:hAnsi="宋体"/>
                <w:color w:val="000000"/>
                <w:sz w:val="24"/>
                <w:highlight w:val="yellow"/>
              </w:rPr>
              <w:t>）</w:t>
            </w:r>
          </w:p>
        </w:tc>
        <w:tc>
          <w:tcPr>
            <w:tcW w:w="1103" w:type="dxa"/>
            <w:tcBorders>
              <w:top w:val="nil"/>
              <w:left w:val="nil"/>
              <w:bottom w:val="single" w:color="auto" w:sz="4" w:space="0"/>
              <w:right w:val="single" w:color="auto" w:sz="4" w:space="0"/>
            </w:tcBorders>
            <w:noWrap/>
            <w:vAlign w:val="center"/>
          </w:tcPr>
          <w:p w14:paraId="5C25E8FB">
            <w:pPr>
              <w:widowControl/>
              <w:jc w:val="center"/>
              <w:rPr>
                <w:rFonts w:ascii="宋体" w:hAnsi="宋体" w:cs="宋体"/>
                <w:kern w:val="0"/>
                <w:sz w:val="24"/>
              </w:rPr>
            </w:pPr>
            <w:r>
              <w:rPr>
                <w:rFonts w:hint="eastAsia" w:ascii="宋体" w:hAnsi="宋体" w:cs="宋体"/>
                <w:kern w:val="0"/>
                <w:sz w:val="24"/>
              </w:rPr>
              <w:t>是</w:t>
            </w:r>
          </w:p>
        </w:tc>
      </w:tr>
      <w:tr w14:paraId="54027337">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090F1DAB">
            <w:pPr>
              <w:widowControl/>
              <w:jc w:val="center"/>
              <w:rPr>
                <w:rFonts w:ascii="宋体" w:hAnsi="宋体" w:cs="宋体"/>
                <w:kern w:val="0"/>
                <w:sz w:val="24"/>
              </w:rPr>
            </w:pPr>
            <w:r>
              <w:rPr>
                <w:rFonts w:hint="eastAsia" w:ascii="宋体" w:hAnsi="宋体" w:cs="宋体"/>
                <w:kern w:val="0"/>
                <w:sz w:val="24"/>
              </w:rPr>
              <w:t>9</w:t>
            </w:r>
          </w:p>
        </w:tc>
        <w:tc>
          <w:tcPr>
            <w:tcW w:w="993" w:type="dxa"/>
            <w:tcBorders>
              <w:top w:val="nil"/>
              <w:left w:val="nil"/>
              <w:bottom w:val="single" w:color="auto" w:sz="4" w:space="0"/>
              <w:right w:val="single" w:color="auto" w:sz="4" w:space="0"/>
            </w:tcBorders>
            <w:vAlign w:val="center"/>
          </w:tcPr>
          <w:p w14:paraId="256430AC">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55F78E99">
            <w:pPr>
              <w:widowControl/>
              <w:rPr>
                <w:rFonts w:ascii="宋体" w:hAnsi="宋体" w:cs="宋体"/>
                <w:kern w:val="0"/>
                <w:sz w:val="24"/>
              </w:rPr>
            </w:pPr>
            <w:r>
              <w:rPr>
                <w:rFonts w:hint="eastAsia" w:ascii="宋体" w:hAnsi="宋体" w:cs="宋体"/>
                <w:kern w:val="0"/>
                <w:sz w:val="24"/>
              </w:rPr>
              <w:t>前置Type C接口，整机≥1路HDMI OUT视频输出接口</w:t>
            </w:r>
          </w:p>
        </w:tc>
        <w:tc>
          <w:tcPr>
            <w:tcW w:w="1103" w:type="dxa"/>
            <w:tcBorders>
              <w:top w:val="nil"/>
              <w:left w:val="nil"/>
              <w:bottom w:val="single" w:color="auto" w:sz="4" w:space="0"/>
              <w:right w:val="single" w:color="auto" w:sz="4" w:space="0"/>
            </w:tcBorders>
            <w:noWrap/>
            <w:vAlign w:val="center"/>
          </w:tcPr>
          <w:p w14:paraId="6E954BE6">
            <w:pPr>
              <w:widowControl/>
              <w:jc w:val="center"/>
              <w:rPr>
                <w:rFonts w:ascii="宋体" w:hAnsi="宋体" w:cs="宋体"/>
                <w:kern w:val="0"/>
                <w:sz w:val="24"/>
              </w:rPr>
            </w:pPr>
            <w:r>
              <w:rPr>
                <w:rFonts w:hint="eastAsia" w:ascii="宋体" w:hAnsi="宋体" w:cs="宋体"/>
                <w:kern w:val="0"/>
                <w:sz w:val="24"/>
              </w:rPr>
              <w:t>否</w:t>
            </w:r>
          </w:p>
        </w:tc>
      </w:tr>
      <w:tr w14:paraId="047055D1">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668D6B66">
            <w:pPr>
              <w:widowControl/>
              <w:jc w:val="center"/>
              <w:rPr>
                <w:rFonts w:ascii="宋体" w:hAnsi="宋体" w:cs="宋体"/>
                <w:kern w:val="0"/>
                <w:sz w:val="24"/>
              </w:rPr>
            </w:pPr>
            <w:r>
              <w:rPr>
                <w:rFonts w:hint="eastAsia" w:ascii="宋体" w:hAnsi="宋体" w:cs="宋体"/>
                <w:kern w:val="0"/>
                <w:sz w:val="24"/>
              </w:rPr>
              <w:t>10</w:t>
            </w:r>
          </w:p>
        </w:tc>
        <w:tc>
          <w:tcPr>
            <w:tcW w:w="993" w:type="dxa"/>
            <w:tcBorders>
              <w:top w:val="nil"/>
              <w:left w:val="nil"/>
              <w:bottom w:val="single" w:color="auto" w:sz="4" w:space="0"/>
              <w:right w:val="single" w:color="auto" w:sz="4" w:space="0"/>
            </w:tcBorders>
            <w:vAlign w:val="center"/>
          </w:tcPr>
          <w:p w14:paraId="17DD9A77">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19E88C65">
            <w:pPr>
              <w:widowControl/>
              <w:rPr>
                <w:rFonts w:ascii="宋体" w:hAnsi="宋体" w:cs="宋体"/>
                <w:kern w:val="0"/>
                <w:sz w:val="24"/>
              </w:rPr>
            </w:pPr>
            <w:r>
              <w:rPr>
                <w:rFonts w:hint="eastAsia" w:ascii="宋体" w:hAnsi="宋体" w:cs="宋体"/>
                <w:kern w:val="0"/>
                <w:sz w:val="24"/>
              </w:rPr>
              <w:t>国产处理器≥四核、主频≥1.5GHZ、运行内存≥8G，物理存储≥128G</w:t>
            </w:r>
          </w:p>
        </w:tc>
        <w:tc>
          <w:tcPr>
            <w:tcW w:w="1103" w:type="dxa"/>
            <w:tcBorders>
              <w:top w:val="nil"/>
              <w:left w:val="nil"/>
              <w:bottom w:val="single" w:color="auto" w:sz="4" w:space="0"/>
              <w:right w:val="single" w:color="auto" w:sz="4" w:space="0"/>
            </w:tcBorders>
            <w:noWrap/>
            <w:vAlign w:val="center"/>
          </w:tcPr>
          <w:p w14:paraId="07F57175">
            <w:pPr>
              <w:widowControl/>
              <w:jc w:val="center"/>
              <w:rPr>
                <w:rFonts w:ascii="宋体" w:hAnsi="宋体" w:cs="宋体"/>
                <w:kern w:val="0"/>
                <w:sz w:val="24"/>
              </w:rPr>
            </w:pPr>
            <w:r>
              <w:rPr>
                <w:rFonts w:hint="eastAsia" w:ascii="宋体" w:hAnsi="宋体" w:cs="宋体"/>
                <w:kern w:val="0"/>
                <w:sz w:val="24"/>
              </w:rPr>
              <w:t>否</w:t>
            </w:r>
          </w:p>
        </w:tc>
      </w:tr>
      <w:tr w14:paraId="43625DF4">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31DCD9AD">
            <w:pPr>
              <w:widowControl/>
              <w:jc w:val="center"/>
              <w:rPr>
                <w:rFonts w:ascii="宋体" w:hAnsi="宋体" w:cs="宋体"/>
                <w:kern w:val="0"/>
                <w:sz w:val="24"/>
              </w:rPr>
            </w:pPr>
            <w:r>
              <w:rPr>
                <w:rFonts w:hint="eastAsia" w:ascii="宋体" w:hAnsi="宋体" w:cs="宋体"/>
                <w:kern w:val="0"/>
                <w:sz w:val="24"/>
              </w:rPr>
              <w:t>11</w:t>
            </w:r>
          </w:p>
        </w:tc>
        <w:tc>
          <w:tcPr>
            <w:tcW w:w="993" w:type="dxa"/>
            <w:tcBorders>
              <w:top w:val="nil"/>
              <w:left w:val="nil"/>
              <w:bottom w:val="single" w:color="auto" w:sz="4" w:space="0"/>
              <w:right w:val="single" w:color="auto" w:sz="4" w:space="0"/>
            </w:tcBorders>
            <w:vAlign w:val="center"/>
          </w:tcPr>
          <w:p w14:paraId="03E1D0BA">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0246868C">
            <w:pPr>
              <w:widowControl/>
              <w:rPr>
                <w:rFonts w:ascii="宋体" w:hAnsi="宋体" w:cs="宋体"/>
                <w:kern w:val="0"/>
                <w:sz w:val="24"/>
              </w:rPr>
            </w:pPr>
            <w:r>
              <w:rPr>
                <w:rFonts w:hint="eastAsia" w:ascii="宋体" w:hAnsi="宋体" w:cs="宋体"/>
                <w:kern w:val="0"/>
                <w:sz w:val="24"/>
              </w:rPr>
              <w:t>待机状态下，HDMI/VGA/RS232 通道&amp;网络信号输入智能唤醒</w:t>
            </w:r>
          </w:p>
        </w:tc>
        <w:tc>
          <w:tcPr>
            <w:tcW w:w="1103" w:type="dxa"/>
            <w:tcBorders>
              <w:top w:val="nil"/>
              <w:left w:val="nil"/>
              <w:bottom w:val="single" w:color="auto" w:sz="4" w:space="0"/>
              <w:right w:val="single" w:color="auto" w:sz="4" w:space="0"/>
            </w:tcBorders>
            <w:noWrap/>
            <w:vAlign w:val="center"/>
          </w:tcPr>
          <w:p w14:paraId="1C462CBF">
            <w:pPr>
              <w:widowControl/>
              <w:jc w:val="center"/>
              <w:rPr>
                <w:rFonts w:ascii="宋体" w:hAnsi="宋体" w:cs="宋体"/>
                <w:kern w:val="0"/>
                <w:sz w:val="24"/>
              </w:rPr>
            </w:pPr>
            <w:r>
              <w:rPr>
                <w:rFonts w:hint="eastAsia" w:ascii="宋体" w:hAnsi="宋体" w:cs="宋体"/>
                <w:kern w:val="0"/>
                <w:sz w:val="24"/>
              </w:rPr>
              <w:t>否</w:t>
            </w:r>
          </w:p>
        </w:tc>
      </w:tr>
      <w:tr w14:paraId="76943211">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4E9823A6">
            <w:pPr>
              <w:widowControl/>
              <w:jc w:val="center"/>
              <w:rPr>
                <w:rFonts w:ascii="宋体" w:hAnsi="宋体" w:cs="宋体"/>
                <w:kern w:val="0"/>
                <w:sz w:val="24"/>
              </w:rPr>
            </w:pPr>
            <w:r>
              <w:rPr>
                <w:rFonts w:hint="eastAsia" w:ascii="宋体" w:hAnsi="宋体" w:cs="宋体"/>
                <w:kern w:val="0"/>
                <w:sz w:val="24"/>
              </w:rPr>
              <w:t>12</w:t>
            </w:r>
          </w:p>
        </w:tc>
        <w:tc>
          <w:tcPr>
            <w:tcW w:w="993" w:type="dxa"/>
            <w:tcBorders>
              <w:top w:val="nil"/>
              <w:left w:val="nil"/>
              <w:bottom w:val="single" w:color="auto" w:sz="4" w:space="0"/>
              <w:right w:val="single" w:color="auto" w:sz="4" w:space="0"/>
            </w:tcBorders>
            <w:vAlign w:val="center"/>
          </w:tcPr>
          <w:p w14:paraId="0F33F9A8">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344F99C3">
            <w:pPr>
              <w:widowControl/>
              <w:rPr>
                <w:rFonts w:ascii="宋体" w:hAnsi="宋体" w:cs="宋体"/>
                <w:kern w:val="0"/>
                <w:sz w:val="24"/>
              </w:rPr>
            </w:pPr>
            <w:r>
              <w:rPr>
                <w:rFonts w:hint="eastAsia" w:ascii="宋体" w:hAnsi="宋体" w:cs="宋体"/>
                <w:kern w:val="0"/>
                <w:sz w:val="24"/>
              </w:rPr>
              <w:t>系统配超薄插拔式PC 模块</w:t>
            </w:r>
          </w:p>
        </w:tc>
        <w:tc>
          <w:tcPr>
            <w:tcW w:w="1103" w:type="dxa"/>
            <w:tcBorders>
              <w:top w:val="nil"/>
              <w:left w:val="nil"/>
              <w:bottom w:val="single" w:color="auto" w:sz="4" w:space="0"/>
              <w:right w:val="single" w:color="auto" w:sz="4" w:space="0"/>
            </w:tcBorders>
            <w:noWrap/>
            <w:vAlign w:val="center"/>
          </w:tcPr>
          <w:p w14:paraId="20CF4894">
            <w:pPr>
              <w:widowControl/>
              <w:jc w:val="center"/>
              <w:rPr>
                <w:rFonts w:ascii="宋体" w:hAnsi="宋体" w:cs="宋体"/>
                <w:kern w:val="0"/>
                <w:sz w:val="24"/>
              </w:rPr>
            </w:pPr>
            <w:r>
              <w:rPr>
                <w:rFonts w:hint="eastAsia" w:ascii="宋体" w:hAnsi="宋体" w:cs="宋体"/>
                <w:kern w:val="0"/>
                <w:sz w:val="24"/>
              </w:rPr>
              <w:t>否</w:t>
            </w:r>
          </w:p>
        </w:tc>
      </w:tr>
      <w:tr w14:paraId="44F32C6F">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3F3D74A0">
            <w:pPr>
              <w:widowControl/>
              <w:jc w:val="center"/>
              <w:rPr>
                <w:rFonts w:ascii="宋体" w:hAnsi="宋体" w:cs="宋体"/>
                <w:kern w:val="0"/>
                <w:sz w:val="24"/>
              </w:rPr>
            </w:pPr>
            <w:r>
              <w:rPr>
                <w:rFonts w:hint="eastAsia" w:ascii="宋体" w:hAnsi="宋体" w:cs="宋体"/>
                <w:kern w:val="0"/>
                <w:sz w:val="24"/>
              </w:rPr>
              <w:t>13</w:t>
            </w:r>
          </w:p>
        </w:tc>
        <w:tc>
          <w:tcPr>
            <w:tcW w:w="993" w:type="dxa"/>
            <w:tcBorders>
              <w:top w:val="nil"/>
              <w:left w:val="nil"/>
              <w:bottom w:val="single" w:color="auto" w:sz="4" w:space="0"/>
              <w:right w:val="single" w:color="auto" w:sz="4" w:space="0"/>
            </w:tcBorders>
            <w:vAlign w:val="center"/>
          </w:tcPr>
          <w:p w14:paraId="2DE124A5">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1E462762">
            <w:pPr>
              <w:widowControl/>
              <w:rPr>
                <w:rFonts w:ascii="宋体" w:hAnsi="宋体" w:cs="宋体"/>
                <w:kern w:val="0"/>
                <w:sz w:val="24"/>
              </w:rPr>
            </w:pPr>
            <w:r>
              <w:rPr>
                <w:rFonts w:hint="eastAsia" w:ascii="宋体" w:hAnsi="宋体" w:cs="宋体"/>
                <w:kern w:val="0"/>
                <w:sz w:val="24"/>
              </w:rPr>
              <w:t>支持系统：操作系统及国产化操作系统</w:t>
            </w:r>
          </w:p>
        </w:tc>
        <w:tc>
          <w:tcPr>
            <w:tcW w:w="1103" w:type="dxa"/>
            <w:tcBorders>
              <w:top w:val="nil"/>
              <w:left w:val="nil"/>
              <w:bottom w:val="single" w:color="auto" w:sz="4" w:space="0"/>
              <w:right w:val="single" w:color="auto" w:sz="4" w:space="0"/>
            </w:tcBorders>
            <w:noWrap/>
            <w:vAlign w:val="center"/>
          </w:tcPr>
          <w:p w14:paraId="3C101401">
            <w:pPr>
              <w:widowControl/>
              <w:jc w:val="center"/>
              <w:rPr>
                <w:rFonts w:ascii="宋体" w:hAnsi="宋体" w:cs="宋体"/>
                <w:kern w:val="0"/>
                <w:sz w:val="24"/>
              </w:rPr>
            </w:pPr>
            <w:r>
              <w:rPr>
                <w:rFonts w:hint="eastAsia" w:ascii="宋体" w:hAnsi="宋体" w:cs="宋体"/>
                <w:kern w:val="0"/>
                <w:sz w:val="24"/>
              </w:rPr>
              <w:t>否</w:t>
            </w:r>
          </w:p>
        </w:tc>
      </w:tr>
      <w:tr w14:paraId="3002D4AE">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36A9DB17">
            <w:pPr>
              <w:widowControl/>
              <w:jc w:val="center"/>
              <w:rPr>
                <w:rFonts w:ascii="宋体" w:hAnsi="宋体" w:cs="宋体"/>
                <w:kern w:val="0"/>
                <w:sz w:val="24"/>
              </w:rPr>
            </w:pPr>
            <w:r>
              <w:rPr>
                <w:rFonts w:hint="eastAsia" w:ascii="宋体" w:hAnsi="宋体" w:cs="宋体"/>
                <w:kern w:val="0"/>
                <w:sz w:val="24"/>
              </w:rPr>
              <w:t>14</w:t>
            </w:r>
          </w:p>
        </w:tc>
        <w:tc>
          <w:tcPr>
            <w:tcW w:w="993" w:type="dxa"/>
            <w:tcBorders>
              <w:top w:val="nil"/>
              <w:left w:val="nil"/>
              <w:bottom w:val="single" w:color="auto" w:sz="4" w:space="0"/>
              <w:right w:val="single" w:color="auto" w:sz="4" w:space="0"/>
            </w:tcBorders>
            <w:vAlign w:val="center"/>
          </w:tcPr>
          <w:p w14:paraId="2837CCB1">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21F5BA2E">
            <w:pPr>
              <w:widowControl/>
              <w:rPr>
                <w:rFonts w:ascii="宋体" w:hAnsi="宋体" w:cs="宋体"/>
                <w:kern w:val="0"/>
                <w:sz w:val="24"/>
              </w:rPr>
            </w:pPr>
            <w:r>
              <w:rPr>
                <w:rFonts w:hint="eastAsia" w:ascii="宋体" w:hAnsi="宋体" w:cs="宋体"/>
                <w:kern w:val="0"/>
                <w:sz w:val="24"/>
              </w:rPr>
              <w:t>白板模式下支持双笔同时书写双色显示；多分屏应用，任务并行。</w:t>
            </w:r>
          </w:p>
        </w:tc>
        <w:tc>
          <w:tcPr>
            <w:tcW w:w="1103" w:type="dxa"/>
            <w:tcBorders>
              <w:top w:val="nil"/>
              <w:left w:val="nil"/>
              <w:bottom w:val="single" w:color="auto" w:sz="4" w:space="0"/>
              <w:right w:val="single" w:color="auto" w:sz="4" w:space="0"/>
            </w:tcBorders>
            <w:noWrap/>
            <w:vAlign w:val="center"/>
          </w:tcPr>
          <w:p w14:paraId="7FA82379">
            <w:pPr>
              <w:widowControl/>
              <w:jc w:val="center"/>
              <w:rPr>
                <w:rFonts w:ascii="宋体" w:hAnsi="宋体" w:cs="宋体"/>
                <w:kern w:val="0"/>
                <w:sz w:val="24"/>
              </w:rPr>
            </w:pPr>
            <w:r>
              <w:rPr>
                <w:rFonts w:hint="eastAsia" w:ascii="宋体" w:hAnsi="宋体" w:cs="宋体"/>
                <w:kern w:val="0"/>
                <w:sz w:val="24"/>
              </w:rPr>
              <w:t>否</w:t>
            </w:r>
          </w:p>
        </w:tc>
      </w:tr>
      <w:tr w14:paraId="75EAC850">
        <w:tblPrEx>
          <w:tblCellMar>
            <w:top w:w="0" w:type="dxa"/>
            <w:left w:w="108" w:type="dxa"/>
            <w:bottom w:w="0" w:type="dxa"/>
            <w:right w:w="108" w:type="dxa"/>
          </w:tblCellMar>
        </w:tblPrEx>
        <w:trPr>
          <w:trHeight w:val="540" w:hRule="atLeast"/>
        </w:trPr>
        <w:tc>
          <w:tcPr>
            <w:tcW w:w="673" w:type="dxa"/>
            <w:tcBorders>
              <w:top w:val="nil"/>
              <w:left w:val="single" w:color="auto" w:sz="4" w:space="0"/>
              <w:bottom w:val="single" w:color="auto" w:sz="4" w:space="0"/>
              <w:right w:val="single" w:color="auto" w:sz="4" w:space="0"/>
            </w:tcBorders>
            <w:vAlign w:val="center"/>
          </w:tcPr>
          <w:p w14:paraId="1900E0CB">
            <w:pPr>
              <w:widowControl/>
              <w:jc w:val="center"/>
              <w:rPr>
                <w:rFonts w:ascii="宋体" w:hAnsi="宋体" w:cs="宋体"/>
                <w:kern w:val="0"/>
                <w:sz w:val="24"/>
              </w:rPr>
            </w:pPr>
            <w:r>
              <w:rPr>
                <w:rFonts w:hint="eastAsia" w:ascii="宋体" w:hAnsi="宋体" w:cs="宋体"/>
                <w:kern w:val="0"/>
                <w:sz w:val="24"/>
              </w:rPr>
              <w:t>15</w:t>
            </w:r>
          </w:p>
        </w:tc>
        <w:tc>
          <w:tcPr>
            <w:tcW w:w="993" w:type="dxa"/>
            <w:tcBorders>
              <w:top w:val="nil"/>
              <w:left w:val="nil"/>
              <w:bottom w:val="single" w:color="auto" w:sz="4" w:space="0"/>
              <w:right w:val="single" w:color="auto" w:sz="4" w:space="0"/>
            </w:tcBorders>
            <w:vAlign w:val="center"/>
          </w:tcPr>
          <w:p w14:paraId="1E08EA62">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630B9CD0">
            <w:pPr>
              <w:widowControl/>
              <w:rPr>
                <w:rFonts w:ascii="宋体" w:hAnsi="宋体" w:cs="宋体"/>
                <w:kern w:val="0"/>
                <w:sz w:val="24"/>
              </w:rPr>
            </w:pPr>
            <w:r>
              <w:rPr>
                <w:rFonts w:hint="eastAsia" w:ascii="宋体" w:hAnsi="宋体" w:cs="宋体"/>
                <w:kern w:val="0"/>
                <w:sz w:val="24"/>
              </w:rPr>
              <w:t>侧边栏：在屏幕两侧均有可收缩／可展开的悬浮按键，可实现返回、主页、进程管理、批注等最常用的系统操作按键。在屏幕两侧均可通过手势滑动拉出侧拉拦，可实现手机传屏、计时器、截图等常用系统操作。实现录屏等功能。</w:t>
            </w:r>
          </w:p>
        </w:tc>
        <w:tc>
          <w:tcPr>
            <w:tcW w:w="1103" w:type="dxa"/>
            <w:tcBorders>
              <w:top w:val="nil"/>
              <w:left w:val="nil"/>
              <w:bottom w:val="single" w:color="auto" w:sz="4" w:space="0"/>
              <w:right w:val="single" w:color="auto" w:sz="4" w:space="0"/>
            </w:tcBorders>
            <w:noWrap/>
            <w:vAlign w:val="center"/>
          </w:tcPr>
          <w:p w14:paraId="59EE467D">
            <w:pPr>
              <w:widowControl/>
              <w:jc w:val="center"/>
              <w:rPr>
                <w:rFonts w:ascii="宋体" w:hAnsi="宋体" w:cs="宋体"/>
                <w:kern w:val="0"/>
                <w:sz w:val="24"/>
              </w:rPr>
            </w:pPr>
            <w:r>
              <w:rPr>
                <w:rFonts w:hint="eastAsia" w:ascii="宋体" w:hAnsi="宋体" w:cs="宋体"/>
                <w:kern w:val="0"/>
                <w:sz w:val="24"/>
              </w:rPr>
              <w:t>否</w:t>
            </w:r>
          </w:p>
        </w:tc>
      </w:tr>
      <w:tr w14:paraId="63A79027">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0BEE95C3">
            <w:pPr>
              <w:widowControl/>
              <w:jc w:val="center"/>
              <w:rPr>
                <w:rFonts w:ascii="宋体" w:hAnsi="宋体" w:cs="宋体"/>
                <w:kern w:val="0"/>
                <w:sz w:val="24"/>
              </w:rPr>
            </w:pPr>
            <w:r>
              <w:rPr>
                <w:rFonts w:hint="eastAsia" w:ascii="宋体" w:hAnsi="宋体" w:cs="宋体"/>
                <w:kern w:val="0"/>
                <w:sz w:val="24"/>
              </w:rPr>
              <w:t>16</w:t>
            </w:r>
          </w:p>
        </w:tc>
        <w:tc>
          <w:tcPr>
            <w:tcW w:w="993" w:type="dxa"/>
            <w:tcBorders>
              <w:top w:val="nil"/>
              <w:left w:val="nil"/>
              <w:bottom w:val="single" w:color="auto" w:sz="4" w:space="0"/>
              <w:right w:val="single" w:color="auto" w:sz="4" w:space="0"/>
            </w:tcBorders>
            <w:vAlign w:val="center"/>
          </w:tcPr>
          <w:p w14:paraId="08ED6A08">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6A7EBB5A">
            <w:pPr>
              <w:widowControl/>
              <w:rPr>
                <w:rFonts w:ascii="宋体" w:hAnsi="宋体" w:cs="宋体"/>
                <w:kern w:val="0"/>
                <w:sz w:val="24"/>
              </w:rPr>
            </w:pPr>
            <w:r>
              <w:rPr>
                <w:rFonts w:hint="eastAsia" w:ascii="宋体" w:hAnsi="宋体" w:cs="宋体"/>
                <w:kern w:val="0"/>
                <w:sz w:val="24"/>
              </w:rPr>
              <w:t>用户可编辑任意欢迎词内容、位置及背景图片，快速生成欢迎词界面进行签名、书写，并直接生成二维码分享到手机、平板电脑等移动端。</w:t>
            </w:r>
          </w:p>
        </w:tc>
        <w:tc>
          <w:tcPr>
            <w:tcW w:w="1103" w:type="dxa"/>
            <w:tcBorders>
              <w:top w:val="nil"/>
              <w:left w:val="nil"/>
              <w:bottom w:val="single" w:color="auto" w:sz="4" w:space="0"/>
              <w:right w:val="single" w:color="auto" w:sz="4" w:space="0"/>
            </w:tcBorders>
            <w:noWrap/>
            <w:vAlign w:val="center"/>
          </w:tcPr>
          <w:p w14:paraId="783372B9">
            <w:pPr>
              <w:widowControl/>
              <w:jc w:val="center"/>
              <w:rPr>
                <w:rFonts w:ascii="宋体" w:hAnsi="宋体" w:cs="宋体"/>
                <w:kern w:val="0"/>
                <w:sz w:val="24"/>
              </w:rPr>
            </w:pPr>
            <w:r>
              <w:rPr>
                <w:rFonts w:hint="eastAsia" w:ascii="宋体" w:hAnsi="宋体" w:cs="宋体"/>
                <w:kern w:val="0"/>
                <w:sz w:val="24"/>
              </w:rPr>
              <w:t>否</w:t>
            </w:r>
          </w:p>
        </w:tc>
      </w:tr>
      <w:tr w14:paraId="5492FB1A">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41D8B173">
            <w:pPr>
              <w:widowControl/>
              <w:jc w:val="center"/>
              <w:rPr>
                <w:rFonts w:ascii="宋体" w:hAnsi="宋体" w:cs="宋体"/>
                <w:kern w:val="0"/>
                <w:sz w:val="24"/>
              </w:rPr>
            </w:pPr>
            <w:r>
              <w:rPr>
                <w:rFonts w:hint="eastAsia" w:ascii="宋体" w:hAnsi="宋体" w:cs="宋体"/>
                <w:kern w:val="0"/>
                <w:sz w:val="24"/>
              </w:rPr>
              <w:t>17</w:t>
            </w:r>
          </w:p>
        </w:tc>
        <w:tc>
          <w:tcPr>
            <w:tcW w:w="993" w:type="dxa"/>
            <w:tcBorders>
              <w:top w:val="nil"/>
              <w:left w:val="nil"/>
              <w:bottom w:val="single" w:color="auto" w:sz="4" w:space="0"/>
              <w:right w:val="single" w:color="auto" w:sz="4" w:space="0"/>
            </w:tcBorders>
            <w:vAlign w:val="center"/>
          </w:tcPr>
          <w:p w14:paraId="6CEDA8BA">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35BD3F1D">
            <w:pPr>
              <w:widowControl/>
              <w:rPr>
                <w:rFonts w:ascii="宋体" w:hAnsi="宋体" w:cs="宋体"/>
                <w:kern w:val="0"/>
                <w:sz w:val="24"/>
              </w:rPr>
            </w:pPr>
            <w:r>
              <w:rPr>
                <w:rFonts w:hint="eastAsia" w:ascii="宋体" w:hAnsi="宋体" w:cs="宋体"/>
                <w:kern w:val="0"/>
                <w:sz w:val="24"/>
              </w:rPr>
              <w:t>支持移动设备无线投屏≥4投屏，支持反向触控，手机、平板电脑通过无线WIFI进行传输。</w:t>
            </w:r>
          </w:p>
        </w:tc>
        <w:tc>
          <w:tcPr>
            <w:tcW w:w="1103" w:type="dxa"/>
            <w:tcBorders>
              <w:top w:val="nil"/>
              <w:left w:val="nil"/>
              <w:bottom w:val="single" w:color="auto" w:sz="4" w:space="0"/>
              <w:right w:val="single" w:color="auto" w:sz="4" w:space="0"/>
            </w:tcBorders>
            <w:noWrap/>
            <w:vAlign w:val="center"/>
          </w:tcPr>
          <w:p w14:paraId="706958B9">
            <w:pPr>
              <w:widowControl/>
              <w:jc w:val="center"/>
              <w:rPr>
                <w:rFonts w:ascii="宋体" w:hAnsi="宋体" w:cs="宋体"/>
                <w:kern w:val="0"/>
                <w:sz w:val="24"/>
              </w:rPr>
            </w:pPr>
            <w:r>
              <w:rPr>
                <w:rFonts w:hint="eastAsia" w:ascii="宋体" w:hAnsi="宋体" w:cs="宋体"/>
                <w:kern w:val="0"/>
                <w:sz w:val="24"/>
              </w:rPr>
              <w:t>否</w:t>
            </w:r>
          </w:p>
        </w:tc>
      </w:tr>
      <w:tr w14:paraId="703B26A7">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7563FB11">
            <w:pPr>
              <w:widowControl/>
              <w:jc w:val="center"/>
              <w:rPr>
                <w:rFonts w:ascii="宋体" w:hAnsi="宋体" w:cs="宋体"/>
                <w:kern w:val="0"/>
                <w:sz w:val="24"/>
              </w:rPr>
            </w:pPr>
            <w:r>
              <w:rPr>
                <w:rFonts w:hint="eastAsia" w:ascii="宋体" w:hAnsi="宋体" w:cs="宋体"/>
                <w:kern w:val="0"/>
                <w:sz w:val="24"/>
              </w:rPr>
              <w:t>18</w:t>
            </w:r>
          </w:p>
        </w:tc>
        <w:tc>
          <w:tcPr>
            <w:tcW w:w="993" w:type="dxa"/>
            <w:tcBorders>
              <w:top w:val="nil"/>
              <w:left w:val="nil"/>
              <w:bottom w:val="single" w:color="auto" w:sz="4" w:space="0"/>
              <w:right w:val="single" w:color="auto" w:sz="4" w:space="0"/>
            </w:tcBorders>
            <w:vAlign w:val="center"/>
          </w:tcPr>
          <w:p w14:paraId="0D63317B">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354FA335">
            <w:pPr>
              <w:widowControl/>
              <w:rPr>
                <w:rFonts w:ascii="宋体" w:hAnsi="宋体" w:cs="宋体"/>
                <w:kern w:val="0"/>
                <w:sz w:val="24"/>
              </w:rPr>
            </w:pPr>
            <w:r>
              <w:rPr>
                <w:rFonts w:hint="eastAsia" w:ascii="宋体" w:hAnsi="宋体" w:cs="宋体"/>
                <w:kern w:val="0"/>
                <w:sz w:val="24"/>
              </w:rPr>
              <w:t>色彩度：≥10bit；亮度：中心点≥350 cd/㎡；可视角度：≥178°（H）/178°(V)；背光灯寿命：＞50000小时；音响喇叭：2*≥10W立体高低音音响。</w:t>
            </w:r>
          </w:p>
        </w:tc>
        <w:tc>
          <w:tcPr>
            <w:tcW w:w="1103" w:type="dxa"/>
            <w:tcBorders>
              <w:top w:val="nil"/>
              <w:left w:val="nil"/>
              <w:bottom w:val="single" w:color="auto" w:sz="4" w:space="0"/>
              <w:right w:val="single" w:color="auto" w:sz="4" w:space="0"/>
            </w:tcBorders>
            <w:noWrap/>
            <w:vAlign w:val="center"/>
          </w:tcPr>
          <w:p w14:paraId="37C29F85">
            <w:pPr>
              <w:widowControl/>
              <w:jc w:val="center"/>
              <w:rPr>
                <w:rFonts w:ascii="宋体" w:hAnsi="宋体" w:cs="宋体"/>
                <w:kern w:val="0"/>
                <w:sz w:val="24"/>
              </w:rPr>
            </w:pPr>
            <w:r>
              <w:rPr>
                <w:rFonts w:hint="eastAsia" w:ascii="宋体" w:hAnsi="宋体" w:cs="宋体"/>
                <w:kern w:val="0"/>
                <w:sz w:val="24"/>
              </w:rPr>
              <w:t>否</w:t>
            </w:r>
          </w:p>
        </w:tc>
      </w:tr>
      <w:tr w14:paraId="47797113">
        <w:tblPrEx>
          <w:tblCellMar>
            <w:top w:w="0" w:type="dxa"/>
            <w:left w:w="108" w:type="dxa"/>
            <w:bottom w:w="0" w:type="dxa"/>
            <w:right w:w="108" w:type="dxa"/>
          </w:tblCellMar>
        </w:tblPrEx>
        <w:trPr>
          <w:trHeight w:val="270" w:hRule="atLeast"/>
        </w:trPr>
        <w:tc>
          <w:tcPr>
            <w:tcW w:w="673" w:type="dxa"/>
            <w:tcBorders>
              <w:top w:val="single" w:color="auto" w:sz="4" w:space="0"/>
              <w:left w:val="single" w:color="auto" w:sz="4" w:space="0"/>
              <w:bottom w:val="single" w:color="auto" w:sz="4" w:space="0"/>
              <w:right w:val="single" w:color="auto" w:sz="4" w:space="0"/>
            </w:tcBorders>
            <w:vAlign w:val="center"/>
          </w:tcPr>
          <w:p w14:paraId="1A4454BF">
            <w:pPr>
              <w:widowControl/>
              <w:jc w:val="center"/>
              <w:rPr>
                <w:rFonts w:ascii="宋体" w:hAnsi="宋体" w:cs="宋体"/>
                <w:kern w:val="0"/>
                <w:sz w:val="24"/>
              </w:rPr>
            </w:pPr>
            <w:r>
              <w:rPr>
                <w:rFonts w:hint="eastAsia" w:ascii="宋体" w:hAnsi="宋体" w:cs="宋体"/>
                <w:kern w:val="0"/>
                <w:sz w:val="24"/>
              </w:rPr>
              <w:t>19</w:t>
            </w:r>
          </w:p>
        </w:tc>
        <w:tc>
          <w:tcPr>
            <w:tcW w:w="993" w:type="dxa"/>
            <w:tcBorders>
              <w:top w:val="single" w:color="auto" w:sz="4" w:space="0"/>
              <w:left w:val="nil"/>
              <w:bottom w:val="single" w:color="auto" w:sz="4" w:space="0"/>
              <w:right w:val="single" w:color="auto" w:sz="4" w:space="0"/>
            </w:tcBorders>
            <w:vAlign w:val="center"/>
          </w:tcPr>
          <w:p w14:paraId="7663BA4D">
            <w:pPr>
              <w:widowControl/>
              <w:jc w:val="center"/>
              <w:rPr>
                <w:rFonts w:ascii="宋体" w:hAnsi="宋体" w:cs="宋体"/>
                <w:kern w:val="0"/>
                <w:sz w:val="24"/>
              </w:rPr>
            </w:pPr>
          </w:p>
        </w:tc>
        <w:tc>
          <w:tcPr>
            <w:tcW w:w="5955" w:type="dxa"/>
            <w:tcBorders>
              <w:top w:val="single" w:color="auto" w:sz="4" w:space="0"/>
              <w:left w:val="nil"/>
              <w:bottom w:val="single" w:color="auto" w:sz="4" w:space="0"/>
              <w:right w:val="single" w:color="auto" w:sz="4" w:space="0"/>
            </w:tcBorders>
            <w:vAlign w:val="center"/>
          </w:tcPr>
          <w:p w14:paraId="4CC2B5D8">
            <w:pPr>
              <w:widowControl/>
              <w:rPr>
                <w:rFonts w:ascii="宋体" w:hAnsi="宋体" w:cs="宋体"/>
                <w:kern w:val="0"/>
                <w:sz w:val="24"/>
              </w:rPr>
            </w:pPr>
            <w:r>
              <w:rPr>
                <w:rFonts w:hint="eastAsia" w:ascii="宋体" w:hAnsi="宋体" w:cs="宋体"/>
                <w:kern w:val="0"/>
                <w:sz w:val="24"/>
              </w:rPr>
              <w:t>产品功能：自动光感，远程会议，无线投屏，白板书写，多通道书写、童锁、截图分享、任意批注，手机扫码等。</w:t>
            </w:r>
          </w:p>
        </w:tc>
        <w:tc>
          <w:tcPr>
            <w:tcW w:w="1103" w:type="dxa"/>
            <w:tcBorders>
              <w:top w:val="single" w:color="auto" w:sz="4" w:space="0"/>
              <w:left w:val="nil"/>
              <w:bottom w:val="single" w:color="auto" w:sz="4" w:space="0"/>
              <w:right w:val="single" w:color="auto" w:sz="4" w:space="0"/>
            </w:tcBorders>
            <w:noWrap/>
            <w:vAlign w:val="center"/>
          </w:tcPr>
          <w:p w14:paraId="7B0A5DE3">
            <w:pPr>
              <w:widowControl/>
              <w:jc w:val="center"/>
              <w:rPr>
                <w:rFonts w:ascii="宋体" w:hAnsi="宋体" w:cs="宋体"/>
                <w:kern w:val="0"/>
                <w:sz w:val="24"/>
              </w:rPr>
            </w:pPr>
            <w:r>
              <w:rPr>
                <w:rFonts w:hint="eastAsia" w:ascii="宋体" w:hAnsi="宋体" w:cs="宋体"/>
                <w:kern w:val="0"/>
                <w:sz w:val="24"/>
              </w:rPr>
              <w:t>否</w:t>
            </w:r>
          </w:p>
        </w:tc>
      </w:tr>
      <w:tr w14:paraId="172AE976">
        <w:tblPrEx>
          <w:tblCellMar>
            <w:top w:w="0" w:type="dxa"/>
            <w:left w:w="108" w:type="dxa"/>
            <w:bottom w:w="0" w:type="dxa"/>
            <w:right w:w="108" w:type="dxa"/>
          </w:tblCellMar>
        </w:tblPrEx>
        <w:trPr>
          <w:trHeight w:val="270" w:hRule="atLeast"/>
        </w:trPr>
        <w:tc>
          <w:tcPr>
            <w:tcW w:w="673" w:type="dxa"/>
            <w:tcBorders>
              <w:top w:val="single" w:color="auto" w:sz="4" w:space="0"/>
              <w:left w:val="single" w:color="auto" w:sz="4" w:space="0"/>
              <w:bottom w:val="single" w:color="auto" w:sz="4" w:space="0"/>
              <w:right w:val="single" w:color="auto" w:sz="4" w:space="0"/>
            </w:tcBorders>
            <w:vAlign w:val="center"/>
          </w:tcPr>
          <w:p w14:paraId="474367B6">
            <w:pPr>
              <w:widowControl/>
              <w:jc w:val="center"/>
              <w:rPr>
                <w:rFonts w:ascii="宋体" w:hAnsi="宋体" w:cs="宋体"/>
                <w:kern w:val="0"/>
                <w:sz w:val="24"/>
              </w:rPr>
            </w:pPr>
            <w:r>
              <w:rPr>
                <w:rFonts w:hint="eastAsia" w:ascii="宋体" w:hAnsi="宋体" w:cs="宋体"/>
                <w:kern w:val="0"/>
                <w:sz w:val="24"/>
              </w:rPr>
              <w:t>20</w:t>
            </w:r>
          </w:p>
        </w:tc>
        <w:tc>
          <w:tcPr>
            <w:tcW w:w="993" w:type="dxa"/>
            <w:tcBorders>
              <w:top w:val="single" w:color="auto" w:sz="4" w:space="0"/>
              <w:left w:val="nil"/>
              <w:bottom w:val="single" w:color="auto" w:sz="4" w:space="0"/>
              <w:right w:val="single" w:color="auto" w:sz="4" w:space="0"/>
            </w:tcBorders>
            <w:vAlign w:val="center"/>
          </w:tcPr>
          <w:p w14:paraId="2840A7D7">
            <w:pPr>
              <w:widowControl/>
              <w:jc w:val="center"/>
              <w:rPr>
                <w:rFonts w:ascii="宋体" w:hAnsi="宋体" w:cs="宋体"/>
                <w:kern w:val="0"/>
                <w:sz w:val="24"/>
              </w:rPr>
            </w:pPr>
          </w:p>
        </w:tc>
        <w:tc>
          <w:tcPr>
            <w:tcW w:w="5955" w:type="dxa"/>
            <w:tcBorders>
              <w:top w:val="single" w:color="auto" w:sz="4" w:space="0"/>
              <w:left w:val="nil"/>
              <w:bottom w:val="single" w:color="auto" w:sz="4" w:space="0"/>
              <w:right w:val="single" w:color="auto" w:sz="4" w:space="0"/>
            </w:tcBorders>
            <w:vAlign w:val="center"/>
          </w:tcPr>
          <w:p w14:paraId="2B4040A0">
            <w:pPr>
              <w:widowControl/>
              <w:rPr>
                <w:rFonts w:ascii="宋体" w:hAnsi="宋体" w:cs="宋体"/>
                <w:kern w:val="0"/>
                <w:sz w:val="24"/>
              </w:rPr>
            </w:pPr>
            <w:r>
              <w:rPr>
                <w:rFonts w:hint="eastAsia" w:ascii="宋体" w:hAnsi="宋体" w:cs="宋体"/>
                <w:kern w:val="0"/>
                <w:sz w:val="24"/>
              </w:rPr>
              <w:t>含现场安装所需壁装支架、HDMI线缆（长度满足现场实际需要）</w:t>
            </w:r>
          </w:p>
        </w:tc>
        <w:tc>
          <w:tcPr>
            <w:tcW w:w="1103" w:type="dxa"/>
            <w:tcBorders>
              <w:top w:val="single" w:color="auto" w:sz="4" w:space="0"/>
              <w:left w:val="nil"/>
              <w:bottom w:val="single" w:color="auto" w:sz="4" w:space="0"/>
              <w:right w:val="single" w:color="auto" w:sz="4" w:space="0"/>
            </w:tcBorders>
            <w:noWrap/>
            <w:vAlign w:val="center"/>
          </w:tcPr>
          <w:p w14:paraId="24A1ACBD">
            <w:pPr>
              <w:widowControl/>
              <w:jc w:val="center"/>
              <w:rPr>
                <w:rFonts w:ascii="宋体" w:hAnsi="宋体" w:cs="宋体"/>
                <w:kern w:val="0"/>
                <w:sz w:val="24"/>
              </w:rPr>
            </w:pPr>
            <w:r>
              <w:rPr>
                <w:rFonts w:hint="eastAsia" w:ascii="宋体" w:hAnsi="宋体" w:cs="宋体"/>
                <w:kern w:val="0"/>
                <w:sz w:val="24"/>
              </w:rPr>
              <w:t>否</w:t>
            </w:r>
          </w:p>
        </w:tc>
      </w:tr>
      <w:tr w14:paraId="24E782C5">
        <w:tblPrEx>
          <w:tblCellMar>
            <w:top w:w="0" w:type="dxa"/>
            <w:left w:w="108" w:type="dxa"/>
            <w:bottom w:w="0" w:type="dxa"/>
            <w:right w:w="108" w:type="dxa"/>
          </w:tblCellMar>
        </w:tblPrEx>
        <w:trPr>
          <w:trHeight w:val="270" w:hRule="atLeast"/>
        </w:trPr>
        <w:tc>
          <w:tcPr>
            <w:tcW w:w="673" w:type="dxa"/>
            <w:tcBorders>
              <w:top w:val="single" w:color="auto" w:sz="4" w:space="0"/>
              <w:left w:val="single" w:color="auto" w:sz="4" w:space="0"/>
              <w:bottom w:val="single" w:color="auto" w:sz="4" w:space="0"/>
              <w:right w:val="single" w:color="auto" w:sz="4" w:space="0"/>
            </w:tcBorders>
            <w:vAlign w:val="center"/>
          </w:tcPr>
          <w:p w14:paraId="66185784">
            <w:pPr>
              <w:widowControl/>
              <w:jc w:val="center"/>
              <w:rPr>
                <w:rFonts w:ascii="宋体" w:hAnsi="宋体" w:cs="宋体"/>
                <w:kern w:val="0"/>
                <w:sz w:val="24"/>
              </w:rPr>
            </w:pPr>
            <w:r>
              <w:rPr>
                <w:rFonts w:hint="eastAsia" w:ascii="宋体" w:hAnsi="宋体" w:cs="宋体"/>
                <w:kern w:val="0"/>
                <w:sz w:val="24"/>
              </w:rPr>
              <w:t>21</w:t>
            </w:r>
          </w:p>
        </w:tc>
        <w:tc>
          <w:tcPr>
            <w:tcW w:w="993" w:type="dxa"/>
            <w:tcBorders>
              <w:top w:val="single" w:color="auto" w:sz="4" w:space="0"/>
              <w:left w:val="nil"/>
              <w:bottom w:val="single" w:color="auto" w:sz="4" w:space="0"/>
              <w:right w:val="single" w:color="auto" w:sz="4" w:space="0"/>
            </w:tcBorders>
            <w:vAlign w:val="center"/>
          </w:tcPr>
          <w:p w14:paraId="4DE7F7F8">
            <w:pPr>
              <w:widowControl/>
              <w:jc w:val="center"/>
              <w:rPr>
                <w:rFonts w:ascii="宋体" w:hAnsi="宋体" w:cs="宋体"/>
                <w:kern w:val="0"/>
                <w:sz w:val="24"/>
              </w:rPr>
            </w:pPr>
            <w:r>
              <w:rPr>
                <w:rFonts w:hint="eastAsia" w:ascii="宋体" w:hAnsi="宋体" w:cs="宋体"/>
                <w:kern w:val="0"/>
                <w:sz w:val="24"/>
              </w:rPr>
              <w:t>#</w:t>
            </w:r>
          </w:p>
        </w:tc>
        <w:tc>
          <w:tcPr>
            <w:tcW w:w="5955" w:type="dxa"/>
            <w:tcBorders>
              <w:top w:val="single" w:color="auto" w:sz="4" w:space="0"/>
              <w:left w:val="nil"/>
              <w:bottom w:val="single" w:color="auto" w:sz="4" w:space="0"/>
              <w:right w:val="single" w:color="auto" w:sz="4" w:space="0"/>
            </w:tcBorders>
            <w:vAlign w:val="center"/>
          </w:tcPr>
          <w:p w14:paraId="38CC67EB">
            <w:pPr>
              <w:widowControl/>
              <w:rPr>
                <w:rFonts w:ascii="宋体" w:hAnsi="宋体" w:cs="宋体"/>
                <w:kern w:val="0"/>
                <w:sz w:val="24"/>
              </w:rPr>
            </w:pPr>
            <w:r>
              <w:rPr>
                <w:rFonts w:hint="eastAsia" w:ascii="宋体" w:hAnsi="宋体" w:cs="宋体"/>
                <w:kern w:val="0"/>
                <w:sz w:val="24"/>
              </w:rPr>
              <w:t>具备能效二级及以上证书</w:t>
            </w:r>
          </w:p>
        </w:tc>
        <w:tc>
          <w:tcPr>
            <w:tcW w:w="1103" w:type="dxa"/>
            <w:tcBorders>
              <w:top w:val="single" w:color="auto" w:sz="4" w:space="0"/>
              <w:left w:val="nil"/>
              <w:bottom w:val="single" w:color="auto" w:sz="4" w:space="0"/>
              <w:right w:val="single" w:color="auto" w:sz="4" w:space="0"/>
            </w:tcBorders>
            <w:noWrap/>
            <w:vAlign w:val="center"/>
          </w:tcPr>
          <w:p w14:paraId="1C89FA69">
            <w:pPr>
              <w:widowControl/>
              <w:jc w:val="center"/>
              <w:rPr>
                <w:rFonts w:ascii="宋体" w:hAnsi="宋体" w:cs="宋体"/>
                <w:kern w:val="0"/>
                <w:sz w:val="24"/>
              </w:rPr>
            </w:pPr>
            <w:r>
              <w:rPr>
                <w:rFonts w:hint="eastAsia" w:ascii="宋体" w:hAnsi="宋体" w:cs="宋体"/>
                <w:kern w:val="0"/>
                <w:sz w:val="24"/>
              </w:rPr>
              <w:t>是</w:t>
            </w:r>
          </w:p>
        </w:tc>
      </w:tr>
    </w:tbl>
    <w:p w14:paraId="43A60A5C">
      <w:pPr>
        <w:spacing w:line="360" w:lineRule="auto"/>
        <w:rPr>
          <w:rFonts w:ascii="宋体" w:hAnsi="宋体" w:cs="宋体"/>
          <w:sz w:val="24"/>
        </w:rPr>
      </w:pPr>
    </w:p>
    <w:p w14:paraId="6109213A">
      <w:pPr>
        <w:spacing w:line="360" w:lineRule="auto"/>
        <w:ind w:left="420" w:leftChars="200"/>
        <w:outlineLvl w:val="3"/>
        <w:rPr>
          <w:rFonts w:ascii="宋体" w:hAnsi="宋体" w:cs="宋体"/>
          <w:sz w:val="24"/>
        </w:rPr>
      </w:pPr>
      <w:r>
        <w:rPr>
          <w:rFonts w:hint="eastAsia" w:ascii="宋体" w:hAnsi="宋体" w:cs="宋体"/>
          <w:sz w:val="24"/>
        </w:rPr>
        <w:t>2.1.4 32寸显示器</w:t>
      </w:r>
    </w:p>
    <w:tbl>
      <w:tblPr>
        <w:tblStyle w:val="15"/>
        <w:tblW w:w="8724" w:type="dxa"/>
        <w:tblInd w:w="0" w:type="dxa"/>
        <w:tblLayout w:type="fixed"/>
        <w:tblCellMar>
          <w:top w:w="0" w:type="dxa"/>
          <w:left w:w="108" w:type="dxa"/>
          <w:bottom w:w="0" w:type="dxa"/>
          <w:right w:w="108" w:type="dxa"/>
        </w:tblCellMar>
      </w:tblPr>
      <w:tblGrid>
        <w:gridCol w:w="673"/>
        <w:gridCol w:w="993"/>
        <w:gridCol w:w="5955"/>
        <w:gridCol w:w="1103"/>
      </w:tblGrid>
      <w:tr w14:paraId="53BF93FC">
        <w:tblPrEx>
          <w:tblCellMar>
            <w:top w:w="0" w:type="dxa"/>
            <w:left w:w="108" w:type="dxa"/>
            <w:bottom w:w="0" w:type="dxa"/>
            <w:right w:w="108" w:type="dxa"/>
          </w:tblCellMar>
        </w:tblPrEx>
        <w:trPr>
          <w:trHeight w:val="540" w:hRule="atLeast"/>
          <w:tblHeader/>
        </w:trPr>
        <w:tc>
          <w:tcPr>
            <w:tcW w:w="673" w:type="dxa"/>
            <w:tcBorders>
              <w:top w:val="single" w:color="auto" w:sz="4" w:space="0"/>
              <w:left w:val="single" w:color="auto" w:sz="4" w:space="0"/>
              <w:bottom w:val="single" w:color="auto" w:sz="4" w:space="0"/>
              <w:right w:val="single" w:color="auto" w:sz="4" w:space="0"/>
            </w:tcBorders>
            <w:vAlign w:val="center"/>
          </w:tcPr>
          <w:p w14:paraId="0120FF05">
            <w:pPr>
              <w:widowControl/>
              <w:jc w:val="center"/>
              <w:rPr>
                <w:rFonts w:ascii="宋体" w:hAnsi="宋体" w:cs="宋体"/>
                <w:b/>
                <w:bCs/>
                <w:kern w:val="0"/>
                <w:sz w:val="24"/>
              </w:rPr>
            </w:pPr>
            <w:r>
              <w:rPr>
                <w:rFonts w:hint="eastAsia" w:ascii="宋体" w:hAnsi="宋体" w:cs="宋体"/>
                <w:b/>
                <w:bCs/>
                <w:kern w:val="0"/>
                <w:sz w:val="24"/>
              </w:rPr>
              <w:t>序号</w:t>
            </w:r>
          </w:p>
        </w:tc>
        <w:tc>
          <w:tcPr>
            <w:tcW w:w="993" w:type="dxa"/>
            <w:tcBorders>
              <w:top w:val="single" w:color="auto" w:sz="4" w:space="0"/>
              <w:left w:val="nil"/>
              <w:bottom w:val="single" w:color="auto" w:sz="4" w:space="0"/>
              <w:right w:val="single" w:color="auto" w:sz="4" w:space="0"/>
            </w:tcBorders>
            <w:vAlign w:val="center"/>
          </w:tcPr>
          <w:p w14:paraId="6217B35F">
            <w:pPr>
              <w:widowControl/>
              <w:jc w:val="center"/>
              <w:rPr>
                <w:rFonts w:ascii="宋体" w:hAnsi="宋体" w:cs="宋体"/>
                <w:b/>
                <w:bCs/>
                <w:kern w:val="0"/>
                <w:sz w:val="24"/>
              </w:rPr>
            </w:pPr>
            <w:r>
              <w:rPr>
                <w:rFonts w:hint="eastAsia" w:ascii="宋体" w:hAnsi="宋体" w:cs="宋体"/>
                <w:b/>
                <w:bCs/>
                <w:kern w:val="0"/>
                <w:sz w:val="24"/>
              </w:rPr>
              <w:t>重要性</w:t>
            </w:r>
          </w:p>
        </w:tc>
        <w:tc>
          <w:tcPr>
            <w:tcW w:w="5955" w:type="dxa"/>
            <w:tcBorders>
              <w:top w:val="single" w:color="auto" w:sz="4" w:space="0"/>
              <w:left w:val="nil"/>
              <w:bottom w:val="single" w:color="auto" w:sz="4" w:space="0"/>
              <w:right w:val="single" w:color="auto" w:sz="4" w:space="0"/>
            </w:tcBorders>
            <w:vAlign w:val="center"/>
          </w:tcPr>
          <w:p w14:paraId="1D00F213">
            <w:pPr>
              <w:widowControl/>
              <w:jc w:val="center"/>
              <w:rPr>
                <w:rFonts w:ascii="宋体" w:hAnsi="宋体" w:cs="宋体"/>
                <w:b/>
                <w:bCs/>
                <w:kern w:val="0"/>
                <w:sz w:val="24"/>
              </w:rPr>
            </w:pPr>
            <w:r>
              <w:rPr>
                <w:rFonts w:hint="eastAsia" w:ascii="宋体" w:hAnsi="宋体" w:cs="宋体"/>
                <w:b/>
                <w:bCs/>
                <w:kern w:val="0"/>
                <w:sz w:val="24"/>
              </w:rPr>
              <w:t>具体指标内容</w:t>
            </w:r>
          </w:p>
        </w:tc>
        <w:tc>
          <w:tcPr>
            <w:tcW w:w="1103" w:type="dxa"/>
            <w:tcBorders>
              <w:top w:val="single" w:color="auto" w:sz="4" w:space="0"/>
              <w:left w:val="nil"/>
              <w:bottom w:val="single" w:color="auto" w:sz="4" w:space="0"/>
              <w:right w:val="single" w:color="auto" w:sz="4" w:space="0"/>
            </w:tcBorders>
            <w:vAlign w:val="center"/>
          </w:tcPr>
          <w:p w14:paraId="5CD5659D">
            <w:pPr>
              <w:widowControl/>
              <w:jc w:val="center"/>
              <w:rPr>
                <w:rFonts w:ascii="宋体" w:hAnsi="宋体" w:cs="宋体"/>
                <w:b/>
                <w:bCs/>
                <w:kern w:val="0"/>
                <w:sz w:val="24"/>
              </w:rPr>
            </w:pPr>
            <w:r>
              <w:rPr>
                <w:rFonts w:hint="eastAsia" w:ascii="宋体" w:hAnsi="宋体" w:cs="宋体"/>
                <w:b/>
                <w:bCs/>
                <w:kern w:val="0"/>
                <w:sz w:val="24"/>
              </w:rPr>
              <w:t>是否需要证明材料</w:t>
            </w:r>
          </w:p>
        </w:tc>
      </w:tr>
      <w:tr w14:paraId="72C164FF">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7A5A0AA5">
            <w:pPr>
              <w:widowControl/>
              <w:jc w:val="center"/>
              <w:rPr>
                <w:rFonts w:ascii="宋体" w:hAnsi="宋体" w:cs="宋体"/>
                <w:kern w:val="0"/>
                <w:sz w:val="24"/>
              </w:rPr>
            </w:pPr>
            <w:r>
              <w:rPr>
                <w:rFonts w:hint="eastAsia" w:ascii="宋体" w:hAnsi="宋体" w:cs="宋体"/>
                <w:kern w:val="0"/>
                <w:sz w:val="24"/>
              </w:rPr>
              <w:t>1</w:t>
            </w:r>
          </w:p>
        </w:tc>
        <w:tc>
          <w:tcPr>
            <w:tcW w:w="993" w:type="dxa"/>
            <w:tcBorders>
              <w:top w:val="nil"/>
              <w:left w:val="nil"/>
              <w:bottom w:val="single" w:color="auto" w:sz="4" w:space="0"/>
              <w:right w:val="single" w:color="auto" w:sz="4" w:space="0"/>
            </w:tcBorders>
            <w:vAlign w:val="center"/>
          </w:tcPr>
          <w:p w14:paraId="49D6DAA0">
            <w:pPr>
              <w:widowControl/>
              <w:jc w:val="center"/>
              <w:rPr>
                <w:rFonts w:ascii="宋体" w:hAnsi="宋体" w:cs="宋体"/>
                <w:kern w:val="0"/>
                <w:sz w:val="24"/>
              </w:rPr>
            </w:pPr>
            <w:r>
              <w:rPr>
                <w:rFonts w:hint="eastAsia" w:ascii="宋体" w:hAnsi="宋体" w:cs="宋体"/>
                <w:kern w:val="0"/>
                <w:sz w:val="24"/>
              </w:rPr>
              <w:t>#</w:t>
            </w:r>
          </w:p>
        </w:tc>
        <w:tc>
          <w:tcPr>
            <w:tcW w:w="5955" w:type="dxa"/>
            <w:tcBorders>
              <w:top w:val="nil"/>
              <w:left w:val="nil"/>
              <w:bottom w:val="single" w:color="auto" w:sz="4" w:space="0"/>
              <w:right w:val="single" w:color="auto" w:sz="4" w:space="0"/>
            </w:tcBorders>
            <w:vAlign w:val="center"/>
          </w:tcPr>
          <w:p w14:paraId="534D4587">
            <w:pPr>
              <w:widowControl/>
              <w:rPr>
                <w:rFonts w:ascii="宋体" w:hAnsi="宋体" w:cs="宋体"/>
                <w:kern w:val="0"/>
                <w:sz w:val="24"/>
              </w:rPr>
            </w:pPr>
            <w:r>
              <w:rPr>
                <w:rFonts w:hint="eastAsia" w:ascii="宋体" w:hAnsi="宋体" w:cs="宋体"/>
                <w:kern w:val="0"/>
                <w:sz w:val="24"/>
              </w:rPr>
              <w:t>屏幕尺寸：≥32英寸。</w:t>
            </w:r>
            <w:r>
              <w:rPr>
                <w:rFonts w:hint="eastAsia" w:asciiTheme="minorEastAsia" w:hAnsiTheme="minorEastAsia" w:cstheme="minorEastAsia"/>
                <w:sz w:val="24"/>
              </w:rPr>
              <w:t>（需提供</w:t>
            </w:r>
            <w:r>
              <w:rPr>
                <w:rFonts w:hint="eastAsia" w:asciiTheme="minorEastAsia" w:hAnsiTheme="minorEastAsia" w:eastAsiaTheme="minorEastAsia" w:cstheme="minorEastAsia"/>
                <w:sz w:val="24"/>
              </w:rPr>
              <w:t>生产厂家产品规格书或生产厂家官方网站截图</w:t>
            </w:r>
            <w:r>
              <w:rPr>
                <w:rFonts w:hint="eastAsia" w:asciiTheme="minorEastAsia" w:hAnsiTheme="minorEastAsia" w:cstheme="minorEastAsia"/>
                <w:sz w:val="24"/>
              </w:rPr>
              <w:t>）</w:t>
            </w:r>
          </w:p>
        </w:tc>
        <w:tc>
          <w:tcPr>
            <w:tcW w:w="1103" w:type="dxa"/>
            <w:tcBorders>
              <w:top w:val="nil"/>
              <w:left w:val="nil"/>
              <w:bottom w:val="single" w:color="auto" w:sz="4" w:space="0"/>
              <w:right w:val="single" w:color="auto" w:sz="4" w:space="0"/>
            </w:tcBorders>
            <w:noWrap/>
            <w:vAlign w:val="center"/>
          </w:tcPr>
          <w:p w14:paraId="1AD47C4E">
            <w:pPr>
              <w:widowControl/>
              <w:jc w:val="center"/>
              <w:rPr>
                <w:rFonts w:ascii="宋体" w:hAnsi="宋体" w:cs="宋体"/>
                <w:kern w:val="0"/>
                <w:sz w:val="24"/>
              </w:rPr>
            </w:pPr>
            <w:r>
              <w:rPr>
                <w:rFonts w:hint="eastAsia" w:ascii="宋体" w:hAnsi="宋体" w:cs="宋体"/>
                <w:kern w:val="0"/>
                <w:sz w:val="24"/>
              </w:rPr>
              <w:t>是</w:t>
            </w:r>
          </w:p>
        </w:tc>
      </w:tr>
      <w:tr w14:paraId="4E8D2829">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7CCB8367">
            <w:pPr>
              <w:widowControl/>
              <w:jc w:val="center"/>
              <w:rPr>
                <w:rFonts w:ascii="宋体" w:hAnsi="宋体" w:cs="宋体"/>
                <w:kern w:val="0"/>
                <w:sz w:val="24"/>
              </w:rPr>
            </w:pPr>
            <w:r>
              <w:rPr>
                <w:rFonts w:hint="eastAsia" w:ascii="宋体" w:hAnsi="宋体" w:cs="宋体"/>
                <w:kern w:val="0"/>
                <w:sz w:val="24"/>
              </w:rPr>
              <w:t>2</w:t>
            </w:r>
          </w:p>
        </w:tc>
        <w:tc>
          <w:tcPr>
            <w:tcW w:w="993" w:type="dxa"/>
            <w:tcBorders>
              <w:top w:val="nil"/>
              <w:left w:val="nil"/>
              <w:bottom w:val="single" w:color="auto" w:sz="4" w:space="0"/>
              <w:right w:val="single" w:color="auto" w:sz="4" w:space="0"/>
            </w:tcBorders>
            <w:vAlign w:val="center"/>
          </w:tcPr>
          <w:p w14:paraId="6528B71F">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57CDDDBE">
            <w:pPr>
              <w:widowControl/>
              <w:rPr>
                <w:rFonts w:ascii="宋体" w:hAnsi="宋体" w:cs="宋体"/>
                <w:kern w:val="0"/>
                <w:sz w:val="24"/>
              </w:rPr>
            </w:pPr>
            <w:r>
              <w:rPr>
                <w:rFonts w:hint="eastAsia" w:ascii="宋体" w:hAnsi="宋体" w:cs="宋体"/>
                <w:kern w:val="0"/>
                <w:sz w:val="24"/>
              </w:rPr>
              <w:t>分辨率：≥3840×2160像素</w:t>
            </w:r>
          </w:p>
        </w:tc>
        <w:tc>
          <w:tcPr>
            <w:tcW w:w="1103" w:type="dxa"/>
            <w:tcBorders>
              <w:top w:val="nil"/>
              <w:left w:val="nil"/>
              <w:bottom w:val="single" w:color="auto" w:sz="4" w:space="0"/>
              <w:right w:val="single" w:color="auto" w:sz="4" w:space="0"/>
            </w:tcBorders>
            <w:noWrap/>
            <w:vAlign w:val="center"/>
          </w:tcPr>
          <w:p w14:paraId="539E678D">
            <w:pPr>
              <w:widowControl/>
              <w:jc w:val="center"/>
              <w:rPr>
                <w:rFonts w:ascii="宋体" w:hAnsi="宋体" w:cs="宋体"/>
                <w:kern w:val="0"/>
                <w:sz w:val="24"/>
              </w:rPr>
            </w:pPr>
            <w:r>
              <w:rPr>
                <w:rFonts w:hint="eastAsia" w:ascii="宋体" w:hAnsi="宋体" w:cs="宋体"/>
                <w:kern w:val="0"/>
                <w:sz w:val="24"/>
              </w:rPr>
              <w:t>否</w:t>
            </w:r>
          </w:p>
        </w:tc>
      </w:tr>
      <w:tr w14:paraId="2680EBAB">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2B5C99AC">
            <w:pPr>
              <w:widowControl/>
              <w:jc w:val="center"/>
              <w:rPr>
                <w:rFonts w:ascii="宋体" w:hAnsi="宋体" w:cs="宋体"/>
                <w:kern w:val="0"/>
                <w:sz w:val="24"/>
              </w:rPr>
            </w:pPr>
            <w:r>
              <w:rPr>
                <w:rFonts w:hint="eastAsia" w:ascii="宋体" w:hAnsi="宋体" w:cs="宋体"/>
                <w:kern w:val="0"/>
                <w:sz w:val="24"/>
              </w:rPr>
              <w:t>3</w:t>
            </w:r>
          </w:p>
        </w:tc>
        <w:tc>
          <w:tcPr>
            <w:tcW w:w="993" w:type="dxa"/>
            <w:tcBorders>
              <w:top w:val="nil"/>
              <w:left w:val="nil"/>
              <w:bottom w:val="single" w:color="auto" w:sz="4" w:space="0"/>
              <w:right w:val="single" w:color="auto" w:sz="4" w:space="0"/>
            </w:tcBorders>
            <w:vAlign w:val="center"/>
          </w:tcPr>
          <w:p w14:paraId="04715A1F">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050BC738">
            <w:pPr>
              <w:widowControl/>
              <w:rPr>
                <w:rFonts w:ascii="宋体" w:hAnsi="宋体" w:cs="宋体"/>
                <w:kern w:val="0"/>
                <w:sz w:val="24"/>
              </w:rPr>
            </w:pPr>
            <w:r>
              <w:rPr>
                <w:rFonts w:hint="eastAsia" w:ascii="宋体" w:hAnsi="宋体" w:cs="宋体"/>
                <w:kern w:val="0"/>
                <w:sz w:val="24"/>
              </w:rPr>
              <w:t>对比度：≥5000：1</w:t>
            </w:r>
          </w:p>
        </w:tc>
        <w:tc>
          <w:tcPr>
            <w:tcW w:w="1103" w:type="dxa"/>
            <w:tcBorders>
              <w:top w:val="nil"/>
              <w:left w:val="nil"/>
              <w:bottom w:val="single" w:color="auto" w:sz="4" w:space="0"/>
              <w:right w:val="single" w:color="auto" w:sz="4" w:space="0"/>
            </w:tcBorders>
            <w:noWrap/>
            <w:vAlign w:val="center"/>
          </w:tcPr>
          <w:p w14:paraId="534A7E28">
            <w:pPr>
              <w:widowControl/>
              <w:jc w:val="center"/>
              <w:rPr>
                <w:rFonts w:ascii="宋体" w:hAnsi="宋体" w:cs="宋体"/>
                <w:kern w:val="0"/>
                <w:sz w:val="24"/>
              </w:rPr>
            </w:pPr>
            <w:r>
              <w:rPr>
                <w:rFonts w:hint="eastAsia" w:ascii="宋体" w:hAnsi="宋体" w:cs="宋体"/>
                <w:kern w:val="0"/>
                <w:sz w:val="24"/>
              </w:rPr>
              <w:t>否</w:t>
            </w:r>
          </w:p>
        </w:tc>
      </w:tr>
      <w:tr w14:paraId="3FA6A220">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3C36BE51">
            <w:pPr>
              <w:widowControl/>
              <w:jc w:val="center"/>
              <w:rPr>
                <w:rFonts w:ascii="宋体" w:hAnsi="宋体" w:cs="宋体"/>
                <w:kern w:val="0"/>
                <w:sz w:val="24"/>
              </w:rPr>
            </w:pPr>
            <w:r>
              <w:rPr>
                <w:rFonts w:hint="eastAsia" w:ascii="宋体" w:hAnsi="宋体" w:cs="宋体"/>
                <w:kern w:val="0"/>
                <w:sz w:val="24"/>
              </w:rPr>
              <w:t>4</w:t>
            </w:r>
          </w:p>
        </w:tc>
        <w:tc>
          <w:tcPr>
            <w:tcW w:w="993" w:type="dxa"/>
            <w:tcBorders>
              <w:top w:val="nil"/>
              <w:left w:val="nil"/>
              <w:bottom w:val="single" w:color="auto" w:sz="4" w:space="0"/>
              <w:right w:val="single" w:color="auto" w:sz="4" w:space="0"/>
            </w:tcBorders>
            <w:vAlign w:val="center"/>
          </w:tcPr>
          <w:p w14:paraId="32EA3B2A">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0B70704D">
            <w:pPr>
              <w:widowControl/>
              <w:rPr>
                <w:rFonts w:ascii="宋体" w:hAnsi="宋体" w:cs="宋体"/>
                <w:kern w:val="0"/>
                <w:sz w:val="24"/>
              </w:rPr>
            </w:pPr>
            <w:r>
              <w:rPr>
                <w:rFonts w:hint="eastAsia" w:ascii="宋体" w:hAnsi="宋体" w:cs="宋体"/>
                <w:kern w:val="0"/>
                <w:sz w:val="24"/>
              </w:rPr>
              <w:t>动态响应：≤6ms</w:t>
            </w:r>
          </w:p>
        </w:tc>
        <w:tc>
          <w:tcPr>
            <w:tcW w:w="1103" w:type="dxa"/>
            <w:tcBorders>
              <w:top w:val="nil"/>
              <w:left w:val="nil"/>
              <w:bottom w:val="single" w:color="auto" w:sz="4" w:space="0"/>
              <w:right w:val="single" w:color="auto" w:sz="4" w:space="0"/>
            </w:tcBorders>
            <w:noWrap/>
            <w:vAlign w:val="center"/>
          </w:tcPr>
          <w:p w14:paraId="1C482513">
            <w:pPr>
              <w:widowControl/>
              <w:jc w:val="center"/>
              <w:rPr>
                <w:rFonts w:ascii="宋体" w:hAnsi="宋体" w:cs="宋体"/>
                <w:kern w:val="0"/>
                <w:sz w:val="24"/>
              </w:rPr>
            </w:pPr>
            <w:r>
              <w:rPr>
                <w:rFonts w:hint="eastAsia" w:ascii="宋体" w:hAnsi="宋体" w:cs="宋体"/>
                <w:kern w:val="0"/>
                <w:sz w:val="24"/>
              </w:rPr>
              <w:t>否</w:t>
            </w:r>
          </w:p>
        </w:tc>
      </w:tr>
      <w:tr w14:paraId="4EF1DE3B">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014422E2">
            <w:pPr>
              <w:widowControl/>
              <w:jc w:val="center"/>
              <w:rPr>
                <w:rFonts w:ascii="宋体" w:hAnsi="宋体" w:cs="宋体"/>
                <w:kern w:val="0"/>
                <w:sz w:val="24"/>
              </w:rPr>
            </w:pPr>
            <w:r>
              <w:rPr>
                <w:rFonts w:hint="eastAsia" w:ascii="宋体" w:hAnsi="宋体" w:cs="宋体"/>
                <w:kern w:val="0"/>
                <w:sz w:val="24"/>
              </w:rPr>
              <w:t>5</w:t>
            </w:r>
          </w:p>
        </w:tc>
        <w:tc>
          <w:tcPr>
            <w:tcW w:w="993" w:type="dxa"/>
            <w:tcBorders>
              <w:top w:val="nil"/>
              <w:left w:val="nil"/>
              <w:bottom w:val="single" w:color="auto" w:sz="4" w:space="0"/>
              <w:right w:val="single" w:color="auto" w:sz="4" w:space="0"/>
            </w:tcBorders>
            <w:vAlign w:val="center"/>
          </w:tcPr>
          <w:p w14:paraId="6D2229A0">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405C5DFD">
            <w:pPr>
              <w:widowControl/>
              <w:rPr>
                <w:rFonts w:ascii="宋体" w:hAnsi="宋体" w:cs="宋体"/>
                <w:kern w:val="0"/>
                <w:sz w:val="24"/>
              </w:rPr>
            </w:pPr>
            <w:r>
              <w:rPr>
                <w:rFonts w:hint="eastAsia" w:ascii="宋体" w:hAnsi="宋体" w:cs="宋体"/>
                <w:kern w:val="0"/>
                <w:sz w:val="24"/>
              </w:rPr>
              <w:t>国产处理器：主频≥1.8GHz、核心数≥4核</w:t>
            </w:r>
          </w:p>
        </w:tc>
        <w:tc>
          <w:tcPr>
            <w:tcW w:w="1103" w:type="dxa"/>
            <w:tcBorders>
              <w:top w:val="nil"/>
              <w:left w:val="nil"/>
              <w:bottom w:val="single" w:color="auto" w:sz="4" w:space="0"/>
              <w:right w:val="single" w:color="auto" w:sz="4" w:space="0"/>
            </w:tcBorders>
            <w:noWrap/>
            <w:vAlign w:val="center"/>
          </w:tcPr>
          <w:p w14:paraId="1E0A65D9">
            <w:pPr>
              <w:widowControl/>
              <w:jc w:val="center"/>
              <w:rPr>
                <w:rFonts w:ascii="宋体" w:hAnsi="宋体" w:cs="宋体"/>
                <w:kern w:val="0"/>
                <w:sz w:val="24"/>
              </w:rPr>
            </w:pPr>
            <w:r>
              <w:rPr>
                <w:rFonts w:hint="eastAsia" w:ascii="宋体" w:hAnsi="宋体" w:cs="宋体"/>
                <w:kern w:val="0"/>
                <w:sz w:val="24"/>
              </w:rPr>
              <w:t>否</w:t>
            </w:r>
          </w:p>
        </w:tc>
      </w:tr>
      <w:tr w14:paraId="4E51F7D7">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5A9E6970">
            <w:pPr>
              <w:widowControl/>
              <w:jc w:val="center"/>
              <w:rPr>
                <w:rFonts w:ascii="宋体" w:hAnsi="宋体" w:cs="宋体"/>
                <w:kern w:val="0"/>
                <w:sz w:val="24"/>
              </w:rPr>
            </w:pPr>
            <w:r>
              <w:rPr>
                <w:rFonts w:hint="eastAsia" w:ascii="宋体" w:hAnsi="宋体" w:cs="宋体"/>
                <w:kern w:val="0"/>
                <w:sz w:val="24"/>
              </w:rPr>
              <w:t>6</w:t>
            </w:r>
          </w:p>
        </w:tc>
        <w:tc>
          <w:tcPr>
            <w:tcW w:w="993" w:type="dxa"/>
            <w:tcBorders>
              <w:top w:val="nil"/>
              <w:left w:val="nil"/>
              <w:bottom w:val="single" w:color="auto" w:sz="4" w:space="0"/>
              <w:right w:val="single" w:color="auto" w:sz="4" w:space="0"/>
            </w:tcBorders>
            <w:vAlign w:val="center"/>
          </w:tcPr>
          <w:p w14:paraId="75615173">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0C8BF4E1">
            <w:pPr>
              <w:widowControl/>
              <w:rPr>
                <w:rFonts w:ascii="宋体" w:hAnsi="宋体" w:cs="宋体"/>
                <w:kern w:val="0"/>
                <w:sz w:val="24"/>
              </w:rPr>
            </w:pPr>
            <w:r>
              <w:rPr>
                <w:rFonts w:hint="eastAsia" w:ascii="宋体" w:hAnsi="宋体" w:cs="宋体"/>
                <w:kern w:val="0"/>
                <w:sz w:val="24"/>
              </w:rPr>
              <w:t>内存：≥2G；存储：≥32GB</w:t>
            </w:r>
          </w:p>
        </w:tc>
        <w:tc>
          <w:tcPr>
            <w:tcW w:w="1103" w:type="dxa"/>
            <w:tcBorders>
              <w:top w:val="nil"/>
              <w:left w:val="nil"/>
              <w:bottom w:val="single" w:color="auto" w:sz="4" w:space="0"/>
              <w:right w:val="single" w:color="auto" w:sz="4" w:space="0"/>
            </w:tcBorders>
            <w:noWrap/>
            <w:vAlign w:val="center"/>
          </w:tcPr>
          <w:p w14:paraId="6740A11A">
            <w:pPr>
              <w:widowControl/>
              <w:jc w:val="center"/>
              <w:rPr>
                <w:rFonts w:ascii="宋体" w:hAnsi="宋体" w:cs="宋体"/>
                <w:kern w:val="0"/>
                <w:sz w:val="24"/>
              </w:rPr>
            </w:pPr>
            <w:r>
              <w:rPr>
                <w:rFonts w:hint="eastAsia" w:ascii="宋体" w:hAnsi="宋体" w:cs="宋体"/>
                <w:kern w:val="0"/>
                <w:sz w:val="24"/>
              </w:rPr>
              <w:t>否</w:t>
            </w:r>
          </w:p>
        </w:tc>
      </w:tr>
      <w:tr w14:paraId="2DE3059B">
        <w:tblPrEx>
          <w:tblCellMar>
            <w:top w:w="0" w:type="dxa"/>
            <w:left w:w="108" w:type="dxa"/>
            <w:bottom w:w="0" w:type="dxa"/>
            <w:right w:w="108" w:type="dxa"/>
          </w:tblCellMar>
        </w:tblPrEx>
        <w:trPr>
          <w:trHeight w:val="270" w:hRule="atLeast"/>
        </w:trPr>
        <w:tc>
          <w:tcPr>
            <w:tcW w:w="673" w:type="dxa"/>
            <w:tcBorders>
              <w:top w:val="single" w:color="auto" w:sz="4" w:space="0"/>
              <w:left w:val="single" w:color="auto" w:sz="4" w:space="0"/>
              <w:bottom w:val="single" w:color="auto" w:sz="4" w:space="0"/>
              <w:right w:val="single" w:color="auto" w:sz="4" w:space="0"/>
            </w:tcBorders>
            <w:vAlign w:val="center"/>
          </w:tcPr>
          <w:p w14:paraId="20E0408E">
            <w:pPr>
              <w:widowControl/>
              <w:jc w:val="center"/>
              <w:rPr>
                <w:rFonts w:ascii="宋体" w:hAnsi="宋体" w:cs="宋体"/>
                <w:kern w:val="0"/>
                <w:sz w:val="24"/>
              </w:rPr>
            </w:pPr>
            <w:r>
              <w:rPr>
                <w:rFonts w:hint="eastAsia" w:ascii="宋体" w:hAnsi="宋体" w:cs="宋体"/>
                <w:kern w:val="0"/>
                <w:sz w:val="24"/>
              </w:rPr>
              <w:t>7</w:t>
            </w:r>
          </w:p>
        </w:tc>
        <w:tc>
          <w:tcPr>
            <w:tcW w:w="993" w:type="dxa"/>
            <w:tcBorders>
              <w:top w:val="single" w:color="auto" w:sz="4" w:space="0"/>
              <w:left w:val="nil"/>
              <w:bottom w:val="single" w:color="auto" w:sz="4" w:space="0"/>
              <w:right w:val="single" w:color="auto" w:sz="4" w:space="0"/>
            </w:tcBorders>
            <w:vAlign w:val="center"/>
          </w:tcPr>
          <w:p w14:paraId="4DB73E9C">
            <w:pPr>
              <w:widowControl/>
              <w:jc w:val="center"/>
              <w:rPr>
                <w:rFonts w:ascii="宋体" w:hAnsi="宋体" w:cs="宋体"/>
                <w:kern w:val="0"/>
                <w:sz w:val="24"/>
              </w:rPr>
            </w:pPr>
          </w:p>
        </w:tc>
        <w:tc>
          <w:tcPr>
            <w:tcW w:w="5955" w:type="dxa"/>
            <w:tcBorders>
              <w:top w:val="single" w:color="auto" w:sz="4" w:space="0"/>
              <w:left w:val="nil"/>
              <w:bottom w:val="single" w:color="auto" w:sz="4" w:space="0"/>
              <w:right w:val="single" w:color="auto" w:sz="4" w:space="0"/>
            </w:tcBorders>
            <w:vAlign w:val="center"/>
          </w:tcPr>
          <w:p w14:paraId="461F3768">
            <w:pPr>
              <w:widowControl/>
              <w:rPr>
                <w:rFonts w:ascii="宋体" w:hAnsi="宋体" w:cs="宋体"/>
                <w:kern w:val="0"/>
                <w:sz w:val="24"/>
              </w:rPr>
            </w:pPr>
            <w:r>
              <w:rPr>
                <w:rFonts w:hint="eastAsia" w:ascii="宋体" w:hAnsi="宋体" w:cs="宋体"/>
                <w:kern w:val="0"/>
                <w:sz w:val="24"/>
              </w:rPr>
              <w:t>含现场安装所需壁装支架、电源线和HDMI线缆（长度满足现场实际需要）</w:t>
            </w:r>
          </w:p>
        </w:tc>
        <w:tc>
          <w:tcPr>
            <w:tcW w:w="1103" w:type="dxa"/>
            <w:tcBorders>
              <w:top w:val="single" w:color="auto" w:sz="4" w:space="0"/>
              <w:left w:val="nil"/>
              <w:bottom w:val="single" w:color="auto" w:sz="4" w:space="0"/>
              <w:right w:val="single" w:color="auto" w:sz="4" w:space="0"/>
            </w:tcBorders>
            <w:noWrap/>
            <w:vAlign w:val="center"/>
          </w:tcPr>
          <w:p w14:paraId="2E592C06">
            <w:pPr>
              <w:widowControl/>
              <w:jc w:val="center"/>
              <w:rPr>
                <w:rFonts w:ascii="宋体" w:hAnsi="宋体" w:cs="宋体"/>
                <w:kern w:val="0"/>
                <w:sz w:val="24"/>
              </w:rPr>
            </w:pPr>
            <w:r>
              <w:rPr>
                <w:rFonts w:hint="eastAsia" w:ascii="宋体" w:hAnsi="宋体" w:cs="宋体"/>
                <w:kern w:val="0"/>
                <w:sz w:val="24"/>
              </w:rPr>
              <w:t>否</w:t>
            </w:r>
          </w:p>
        </w:tc>
      </w:tr>
      <w:tr w14:paraId="2C2F4029">
        <w:tblPrEx>
          <w:tblCellMar>
            <w:top w:w="0" w:type="dxa"/>
            <w:left w:w="108" w:type="dxa"/>
            <w:bottom w:w="0" w:type="dxa"/>
            <w:right w:w="108" w:type="dxa"/>
          </w:tblCellMar>
        </w:tblPrEx>
        <w:trPr>
          <w:trHeight w:val="270" w:hRule="atLeast"/>
        </w:trPr>
        <w:tc>
          <w:tcPr>
            <w:tcW w:w="673" w:type="dxa"/>
            <w:tcBorders>
              <w:top w:val="single" w:color="auto" w:sz="4" w:space="0"/>
              <w:left w:val="single" w:color="auto" w:sz="4" w:space="0"/>
              <w:bottom w:val="single" w:color="auto" w:sz="4" w:space="0"/>
              <w:right w:val="single" w:color="auto" w:sz="4" w:space="0"/>
            </w:tcBorders>
            <w:vAlign w:val="center"/>
          </w:tcPr>
          <w:p w14:paraId="78ED319D">
            <w:pPr>
              <w:widowControl/>
              <w:jc w:val="center"/>
              <w:rPr>
                <w:rFonts w:ascii="宋体" w:hAnsi="宋体" w:cs="宋体"/>
                <w:kern w:val="0"/>
                <w:sz w:val="24"/>
              </w:rPr>
            </w:pPr>
            <w:r>
              <w:rPr>
                <w:rFonts w:hint="eastAsia" w:ascii="宋体" w:hAnsi="宋体" w:cs="宋体"/>
                <w:kern w:val="0"/>
                <w:sz w:val="24"/>
              </w:rPr>
              <w:t>8</w:t>
            </w:r>
          </w:p>
        </w:tc>
        <w:tc>
          <w:tcPr>
            <w:tcW w:w="993" w:type="dxa"/>
            <w:tcBorders>
              <w:top w:val="single" w:color="auto" w:sz="4" w:space="0"/>
              <w:left w:val="nil"/>
              <w:bottom w:val="single" w:color="auto" w:sz="4" w:space="0"/>
              <w:right w:val="single" w:color="auto" w:sz="4" w:space="0"/>
            </w:tcBorders>
            <w:vAlign w:val="center"/>
          </w:tcPr>
          <w:p w14:paraId="375AB390">
            <w:pPr>
              <w:widowControl/>
              <w:jc w:val="center"/>
              <w:rPr>
                <w:rFonts w:ascii="宋体" w:hAnsi="宋体" w:cs="宋体"/>
                <w:kern w:val="0"/>
                <w:sz w:val="24"/>
              </w:rPr>
            </w:pPr>
            <w:r>
              <w:rPr>
                <w:rFonts w:hint="eastAsia" w:ascii="宋体" w:hAnsi="宋体" w:cs="宋体"/>
                <w:kern w:val="0"/>
                <w:sz w:val="24"/>
              </w:rPr>
              <w:t>#</w:t>
            </w:r>
          </w:p>
        </w:tc>
        <w:tc>
          <w:tcPr>
            <w:tcW w:w="5955" w:type="dxa"/>
            <w:tcBorders>
              <w:top w:val="single" w:color="auto" w:sz="4" w:space="0"/>
              <w:left w:val="nil"/>
              <w:bottom w:val="single" w:color="auto" w:sz="4" w:space="0"/>
              <w:right w:val="single" w:color="auto" w:sz="4" w:space="0"/>
            </w:tcBorders>
            <w:vAlign w:val="center"/>
          </w:tcPr>
          <w:p w14:paraId="71EE650E">
            <w:pPr>
              <w:widowControl/>
              <w:rPr>
                <w:rFonts w:ascii="宋体" w:hAnsi="宋体" w:cs="宋体"/>
                <w:kern w:val="0"/>
                <w:sz w:val="24"/>
              </w:rPr>
            </w:pPr>
            <w:r>
              <w:rPr>
                <w:rFonts w:hint="eastAsia" w:ascii="宋体" w:hAnsi="宋体" w:cs="宋体"/>
                <w:kern w:val="0"/>
                <w:sz w:val="24"/>
              </w:rPr>
              <w:t>具备能效二级及以上证书</w:t>
            </w:r>
          </w:p>
        </w:tc>
        <w:tc>
          <w:tcPr>
            <w:tcW w:w="1103" w:type="dxa"/>
            <w:tcBorders>
              <w:top w:val="single" w:color="auto" w:sz="4" w:space="0"/>
              <w:left w:val="nil"/>
              <w:bottom w:val="single" w:color="auto" w:sz="4" w:space="0"/>
              <w:right w:val="single" w:color="auto" w:sz="4" w:space="0"/>
            </w:tcBorders>
            <w:noWrap/>
            <w:vAlign w:val="center"/>
          </w:tcPr>
          <w:p w14:paraId="7204053F">
            <w:pPr>
              <w:widowControl/>
              <w:jc w:val="center"/>
              <w:rPr>
                <w:rFonts w:ascii="宋体" w:hAnsi="宋体" w:cs="宋体"/>
                <w:kern w:val="0"/>
                <w:sz w:val="24"/>
              </w:rPr>
            </w:pPr>
            <w:r>
              <w:rPr>
                <w:rFonts w:hint="eastAsia" w:ascii="宋体" w:hAnsi="宋体" w:cs="宋体"/>
                <w:kern w:val="0"/>
                <w:sz w:val="24"/>
              </w:rPr>
              <w:t>是</w:t>
            </w:r>
          </w:p>
        </w:tc>
      </w:tr>
    </w:tbl>
    <w:p w14:paraId="7D4D8E60">
      <w:pPr>
        <w:spacing w:line="360" w:lineRule="auto"/>
        <w:rPr>
          <w:rFonts w:ascii="宋体" w:hAnsi="宋体" w:cs="宋体"/>
          <w:sz w:val="24"/>
        </w:rPr>
      </w:pPr>
    </w:p>
    <w:p w14:paraId="3D7861E4">
      <w:pPr>
        <w:spacing w:line="360" w:lineRule="auto"/>
        <w:ind w:left="420" w:leftChars="200"/>
        <w:outlineLvl w:val="3"/>
        <w:rPr>
          <w:rFonts w:ascii="宋体" w:hAnsi="宋体" w:cs="宋体"/>
          <w:sz w:val="24"/>
        </w:rPr>
      </w:pPr>
      <w:r>
        <w:rPr>
          <w:rFonts w:hint="eastAsia" w:ascii="宋体" w:hAnsi="宋体" w:cs="宋体"/>
          <w:sz w:val="24"/>
        </w:rPr>
        <w:t>2.1.5 60寸显示器</w:t>
      </w:r>
    </w:p>
    <w:tbl>
      <w:tblPr>
        <w:tblStyle w:val="15"/>
        <w:tblW w:w="8724" w:type="dxa"/>
        <w:tblInd w:w="0" w:type="dxa"/>
        <w:tblLayout w:type="fixed"/>
        <w:tblCellMar>
          <w:top w:w="0" w:type="dxa"/>
          <w:left w:w="108" w:type="dxa"/>
          <w:bottom w:w="0" w:type="dxa"/>
          <w:right w:w="108" w:type="dxa"/>
        </w:tblCellMar>
      </w:tblPr>
      <w:tblGrid>
        <w:gridCol w:w="673"/>
        <w:gridCol w:w="993"/>
        <w:gridCol w:w="5955"/>
        <w:gridCol w:w="1103"/>
      </w:tblGrid>
      <w:tr w14:paraId="3AE9076E">
        <w:tblPrEx>
          <w:tblCellMar>
            <w:top w:w="0" w:type="dxa"/>
            <w:left w:w="108" w:type="dxa"/>
            <w:bottom w:w="0" w:type="dxa"/>
            <w:right w:w="108" w:type="dxa"/>
          </w:tblCellMar>
        </w:tblPrEx>
        <w:trPr>
          <w:trHeight w:val="540" w:hRule="atLeast"/>
          <w:tblHeader/>
        </w:trPr>
        <w:tc>
          <w:tcPr>
            <w:tcW w:w="673" w:type="dxa"/>
            <w:tcBorders>
              <w:top w:val="single" w:color="auto" w:sz="4" w:space="0"/>
              <w:left w:val="single" w:color="auto" w:sz="4" w:space="0"/>
              <w:bottom w:val="single" w:color="auto" w:sz="4" w:space="0"/>
              <w:right w:val="single" w:color="auto" w:sz="4" w:space="0"/>
            </w:tcBorders>
            <w:vAlign w:val="center"/>
          </w:tcPr>
          <w:p w14:paraId="62DF8CEB">
            <w:pPr>
              <w:widowControl/>
              <w:jc w:val="center"/>
              <w:rPr>
                <w:rFonts w:ascii="宋体" w:hAnsi="宋体" w:cs="宋体"/>
                <w:b/>
                <w:bCs/>
                <w:kern w:val="0"/>
                <w:sz w:val="24"/>
              </w:rPr>
            </w:pPr>
            <w:r>
              <w:rPr>
                <w:rFonts w:hint="eastAsia" w:ascii="宋体" w:hAnsi="宋体" w:cs="宋体"/>
                <w:b/>
                <w:bCs/>
                <w:kern w:val="0"/>
                <w:sz w:val="24"/>
              </w:rPr>
              <w:t>序号</w:t>
            </w:r>
          </w:p>
        </w:tc>
        <w:tc>
          <w:tcPr>
            <w:tcW w:w="993" w:type="dxa"/>
            <w:tcBorders>
              <w:top w:val="single" w:color="auto" w:sz="4" w:space="0"/>
              <w:left w:val="nil"/>
              <w:bottom w:val="single" w:color="auto" w:sz="4" w:space="0"/>
              <w:right w:val="single" w:color="auto" w:sz="4" w:space="0"/>
            </w:tcBorders>
            <w:vAlign w:val="center"/>
          </w:tcPr>
          <w:p w14:paraId="0209D178">
            <w:pPr>
              <w:widowControl/>
              <w:jc w:val="center"/>
              <w:rPr>
                <w:rFonts w:ascii="宋体" w:hAnsi="宋体" w:cs="宋体"/>
                <w:b/>
                <w:bCs/>
                <w:kern w:val="0"/>
                <w:sz w:val="24"/>
              </w:rPr>
            </w:pPr>
            <w:r>
              <w:rPr>
                <w:rFonts w:hint="eastAsia" w:ascii="宋体" w:hAnsi="宋体" w:cs="宋体"/>
                <w:b/>
                <w:bCs/>
                <w:kern w:val="0"/>
                <w:sz w:val="24"/>
              </w:rPr>
              <w:t>重要性</w:t>
            </w:r>
          </w:p>
        </w:tc>
        <w:tc>
          <w:tcPr>
            <w:tcW w:w="5955" w:type="dxa"/>
            <w:tcBorders>
              <w:top w:val="single" w:color="auto" w:sz="4" w:space="0"/>
              <w:left w:val="nil"/>
              <w:bottom w:val="single" w:color="auto" w:sz="4" w:space="0"/>
              <w:right w:val="single" w:color="auto" w:sz="4" w:space="0"/>
            </w:tcBorders>
            <w:vAlign w:val="center"/>
          </w:tcPr>
          <w:p w14:paraId="06EE1735">
            <w:pPr>
              <w:widowControl/>
              <w:jc w:val="center"/>
              <w:rPr>
                <w:rFonts w:ascii="宋体" w:hAnsi="宋体" w:cs="宋体"/>
                <w:b/>
                <w:bCs/>
                <w:kern w:val="0"/>
                <w:sz w:val="24"/>
              </w:rPr>
            </w:pPr>
            <w:r>
              <w:rPr>
                <w:rFonts w:hint="eastAsia" w:ascii="宋体" w:hAnsi="宋体" w:cs="宋体"/>
                <w:b/>
                <w:bCs/>
                <w:kern w:val="0"/>
                <w:sz w:val="24"/>
              </w:rPr>
              <w:t>具体指标内容</w:t>
            </w:r>
          </w:p>
        </w:tc>
        <w:tc>
          <w:tcPr>
            <w:tcW w:w="1103" w:type="dxa"/>
            <w:tcBorders>
              <w:top w:val="single" w:color="auto" w:sz="4" w:space="0"/>
              <w:left w:val="nil"/>
              <w:bottom w:val="single" w:color="auto" w:sz="4" w:space="0"/>
              <w:right w:val="single" w:color="auto" w:sz="4" w:space="0"/>
            </w:tcBorders>
            <w:vAlign w:val="center"/>
          </w:tcPr>
          <w:p w14:paraId="1B4ABC95">
            <w:pPr>
              <w:widowControl/>
              <w:jc w:val="center"/>
              <w:rPr>
                <w:rFonts w:ascii="宋体" w:hAnsi="宋体" w:cs="宋体"/>
                <w:b/>
                <w:bCs/>
                <w:kern w:val="0"/>
                <w:sz w:val="24"/>
              </w:rPr>
            </w:pPr>
            <w:r>
              <w:rPr>
                <w:rFonts w:hint="eastAsia" w:ascii="宋体" w:hAnsi="宋体" w:cs="宋体"/>
                <w:b/>
                <w:bCs/>
                <w:kern w:val="0"/>
                <w:sz w:val="24"/>
              </w:rPr>
              <w:t>是否需要证明材料</w:t>
            </w:r>
          </w:p>
        </w:tc>
      </w:tr>
      <w:tr w14:paraId="111F7A4D">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6B48879A">
            <w:pPr>
              <w:widowControl/>
              <w:jc w:val="center"/>
              <w:rPr>
                <w:rFonts w:ascii="宋体" w:hAnsi="宋体" w:cs="宋体"/>
                <w:kern w:val="0"/>
                <w:sz w:val="24"/>
              </w:rPr>
            </w:pPr>
            <w:r>
              <w:rPr>
                <w:rFonts w:hint="eastAsia" w:ascii="宋体" w:hAnsi="宋体" w:cs="宋体"/>
                <w:kern w:val="0"/>
                <w:sz w:val="24"/>
              </w:rPr>
              <w:t>1</w:t>
            </w:r>
          </w:p>
        </w:tc>
        <w:tc>
          <w:tcPr>
            <w:tcW w:w="993" w:type="dxa"/>
            <w:tcBorders>
              <w:top w:val="nil"/>
              <w:left w:val="nil"/>
              <w:bottom w:val="single" w:color="auto" w:sz="4" w:space="0"/>
              <w:right w:val="single" w:color="auto" w:sz="4" w:space="0"/>
            </w:tcBorders>
            <w:vAlign w:val="center"/>
          </w:tcPr>
          <w:p w14:paraId="6599B8FE">
            <w:pPr>
              <w:widowControl/>
              <w:jc w:val="center"/>
              <w:rPr>
                <w:rFonts w:ascii="宋体" w:hAnsi="宋体" w:cs="宋体"/>
                <w:kern w:val="0"/>
                <w:sz w:val="24"/>
              </w:rPr>
            </w:pPr>
            <w:r>
              <w:rPr>
                <w:rFonts w:hint="eastAsia" w:ascii="宋体" w:hAnsi="宋体" w:cs="宋体"/>
                <w:kern w:val="0"/>
                <w:sz w:val="24"/>
              </w:rPr>
              <w:t>#</w:t>
            </w:r>
          </w:p>
        </w:tc>
        <w:tc>
          <w:tcPr>
            <w:tcW w:w="5955" w:type="dxa"/>
            <w:tcBorders>
              <w:top w:val="nil"/>
              <w:left w:val="nil"/>
              <w:bottom w:val="single" w:color="auto" w:sz="4" w:space="0"/>
              <w:right w:val="single" w:color="auto" w:sz="4" w:space="0"/>
            </w:tcBorders>
            <w:vAlign w:val="center"/>
          </w:tcPr>
          <w:p w14:paraId="41F48E9B">
            <w:pPr>
              <w:widowControl/>
              <w:rPr>
                <w:rFonts w:ascii="宋体" w:hAnsi="宋体" w:cs="宋体"/>
                <w:kern w:val="0"/>
                <w:sz w:val="24"/>
              </w:rPr>
            </w:pPr>
            <w:r>
              <w:rPr>
                <w:rFonts w:hint="eastAsia" w:ascii="宋体" w:hAnsi="宋体" w:cs="宋体"/>
                <w:kern w:val="0"/>
                <w:sz w:val="24"/>
              </w:rPr>
              <w:t>屏幕尺寸：≥60英寸。</w:t>
            </w:r>
            <w:r>
              <w:rPr>
                <w:rFonts w:hint="eastAsia" w:asciiTheme="minorEastAsia" w:hAnsiTheme="minorEastAsia" w:cstheme="minorEastAsia"/>
                <w:sz w:val="24"/>
              </w:rPr>
              <w:t>（需提供</w:t>
            </w:r>
            <w:r>
              <w:rPr>
                <w:rFonts w:hint="eastAsia" w:asciiTheme="minorEastAsia" w:hAnsiTheme="minorEastAsia" w:eastAsiaTheme="minorEastAsia" w:cstheme="minorEastAsia"/>
                <w:sz w:val="24"/>
              </w:rPr>
              <w:t>生产厂家产品规格书或生产厂家官方网站截图</w:t>
            </w:r>
            <w:r>
              <w:rPr>
                <w:rFonts w:hint="eastAsia" w:asciiTheme="minorEastAsia" w:hAnsiTheme="minorEastAsia" w:cstheme="minorEastAsia"/>
                <w:sz w:val="24"/>
              </w:rPr>
              <w:t>）</w:t>
            </w:r>
          </w:p>
        </w:tc>
        <w:tc>
          <w:tcPr>
            <w:tcW w:w="1103" w:type="dxa"/>
            <w:tcBorders>
              <w:top w:val="nil"/>
              <w:left w:val="nil"/>
              <w:bottom w:val="single" w:color="auto" w:sz="4" w:space="0"/>
              <w:right w:val="single" w:color="auto" w:sz="4" w:space="0"/>
            </w:tcBorders>
            <w:noWrap/>
            <w:vAlign w:val="center"/>
          </w:tcPr>
          <w:p w14:paraId="3E86A896">
            <w:pPr>
              <w:widowControl/>
              <w:jc w:val="center"/>
              <w:rPr>
                <w:rFonts w:ascii="宋体" w:hAnsi="宋体" w:cs="宋体"/>
                <w:kern w:val="0"/>
                <w:sz w:val="24"/>
              </w:rPr>
            </w:pPr>
            <w:r>
              <w:rPr>
                <w:rFonts w:hint="eastAsia" w:ascii="宋体" w:hAnsi="宋体" w:cs="宋体"/>
                <w:kern w:val="0"/>
                <w:sz w:val="24"/>
              </w:rPr>
              <w:t>是</w:t>
            </w:r>
          </w:p>
        </w:tc>
      </w:tr>
      <w:tr w14:paraId="1E0261EF">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17AAC4AF">
            <w:pPr>
              <w:widowControl/>
              <w:jc w:val="center"/>
              <w:rPr>
                <w:rFonts w:ascii="宋体" w:hAnsi="宋体" w:cs="宋体"/>
                <w:kern w:val="0"/>
                <w:sz w:val="24"/>
              </w:rPr>
            </w:pPr>
            <w:r>
              <w:rPr>
                <w:rFonts w:hint="eastAsia" w:ascii="宋体" w:hAnsi="宋体" w:cs="宋体"/>
                <w:kern w:val="0"/>
                <w:sz w:val="24"/>
              </w:rPr>
              <w:t>2</w:t>
            </w:r>
          </w:p>
        </w:tc>
        <w:tc>
          <w:tcPr>
            <w:tcW w:w="993" w:type="dxa"/>
            <w:tcBorders>
              <w:top w:val="nil"/>
              <w:left w:val="nil"/>
              <w:bottom w:val="single" w:color="auto" w:sz="4" w:space="0"/>
              <w:right w:val="single" w:color="auto" w:sz="4" w:space="0"/>
            </w:tcBorders>
            <w:vAlign w:val="center"/>
          </w:tcPr>
          <w:p w14:paraId="7330C603">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73F927EB">
            <w:pPr>
              <w:widowControl/>
              <w:rPr>
                <w:rFonts w:ascii="宋体" w:hAnsi="宋体" w:cs="宋体"/>
                <w:kern w:val="0"/>
                <w:sz w:val="24"/>
              </w:rPr>
            </w:pPr>
            <w:r>
              <w:rPr>
                <w:rFonts w:hint="eastAsia" w:ascii="宋体" w:hAnsi="宋体" w:cs="宋体"/>
                <w:kern w:val="0"/>
                <w:sz w:val="24"/>
              </w:rPr>
              <w:t>分辨率：≥3840×2160像素</w:t>
            </w:r>
          </w:p>
        </w:tc>
        <w:tc>
          <w:tcPr>
            <w:tcW w:w="1103" w:type="dxa"/>
            <w:tcBorders>
              <w:top w:val="nil"/>
              <w:left w:val="nil"/>
              <w:bottom w:val="single" w:color="auto" w:sz="4" w:space="0"/>
              <w:right w:val="single" w:color="auto" w:sz="4" w:space="0"/>
            </w:tcBorders>
            <w:noWrap/>
            <w:vAlign w:val="center"/>
          </w:tcPr>
          <w:p w14:paraId="1CC0096D">
            <w:pPr>
              <w:widowControl/>
              <w:jc w:val="center"/>
              <w:rPr>
                <w:rFonts w:ascii="宋体" w:hAnsi="宋体" w:cs="宋体"/>
                <w:kern w:val="0"/>
                <w:sz w:val="24"/>
              </w:rPr>
            </w:pPr>
            <w:r>
              <w:rPr>
                <w:rFonts w:hint="eastAsia" w:ascii="宋体" w:hAnsi="宋体" w:cs="宋体"/>
                <w:kern w:val="0"/>
                <w:sz w:val="24"/>
              </w:rPr>
              <w:t>否</w:t>
            </w:r>
          </w:p>
        </w:tc>
      </w:tr>
      <w:tr w14:paraId="5BF74A6A">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200EF5C9">
            <w:pPr>
              <w:widowControl/>
              <w:jc w:val="center"/>
              <w:rPr>
                <w:rFonts w:ascii="宋体" w:hAnsi="宋体" w:cs="宋体"/>
                <w:kern w:val="0"/>
                <w:sz w:val="24"/>
              </w:rPr>
            </w:pPr>
            <w:r>
              <w:rPr>
                <w:rFonts w:hint="eastAsia" w:ascii="宋体" w:hAnsi="宋体" w:cs="宋体"/>
                <w:kern w:val="0"/>
                <w:sz w:val="24"/>
              </w:rPr>
              <w:t>3</w:t>
            </w:r>
          </w:p>
        </w:tc>
        <w:tc>
          <w:tcPr>
            <w:tcW w:w="993" w:type="dxa"/>
            <w:tcBorders>
              <w:top w:val="nil"/>
              <w:left w:val="nil"/>
              <w:bottom w:val="single" w:color="auto" w:sz="4" w:space="0"/>
              <w:right w:val="single" w:color="auto" w:sz="4" w:space="0"/>
            </w:tcBorders>
            <w:vAlign w:val="center"/>
          </w:tcPr>
          <w:p w14:paraId="322BEA3C">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6FD28A47">
            <w:pPr>
              <w:widowControl/>
              <w:rPr>
                <w:rFonts w:ascii="宋体" w:hAnsi="宋体" w:cs="宋体"/>
                <w:kern w:val="0"/>
                <w:sz w:val="24"/>
              </w:rPr>
            </w:pPr>
            <w:r>
              <w:rPr>
                <w:rFonts w:hint="eastAsia" w:ascii="宋体" w:hAnsi="宋体" w:cs="宋体"/>
                <w:kern w:val="0"/>
                <w:sz w:val="24"/>
              </w:rPr>
              <w:t>对比度：≥1200：1</w:t>
            </w:r>
          </w:p>
        </w:tc>
        <w:tc>
          <w:tcPr>
            <w:tcW w:w="1103" w:type="dxa"/>
            <w:tcBorders>
              <w:top w:val="nil"/>
              <w:left w:val="nil"/>
              <w:bottom w:val="single" w:color="auto" w:sz="4" w:space="0"/>
              <w:right w:val="single" w:color="auto" w:sz="4" w:space="0"/>
            </w:tcBorders>
            <w:noWrap/>
            <w:vAlign w:val="center"/>
          </w:tcPr>
          <w:p w14:paraId="5FB444E8">
            <w:pPr>
              <w:widowControl/>
              <w:jc w:val="center"/>
              <w:rPr>
                <w:rFonts w:ascii="宋体" w:hAnsi="宋体" w:cs="宋体"/>
                <w:kern w:val="0"/>
                <w:sz w:val="24"/>
              </w:rPr>
            </w:pPr>
            <w:r>
              <w:rPr>
                <w:rFonts w:hint="eastAsia" w:ascii="宋体" w:hAnsi="宋体" w:cs="宋体"/>
                <w:kern w:val="0"/>
                <w:sz w:val="24"/>
              </w:rPr>
              <w:t>否</w:t>
            </w:r>
          </w:p>
        </w:tc>
      </w:tr>
      <w:tr w14:paraId="6E1002C8">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4E59DC2C">
            <w:pPr>
              <w:widowControl/>
              <w:jc w:val="center"/>
              <w:rPr>
                <w:rFonts w:ascii="宋体" w:hAnsi="宋体" w:cs="宋体"/>
                <w:kern w:val="0"/>
                <w:sz w:val="24"/>
              </w:rPr>
            </w:pPr>
            <w:r>
              <w:rPr>
                <w:rFonts w:hint="eastAsia" w:ascii="宋体" w:hAnsi="宋体" w:cs="宋体"/>
                <w:kern w:val="0"/>
                <w:sz w:val="24"/>
              </w:rPr>
              <w:t>4</w:t>
            </w:r>
          </w:p>
        </w:tc>
        <w:tc>
          <w:tcPr>
            <w:tcW w:w="993" w:type="dxa"/>
            <w:tcBorders>
              <w:top w:val="nil"/>
              <w:left w:val="nil"/>
              <w:bottom w:val="single" w:color="auto" w:sz="4" w:space="0"/>
              <w:right w:val="single" w:color="auto" w:sz="4" w:space="0"/>
            </w:tcBorders>
            <w:vAlign w:val="center"/>
          </w:tcPr>
          <w:p w14:paraId="0617DA93">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2E8F123B">
            <w:pPr>
              <w:widowControl/>
              <w:rPr>
                <w:rFonts w:ascii="宋体" w:hAnsi="宋体" w:cs="宋体"/>
                <w:kern w:val="0"/>
                <w:sz w:val="24"/>
              </w:rPr>
            </w:pPr>
            <w:r>
              <w:rPr>
                <w:rFonts w:hint="eastAsia" w:ascii="宋体" w:hAnsi="宋体" w:cs="宋体"/>
                <w:kern w:val="0"/>
                <w:sz w:val="24"/>
              </w:rPr>
              <w:t>动态响应：≤8ms</w:t>
            </w:r>
          </w:p>
        </w:tc>
        <w:tc>
          <w:tcPr>
            <w:tcW w:w="1103" w:type="dxa"/>
            <w:tcBorders>
              <w:top w:val="nil"/>
              <w:left w:val="nil"/>
              <w:bottom w:val="single" w:color="auto" w:sz="4" w:space="0"/>
              <w:right w:val="single" w:color="auto" w:sz="4" w:space="0"/>
            </w:tcBorders>
            <w:noWrap/>
            <w:vAlign w:val="center"/>
          </w:tcPr>
          <w:p w14:paraId="52E78A70">
            <w:pPr>
              <w:widowControl/>
              <w:jc w:val="center"/>
              <w:rPr>
                <w:rFonts w:ascii="宋体" w:hAnsi="宋体" w:cs="宋体"/>
                <w:kern w:val="0"/>
                <w:sz w:val="24"/>
              </w:rPr>
            </w:pPr>
            <w:r>
              <w:rPr>
                <w:rFonts w:hint="eastAsia" w:ascii="宋体" w:hAnsi="宋体" w:cs="宋体"/>
                <w:kern w:val="0"/>
                <w:sz w:val="24"/>
              </w:rPr>
              <w:t>否</w:t>
            </w:r>
          </w:p>
        </w:tc>
      </w:tr>
      <w:tr w14:paraId="171BCAC5">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1F9ECB04">
            <w:pPr>
              <w:widowControl/>
              <w:jc w:val="center"/>
              <w:rPr>
                <w:rFonts w:ascii="宋体" w:hAnsi="宋体" w:cs="宋体"/>
                <w:kern w:val="0"/>
                <w:sz w:val="24"/>
              </w:rPr>
            </w:pPr>
            <w:r>
              <w:rPr>
                <w:rFonts w:hint="eastAsia" w:ascii="宋体" w:hAnsi="宋体" w:cs="宋体"/>
                <w:kern w:val="0"/>
                <w:sz w:val="24"/>
              </w:rPr>
              <w:t>5</w:t>
            </w:r>
          </w:p>
        </w:tc>
        <w:tc>
          <w:tcPr>
            <w:tcW w:w="993" w:type="dxa"/>
            <w:tcBorders>
              <w:top w:val="nil"/>
              <w:left w:val="nil"/>
              <w:bottom w:val="single" w:color="auto" w:sz="4" w:space="0"/>
              <w:right w:val="single" w:color="auto" w:sz="4" w:space="0"/>
            </w:tcBorders>
            <w:vAlign w:val="center"/>
          </w:tcPr>
          <w:p w14:paraId="5CF02FB3">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444174C2">
            <w:pPr>
              <w:widowControl/>
              <w:rPr>
                <w:rFonts w:ascii="宋体" w:hAnsi="宋体" w:cs="宋体"/>
                <w:kern w:val="0"/>
                <w:sz w:val="24"/>
              </w:rPr>
            </w:pPr>
            <w:r>
              <w:rPr>
                <w:rFonts w:hint="eastAsia" w:ascii="宋体" w:hAnsi="宋体" w:cs="宋体"/>
                <w:kern w:val="0"/>
                <w:sz w:val="24"/>
              </w:rPr>
              <w:t>国产处理器：主频≥1.8GHz、核心数≥4核</w:t>
            </w:r>
          </w:p>
        </w:tc>
        <w:tc>
          <w:tcPr>
            <w:tcW w:w="1103" w:type="dxa"/>
            <w:tcBorders>
              <w:top w:val="nil"/>
              <w:left w:val="nil"/>
              <w:bottom w:val="single" w:color="auto" w:sz="4" w:space="0"/>
              <w:right w:val="single" w:color="auto" w:sz="4" w:space="0"/>
            </w:tcBorders>
            <w:noWrap/>
            <w:vAlign w:val="center"/>
          </w:tcPr>
          <w:p w14:paraId="66EF43BD">
            <w:pPr>
              <w:widowControl/>
              <w:jc w:val="center"/>
              <w:rPr>
                <w:rFonts w:ascii="宋体" w:hAnsi="宋体" w:cs="宋体"/>
                <w:kern w:val="0"/>
                <w:sz w:val="24"/>
              </w:rPr>
            </w:pPr>
            <w:r>
              <w:rPr>
                <w:rFonts w:hint="eastAsia" w:ascii="宋体" w:hAnsi="宋体" w:cs="宋体"/>
                <w:kern w:val="0"/>
                <w:sz w:val="24"/>
              </w:rPr>
              <w:t>否</w:t>
            </w:r>
          </w:p>
        </w:tc>
      </w:tr>
      <w:tr w14:paraId="1ECC4FA7">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282C0D6D">
            <w:pPr>
              <w:widowControl/>
              <w:jc w:val="center"/>
              <w:rPr>
                <w:rFonts w:ascii="宋体" w:hAnsi="宋体" w:cs="宋体"/>
                <w:kern w:val="0"/>
                <w:sz w:val="24"/>
              </w:rPr>
            </w:pPr>
            <w:r>
              <w:rPr>
                <w:rFonts w:hint="eastAsia" w:ascii="宋体" w:hAnsi="宋体" w:cs="宋体"/>
                <w:kern w:val="0"/>
                <w:sz w:val="24"/>
              </w:rPr>
              <w:t>6</w:t>
            </w:r>
          </w:p>
        </w:tc>
        <w:tc>
          <w:tcPr>
            <w:tcW w:w="993" w:type="dxa"/>
            <w:tcBorders>
              <w:top w:val="nil"/>
              <w:left w:val="nil"/>
              <w:bottom w:val="single" w:color="auto" w:sz="4" w:space="0"/>
              <w:right w:val="single" w:color="auto" w:sz="4" w:space="0"/>
            </w:tcBorders>
            <w:vAlign w:val="center"/>
          </w:tcPr>
          <w:p w14:paraId="7F037B51">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386FD32C">
            <w:pPr>
              <w:widowControl/>
              <w:rPr>
                <w:rFonts w:ascii="宋体" w:hAnsi="宋体" w:cs="宋体"/>
                <w:kern w:val="0"/>
                <w:sz w:val="24"/>
              </w:rPr>
            </w:pPr>
            <w:r>
              <w:rPr>
                <w:rFonts w:hint="eastAsia" w:ascii="宋体" w:hAnsi="宋体" w:cs="宋体"/>
                <w:kern w:val="0"/>
                <w:sz w:val="24"/>
              </w:rPr>
              <w:t>内存：≥2G；存储：≥32GB</w:t>
            </w:r>
          </w:p>
        </w:tc>
        <w:tc>
          <w:tcPr>
            <w:tcW w:w="1103" w:type="dxa"/>
            <w:tcBorders>
              <w:top w:val="nil"/>
              <w:left w:val="nil"/>
              <w:bottom w:val="single" w:color="auto" w:sz="4" w:space="0"/>
              <w:right w:val="single" w:color="auto" w:sz="4" w:space="0"/>
            </w:tcBorders>
            <w:noWrap/>
            <w:vAlign w:val="center"/>
          </w:tcPr>
          <w:p w14:paraId="76D5472B">
            <w:pPr>
              <w:widowControl/>
              <w:jc w:val="center"/>
              <w:rPr>
                <w:rFonts w:ascii="宋体" w:hAnsi="宋体" w:cs="宋体"/>
                <w:kern w:val="0"/>
                <w:sz w:val="24"/>
              </w:rPr>
            </w:pPr>
            <w:r>
              <w:rPr>
                <w:rFonts w:hint="eastAsia" w:ascii="宋体" w:hAnsi="宋体" w:cs="宋体"/>
                <w:kern w:val="0"/>
                <w:sz w:val="24"/>
              </w:rPr>
              <w:t>否</w:t>
            </w:r>
          </w:p>
        </w:tc>
      </w:tr>
      <w:tr w14:paraId="1F5764B0">
        <w:tblPrEx>
          <w:tblCellMar>
            <w:top w:w="0" w:type="dxa"/>
            <w:left w:w="108" w:type="dxa"/>
            <w:bottom w:w="0" w:type="dxa"/>
            <w:right w:w="108" w:type="dxa"/>
          </w:tblCellMar>
        </w:tblPrEx>
        <w:trPr>
          <w:trHeight w:val="270" w:hRule="atLeast"/>
        </w:trPr>
        <w:tc>
          <w:tcPr>
            <w:tcW w:w="673" w:type="dxa"/>
            <w:tcBorders>
              <w:top w:val="single" w:color="auto" w:sz="4" w:space="0"/>
              <w:left w:val="single" w:color="auto" w:sz="4" w:space="0"/>
              <w:bottom w:val="single" w:color="auto" w:sz="4" w:space="0"/>
              <w:right w:val="single" w:color="auto" w:sz="4" w:space="0"/>
            </w:tcBorders>
            <w:vAlign w:val="center"/>
          </w:tcPr>
          <w:p w14:paraId="741C0A4F">
            <w:pPr>
              <w:widowControl/>
              <w:jc w:val="center"/>
              <w:rPr>
                <w:rFonts w:ascii="宋体" w:hAnsi="宋体" w:cs="宋体"/>
                <w:kern w:val="0"/>
                <w:sz w:val="24"/>
              </w:rPr>
            </w:pPr>
            <w:r>
              <w:rPr>
                <w:rFonts w:hint="eastAsia" w:ascii="宋体" w:hAnsi="宋体" w:cs="宋体"/>
                <w:kern w:val="0"/>
                <w:sz w:val="24"/>
              </w:rPr>
              <w:t>7</w:t>
            </w:r>
          </w:p>
        </w:tc>
        <w:tc>
          <w:tcPr>
            <w:tcW w:w="993" w:type="dxa"/>
            <w:tcBorders>
              <w:top w:val="single" w:color="auto" w:sz="4" w:space="0"/>
              <w:left w:val="nil"/>
              <w:bottom w:val="single" w:color="auto" w:sz="4" w:space="0"/>
              <w:right w:val="single" w:color="auto" w:sz="4" w:space="0"/>
            </w:tcBorders>
            <w:vAlign w:val="center"/>
          </w:tcPr>
          <w:p w14:paraId="1C97D4D9">
            <w:pPr>
              <w:widowControl/>
              <w:jc w:val="center"/>
              <w:rPr>
                <w:rFonts w:ascii="宋体" w:hAnsi="宋体" w:cs="宋体"/>
                <w:kern w:val="0"/>
                <w:sz w:val="24"/>
              </w:rPr>
            </w:pPr>
          </w:p>
        </w:tc>
        <w:tc>
          <w:tcPr>
            <w:tcW w:w="5955" w:type="dxa"/>
            <w:tcBorders>
              <w:top w:val="single" w:color="auto" w:sz="4" w:space="0"/>
              <w:left w:val="nil"/>
              <w:bottom w:val="single" w:color="auto" w:sz="4" w:space="0"/>
              <w:right w:val="single" w:color="auto" w:sz="4" w:space="0"/>
            </w:tcBorders>
            <w:vAlign w:val="center"/>
          </w:tcPr>
          <w:p w14:paraId="7D0AC12D">
            <w:pPr>
              <w:widowControl/>
              <w:rPr>
                <w:rFonts w:ascii="宋体" w:hAnsi="宋体" w:cs="宋体"/>
                <w:kern w:val="0"/>
                <w:sz w:val="24"/>
              </w:rPr>
            </w:pPr>
            <w:r>
              <w:rPr>
                <w:rFonts w:hint="eastAsia" w:ascii="宋体" w:hAnsi="宋体" w:cs="宋体"/>
                <w:kern w:val="0"/>
                <w:sz w:val="24"/>
              </w:rPr>
              <w:t>含报告厅使用所需移动支架、电源线和HDMI线缆（长度满足现场实际需要）</w:t>
            </w:r>
          </w:p>
        </w:tc>
        <w:tc>
          <w:tcPr>
            <w:tcW w:w="1103" w:type="dxa"/>
            <w:tcBorders>
              <w:top w:val="single" w:color="auto" w:sz="4" w:space="0"/>
              <w:left w:val="nil"/>
              <w:bottom w:val="single" w:color="auto" w:sz="4" w:space="0"/>
              <w:right w:val="single" w:color="auto" w:sz="4" w:space="0"/>
            </w:tcBorders>
            <w:noWrap/>
            <w:vAlign w:val="center"/>
          </w:tcPr>
          <w:p w14:paraId="72E2D14E">
            <w:pPr>
              <w:widowControl/>
              <w:jc w:val="center"/>
              <w:rPr>
                <w:rFonts w:ascii="宋体" w:hAnsi="宋体" w:cs="宋体"/>
                <w:kern w:val="0"/>
                <w:sz w:val="24"/>
              </w:rPr>
            </w:pPr>
            <w:r>
              <w:rPr>
                <w:rFonts w:hint="eastAsia" w:ascii="宋体" w:hAnsi="宋体" w:cs="宋体"/>
                <w:kern w:val="0"/>
                <w:sz w:val="24"/>
              </w:rPr>
              <w:t>否</w:t>
            </w:r>
          </w:p>
        </w:tc>
      </w:tr>
      <w:tr w14:paraId="4F829D06">
        <w:tblPrEx>
          <w:tblCellMar>
            <w:top w:w="0" w:type="dxa"/>
            <w:left w:w="108" w:type="dxa"/>
            <w:bottom w:w="0" w:type="dxa"/>
            <w:right w:w="108" w:type="dxa"/>
          </w:tblCellMar>
        </w:tblPrEx>
        <w:trPr>
          <w:trHeight w:val="270" w:hRule="atLeast"/>
        </w:trPr>
        <w:tc>
          <w:tcPr>
            <w:tcW w:w="673" w:type="dxa"/>
            <w:tcBorders>
              <w:top w:val="single" w:color="auto" w:sz="4" w:space="0"/>
              <w:left w:val="single" w:color="auto" w:sz="4" w:space="0"/>
              <w:bottom w:val="single" w:color="auto" w:sz="4" w:space="0"/>
              <w:right w:val="single" w:color="auto" w:sz="4" w:space="0"/>
            </w:tcBorders>
            <w:vAlign w:val="center"/>
          </w:tcPr>
          <w:p w14:paraId="5E9D68B5">
            <w:pPr>
              <w:widowControl/>
              <w:jc w:val="center"/>
              <w:rPr>
                <w:rFonts w:ascii="宋体" w:hAnsi="宋体" w:cs="宋体"/>
                <w:kern w:val="0"/>
                <w:sz w:val="24"/>
              </w:rPr>
            </w:pPr>
            <w:r>
              <w:rPr>
                <w:rFonts w:hint="eastAsia" w:ascii="宋体" w:hAnsi="宋体" w:cs="宋体"/>
                <w:kern w:val="0"/>
                <w:sz w:val="24"/>
              </w:rPr>
              <w:t>8</w:t>
            </w:r>
          </w:p>
        </w:tc>
        <w:tc>
          <w:tcPr>
            <w:tcW w:w="993" w:type="dxa"/>
            <w:tcBorders>
              <w:top w:val="single" w:color="auto" w:sz="4" w:space="0"/>
              <w:left w:val="nil"/>
              <w:bottom w:val="single" w:color="auto" w:sz="4" w:space="0"/>
              <w:right w:val="single" w:color="auto" w:sz="4" w:space="0"/>
            </w:tcBorders>
            <w:vAlign w:val="center"/>
          </w:tcPr>
          <w:p w14:paraId="4CE9517A">
            <w:pPr>
              <w:widowControl/>
              <w:jc w:val="center"/>
              <w:rPr>
                <w:rFonts w:ascii="宋体" w:hAnsi="宋体" w:cs="宋体"/>
                <w:kern w:val="0"/>
                <w:sz w:val="24"/>
              </w:rPr>
            </w:pPr>
            <w:r>
              <w:rPr>
                <w:rFonts w:hint="eastAsia" w:ascii="宋体" w:hAnsi="宋体" w:cs="宋体"/>
                <w:kern w:val="0"/>
                <w:sz w:val="24"/>
              </w:rPr>
              <w:t>#</w:t>
            </w:r>
          </w:p>
        </w:tc>
        <w:tc>
          <w:tcPr>
            <w:tcW w:w="5955" w:type="dxa"/>
            <w:tcBorders>
              <w:top w:val="single" w:color="auto" w:sz="4" w:space="0"/>
              <w:left w:val="nil"/>
              <w:bottom w:val="single" w:color="auto" w:sz="4" w:space="0"/>
              <w:right w:val="single" w:color="auto" w:sz="4" w:space="0"/>
            </w:tcBorders>
            <w:vAlign w:val="center"/>
          </w:tcPr>
          <w:p w14:paraId="359C19DB">
            <w:pPr>
              <w:widowControl/>
              <w:rPr>
                <w:rFonts w:ascii="宋体" w:hAnsi="宋体" w:cs="宋体"/>
                <w:kern w:val="0"/>
                <w:sz w:val="24"/>
              </w:rPr>
            </w:pPr>
            <w:r>
              <w:rPr>
                <w:rFonts w:hint="eastAsia" w:ascii="宋体" w:hAnsi="宋体" w:cs="宋体"/>
                <w:kern w:val="0"/>
                <w:sz w:val="24"/>
              </w:rPr>
              <w:t>具备能效二级及以上证书</w:t>
            </w:r>
          </w:p>
        </w:tc>
        <w:tc>
          <w:tcPr>
            <w:tcW w:w="1103" w:type="dxa"/>
            <w:tcBorders>
              <w:top w:val="single" w:color="auto" w:sz="4" w:space="0"/>
              <w:left w:val="nil"/>
              <w:bottom w:val="single" w:color="auto" w:sz="4" w:space="0"/>
              <w:right w:val="single" w:color="auto" w:sz="4" w:space="0"/>
            </w:tcBorders>
            <w:noWrap/>
            <w:vAlign w:val="center"/>
          </w:tcPr>
          <w:p w14:paraId="39F6E0D4">
            <w:pPr>
              <w:widowControl/>
              <w:jc w:val="center"/>
              <w:rPr>
                <w:rFonts w:ascii="宋体" w:hAnsi="宋体" w:cs="宋体"/>
                <w:kern w:val="0"/>
                <w:sz w:val="24"/>
              </w:rPr>
            </w:pPr>
            <w:r>
              <w:rPr>
                <w:rFonts w:hint="eastAsia" w:ascii="宋体" w:hAnsi="宋体" w:cs="宋体"/>
                <w:kern w:val="0"/>
                <w:sz w:val="24"/>
              </w:rPr>
              <w:t>是</w:t>
            </w:r>
          </w:p>
        </w:tc>
      </w:tr>
    </w:tbl>
    <w:p w14:paraId="36D82D1D">
      <w:pPr>
        <w:spacing w:line="360" w:lineRule="auto"/>
        <w:rPr>
          <w:rFonts w:ascii="宋体" w:hAnsi="宋体" w:cs="宋体"/>
          <w:sz w:val="24"/>
        </w:rPr>
      </w:pPr>
    </w:p>
    <w:p w14:paraId="3BC5E4CE">
      <w:pPr>
        <w:spacing w:line="360" w:lineRule="auto"/>
        <w:ind w:left="420" w:leftChars="200"/>
        <w:outlineLvl w:val="3"/>
        <w:rPr>
          <w:rFonts w:ascii="宋体" w:hAnsi="宋体" w:cs="宋体"/>
          <w:sz w:val="24"/>
        </w:rPr>
      </w:pPr>
      <w:r>
        <w:rPr>
          <w:rFonts w:hint="eastAsia" w:ascii="宋体" w:hAnsi="宋体" w:cs="宋体"/>
          <w:sz w:val="24"/>
        </w:rPr>
        <w:t>2.1.6 98寸显示器</w:t>
      </w:r>
    </w:p>
    <w:tbl>
      <w:tblPr>
        <w:tblStyle w:val="15"/>
        <w:tblW w:w="8724" w:type="dxa"/>
        <w:tblInd w:w="0" w:type="dxa"/>
        <w:tblLayout w:type="fixed"/>
        <w:tblCellMar>
          <w:top w:w="0" w:type="dxa"/>
          <w:left w:w="108" w:type="dxa"/>
          <w:bottom w:w="0" w:type="dxa"/>
          <w:right w:w="108" w:type="dxa"/>
        </w:tblCellMar>
      </w:tblPr>
      <w:tblGrid>
        <w:gridCol w:w="673"/>
        <w:gridCol w:w="993"/>
        <w:gridCol w:w="5955"/>
        <w:gridCol w:w="1103"/>
      </w:tblGrid>
      <w:tr w14:paraId="7020430C">
        <w:tblPrEx>
          <w:tblCellMar>
            <w:top w:w="0" w:type="dxa"/>
            <w:left w:w="108" w:type="dxa"/>
            <w:bottom w:w="0" w:type="dxa"/>
            <w:right w:w="108" w:type="dxa"/>
          </w:tblCellMar>
        </w:tblPrEx>
        <w:trPr>
          <w:trHeight w:val="540" w:hRule="atLeast"/>
          <w:tblHeader/>
        </w:trPr>
        <w:tc>
          <w:tcPr>
            <w:tcW w:w="673" w:type="dxa"/>
            <w:tcBorders>
              <w:top w:val="single" w:color="auto" w:sz="4" w:space="0"/>
              <w:left w:val="single" w:color="auto" w:sz="4" w:space="0"/>
              <w:bottom w:val="single" w:color="auto" w:sz="4" w:space="0"/>
              <w:right w:val="single" w:color="auto" w:sz="4" w:space="0"/>
            </w:tcBorders>
            <w:vAlign w:val="center"/>
          </w:tcPr>
          <w:p w14:paraId="6E063307">
            <w:pPr>
              <w:widowControl/>
              <w:jc w:val="center"/>
              <w:rPr>
                <w:rFonts w:ascii="宋体" w:hAnsi="宋体" w:cs="宋体"/>
                <w:b/>
                <w:bCs/>
                <w:kern w:val="0"/>
                <w:sz w:val="24"/>
              </w:rPr>
            </w:pPr>
            <w:r>
              <w:rPr>
                <w:rFonts w:hint="eastAsia" w:ascii="宋体" w:hAnsi="宋体" w:cs="宋体"/>
                <w:b/>
                <w:bCs/>
                <w:kern w:val="0"/>
                <w:sz w:val="24"/>
              </w:rPr>
              <w:t>序号</w:t>
            </w:r>
          </w:p>
        </w:tc>
        <w:tc>
          <w:tcPr>
            <w:tcW w:w="993" w:type="dxa"/>
            <w:tcBorders>
              <w:top w:val="single" w:color="auto" w:sz="4" w:space="0"/>
              <w:left w:val="nil"/>
              <w:bottom w:val="single" w:color="auto" w:sz="4" w:space="0"/>
              <w:right w:val="single" w:color="auto" w:sz="4" w:space="0"/>
            </w:tcBorders>
            <w:vAlign w:val="center"/>
          </w:tcPr>
          <w:p w14:paraId="76B57646">
            <w:pPr>
              <w:widowControl/>
              <w:jc w:val="center"/>
              <w:rPr>
                <w:rFonts w:ascii="宋体" w:hAnsi="宋体" w:cs="宋体"/>
                <w:b/>
                <w:bCs/>
                <w:kern w:val="0"/>
                <w:sz w:val="24"/>
              </w:rPr>
            </w:pPr>
            <w:r>
              <w:rPr>
                <w:rFonts w:hint="eastAsia" w:ascii="宋体" w:hAnsi="宋体" w:cs="宋体"/>
                <w:b/>
                <w:bCs/>
                <w:kern w:val="0"/>
                <w:sz w:val="24"/>
              </w:rPr>
              <w:t>重要性</w:t>
            </w:r>
          </w:p>
        </w:tc>
        <w:tc>
          <w:tcPr>
            <w:tcW w:w="5955" w:type="dxa"/>
            <w:tcBorders>
              <w:top w:val="single" w:color="auto" w:sz="4" w:space="0"/>
              <w:left w:val="nil"/>
              <w:bottom w:val="single" w:color="auto" w:sz="4" w:space="0"/>
              <w:right w:val="single" w:color="auto" w:sz="4" w:space="0"/>
            </w:tcBorders>
            <w:vAlign w:val="center"/>
          </w:tcPr>
          <w:p w14:paraId="4AB21894">
            <w:pPr>
              <w:widowControl/>
              <w:jc w:val="center"/>
              <w:rPr>
                <w:rFonts w:ascii="宋体" w:hAnsi="宋体" w:cs="宋体"/>
                <w:b/>
                <w:bCs/>
                <w:kern w:val="0"/>
                <w:sz w:val="24"/>
              </w:rPr>
            </w:pPr>
            <w:r>
              <w:rPr>
                <w:rFonts w:hint="eastAsia" w:ascii="宋体" w:hAnsi="宋体" w:cs="宋体"/>
                <w:b/>
                <w:bCs/>
                <w:kern w:val="0"/>
                <w:sz w:val="24"/>
              </w:rPr>
              <w:t>具体指标内容</w:t>
            </w:r>
          </w:p>
        </w:tc>
        <w:tc>
          <w:tcPr>
            <w:tcW w:w="1103" w:type="dxa"/>
            <w:tcBorders>
              <w:top w:val="single" w:color="auto" w:sz="4" w:space="0"/>
              <w:left w:val="nil"/>
              <w:bottom w:val="single" w:color="auto" w:sz="4" w:space="0"/>
              <w:right w:val="single" w:color="auto" w:sz="4" w:space="0"/>
            </w:tcBorders>
            <w:vAlign w:val="center"/>
          </w:tcPr>
          <w:p w14:paraId="4B99241D">
            <w:pPr>
              <w:widowControl/>
              <w:jc w:val="center"/>
              <w:rPr>
                <w:rFonts w:ascii="宋体" w:hAnsi="宋体" w:cs="宋体"/>
                <w:b/>
                <w:bCs/>
                <w:kern w:val="0"/>
                <w:sz w:val="24"/>
              </w:rPr>
            </w:pPr>
            <w:r>
              <w:rPr>
                <w:rFonts w:hint="eastAsia" w:ascii="宋体" w:hAnsi="宋体" w:cs="宋体"/>
                <w:b/>
                <w:bCs/>
                <w:kern w:val="0"/>
                <w:sz w:val="24"/>
              </w:rPr>
              <w:t>是否需要证明材料</w:t>
            </w:r>
          </w:p>
        </w:tc>
      </w:tr>
      <w:tr w14:paraId="1B6D51BD">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274019C9">
            <w:pPr>
              <w:widowControl/>
              <w:jc w:val="center"/>
              <w:rPr>
                <w:rFonts w:ascii="宋体" w:hAnsi="宋体" w:cs="宋体"/>
                <w:kern w:val="0"/>
                <w:sz w:val="24"/>
              </w:rPr>
            </w:pPr>
            <w:r>
              <w:rPr>
                <w:rFonts w:hint="eastAsia" w:ascii="宋体" w:hAnsi="宋体" w:cs="宋体"/>
                <w:kern w:val="0"/>
                <w:sz w:val="24"/>
              </w:rPr>
              <w:t>1</w:t>
            </w:r>
          </w:p>
        </w:tc>
        <w:tc>
          <w:tcPr>
            <w:tcW w:w="993" w:type="dxa"/>
            <w:tcBorders>
              <w:top w:val="nil"/>
              <w:left w:val="nil"/>
              <w:bottom w:val="single" w:color="auto" w:sz="4" w:space="0"/>
              <w:right w:val="single" w:color="auto" w:sz="4" w:space="0"/>
            </w:tcBorders>
            <w:vAlign w:val="center"/>
          </w:tcPr>
          <w:p w14:paraId="68D98142">
            <w:pPr>
              <w:widowControl/>
              <w:jc w:val="center"/>
              <w:rPr>
                <w:rFonts w:ascii="宋体" w:hAnsi="宋体" w:cs="宋体"/>
                <w:kern w:val="0"/>
                <w:sz w:val="24"/>
              </w:rPr>
            </w:pPr>
            <w:r>
              <w:rPr>
                <w:rFonts w:hint="eastAsia" w:ascii="宋体" w:hAnsi="宋体" w:cs="宋体"/>
                <w:kern w:val="0"/>
                <w:sz w:val="24"/>
              </w:rPr>
              <w:t>#</w:t>
            </w:r>
          </w:p>
        </w:tc>
        <w:tc>
          <w:tcPr>
            <w:tcW w:w="5955" w:type="dxa"/>
            <w:tcBorders>
              <w:top w:val="nil"/>
              <w:left w:val="nil"/>
              <w:bottom w:val="single" w:color="auto" w:sz="4" w:space="0"/>
              <w:right w:val="single" w:color="auto" w:sz="4" w:space="0"/>
            </w:tcBorders>
            <w:vAlign w:val="center"/>
          </w:tcPr>
          <w:p w14:paraId="213D1C8C">
            <w:pPr>
              <w:widowControl/>
              <w:rPr>
                <w:rFonts w:ascii="宋体" w:hAnsi="宋体" w:cs="宋体"/>
                <w:kern w:val="0"/>
                <w:sz w:val="24"/>
              </w:rPr>
            </w:pPr>
            <w:r>
              <w:rPr>
                <w:rFonts w:hint="eastAsia" w:ascii="宋体" w:hAnsi="宋体" w:cs="宋体"/>
                <w:kern w:val="0"/>
                <w:sz w:val="24"/>
              </w:rPr>
              <w:t>屏幕尺寸：≥98英寸。</w:t>
            </w:r>
            <w:r>
              <w:rPr>
                <w:rFonts w:hint="eastAsia" w:asciiTheme="minorEastAsia" w:hAnsiTheme="minorEastAsia" w:cstheme="minorEastAsia"/>
                <w:sz w:val="24"/>
              </w:rPr>
              <w:t>（需提供</w:t>
            </w:r>
            <w:r>
              <w:rPr>
                <w:rFonts w:hint="eastAsia" w:asciiTheme="minorEastAsia" w:hAnsiTheme="minorEastAsia" w:eastAsiaTheme="minorEastAsia" w:cstheme="minorEastAsia"/>
                <w:sz w:val="24"/>
              </w:rPr>
              <w:t>生产厂家产品规格书或生产厂家官方网站截图</w:t>
            </w:r>
            <w:r>
              <w:rPr>
                <w:rFonts w:hint="eastAsia" w:asciiTheme="minorEastAsia" w:hAnsiTheme="minorEastAsia" w:cstheme="minorEastAsia"/>
                <w:sz w:val="24"/>
              </w:rPr>
              <w:t>）</w:t>
            </w:r>
          </w:p>
        </w:tc>
        <w:tc>
          <w:tcPr>
            <w:tcW w:w="1103" w:type="dxa"/>
            <w:tcBorders>
              <w:top w:val="nil"/>
              <w:left w:val="nil"/>
              <w:bottom w:val="single" w:color="auto" w:sz="4" w:space="0"/>
              <w:right w:val="single" w:color="auto" w:sz="4" w:space="0"/>
            </w:tcBorders>
            <w:noWrap/>
            <w:vAlign w:val="center"/>
          </w:tcPr>
          <w:p w14:paraId="6949CEF0">
            <w:pPr>
              <w:widowControl/>
              <w:jc w:val="center"/>
              <w:rPr>
                <w:rFonts w:ascii="宋体" w:hAnsi="宋体" w:cs="宋体"/>
                <w:kern w:val="0"/>
                <w:sz w:val="24"/>
              </w:rPr>
            </w:pPr>
            <w:r>
              <w:rPr>
                <w:rFonts w:hint="eastAsia" w:ascii="宋体" w:hAnsi="宋体" w:cs="宋体"/>
                <w:kern w:val="0"/>
                <w:sz w:val="24"/>
              </w:rPr>
              <w:t>是</w:t>
            </w:r>
          </w:p>
        </w:tc>
      </w:tr>
      <w:tr w14:paraId="12EE47E3">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5AF143C3">
            <w:pPr>
              <w:widowControl/>
              <w:jc w:val="center"/>
              <w:rPr>
                <w:rFonts w:ascii="宋体" w:hAnsi="宋体" w:cs="宋体"/>
                <w:kern w:val="0"/>
                <w:sz w:val="24"/>
              </w:rPr>
            </w:pPr>
            <w:r>
              <w:rPr>
                <w:rFonts w:hint="eastAsia" w:ascii="宋体" w:hAnsi="宋体" w:cs="宋体"/>
                <w:kern w:val="0"/>
                <w:sz w:val="24"/>
              </w:rPr>
              <w:t>2</w:t>
            </w:r>
          </w:p>
        </w:tc>
        <w:tc>
          <w:tcPr>
            <w:tcW w:w="993" w:type="dxa"/>
            <w:tcBorders>
              <w:top w:val="nil"/>
              <w:left w:val="nil"/>
              <w:bottom w:val="single" w:color="auto" w:sz="4" w:space="0"/>
              <w:right w:val="single" w:color="auto" w:sz="4" w:space="0"/>
            </w:tcBorders>
            <w:vAlign w:val="center"/>
          </w:tcPr>
          <w:p w14:paraId="56888F80">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348FFA68">
            <w:pPr>
              <w:widowControl/>
              <w:rPr>
                <w:rFonts w:ascii="宋体" w:hAnsi="宋体" w:cs="宋体"/>
                <w:kern w:val="0"/>
                <w:sz w:val="24"/>
              </w:rPr>
            </w:pPr>
            <w:r>
              <w:rPr>
                <w:rFonts w:hint="eastAsia" w:ascii="宋体" w:hAnsi="宋体" w:cs="宋体"/>
                <w:kern w:val="0"/>
                <w:sz w:val="24"/>
              </w:rPr>
              <w:t>分辨率：≥3840×2160像素</w:t>
            </w:r>
          </w:p>
        </w:tc>
        <w:tc>
          <w:tcPr>
            <w:tcW w:w="1103" w:type="dxa"/>
            <w:tcBorders>
              <w:top w:val="nil"/>
              <w:left w:val="nil"/>
              <w:bottom w:val="single" w:color="auto" w:sz="4" w:space="0"/>
              <w:right w:val="single" w:color="auto" w:sz="4" w:space="0"/>
            </w:tcBorders>
            <w:noWrap/>
            <w:vAlign w:val="center"/>
          </w:tcPr>
          <w:p w14:paraId="64224D67">
            <w:pPr>
              <w:widowControl/>
              <w:jc w:val="center"/>
              <w:rPr>
                <w:rFonts w:ascii="宋体" w:hAnsi="宋体" w:cs="宋体"/>
                <w:kern w:val="0"/>
                <w:sz w:val="24"/>
              </w:rPr>
            </w:pPr>
            <w:r>
              <w:rPr>
                <w:rFonts w:hint="eastAsia" w:ascii="宋体" w:hAnsi="宋体" w:cs="宋体"/>
                <w:kern w:val="0"/>
                <w:sz w:val="24"/>
              </w:rPr>
              <w:t>否</w:t>
            </w:r>
          </w:p>
        </w:tc>
      </w:tr>
      <w:tr w14:paraId="77ADA28A">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3DF2AA2D">
            <w:pPr>
              <w:widowControl/>
              <w:jc w:val="center"/>
              <w:rPr>
                <w:rFonts w:ascii="宋体" w:hAnsi="宋体" w:cs="宋体"/>
                <w:kern w:val="0"/>
                <w:sz w:val="24"/>
              </w:rPr>
            </w:pPr>
            <w:r>
              <w:rPr>
                <w:rFonts w:hint="eastAsia" w:ascii="宋体" w:hAnsi="宋体" w:cs="宋体"/>
                <w:kern w:val="0"/>
                <w:sz w:val="24"/>
              </w:rPr>
              <w:t>3</w:t>
            </w:r>
          </w:p>
        </w:tc>
        <w:tc>
          <w:tcPr>
            <w:tcW w:w="993" w:type="dxa"/>
            <w:tcBorders>
              <w:top w:val="nil"/>
              <w:left w:val="nil"/>
              <w:bottom w:val="single" w:color="auto" w:sz="4" w:space="0"/>
              <w:right w:val="single" w:color="auto" w:sz="4" w:space="0"/>
            </w:tcBorders>
            <w:vAlign w:val="center"/>
          </w:tcPr>
          <w:p w14:paraId="6EE0D6BE">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731B27F5">
            <w:pPr>
              <w:widowControl/>
              <w:rPr>
                <w:rFonts w:ascii="宋体" w:hAnsi="宋体" w:cs="宋体"/>
                <w:kern w:val="0"/>
                <w:sz w:val="24"/>
              </w:rPr>
            </w:pPr>
            <w:r>
              <w:rPr>
                <w:rFonts w:hint="eastAsia" w:ascii="宋体" w:hAnsi="宋体" w:cs="宋体"/>
                <w:kern w:val="0"/>
                <w:sz w:val="24"/>
              </w:rPr>
              <w:t>对比度：≥1200：1</w:t>
            </w:r>
          </w:p>
        </w:tc>
        <w:tc>
          <w:tcPr>
            <w:tcW w:w="1103" w:type="dxa"/>
            <w:tcBorders>
              <w:top w:val="nil"/>
              <w:left w:val="nil"/>
              <w:bottom w:val="single" w:color="auto" w:sz="4" w:space="0"/>
              <w:right w:val="single" w:color="auto" w:sz="4" w:space="0"/>
            </w:tcBorders>
            <w:noWrap/>
            <w:vAlign w:val="center"/>
          </w:tcPr>
          <w:p w14:paraId="12F0D888">
            <w:pPr>
              <w:widowControl/>
              <w:jc w:val="center"/>
              <w:rPr>
                <w:rFonts w:ascii="宋体" w:hAnsi="宋体" w:cs="宋体"/>
                <w:kern w:val="0"/>
                <w:sz w:val="24"/>
              </w:rPr>
            </w:pPr>
            <w:r>
              <w:rPr>
                <w:rFonts w:hint="eastAsia" w:ascii="宋体" w:hAnsi="宋体" w:cs="宋体"/>
                <w:kern w:val="0"/>
                <w:sz w:val="24"/>
              </w:rPr>
              <w:t>否</w:t>
            </w:r>
          </w:p>
        </w:tc>
      </w:tr>
      <w:tr w14:paraId="598782BB">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64FA6983">
            <w:pPr>
              <w:widowControl/>
              <w:jc w:val="center"/>
              <w:rPr>
                <w:rFonts w:ascii="宋体" w:hAnsi="宋体" w:cs="宋体"/>
                <w:kern w:val="0"/>
                <w:sz w:val="24"/>
              </w:rPr>
            </w:pPr>
            <w:r>
              <w:rPr>
                <w:rFonts w:hint="eastAsia" w:ascii="宋体" w:hAnsi="宋体" w:cs="宋体"/>
                <w:kern w:val="0"/>
                <w:sz w:val="24"/>
              </w:rPr>
              <w:t>4</w:t>
            </w:r>
          </w:p>
        </w:tc>
        <w:tc>
          <w:tcPr>
            <w:tcW w:w="993" w:type="dxa"/>
            <w:tcBorders>
              <w:top w:val="nil"/>
              <w:left w:val="nil"/>
              <w:bottom w:val="single" w:color="auto" w:sz="4" w:space="0"/>
              <w:right w:val="single" w:color="auto" w:sz="4" w:space="0"/>
            </w:tcBorders>
            <w:vAlign w:val="center"/>
          </w:tcPr>
          <w:p w14:paraId="5A3E90B0">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79CE103A">
            <w:pPr>
              <w:widowControl/>
              <w:rPr>
                <w:rFonts w:ascii="宋体" w:hAnsi="宋体" w:cs="宋体"/>
                <w:kern w:val="0"/>
                <w:sz w:val="24"/>
              </w:rPr>
            </w:pPr>
            <w:r>
              <w:rPr>
                <w:rFonts w:hint="eastAsia" w:ascii="宋体" w:hAnsi="宋体" w:cs="宋体"/>
                <w:kern w:val="0"/>
                <w:sz w:val="24"/>
              </w:rPr>
              <w:t>动态响应：≤8ms</w:t>
            </w:r>
          </w:p>
        </w:tc>
        <w:tc>
          <w:tcPr>
            <w:tcW w:w="1103" w:type="dxa"/>
            <w:tcBorders>
              <w:top w:val="nil"/>
              <w:left w:val="nil"/>
              <w:bottom w:val="single" w:color="auto" w:sz="4" w:space="0"/>
              <w:right w:val="single" w:color="auto" w:sz="4" w:space="0"/>
            </w:tcBorders>
            <w:noWrap/>
            <w:vAlign w:val="center"/>
          </w:tcPr>
          <w:p w14:paraId="3C74FC7F">
            <w:pPr>
              <w:widowControl/>
              <w:jc w:val="center"/>
              <w:rPr>
                <w:rFonts w:ascii="宋体" w:hAnsi="宋体" w:cs="宋体"/>
                <w:kern w:val="0"/>
                <w:sz w:val="24"/>
              </w:rPr>
            </w:pPr>
            <w:r>
              <w:rPr>
                <w:rFonts w:hint="eastAsia" w:ascii="宋体" w:hAnsi="宋体" w:cs="宋体"/>
                <w:kern w:val="0"/>
                <w:sz w:val="24"/>
              </w:rPr>
              <w:t>否</w:t>
            </w:r>
          </w:p>
        </w:tc>
      </w:tr>
      <w:tr w14:paraId="0643F89E">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41DE0EFA">
            <w:pPr>
              <w:widowControl/>
              <w:jc w:val="center"/>
              <w:rPr>
                <w:rFonts w:ascii="宋体" w:hAnsi="宋体" w:cs="宋体"/>
                <w:kern w:val="0"/>
                <w:sz w:val="24"/>
              </w:rPr>
            </w:pPr>
            <w:r>
              <w:rPr>
                <w:rFonts w:hint="eastAsia" w:ascii="宋体" w:hAnsi="宋体" w:cs="宋体"/>
                <w:kern w:val="0"/>
                <w:sz w:val="24"/>
              </w:rPr>
              <w:t>5</w:t>
            </w:r>
          </w:p>
        </w:tc>
        <w:tc>
          <w:tcPr>
            <w:tcW w:w="993" w:type="dxa"/>
            <w:tcBorders>
              <w:top w:val="nil"/>
              <w:left w:val="nil"/>
              <w:bottom w:val="single" w:color="auto" w:sz="4" w:space="0"/>
              <w:right w:val="single" w:color="auto" w:sz="4" w:space="0"/>
            </w:tcBorders>
            <w:vAlign w:val="center"/>
          </w:tcPr>
          <w:p w14:paraId="0F63EA05">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381D5F12">
            <w:pPr>
              <w:widowControl/>
              <w:rPr>
                <w:rFonts w:ascii="宋体" w:hAnsi="宋体" w:cs="宋体"/>
                <w:kern w:val="0"/>
                <w:sz w:val="24"/>
              </w:rPr>
            </w:pPr>
            <w:r>
              <w:rPr>
                <w:rFonts w:hint="eastAsia" w:ascii="宋体" w:hAnsi="宋体" w:cs="宋体"/>
                <w:kern w:val="0"/>
                <w:sz w:val="24"/>
              </w:rPr>
              <w:t>国产处理器：主频≥1.5GHz、核心数≥4核</w:t>
            </w:r>
          </w:p>
        </w:tc>
        <w:tc>
          <w:tcPr>
            <w:tcW w:w="1103" w:type="dxa"/>
            <w:tcBorders>
              <w:top w:val="nil"/>
              <w:left w:val="nil"/>
              <w:bottom w:val="single" w:color="auto" w:sz="4" w:space="0"/>
              <w:right w:val="single" w:color="auto" w:sz="4" w:space="0"/>
            </w:tcBorders>
            <w:noWrap/>
            <w:vAlign w:val="center"/>
          </w:tcPr>
          <w:p w14:paraId="53787F63">
            <w:pPr>
              <w:widowControl/>
              <w:jc w:val="center"/>
              <w:rPr>
                <w:rFonts w:ascii="宋体" w:hAnsi="宋体" w:cs="宋体"/>
                <w:kern w:val="0"/>
                <w:sz w:val="24"/>
              </w:rPr>
            </w:pPr>
            <w:r>
              <w:rPr>
                <w:rFonts w:hint="eastAsia" w:ascii="宋体" w:hAnsi="宋体" w:cs="宋体"/>
                <w:kern w:val="0"/>
                <w:sz w:val="24"/>
              </w:rPr>
              <w:t>否</w:t>
            </w:r>
          </w:p>
        </w:tc>
      </w:tr>
      <w:tr w14:paraId="6A6B58BD">
        <w:tblPrEx>
          <w:tblCellMar>
            <w:top w:w="0" w:type="dxa"/>
            <w:left w:w="108" w:type="dxa"/>
            <w:bottom w:w="0" w:type="dxa"/>
            <w:right w:w="108" w:type="dxa"/>
          </w:tblCellMar>
        </w:tblPrEx>
        <w:trPr>
          <w:trHeight w:val="270" w:hRule="atLeast"/>
        </w:trPr>
        <w:tc>
          <w:tcPr>
            <w:tcW w:w="673" w:type="dxa"/>
            <w:tcBorders>
              <w:top w:val="nil"/>
              <w:left w:val="single" w:color="auto" w:sz="4" w:space="0"/>
              <w:bottom w:val="single" w:color="auto" w:sz="4" w:space="0"/>
              <w:right w:val="single" w:color="auto" w:sz="4" w:space="0"/>
            </w:tcBorders>
            <w:vAlign w:val="center"/>
          </w:tcPr>
          <w:p w14:paraId="5F000370">
            <w:pPr>
              <w:widowControl/>
              <w:jc w:val="center"/>
              <w:rPr>
                <w:rFonts w:ascii="宋体" w:hAnsi="宋体" w:cs="宋体"/>
                <w:kern w:val="0"/>
                <w:sz w:val="24"/>
              </w:rPr>
            </w:pPr>
            <w:r>
              <w:rPr>
                <w:rFonts w:hint="eastAsia" w:ascii="宋体" w:hAnsi="宋体" w:cs="宋体"/>
                <w:kern w:val="0"/>
                <w:sz w:val="24"/>
              </w:rPr>
              <w:t>6</w:t>
            </w:r>
          </w:p>
        </w:tc>
        <w:tc>
          <w:tcPr>
            <w:tcW w:w="993" w:type="dxa"/>
            <w:tcBorders>
              <w:top w:val="nil"/>
              <w:left w:val="nil"/>
              <w:bottom w:val="single" w:color="auto" w:sz="4" w:space="0"/>
              <w:right w:val="single" w:color="auto" w:sz="4" w:space="0"/>
            </w:tcBorders>
            <w:vAlign w:val="center"/>
          </w:tcPr>
          <w:p w14:paraId="798949BD">
            <w:pPr>
              <w:widowControl/>
              <w:jc w:val="center"/>
              <w:rPr>
                <w:rFonts w:ascii="宋体" w:hAnsi="宋体" w:cs="宋体"/>
                <w:kern w:val="0"/>
                <w:sz w:val="24"/>
              </w:rPr>
            </w:pPr>
          </w:p>
        </w:tc>
        <w:tc>
          <w:tcPr>
            <w:tcW w:w="5955" w:type="dxa"/>
            <w:tcBorders>
              <w:top w:val="nil"/>
              <w:left w:val="nil"/>
              <w:bottom w:val="single" w:color="auto" w:sz="4" w:space="0"/>
              <w:right w:val="single" w:color="auto" w:sz="4" w:space="0"/>
            </w:tcBorders>
            <w:vAlign w:val="center"/>
          </w:tcPr>
          <w:p w14:paraId="61AF3409">
            <w:pPr>
              <w:widowControl/>
              <w:rPr>
                <w:rFonts w:ascii="宋体" w:hAnsi="宋体" w:cs="宋体"/>
                <w:kern w:val="0"/>
                <w:sz w:val="24"/>
              </w:rPr>
            </w:pPr>
            <w:r>
              <w:rPr>
                <w:rFonts w:hint="eastAsia" w:ascii="宋体" w:hAnsi="宋体" w:cs="宋体"/>
                <w:kern w:val="0"/>
                <w:sz w:val="24"/>
              </w:rPr>
              <w:t>内存：≥4G；存储：≥128GB</w:t>
            </w:r>
          </w:p>
        </w:tc>
        <w:tc>
          <w:tcPr>
            <w:tcW w:w="1103" w:type="dxa"/>
            <w:tcBorders>
              <w:top w:val="nil"/>
              <w:left w:val="nil"/>
              <w:bottom w:val="single" w:color="auto" w:sz="4" w:space="0"/>
              <w:right w:val="single" w:color="auto" w:sz="4" w:space="0"/>
            </w:tcBorders>
            <w:noWrap/>
            <w:vAlign w:val="center"/>
          </w:tcPr>
          <w:p w14:paraId="445EF160">
            <w:pPr>
              <w:widowControl/>
              <w:jc w:val="center"/>
              <w:rPr>
                <w:rFonts w:ascii="宋体" w:hAnsi="宋体" w:cs="宋体"/>
                <w:kern w:val="0"/>
                <w:sz w:val="24"/>
              </w:rPr>
            </w:pPr>
            <w:r>
              <w:rPr>
                <w:rFonts w:hint="eastAsia" w:ascii="宋体" w:hAnsi="宋体" w:cs="宋体"/>
                <w:kern w:val="0"/>
                <w:sz w:val="24"/>
              </w:rPr>
              <w:t>否</w:t>
            </w:r>
          </w:p>
        </w:tc>
      </w:tr>
      <w:tr w14:paraId="0DA1CC40">
        <w:tblPrEx>
          <w:tblCellMar>
            <w:top w:w="0" w:type="dxa"/>
            <w:left w:w="108" w:type="dxa"/>
            <w:bottom w:w="0" w:type="dxa"/>
            <w:right w:w="108" w:type="dxa"/>
          </w:tblCellMar>
        </w:tblPrEx>
        <w:trPr>
          <w:trHeight w:val="270" w:hRule="atLeast"/>
        </w:trPr>
        <w:tc>
          <w:tcPr>
            <w:tcW w:w="673" w:type="dxa"/>
            <w:tcBorders>
              <w:top w:val="single" w:color="auto" w:sz="4" w:space="0"/>
              <w:left w:val="single" w:color="auto" w:sz="4" w:space="0"/>
              <w:bottom w:val="single" w:color="auto" w:sz="4" w:space="0"/>
              <w:right w:val="single" w:color="auto" w:sz="4" w:space="0"/>
            </w:tcBorders>
            <w:vAlign w:val="center"/>
          </w:tcPr>
          <w:p w14:paraId="346035CA">
            <w:pPr>
              <w:widowControl/>
              <w:jc w:val="center"/>
              <w:rPr>
                <w:rFonts w:ascii="宋体" w:hAnsi="宋体" w:cs="宋体"/>
                <w:kern w:val="0"/>
                <w:sz w:val="24"/>
              </w:rPr>
            </w:pPr>
            <w:r>
              <w:rPr>
                <w:rFonts w:hint="eastAsia" w:ascii="宋体" w:hAnsi="宋体" w:cs="宋体"/>
                <w:kern w:val="0"/>
                <w:sz w:val="24"/>
              </w:rPr>
              <w:t>7</w:t>
            </w:r>
          </w:p>
        </w:tc>
        <w:tc>
          <w:tcPr>
            <w:tcW w:w="993" w:type="dxa"/>
            <w:tcBorders>
              <w:top w:val="single" w:color="auto" w:sz="4" w:space="0"/>
              <w:left w:val="nil"/>
              <w:bottom w:val="single" w:color="auto" w:sz="4" w:space="0"/>
              <w:right w:val="single" w:color="auto" w:sz="4" w:space="0"/>
            </w:tcBorders>
            <w:vAlign w:val="center"/>
          </w:tcPr>
          <w:p w14:paraId="42FC81FC">
            <w:pPr>
              <w:widowControl/>
              <w:jc w:val="center"/>
              <w:rPr>
                <w:rFonts w:ascii="宋体" w:hAnsi="宋体" w:cs="宋体"/>
                <w:kern w:val="0"/>
                <w:sz w:val="24"/>
              </w:rPr>
            </w:pPr>
          </w:p>
        </w:tc>
        <w:tc>
          <w:tcPr>
            <w:tcW w:w="5955" w:type="dxa"/>
            <w:tcBorders>
              <w:top w:val="single" w:color="auto" w:sz="4" w:space="0"/>
              <w:left w:val="nil"/>
              <w:bottom w:val="single" w:color="auto" w:sz="4" w:space="0"/>
              <w:right w:val="single" w:color="auto" w:sz="4" w:space="0"/>
            </w:tcBorders>
            <w:vAlign w:val="center"/>
          </w:tcPr>
          <w:p w14:paraId="0577D54D">
            <w:pPr>
              <w:widowControl/>
              <w:rPr>
                <w:rFonts w:ascii="宋体" w:hAnsi="宋体" w:cs="宋体"/>
                <w:kern w:val="0"/>
                <w:sz w:val="24"/>
              </w:rPr>
            </w:pPr>
            <w:r>
              <w:rPr>
                <w:rFonts w:hint="eastAsia" w:ascii="宋体" w:hAnsi="宋体" w:cs="宋体"/>
                <w:kern w:val="0"/>
                <w:sz w:val="24"/>
              </w:rPr>
              <w:t>含报告厅安装所需壁装支架或吊装支架、电源线和HDMI线缆（长度满足现场实际需要）</w:t>
            </w:r>
          </w:p>
        </w:tc>
        <w:tc>
          <w:tcPr>
            <w:tcW w:w="1103" w:type="dxa"/>
            <w:tcBorders>
              <w:top w:val="single" w:color="auto" w:sz="4" w:space="0"/>
              <w:left w:val="nil"/>
              <w:bottom w:val="single" w:color="auto" w:sz="4" w:space="0"/>
              <w:right w:val="single" w:color="auto" w:sz="4" w:space="0"/>
            </w:tcBorders>
            <w:noWrap/>
            <w:vAlign w:val="center"/>
          </w:tcPr>
          <w:p w14:paraId="184B7CFC">
            <w:pPr>
              <w:widowControl/>
              <w:jc w:val="center"/>
              <w:rPr>
                <w:rFonts w:ascii="宋体" w:hAnsi="宋体" w:cs="宋体"/>
                <w:kern w:val="0"/>
                <w:sz w:val="24"/>
              </w:rPr>
            </w:pPr>
            <w:r>
              <w:rPr>
                <w:rFonts w:hint="eastAsia" w:ascii="宋体" w:hAnsi="宋体" w:cs="宋体"/>
                <w:kern w:val="0"/>
                <w:sz w:val="24"/>
              </w:rPr>
              <w:t>否</w:t>
            </w:r>
          </w:p>
        </w:tc>
      </w:tr>
      <w:tr w14:paraId="60852712">
        <w:tblPrEx>
          <w:tblCellMar>
            <w:top w:w="0" w:type="dxa"/>
            <w:left w:w="108" w:type="dxa"/>
            <w:bottom w:w="0" w:type="dxa"/>
            <w:right w:w="108" w:type="dxa"/>
          </w:tblCellMar>
        </w:tblPrEx>
        <w:trPr>
          <w:trHeight w:val="270" w:hRule="atLeast"/>
        </w:trPr>
        <w:tc>
          <w:tcPr>
            <w:tcW w:w="673" w:type="dxa"/>
            <w:tcBorders>
              <w:top w:val="single" w:color="auto" w:sz="4" w:space="0"/>
              <w:left w:val="single" w:color="auto" w:sz="4" w:space="0"/>
              <w:bottom w:val="single" w:color="auto" w:sz="4" w:space="0"/>
              <w:right w:val="single" w:color="auto" w:sz="4" w:space="0"/>
            </w:tcBorders>
            <w:vAlign w:val="center"/>
          </w:tcPr>
          <w:p w14:paraId="3A68FA44">
            <w:pPr>
              <w:widowControl/>
              <w:jc w:val="center"/>
              <w:rPr>
                <w:rFonts w:ascii="宋体" w:hAnsi="宋体" w:cs="宋体"/>
                <w:kern w:val="0"/>
                <w:sz w:val="24"/>
              </w:rPr>
            </w:pPr>
            <w:r>
              <w:rPr>
                <w:rFonts w:hint="eastAsia" w:ascii="宋体" w:hAnsi="宋体" w:cs="宋体"/>
                <w:kern w:val="0"/>
                <w:sz w:val="24"/>
              </w:rPr>
              <w:t>8</w:t>
            </w:r>
          </w:p>
        </w:tc>
        <w:tc>
          <w:tcPr>
            <w:tcW w:w="993" w:type="dxa"/>
            <w:tcBorders>
              <w:top w:val="single" w:color="auto" w:sz="4" w:space="0"/>
              <w:left w:val="nil"/>
              <w:bottom w:val="single" w:color="auto" w:sz="4" w:space="0"/>
              <w:right w:val="single" w:color="auto" w:sz="4" w:space="0"/>
            </w:tcBorders>
            <w:vAlign w:val="center"/>
          </w:tcPr>
          <w:p w14:paraId="3C377CAE">
            <w:pPr>
              <w:widowControl/>
              <w:jc w:val="center"/>
              <w:rPr>
                <w:rFonts w:ascii="宋体" w:hAnsi="宋体" w:cs="宋体"/>
                <w:kern w:val="0"/>
                <w:sz w:val="24"/>
              </w:rPr>
            </w:pPr>
            <w:r>
              <w:rPr>
                <w:rFonts w:hint="eastAsia" w:ascii="宋体" w:hAnsi="宋体" w:cs="宋体"/>
                <w:kern w:val="0"/>
                <w:sz w:val="24"/>
              </w:rPr>
              <w:t>#</w:t>
            </w:r>
          </w:p>
        </w:tc>
        <w:tc>
          <w:tcPr>
            <w:tcW w:w="5955" w:type="dxa"/>
            <w:tcBorders>
              <w:top w:val="single" w:color="auto" w:sz="4" w:space="0"/>
              <w:left w:val="nil"/>
              <w:bottom w:val="single" w:color="auto" w:sz="4" w:space="0"/>
              <w:right w:val="single" w:color="auto" w:sz="4" w:space="0"/>
            </w:tcBorders>
            <w:vAlign w:val="center"/>
          </w:tcPr>
          <w:p w14:paraId="18C0AB99">
            <w:pPr>
              <w:widowControl/>
              <w:rPr>
                <w:rFonts w:ascii="宋体" w:hAnsi="宋体" w:cs="宋体"/>
                <w:kern w:val="0"/>
                <w:sz w:val="24"/>
              </w:rPr>
            </w:pPr>
            <w:r>
              <w:rPr>
                <w:rFonts w:hint="eastAsia" w:ascii="宋体" w:hAnsi="宋体" w:cs="宋体"/>
                <w:kern w:val="0"/>
                <w:sz w:val="24"/>
              </w:rPr>
              <w:t>具备能效二级及以上证书</w:t>
            </w:r>
          </w:p>
        </w:tc>
        <w:tc>
          <w:tcPr>
            <w:tcW w:w="1103" w:type="dxa"/>
            <w:tcBorders>
              <w:top w:val="single" w:color="auto" w:sz="4" w:space="0"/>
              <w:left w:val="nil"/>
              <w:bottom w:val="single" w:color="auto" w:sz="4" w:space="0"/>
              <w:right w:val="single" w:color="auto" w:sz="4" w:space="0"/>
            </w:tcBorders>
            <w:noWrap/>
            <w:vAlign w:val="center"/>
          </w:tcPr>
          <w:p w14:paraId="183629B3">
            <w:pPr>
              <w:widowControl/>
              <w:jc w:val="center"/>
              <w:rPr>
                <w:rFonts w:ascii="宋体" w:hAnsi="宋体" w:cs="宋体"/>
                <w:kern w:val="0"/>
                <w:sz w:val="24"/>
              </w:rPr>
            </w:pPr>
            <w:r>
              <w:rPr>
                <w:rFonts w:hint="eastAsia" w:ascii="宋体" w:hAnsi="宋体" w:cs="宋体"/>
                <w:kern w:val="0"/>
                <w:sz w:val="24"/>
              </w:rPr>
              <w:t>是</w:t>
            </w:r>
          </w:p>
        </w:tc>
      </w:tr>
    </w:tbl>
    <w:p w14:paraId="5A6FB0B7">
      <w:pPr>
        <w:spacing w:line="360" w:lineRule="auto"/>
        <w:rPr>
          <w:rFonts w:ascii="宋体" w:hAnsi="宋体" w:cs="宋体"/>
          <w:sz w:val="24"/>
        </w:rPr>
      </w:pPr>
    </w:p>
    <w:p w14:paraId="0F9F124F">
      <w:pPr>
        <w:spacing w:line="360" w:lineRule="auto"/>
        <w:ind w:left="420" w:leftChars="200"/>
        <w:outlineLvl w:val="3"/>
        <w:rPr>
          <w:rFonts w:ascii="宋体" w:hAnsi="宋体" w:cs="宋体"/>
          <w:sz w:val="24"/>
        </w:rPr>
      </w:pPr>
      <w:r>
        <w:rPr>
          <w:rFonts w:hint="eastAsia" w:ascii="宋体" w:hAnsi="宋体" w:cs="宋体"/>
          <w:sz w:val="24"/>
        </w:rPr>
        <w:t>2.1.7 55寸液晶电视</w:t>
      </w:r>
    </w:p>
    <w:tbl>
      <w:tblPr>
        <w:tblStyle w:val="15"/>
        <w:tblW w:w="8724" w:type="dxa"/>
        <w:tblInd w:w="0" w:type="dxa"/>
        <w:tblLayout w:type="fixed"/>
        <w:tblCellMar>
          <w:top w:w="0" w:type="dxa"/>
          <w:left w:w="108" w:type="dxa"/>
          <w:bottom w:w="0" w:type="dxa"/>
          <w:right w:w="108" w:type="dxa"/>
        </w:tblCellMar>
      </w:tblPr>
      <w:tblGrid>
        <w:gridCol w:w="675"/>
        <w:gridCol w:w="993"/>
        <w:gridCol w:w="5953"/>
        <w:gridCol w:w="1103"/>
      </w:tblGrid>
      <w:tr w14:paraId="67A1C7B1">
        <w:tblPrEx>
          <w:tblCellMar>
            <w:top w:w="0" w:type="dxa"/>
            <w:left w:w="108" w:type="dxa"/>
            <w:bottom w:w="0" w:type="dxa"/>
            <w:right w:w="108" w:type="dxa"/>
          </w:tblCellMar>
        </w:tblPrEx>
        <w:trPr>
          <w:trHeight w:val="540" w:hRule="atLeast"/>
          <w:tblHeader/>
        </w:trPr>
        <w:tc>
          <w:tcPr>
            <w:tcW w:w="675" w:type="dxa"/>
            <w:tcBorders>
              <w:top w:val="single" w:color="auto" w:sz="4" w:space="0"/>
              <w:left w:val="single" w:color="auto" w:sz="4" w:space="0"/>
              <w:bottom w:val="single" w:color="auto" w:sz="4" w:space="0"/>
              <w:right w:val="single" w:color="auto" w:sz="4" w:space="0"/>
            </w:tcBorders>
            <w:vAlign w:val="center"/>
          </w:tcPr>
          <w:p w14:paraId="09243C1A">
            <w:pPr>
              <w:widowControl/>
              <w:jc w:val="center"/>
              <w:rPr>
                <w:rFonts w:ascii="宋体" w:hAnsi="宋体" w:cs="宋体"/>
                <w:b/>
                <w:bCs/>
                <w:kern w:val="0"/>
                <w:sz w:val="24"/>
              </w:rPr>
            </w:pPr>
            <w:r>
              <w:rPr>
                <w:rFonts w:hint="eastAsia" w:ascii="宋体" w:hAnsi="宋体" w:cs="宋体"/>
                <w:b/>
                <w:bCs/>
                <w:kern w:val="0"/>
                <w:sz w:val="24"/>
              </w:rPr>
              <w:t>序号</w:t>
            </w:r>
          </w:p>
        </w:tc>
        <w:tc>
          <w:tcPr>
            <w:tcW w:w="993" w:type="dxa"/>
            <w:tcBorders>
              <w:top w:val="single" w:color="auto" w:sz="4" w:space="0"/>
              <w:left w:val="nil"/>
              <w:bottom w:val="single" w:color="auto" w:sz="4" w:space="0"/>
              <w:right w:val="single" w:color="auto" w:sz="4" w:space="0"/>
            </w:tcBorders>
            <w:vAlign w:val="center"/>
          </w:tcPr>
          <w:p w14:paraId="6E35BCB7">
            <w:pPr>
              <w:widowControl/>
              <w:jc w:val="center"/>
              <w:rPr>
                <w:rFonts w:ascii="宋体" w:hAnsi="宋体" w:cs="宋体"/>
                <w:b/>
                <w:bCs/>
                <w:kern w:val="0"/>
                <w:sz w:val="24"/>
              </w:rPr>
            </w:pPr>
            <w:r>
              <w:rPr>
                <w:rFonts w:hint="eastAsia" w:ascii="宋体" w:hAnsi="宋体" w:cs="宋体"/>
                <w:b/>
                <w:bCs/>
                <w:kern w:val="0"/>
                <w:sz w:val="24"/>
              </w:rPr>
              <w:t>重要性</w:t>
            </w:r>
          </w:p>
        </w:tc>
        <w:tc>
          <w:tcPr>
            <w:tcW w:w="5953" w:type="dxa"/>
            <w:tcBorders>
              <w:top w:val="single" w:color="auto" w:sz="4" w:space="0"/>
              <w:left w:val="nil"/>
              <w:bottom w:val="single" w:color="auto" w:sz="4" w:space="0"/>
              <w:right w:val="single" w:color="auto" w:sz="4" w:space="0"/>
            </w:tcBorders>
            <w:vAlign w:val="center"/>
          </w:tcPr>
          <w:p w14:paraId="5D188FFE">
            <w:pPr>
              <w:widowControl/>
              <w:jc w:val="center"/>
              <w:rPr>
                <w:rFonts w:ascii="宋体" w:hAnsi="宋体" w:cs="宋体"/>
                <w:b/>
                <w:bCs/>
                <w:kern w:val="0"/>
                <w:sz w:val="24"/>
              </w:rPr>
            </w:pPr>
            <w:r>
              <w:rPr>
                <w:rFonts w:hint="eastAsia" w:ascii="宋体" w:hAnsi="宋体" w:cs="宋体"/>
                <w:b/>
                <w:bCs/>
                <w:kern w:val="0"/>
                <w:sz w:val="24"/>
              </w:rPr>
              <w:t>具体指标内容</w:t>
            </w:r>
          </w:p>
        </w:tc>
        <w:tc>
          <w:tcPr>
            <w:tcW w:w="1103" w:type="dxa"/>
            <w:tcBorders>
              <w:top w:val="single" w:color="auto" w:sz="4" w:space="0"/>
              <w:left w:val="nil"/>
              <w:bottom w:val="single" w:color="auto" w:sz="4" w:space="0"/>
              <w:right w:val="single" w:color="auto" w:sz="4" w:space="0"/>
            </w:tcBorders>
            <w:vAlign w:val="center"/>
          </w:tcPr>
          <w:p w14:paraId="68178613">
            <w:pPr>
              <w:widowControl/>
              <w:jc w:val="center"/>
              <w:rPr>
                <w:rFonts w:ascii="宋体" w:hAnsi="宋体" w:cs="宋体"/>
                <w:b/>
                <w:bCs/>
                <w:kern w:val="0"/>
                <w:sz w:val="24"/>
              </w:rPr>
            </w:pPr>
            <w:r>
              <w:rPr>
                <w:rFonts w:hint="eastAsia" w:ascii="宋体" w:hAnsi="宋体" w:cs="宋体"/>
                <w:b/>
                <w:bCs/>
                <w:kern w:val="0"/>
                <w:sz w:val="24"/>
              </w:rPr>
              <w:t>是否需要证明材料</w:t>
            </w:r>
          </w:p>
        </w:tc>
      </w:tr>
      <w:tr w14:paraId="0AAAF726">
        <w:tblPrEx>
          <w:tblCellMar>
            <w:top w:w="0" w:type="dxa"/>
            <w:left w:w="108" w:type="dxa"/>
            <w:bottom w:w="0" w:type="dxa"/>
            <w:right w:w="108" w:type="dxa"/>
          </w:tblCellMar>
        </w:tblPrEx>
        <w:trPr>
          <w:trHeight w:val="270" w:hRule="atLeast"/>
        </w:trPr>
        <w:tc>
          <w:tcPr>
            <w:tcW w:w="675" w:type="dxa"/>
            <w:tcBorders>
              <w:top w:val="nil"/>
              <w:left w:val="single" w:color="auto" w:sz="4" w:space="0"/>
              <w:bottom w:val="single" w:color="auto" w:sz="4" w:space="0"/>
              <w:right w:val="single" w:color="auto" w:sz="4" w:space="0"/>
            </w:tcBorders>
            <w:vAlign w:val="center"/>
          </w:tcPr>
          <w:p w14:paraId="5DF873D8">
            <w:pPr>
              <w:widowControl/>
              <w:jc w:val="center"/>
              <w:rPr>
                <w:rFonts w:ascii="宋体" w:hAnsi="宋体" w:cs="宋体"/>
                <w:kern w:val="0"/>
                <w:sz w:val="24"/>
              </w:rPr>
            </w:pPr>
            <w:r>
              <w:rPr>
                <w:rFonts w:hint="eastAsia" w:ascii="宋体" w:hAnsi="宋体" w:cs="宋体"/>
                <w:kern w:val="0"/>
                <w:sz w:val="24"/>
              </w:rPr>
              <w:t>1</w:t>
            </w:r>
          </w:p>
        </w:tc>
        <w:tc>
          <w:tcPr>
            <w:tcW w:w="993" w:type="dxa"/>
            <w:tcBorders>
              <w:top w:val="nil"/>
              <w:left w:val="nil"/>
              <w:bottom w:val="single" w:color="auto" w:sz="4" w:space="0"/>
              <w:right w:val="single" w:color="auto" w:sz="4" w:space="0"/>
            </w:tcBorders>
            <w:vAlign w:val="center"/>
          </w:tcPr>
          <w:p w14:paraId="769D5027">
            <w:pPr>
              <w:widowControl/>
              <w:jc w:val="center"/>
              <w:rPr>
                <w:rFonts w:ascii="宋体" w:hAnsi="宋体" w:cs="宋体"/>
                <w:kern w:val="0"/>
                <w:sz w:val="24"/>
              </w:rPr>
            </w:pPr>
            <w:r>
              <w:rPr>
                <w:rFonts w:hint="eastAsia" w:ascii="宋体" w:hAnsi="宋体" w:cs="宋体"/>
                <w:kern w:val="0"/>
                <w:sz w:val="24"/>
              </w:rPr>
              <w:t>#</w:t>
            </w:r>
          </w:p>
        </w:tc>
        <w:tc>
          <w:tcPr>
            <w:tcW w:w="5953" w:type="dxa"/>
            <w:tcBorders>
              <w:top w:val="nil"/>
              <w:left w:val="nil"/>
              <w:bottom w:val="single" w:color="auto" w:sz="4" w:space="0"/>
              <w:right w:val="single" w:color="auto" w:sz="4" w:space="0"/>
            </w:tcBorders>
            <w:vAlign w:val="center"/>
          </w:tcPr>
          <w:p w14:paraId="177642F1">
            <w:pPr>
              <w:widowControl/>
              <w:rPr>
                <w:rFonts w:ascii="宋体" w:hAnsi="宋体" w:cs="宋体"/>
                <w:kern w:val="0"/>
                <w:sz w:val="24"/>
              </w:rPr>
            </w:pPr>
            <w:r>
              <w:rPr>
                <w:rFonts w:hint="eastAsia" w:ascii="宋体" w:hAnsi="宋体" w:cs="宋体"/>
                <w:kern w:val="0"/>
                <w:sz w:val="24"/>
              </w:rPr>
              <w:t>屏幕尺寸：≥55英寸。</w:t>
            </w:r>
            <w:r>
              <w:rPr>
                <w:rFonts w:hint="eastAsia" w:asciiTheme="minorEastAsia" w:hAnsiTheme="minorEastAsia" w:cstheme="minorEastAsia"/>
                <w:sz w:val="24"/>
              </w:rPr>
              <w:t>（需提供</w:t>
            </w:r>
            <w:r>
              <w:rPr>
                <w:rFonts w:hint="eastAsia" w:asciiTheme="minorEastAsia" w:hAnsiTheme="minorEastAsia" w:eastAsiaTheme="minorEastAsia" w:cstheme="minorEastAsia"/>
                <w:sz w:val="24"/>
              </w:rPr>
              <w:t>生产厂家产品规格书或生产厂家官方网站截图</w:t>
            </w:r>
            <w:r>
              <w:rPr>
                <w:rFonts w:hint="eastAsia" w:asciiTheme="minorEastAsia" w:hAnsiTheme="minorEastAsia" w:cstheme="minorEastAsia"/>
                <w:sz w:val="24"/>
              </w:rPr>
              <w:t>）</w:t>
            </w:r>
          </w:p>
        </w:tc>
        <w:tc>
          <w:tcPr>
            <w:tcW w:w="1103" w:type="dxa"/>
            <w:tcBorders>
              <w:top w:val="nil"/>
              <w:left w:val="nil"/>
              <w:bottom w:val="single" w:color="auto" w:sz="4" w:space="0"/>
              <w:right w:val="single" w:color="auto" w:sz="4" w:space="0"/>
            </w:tcBorders>
            <w:noWrap/>
            <w:vAlign w:val="center"/>
          </w:tcPr>
          <w:p w14:paraId="17102F44">
            <w:pPr>
              <w:widowControl/>
              <w:jc w:val="center"/>
              <w:rPr>
                <w:rFonts w:ascii="宋体" w:hAnsi="宋体" w:cs="宋体"/>
                <w:kern w:val="0"/>
                <w:sz w:val="24"/>
              </w:rPr>
            </w:pPr>
            <w:r>
              <w:rPr>
                <w:rFonts w:hint="eastAsia" w:ascii="宋体" w:hAnsi="宋体" w:cs="宋体"/>
                <w:kern w:val="0"/>
                <w:sz w:val="24"/>
              </w:rPr>
              <w:t>是</w:t>
            </w:r>
          </w:p>
        </w:tc>
      </w:tr>
      <w:tr w14:paraId="5533B8C1">
        <w:tblPrEx>
          <w:tblCellMar>
            <w:top w:w="0" w:type="dxa"/>
            <w:left w:w="108" w:type="dxa"/>
            <w:bottom w:w="0" w:type="dxa"/>
            <w:right w:w="108" w:type="dxa"/>
          </w:tblCellMar>
        </w:tblPrEx>
        <w:trPr>
          <w:trHeight w:val="270" w:hRule="atLeast"/>
        </w:trPr>
        <w:tc>
          <w:tcPr>
            <w:tcW w:w="675" w:type="dxa"/>
            <w:tcBorders>
              <w:top w:val="nil"/>
              <w:left w:val="single" w:color="auto" w:sz="4" w:space="0"/>
              <w:bottom w:val="single" w:color="auto" w:sz="4" w:space="0"/>
              <w:right w:val="single" w:color="auto" w:sz="4" w:space="0"/>
            </w:tcBorders>
            <w:vAlign w:val="center"/>
          </w:tcPr>
          <w:p w14:paraId="4BB0EEE3">
            <w:pPr>
              <w:widowControl/>
              <w:jc w:val="center"/>
              <w:rPr>
                <w:rFonts w:ascii="宋体" w:hAnsi="宋体" w:cs="宋体"/>
                <w:kern w:val="0"/>
                <w:sz w:val="24"/>
              </w:rPr>
            </w:pPr>
            <w:r>
              <w:rPr>
                <w:rFonts w:hint="eastAsia" w:ascii="宋体" w:hAnsi="宋体" w:cs="宋体"/>
                <w:kern w:val="0"/>
                <w:sz w:val="24"/>
              </w:rPr>
              <w:t>2</w:t>
            </w:r>
          </w:p>
        </w:tc>
        <w:tc>
          <w:tcPr>
            <w:tcW w:w="993" w:type="dxa"/>
            <w:tcBorders>
              <w:top w:val="nil"/>
              <w:left w:val="nil"/>
              <w:bottom w:val="single" w:color="auto" w:sz="4" w:space="0"/>
              <w:right w:val="single" w:color="auto" w:sz="4" w:space="0"/>
            </w:tcBorders>
            <w:vAlign w:val="center"/>
          </w:tcPr>
          <w:p w14:paraId="7A76D998">
            <w:pPr>
              <w:widowControl/>
              <w:jc w:val="center"/>
              <w:rPr>
                <w:rFonts w:ascii="宋体" w:hAnsi="宋体" w:cs="宋体"/>
                <w:kern w:val="0"/>
                <w:sz w:val="24"/>
              </w:rPr>
            </w:pPr>
          </w:p>
        </w:tc>
        <w:tc>
          <w:tcPr>
            <w:tcW w:w="5953" w:type="dxa"/>
            <w:tcBorders>
              <w:top w:val="nil"/>
              <w:left w:val="nil"/>
              <w:bottom w:val="single" w:color="auto" w:sz="4" w:space="0"/>
              <w:right w:val="single" w:color="auto" w:sz="4" w:space="0"/>
            </w:tcBorders>
            <w:vAlign w:val="center"/>
          </w:tcPr>
          <w:p w14:paraId="32D41FA5">
            <w:pPr>
              <w:widowControl/>
              <w:rPr>
                <w:rFonts w:ascii="宋体" w:hAnsi="宋体" w:cs="宋体"/>
                <w:kern w:val="0"/>
                <w:sz w:val="24"/>
              </w:rPr>
            </w:pPr>
            <w:r>
              <w:rPr>
                <w:rFonts w:hint="eastAsia" w:ascii="宋体" w:hAnsi="宋体" w:cs="宋体"/>
                <w:kern w:val="0"/>
                <w:sz w:val="24"/>
              </w:rPr>
              <w:t>分辨率：≥3840×2160像素</w:t>
            </w:r>
          </w:p>
        </w:tc>
        <w:tc>
          <w:tcPr>
            <w:tcW w:w="1103" w:type="dxa"/>
            <w:tcBorders>
              <w:top w:val="nil"/>
              <w:left w:val="nil"/>
              <w:bottom w:val="single" w:color="auto" w:sz="4" w:space="0"/>
              <w:right w:val="single" w:color="auto" w:sz="4" w:space="0"/>
            </w:tcBorders>
            <w:noWrap/>
            <w:vAlign w:val="center"/>
          </w:tcPr>
          <w:p w14:paraId="2742FCD9">
            <w:pPr>
              <w:widowControl/>
              <w:jc w:val="center"/>
              <w:rPr>
                <w:rFonts w:ascii="宋体" w:hAnsi="宋体" w:cs="宋体"/>
                <w:kern w:val="0"/>
                <w:sz w:val="24"/>
              </w:rPr>
            </w:pPr>
            <w:r>
              <w:rPr>
                <w:rFonts w:hint="eastAsia" w:ascii="宋体" w:hAnsi="宋体" w:cs="宋体"/>
                <w:kern w:val="0"/>
                <w:sz w:val="24"/>
              </w:rPr>
              <w:t>否</w:t>
            </w:r>
          </w:p>
        </w:tc>
      </w:tr>
      <w:tr w14:paraId="279B2A2E">
        <w:tblPrEx>
          <w:tblCellMar>
            <w:top w:w="0" w:type="dxa"/>
            <w:left w:w="108" w:type="dxa"/>
            <w:bottom w:w="0" w:type="dxa"/>
            <w:right w:w="108" w:type="dxa"/>
          </w:tblCellMar>
        </w:tblPrEx>
        <w:trPr>
          <w:trHeight w:val="270" w:hRule="atLeast"/>
        </w:trPr>
        <w:tc>
          <w:tcPr>
            <w:tcW w:w="675" w:type="dxa"/>
            <w:tcBorders>
              <w:top w:val="nil"/>
              <w:left w:val="single" w:color="auto" w:sz="4" w:space="0"/>
              <w:bottom w:val="single" w:color="auto" w:sz="4" w:space="0"/>
              <w:right w:val="single" w:color="auto" w:sz="4" w:space="0"/>
            </w:tcBorders>
            <w:vAlign w:val="center"/>
          </w:tcPr>
          <w:p w14:paraId="193636B6">
            <w:pPr>
              <w:widowControl/>
              <w:jc w:val="center"/>
              <w:rPr>
                <w:rFonts w:ascii="宋体" w:hAnsi="宋体" w:cs="宋体"/>
                <w:kern w:val="0"/>
                <w:sz w:val="24"/>
              </w:rPr>
            </w:pPr>
            <w:r>
              <w:rPr>
                <w:rFonts w:hint="eastAsia" w:ascii="宋体" w:hAnsi="宋体" w:cs="宋体"/>
                <w:kern w:val="0"/>
                <w:sz w:val="24"/>
              </w:rPr>
              <w:t>3</w:t>
            </w:r>
          </w:p>
        </w:tc>
        <w:tc>
          <w:tcPr>
            <w:tcW w:w="993" w:type="dxa"/>
            <w:tcBorders>
              <w:top w:val="nil"/>
              <w:left w:val="nil"/>
              <w:bottom w:val="single" w:color="auto" w:sz="4" w:space="0"/>
              <w:right w:val="single" w:color="auto" w:sz="4" w:space="0"/>
            </w:tcBorders>
            <w:vAlign w:val="center"/>
          </w:tcPr>
          <w:p w14:paraId="30DD124C">
            <w:pPr>
              <w:widowControl/>
              <w:jc w:val="center"/>
              <w:rPr>
                <w:rFonts w:ascii="宋体" w:hAnsi="宋体" w:cs="宋体"/>
                <w:kern w:val="0"/>
                <w:sz w:val="24"/>
              </w:rPr>
            </w:pPr>
          </w:p>
        </w:tc>
        <w:tc>
          <w:tcPr>
            <w:tcW w:w="5953" w:type="dxa"/>
            <w:tcBorders>
              <w:top w:val="nil"/>
              <w:left w:val="nil"/>
              <w:bottom w:val="single" w:color="auto" w:sz="4" w:space="0"/>
              <w:right w:val="single" w:color="auto" w:sz="4" w:space="0"/>
            </w:tcBorders>
            <w:vAlign w:val="center"/>
          </w:tcPr>
          <w:p w14:paraId="700F6335">
            <w:pPr>
              <w:widowControl/>
              <w:rPr>
                <w:rFonts w:ascii="宋体" w:hAnsi="宋体" w:cs="宋体"/>
                <w:kern w:val="0"/>
                <w:sz w:val="24"/>
              </w:rPr>
            </w:pPr>
            <w:r>
              <w:rPr>
                <w:rFonts w:hint="eastAsia" w:ascii="宋体" w:hAnsi="宋体" w:cs="宋体"/>
                <w:kern w:val="0"/>
                <w:sz w:val="24"/>
              </w:rPr>
              <w:t>对比度：≥1200：1</w:t>
            </w:r>
          </w:p>
        </w:tc>
        <w:tc>
          <w:tcPr>
            <w:tcW w:w="1103" w:type="dxa"/>
            <w:tcBorders>
              <w:top w:val="nil"/>
              <w:left w:val="nil"/>
              <w:bottom w:val="single" w:color="auto" w:sz="4" w:space="0"/>
              <w:right w:val="single" w:color="auto" w:sz="4" w:space="0"/>
            </w:tcBorders>
            <w:noWrap/>
            <w:vAlign w:val="center"/>
          </w:tcPr>
          <w:p w14:paraId="70B658E6">
            <w:pPr>
              <w:widowControl/>
              <w:jc w:val="center"/>
              <w:rPr>
                <w:rFonts w:ascii="宋体" w:hAnsi="宋体" w:cs="宋体"/>
                <w:kern w:val="0"/>
                <w:sz w:val="24"/>
              </w:rPr>
            </w:pPr>
            <w:r>
              <w:rPr>
                <w:rFonts w:hint="eastAsia" w:ascii="宋体" w:hAnsi="宋体" w:cs="宋体"/>
                <w:kern w:val="0"/>
                <w:sz w:val="24"/>
              </w:rPr>
              <w:t>否</w:t>
            </w:r>
          </w:p>
        </w:tc>
      </w:tr>
      <w:tr w14:paraId="5239AA8E">
        <w:tblPrEx>
          <w:tblCellMar>
            <w:top w:w="0" w:type="dxa"/>
            <w:left w:w="108" w:type="dxa"/>
            <w:bottom w:w="0" w:type="dxa"/>
            <w:right w:w="108" w:type="dxa"/>
          </w:tblCellMar>
        </w:tblPrEx>
        <w:trPr>
          <w:trHeight w:val="270" w:hRule="atLeast"/>
        </w:trPr>
        <w:tc>
          <w:tcPr>
            <w:tcW w:w="675" w:type="dxa"/>
            <w:tcBorders>
              <w:top w:val="nil"/>
              <w:left w:val="single" w:color="auto" w:sz="4" w:space="0"/>
              <w:bottom w:val="single" w:color="auto" w:sz="4" w:space="0"/>
              <w:right w:val="single" w:color="auto" w:sz="4" w:space="0"/>
            </w:tcBorders>
            <w:vAlign w:val="center"/>
          </w:tcPr>
          <w:p w14:paraId="59858F85">
            <w:pPr>
              <w:widowControl/>
              <w:jc w:val="center"/>
              <w:rPr>
                <w:rFonts w:ascii="宋体" w:hAnsi="宋体" w:cs="宋体"/>
                <w:kern w:val="0"/>
                <w:sz w:val="24"/>
              </w:rPr>
            </w:pPr>
            <w:r>
              <w:rPr>
                <w:rFonts w:hint="eastAsia" w:ascii="宋体" w:hAnsi="宋体" w:cs="宋体"/>
                <w:kern w:val="0"/>
                <w:sz w:val="24"/>
              </w:rPr>
              <w:t>4</w:t>
            </w:r>
          </w:p>
        </w:tc>
        <w:tc>
          <w:tcPr>
            <w:tcW w:w="993" w:type="dxa"/>
            <w:tcBorders>
              <w:top w:val="nil"/>
              <w:left w:val="nil"/>
              <w:bottom w:val="single" w:color="auto" w:sz="4" w:space="0"/>
              <w:right w:val="single" w:color="auto" w:sz="4" w:space="0"/>
            </w:tcBorders>
            <w:vAlign w:val="center"/>
          </w:tcPr>
          <w:p w14:paraId="40000D9A">
            <w:pPr>
              <w:widowControl/>
              <w:jc w:val="center"/>
              <w:rPr>
                <w:rFonts w:ascii="宋体" w:hAnsi="宋体" w:cs="宋体"/>
                <w:kern w:val="0"/>
                <w:sz w:val="24"/>
              </w:rPr>
            </w:pPr>
          </w:p>
        </w:tc>
        <w:tc>
          <w:tcPr>
            <w:tcW w:w="5953" w:type="dxa"/>
            <w:tcBorders>
              <w:top w:val="nil"/>
              <w:left w:val="nil"/>
              <w:bottom w:val="single" w:color="auto" w:sz="4" w:space="0"/>
              <w:right w:val="single" w:color="auto" w:sz="4" w:space="0"/>
            </w:tcBorders>
            <w:vAlign w:val="center"/>
          </w:tcPr>
          <w:p w14:paraId="7FF8F8A3">
            <w:pPr>
              <w:widowControl/>
              <w:rPr>
                <w:rFonts w:ascii="宋体" w:hAnsi="宋体" w:cs="宋体"/>
                <w:kern w:val="0"/>
                <w:sz w:val="24"/>
              </w:rPr>
            </w:pPr>
            <w:r>
              <w:rPr>
                <w:rFonts w:hint="eastAsia" w:ascii="宋体" w:hAnsi="宋体" w:cs="宋体"/>
                <w:kern w:val="0"/>
                <w:sz w:val="24"/>
              </w:rPr>
              <w:t>动态响应：≤8ms</w:t>
            </w:r>
          </w:p>
        </w:tc>
        <w:tc>
          <w:tcPr>
            <w:tcW w:w="1103" w:type="dxa"/>
            <w:tcBorders>
              <w:top w:val="nil"/>
              <w:left w:val="nil"/>
              <w:bottom w:val="single" w:color="auto" w:sz="4" w:space="0"/>
              <w:right w:val="single" w:color="auto" w:sz="4" w:space="0"/>
            </w:tcBorders>
            <w:noWrap/>
            <w:vAlign w:val="center"/>
          </w:tcPr>
          <w:p w14:paraId="29721DC9">
            <w:pPr>
              <w:widowControl/>
              <w:jc w:val="center"/>
              <w:rPr>
                <w:rFonts w:ascii="宋体" w:hAnsi="宋体" w:cs="宋体"/>
                <w:kern w:val="0"/>
                <w:sz w:val="24"/>
              </w:rPr>
            </w:pPr>
            <w:r>
              <w:rPr>
                <w:rFonts w:hint="eastAsia" w:ascii="宋体" w:hAnsi="宋体" w:cs="宋体"/>
                <w:kern w:val="0"/>
                <w:sz w:val="24"/>
              </w:rPr>
              <w:t>否</w:t>
            </w:r>
          </w:p>
        </w:tc>
      </w:tr>
      <w:tr w14:paraId="286AA365">
        <w:tblPrEx>
          <w:tblCellMar>
            <w:top w:w="0" w:type="dxa"/>
            <w:left w:w="108" w:type="dxa"/>
            <w:bottom w:w="0" w:type="dxa"/>
            <w:right w:w="108" w:type="dxa"/>
          </w:tblCellMar>
        </w:tblPrEx>
        <w:trPr>
          <w:trHeight w:val="270" w:hRule="atLeast"/>
        </w:trPr>
        <w:tc>
          <w:tcPr>
            <w:tcW w:w="675" w:type="dxa"/>
            <w:tcBorders>
              <w:top w:val="nil"/>
              <w:left w:val="single" w:color="auto" w:sz="4" w:space="0"/>
              <w:bottom w:val="single" w:color="auto" w:sz="4" w:space="0"/>
              <w:right w:val="single" w:color="auto" w:sz="4" w:space="0"/>
            </w:tcBorders>
            <w:vAlign w:val="center"/>
          </w:tcPr>
          <w:p w14:paraId="43CE8715">
            <w:pPr>
              <w:widowControl/>
              <w:jc w:val="center"/>
              <w:rPr>
                <w:rFonts w:ascii="宋体" w:hAnsi="宋体" w:cs="宋体"/>
                <w:kern w:val="0"/>
                <w:sz w:val="24"/>
              </w:rPr>
            </w:pPr>
            <w:r>
              <w:rPr>
                <w:rFonts w:hint="eastAsia" w:ascii="宋体" w:hAnsi="宋体" w:cs="宋体"/>
                <w:kern w:val="0"/>
                <w:sz w:val="24"/>
              </w:rPr>
              <w:t>5</w:t>
            </w:r>
          </w:p>
        </w:tc>
        <w:tc>
          <w:tcPr>
            <w:tcW w:w="993" w:type="dxa"/>
            <w:tcBorders>
              <w:top w:val="nil"/>
              <w:left w:val="nil"/>
              <w:bottom w:val="single" w:color="auto" w:sz="4" w:space="0"/>
              <w:right w:val="single" w:color="auto" w:sz="4" w:space="0"/>
            </w:tcBorders>
            <w:vAlign w:val="center"/>
          </w:tcPr>
          <w:p w14:paraId="5057675D">
            <w:pPr>
              <w:widowControl/>
              <w:jc w:val="center"/>
              <w:rPr>
                <w:rFonts w:ascii="宋体" w:hAnsi="宋体" w:cs="宋体"/>
                <w:kern w:val="0"/>
                <w:sz w:val="24"/>
              </w:rPr>
            </w:pPr>
          </w:p>
        </w:tc>
        <w:tc>
          <w:tcPr>
            <w:tcW w:w="5953" w:type="dxa"/>
            <w:tcBorders>
              <w:top w:val="nil"/>
              <w:left w:val="nil"/>
              <w:bottom w:val="single" w:color="auto" w:sz="4" w:space="0"/>
              <w:right w:val="single" w:color="auto" w:sz="4" w:space="0"/>
            </w:tcBorders>
            <w:vAlign w:val="center"/>
          </w:tcPr>
          <w:p w14:paraId="06C4CB3C">
            <w:pPr>
              <w:widowControl/>
              <w:rPr>
                <w:rFonts w:ascii="宋体" w:hAnsi="宋体" w:cs="宋体"/>
                <w:kern w:val="0"/>
                <w:sz w:val="24"/>
              </w:rPr>
            </w:pPr>
            <w:r>
              <w:rPr>
                <w:rFonts w:hint="eastAsia" w:ascii="宋体" w:hAnsi="宋体" w:cs="宋体"/>
                <w:kern w:val="0"/>
                <w:sz w:val="24"/>
              </w:rPr>
              <w:t>国产处理器：主频≥1.8GHz、核心数≥4核</w:t>
            </w:r>
          </w:p>
        </w:tc>
        <w:tc>
          <w:tcPr>
            <w:tcW w:w="1103" w:type="dxa"/>
            <w:tcBorders>
              <w:top w:val="nil"/>
              <w:left w:val="nil"/>
              <w:bottom w:val="single" w:color="auto" w:sz="4" w:space="0"/>
              <w:right w:val="single" w:color="auto" w:sz="4" w:space="0"/>
            </w:tcBorders>
            <w:noWrap/>
            <w:vAlign w:val="center"/>
          </w:tcPr>
          <w:p w14:paraId="2B5EB806">
            <w:pPr>
              <w:widowControl/>
              <w:jc w:val="center"/>
              <w:rPr>
                <w:rFonts w:ascii="宋体" w:hAnsi="宋体" w:cs="宋体"/>
                <w:kern w:val="0"/>
                <w:sz w:val="24"/>
              </w:rPr>
            </w:pPr>
            <w:r>
              <w:rPr>
                <w:rFonts w:hint="eastAsia" w:ascii="宋体" w:hAnsi="宋体" w:cs="宋体"/>
                <w:kern w:val="0"/>
                <w:sz w:val="24"/>
              </w:rPr>
              <w:t>否</w:t>
            </w:r>
          </w:p>
        </w:tc>
      </w:tr>
      <w:tr w14:paraId="61C37815">
        <w:tblPrEx>
          <w:tblCellMar>
            <w:top w:w="0" w:type="dxa"/>
            <w:left w:w="108" w:type="dxa"/>
            <w:bottom w:w="0" w:type="dxa"/>
            <w:right w:w="108" w:type="dxa"/>
          </w:tblCellMar>
        </w:tblPrEx>
        <w:trPr>
          <w:trHeight w:val="270" w:hRule="atLeast"/>
        </w:trPr>
        <w:tc>
          <w:tcPr>
            <w:tcW w:w="675" w:type="dxa"/>
            <w:tcBorders>
              <w:top w:val="nil"/>
              <w:left w:val="single" w:color="auto" w:sz="4" w:space="0"/>
              <w:bottom w:val="single" w:color="auto" w:sz="4" w:space="0"/>
              <w:right w:val="single" w:color="auto" w:sz="4" w:space="0"/>
            </w:tcBorders>
            <w:vAlign w:val="center"/>
          </w:tcPr>
          <w:p w14:paraId="3C712295">
            <w:pPr>
              <w:widowControl/>
              <w:jc w:val="center"/>
              <w:rPr>
                <w:rFonts w:ascii="宋体" w:hAnsi="宋体" w:cs="宋体"/>
                <w:kern w:val="0"/>
                <w:sz w:val="24"/>
              </w:rPr>
            </w:pPr>
            <w:r>
              <w:rPr>
                <w:rFonts w:hint="eastAsia" w:ascii="宋体" w:hAnsi="宋体" w:cs="宋体"/>
                <w:kern w:val="0"/>
                <w:sz w:val="24"/>
              </w:rPr>
              <w:t>6</w:t>
            </w:r>
          </w:p>
        </w:tc>
        <w:tc>
          <w:tcPr>
            <w:tcW w:w="993" w:type="dxa"/>
            <w:tcBorders>
              <w:top w:val="nil"/>
              <w:left w:val="nil"/>
              <w:bottom w:val="single" w:color="auto" w:sz="4" w:space="0"/>
              <w:right w:val="single" w:color="auto" w:sz="4" w:space="0"/>
            </w:tcBorders>
            <w:vAlign w:val="center"/>
          </w:tcPr>
          <w:p w14:paraId="6153C332">
            <w:pPr>
              <w:widowControl/>
              <w:jc w:val="center"/>
              <w:rPr>
                <w:rFonts w:ascii="宋体" w:hAnsi="宋体" w:cs="宋体"/>
                <w:kern w:val="0"/>
                <w:sz w:val="24"/>
              </w:rPr>
            </w:pPr>
          </w:p>
        </w:tc>
        <w:tc>
          <w:tcPr>
            <w:tcW w:w="5953" w:type="dxa"/>
            <w:tcBorders>
              <w:top w:val="nil"/>
              <w:left w:val="nil"/>
              <w:bottom w:val="single" w:color="auto" w:sz="4" w:space="0"/>
              <w:right w:val="single" w:color="auto" w:sz="4" w:space="0"/>
            </w:tcBorders>
            <w:vAlign w:val="center"/>
          </w:tcPr>
          <w:p w14:paraId="1C7FD3ED">
            <w:pPr>
              <w:widowControl/>
              <w:rPr>
                <w:rFonts w:ascii="宋体" w:hAnsi="宋体" w:cs="宋体"/>
                <w:kern w:val="0"/>
                <w:sz w:val="24"/>
              </w:rPr>
            </w:pPr>
            <w:r>
              <w:rPr>
                <w:rFonts w:hint="eastAsia" w:ascii="宋体" w:hAnsi="宋体" w:cs="宋体"/>
                <w:kern w:val="0"/>
                <w:sz w:val="24"/>
              </w:rPr>
              <w:t>内存：≥2G；存储：≥32GB</w:t>
            </w:r>
          </w:p>
        </w:tc>
        <w:tc>
          <w:tcPr>
            <w:tcW w:w="1103" w:type="dxa"/>
            <w:tcBorders>
              <w:top w:val="nil"/>
              <w:left w:val="nil"/>
              <w:bottom w:val="single" w:color="auto" w:sz="4" w:space="0"/>
              <w:right w:val="single" w:color="auto" w:sz="4" w:space="0"/>
            </w:tcBorders>
            <w:noWrap/>
            <w:vAlign w:val="center"/>
          </w:tcPr>
          <w:p w14:paraId="7229CE85">
            <w:pPr>
              <w:widowControl/>
              <w:jc w:val="center"/>
              <w:rPr>
                <w:rFonts w:ascii="宋体" w:hAnsi="宋体" w:cs="宋体"/>
                <w:kern w:val="0"/>
                <w:sz w:val="24"/>
              </w:rPr>
            </w:pPr>
            <w:r>
              <w:rPr>
                <w:rFonts w:hint="eastAsia" w:ascii="宋体" w:hAnsi="宋体" w:cs="宋体"/>
                <w:kern w:val="0"/>
                <w:sz w:val="24"/>
              </w:rPr>
              <w:t>否</w:t>
            </w:r>
          </w:p>
        </w:tc>
      </w:tr>
      <w:tr w14:paraId="6FC16AB8">
        <w:tblPrEx>
          <w:tblCellMar>
            <w:top w:w="0" w:type="dxa"/>
            <w:left w:w="108" w:type="dxa"/>
            <w:bottom w:w="0" w:type="dxa"/>
            <w:right w:w="108" w:type="dxa"/>
          </w:tblCellMar>
        </w:tblPrEx>
        <w:trPr>
          <w:trHeight w:val="270" w:hRule="atLeast"/>
        </w:trPr>
        <w:tc>
          <w:tcPr>
            <w:tcW w:w="675" w:type="dxa"/>
            <w:tcBorders>
              <w:top w:val="single" w:color="auto" w:sz="4" w:space="0"/>
              <w:left w:val="single" w:color="auto" w:sz="4" w:space="0"/>
              <w:bottom w:val="single" w:color="auto" w:sz="4" w:space="0"/>
              <w:right w:val="single" w:color="auto" w:sz="4" w:space="0"/>
            </w:tcBorders>
            <w:vAlign w:val="center"/>
          </w:tcPr>
          <w:p w14:paraId="3F52CB4D">
            <w:pPr>
              <w:widowControl/>
              <w:jc w:val="center"/>
              <w:rPr>
                <w:rFonts w:ascii="宋体" w:hAnsi="宋体" w:cs="宋体"/>
                <w:kern w:val="0"/>
                <w:sz w:val="24"/>
              </w:rPr>
            </w:pPr>
            <w:r>
              <w:rPr>
                <w:rFonts w:hint="eastAsia" w:ascii="宋体" w:hAnsi="宋体" w:cs="宋体"/>
                <w:kern w:val="0"/>
                <w:sz w:val="24"/>
              </w:rPr>
              <w:t>7</w:t>
            </w:r>
          </w:p>
        </w:tc>
        <w:tc>
          <w:tcPr>
            <w:tcW w:w="993" w:type="dxa"/>
            <w:tcBorders>
              <w:top w:val="single" w:color="auto" w:sz="4" w:space="0"/>
              <w:left w:val="nil"/>
              <w:bottom w:val="single" w:color="auto" w:sz="4" w:space="0"/>
              <w:right w:val="single" w:color="auto" w:sz="4" w:space="0"/>
            </w:tcBorders>
            <w:vAlign w:val="center"/>
          </w:tcPr>
          <w:p w14:paraId="21AD1CFC">
            <w:pPr>
              <w:widowControl/>
              <w:jc w:val="center"/>
              <w:rPr>
                <w:rFonts w:ascii="宋体" w:hAnsi="宋体" w:cs="宋体"/>
                <w:kern w:val="0"/>
                <w:sz w:val="24"/>
              </w:rPr>
            </w:pPr>
          </w:p>
        </w:tc>
        <w:tc>
          <w:tcPr>
            <w:tcW w:w="5953" w:type="dxa"/>
            <w:tcBorders>
              <w:top w:val="single" w:color="auto" w:sz="4" w:space="0"/>
              <w:left w:val="nil"/>
              <w:bottom w:val="single" w:color="auto" w:sz="4" w:space="0"/>
              <w:right w:val="single" w:color="auto" w:sz="4" w:space="0"/>
            </w:tcBorders>
            <w:vAlign w:val="center"/>
          </w:tcPr>
          <w:p w14:paraId="789A33A0">
            <w:pPr>
              <w:widowControl/>
              <w:rPr>
                <w:rFonts w:ascii="宋体" w:hAnsi="宋体" w:cs="宋体"/>
                <w:kern w:val="0"/>
                <w:sz w:val="24"/>
              </w:rPr>
            </w:pPr>
            <w:r>
              <w:rPr>
                <w:rFonts w:hint="eastAsia" w:ascii="宋体" w:hAnsi="宋体" w:cs="宋体"/>
                <w:kern w:val="0"/>
                <w:sz w:val="24"/>
              </w:rPr>
              <w:t>含现场安装所需壁装支架、电源线和HDMI线缆（长度满足现场实际需要）</w:t>
            </w:r>
          </w:p>
        </w:tc>
        <w:tc>
          <w:tcPr>
            <w:tcW w:w="1103" w:type="dxa"/>
            <w:tcBorders>
              <w:top w:val="single" w:color="auto" w:sz="4" w:space="0"/>
              <w:left w:val="nil"/>
              <w:bottom w:val="single" w:color="auto" w:sz="4" w:space="0"/>
              <w:right w:val="single" w:color="auto" w:sz="4" w:space="0"/>
            </w:tcBorders>
            <w:noWrap/>
            <w:vAlign w:val="center"/>
          </w:tcPr>
          <w:p w14:paraId="63D58197">
            <w:pPr>
              <w:widowControl/>
              <w:jc w:val="center"/>
              <w:rPr>
                <w:rFonts w:ascii="宋体" w:hAnsi="宋体" w:cs="宋体"/>
                <w:kern w:val="0"/>
                <w:sz w:val="24"/>
              </w:rPr>
            </w:pPr>
            <w:r>
              <w:rPr>
                <w:rFonts w:hint="eastAsia" w:ascii="宋体" w:hAnsi="宋体" w:cs="宋体"/>
                <w:kern w:val="0"/>
                <w:sz w:val="24"/>
              </w:rPr>
              <w:t>否</w:t>
            </w:r>
          </w:p>
        </w:tc>
      </w:tr>
      <w:tr w14:paraId="6A5AB9CE">
        <w:tblPrEx>
          <w:tblCellMar>
            <w:top w:w="0" w:type="dxa"/>
            <w:left w:w="108" w:type="dxa"/>
            <w:bottom w:w="0" w:type="dxa"/>
            <w:right w:w="108" w:type="dxa"/>
          </w:tblCellMar>
        </w:tblPrEx>
        <w:trPr>
          <w:trHeight w:val="270" w:hRule="atLeast"/>
        </w:trPr>
        <w:tc>
          <w:tcPr>
            <w:tcW w:w="675" w:type="dxa"/>
            <w:tcBorders>
              <w:top w:val="single" w:color="auto" w:sz="4" w:space="0"/>
              <w:left w:val="single" w:color="auto" w:sz="4" w:space="0"/>
              <w:bottom w:val="single" w:color="auto" w:sz="4" w:space="0"/>
              <w:right w:val="single" w:color="auto" w:sz="4" w:space="0"/>
            </w:tcBorders>
            <w:vAlign w:val="center"/>
          </w:tcPr>
          <w:p w14:paraId="40843F84">
            <w:pPr>
              <w:widowControl/>
              <w:jc w:val="center"/>
              <w:rPr>
                <w:rFonts w:ascii="宋体" w:hAnsi="宋体" w:cs="宋体"/>
                <w:kern w:val="0"/>
                <w:sz w:val="24"/>
              </w:rPr>
            </w:pPr>
            <w:r>
              <w:rPr>
                <w:rFonts w:hint="eastAsia" w:ascii="宋体" w:hAnsi="宋体" w:cs="宋体"/>
                <w:kern w:val="0"/>
                <w:sz w:val="24"/>
              </w:rPr>
              <w:t>8</w:t>
            </w:r>
          </w:p>
        </w:tc>
        <w:tc>
          <w:tcPr>
            <w:tcW w:w="993" w:type="dxa"/>
            <w:tcBorders>
              <w:top w:val="single" w:color="auto" w:sz="4" w:space="0"/>
              <w:left w:val="nil"/>
              <w:bottom w:val="single" w:color="auto" w:sz="4" w:space="0"/>
              <w:right w:val="single" w:color="auto" w:sz="4" w:space="0"/>
            </w:tcBorders>
            <w:vAlign w:val="center"/>
          </w:tcPr>
          <w:p w14:paraId="2B767E7C">
            <w:pPr>
              <w:widowControl/>
              <w:jc w:val="center"/>
              <w:rPr>
                <w:rFonts w:ascii="宋体" w:hAnsi="宋体" w:cs="宋体"/>
                <w:kern w:val="0"/>
                <w:sz w:val="24"/>
              </w:rPr>
            </w:pPr>
            <w:r>
              <w:rPr>
                <w:rFonts w:hint="eastAsia" w:ascii="宋体" w:hAnsi="宋体" w:cs="宋体"/>
                <w:kern w:val="0"/>
                <w:sz w:val="24"/>
              </w:rPr>
              <w:t>#</w:t>
            </w:r>
          </w:p>
        </w:tc>
        <w:tc>
          <w:tcPr>
            <w:tcW w:w="5953" w:type="dxa"/>
            <w:tcBorders>
              <w:top w:val="single" w:color="auto" w:sz="4" w:space="0"/>
              <w:left w:val="nil"/>
              <w:bottom w:val="single" w:color="auto" w:sz="4" w:space="0"/>
              <w:right w:val="single" w:color="auto" w:sz="4" w:space="0"/>
            </w:tcBorders>
            <w:vAlign w:val="center"/>
          </w:tcPr>
          <w:p w14:paraId="6ED4A41E">
            <w:pPr>
              <w:widowControl/>
              <w:rPr>
                <w:rFonts w:ascii="宋体" w:hAnsi="宋体" w:cs="宋体"/>
                <w:kern w:val="0"/>
                <w:sz w:val="24"/>
              </w:rPr>
            </w:pPr>
            <w:r>
              <w:rPr>
                <w:rFonts w:hint="eastAsia" w:ascii="宋体" w:hAnsi="宋体" w:cs="宋体"/>
                <w:kern w:val="0"/>
                <w:sz w:val="24"/>
              </w:rPr>
              <w:t>具备能效二级及以上证书</w:t>
            </w:r>
          </w:p>
        </w:tc>
        <w:tc>
          <w:tcPr>
            <w:tcW w:w="1103" w:type="dxa"/>
            <w:tcBorders>
              <w:top w:val="single" w:color="auto" w:sz="4" w:space="0"/>
              <w:left w:val="nil"/>
              <w:bottom w:val="single" w:color="auto" w:sz="4" w:space="0"/>
              <w:right w:val="single" w:color="auto" w:sz="4" w:space="0"/>
            </w:tcBorders>
            <w:noWrap/>
            <w:vAlign w:val="center"/>
          </w:tcPr>
          <w:p w14:paraId="7E222097">
            <w:pPr>
              <w:widowControl/>
              <w:jc w:val="center"/>
              <w:rPr>
                <w:rFonts w:ascii="宋体" w:hAnsi="宋体" w:cs="宋体"/>
                <w:kern w:val="0"/>
                <w:sz w:val="24"/>
              </w:rPr>
            </w:pPr>
            <w:r>
              <w:rPr>
                <w:rFonts w:hint="eastAsia" w:ascii="宋体" w:hAnsi="宋体" w:cs="宋体"/>
                <w:kern w:val="0"/>
                <w:sz w:val="24"/>
              </w:rPr>
              <w:t>是</w:t>
            </w:r>
          </w:p>
        </w:tc>
      </w:tr>
    </w:tbl>
    <w:p w14:paraId="4B930129">
      <w:pPr>
        <w:spacing w:line="360" w:lineRule="auto"/>
        <w:rPr>
          <w:rFonts w:ascii="宋体" w:hAnsi="宋体" w:cs="宋体"/>
          <w:sz w:val="24"/>
        </w:rPr>
      </w:pPr>
    </w:p>
    <w:p w14:paraId="2EBB2AB7">
      <w:pPr>
        <w:spacing w:line="360" w:lineRule="auto"/>
        <w:ind w:left="420" w:leftChars="200"/>
        <w:outlineLvl w:val="3"/>
        <w:rPr>
          <w:rFonts w:ascii="宋体" w:hAnsi="宋体" w:cs="宋体"/>
          <w:sz w:val="24"/>
        </w:rPr>
      </w:pPr>
      <w:r>
        <w:rPr>
          <w:rFonts w:hint="eastAsia" w:ascii="宋体" w:hAnsi="宋体" w:cs="宋体"/>
          <w:sz w:val="24"/>
        </w:rPr>
        <w:t>2.1.8 80寸液晶电视</w:t>
      </w:r>
    </w:p>
    <w:tbl>
      <w:tblPr>
        <w:tblStyle w:val="15"/>
        <w:tblW w:w="8724" w:type="dxa"/>
        <w:tblInd w:w="0" w:type="dxa"/>
        <w:tblLayout w:type="fixed"/>
        <w:tblCellMar>
          <w:top w:w="0" w:type="dxa"/>
          <w:left w:w="108" w:type="dxa"/>
          <w:bottom w:w="0" w:type="dxa"/>
          <w:right w:w="108" w:type="dxa"/>
        </w:tblCellMar>
      </w:tblPr>
      <w:tblGrid>
        <w:gridCol w:w="675"/>
        <w:gridCol w:w="993"/>
        <w:gridCol w:w="5953"/>
        <w:gridCol w:w="1103"/>
      </w:tblGrid>
      <w:tr w14:paraId="4B285078">
        <w:tblPrEx>
          <w:tblCellMar>
            <w:top w:w="0" w:type="dxa"/>
            <w:left w:w="108" w:type="dxa"/>
            <w:bottom w:w="0" w:type="dxa"/>
            <w:right w:w="108" w:type="dxa"/>
          </w:tblCellMar>
        </w:tblPrEx>
        <w:trPr>
          <w:trHeight w:val="540" w:hRule="atLeast"/>
          <w:tblHeader/>
        </w:trPr>
        <w:tc>
          <w:tcPr>
            <w:tcW w:w="675" w:type="dxa"/>
            <w:tcBorders>
              <w:top w:val="single" w:color="auto" w:sz="4" w:space="0"/>
              <w:left w:val="single" w:color="auto" w:sz="4" w:space="0"/>
              <w:bottom w:val="single" w:color="auto" w:sz="4" w:space="0"/>
              <w:right w:val="single" w:color="auto" w:sz="4" w:space="0"/>
            </w:tcBorders>
            <w:vAlign w:val="center"/>
          </w:tcPr>
          <w:p w14:paraId="1F834F10">
            <w:pPr>
              <w:widowControl/>
              <w:jc w:val="center"/>
              <w:rPr>
                <w:rFonts w:ascii="宋体" w:hAnsi="宋体" w:cs="宋体"/>
                <w:b/>
                <w:bCs/>
                <w:kern w:val="0"/>
                <w:sz w:val="24"/>
              </w:rPr>
            </w:pPr>
            <w:r>
              <w:rPr>
                <w:rFonts w:hint="eastAsia" w:ascii="宋体" w:hAnsi="宋体" w:cs="宋体"/>
                <w:b/>
                <w:bCs/>
                <w:kern w:val="0"/>
                <w:sz w:val="24"/>
              </w:rPr>
              <w:t>序号</w:t>
            </w:r>
          </w:p>
        </w:tc>
        <w:tc>
          <w:tcPr>
            <w:tcW w:w="993" w:type="dxa"/>
            <w:tcBorders>
              <w:top w:val="single" w:color="auto" w:sz="4" w:space="0"/>
              <w:left w:val="nil"/>
              <w:bottom w:val="single" w:color="auto" w:sz="4" w:space="0"/>
              <w:right w:val="single" w:color="auto" w:sz="4" w:space="0"/>
            </w:tcBorders>
            <w:vAlign w:val="center"/>
          </w:tcPr>
          <w:p w14:paraId="696057D9">
            <w:pPr>
              <w:widowControl/>
              <w:jc w:val="center"/>
              <w:rPr>
                <w:rFonts w:ascii="宋体" w:hAnsi="宋体" w:cs="宋体"/>
                <w:b/>
                <w:bCs/>
                <w:kern w:val="0"/>
                <w:sz w:val="24"/>
              </w:rPr>
            </w:pPr>
            <w:r>
              <w:rPr>
                <w:rFonts w:hint="eastAsia" w:ascii="宋体" w:hAnsi="宋体" w:cs="宋体"/>
                <w:b/>
                <w:bCs/>
                <w:kern w:val="0"/>
                <w:sz w:val="24"/>
              </w:rPr>
              <w:t>重要性</w:t>
            </w:r>
          </w:p>
        </w:tc>
        <w:tc>
          <w:tcPr>
            <w:tcW w:w="5953" w:type="dxa"/>
            <w:tcBorders>
              <w:top w:val="single" w:color="auto" w:sz="4" w:space="0"/>
              <w:left w:val="nil"/>
              <w:bottom w:val="single" w:color="auto" w:sz="4" w:space="0"/>
              <w:right w:val="single" w:color="auto" w:sz="4" w:space="0"/>
            </w:tcBorders>
            <w:vAlign w:val="center"/>
          </w:tcPr>
          <w:p w14:paraId="5F765A78">
            <w:pPr>
              <w:widowControl/>
              <w:jc w:val="center"/>
              <w:rPr>
                <w:rFonts w:ascii="宋体" w:hAnsi="宋体" w:cs="宋体"/>
                <w:b/>
                <w:bCs/>
                <w:kern w:val="0"/>
                <w:sz w:val="24"/>
              </w:rPr>
            </w:pPr>
            <w:r>
              <w:rPr>
                <w:rFonts w:hint="eastAsia" w:ascii="宋体" w:hAnsi="宋体" w:cs="宋体"/>
                <w:b/>
                <w:bCs/>
                <w:kern w:val="0"/>
                <w:sz w:val="24"/>
              </w:rPr>
              <w:t>具体指标内容</w:t>
            </w:r>
          </w:p>
        </w:tc>
        <w:tc>
          <w:tcPr>
            <w:tcW w:w="1103" w:type="dxa"/>
            <w:tcBorders>
              <w:top w:val="single" w:color="auto" w:sz="4" w:space="0"/>
              <w:left w:val="nil"/>
              <w:bottom w:val="single" w:color="auto" w:sz="4" w:space="0"/>
              <w:right w:val="single" w:color="auto" w:sz="4" w:space="0"/>
            </w:tcBorders>
            <w:vAlign w:val="center"/>
          </w:tcPr>
          <w:p w14:paraId="390F691C">
            <w:pPr>
              <w:widowControl/>
              <w:jc w:val="center"/>
              <w:rPr>
                <w:rFonts w:ascii="宋体" w:hAnsi="宋体" w:cs="宋体"/>
                <w:b/>
                <w:bCs/>
                <w:kern w:val="0"/>
                <w:sz w:val="24"/>
              </w:rPr>
            </w:pPr>
            <w:r>
              <w:rPr>
                <w:rFonts w:hint="eastAsia" w:ascii="宋体" w:hAnsi="宋体" w:cs="宋体"/>
                <w:b/>
                <w:bCs/>
                <w:kern w:val="0"/>
                <w:sz w:val="24"/>
              </w:rPr>
              <w:t>是否需要证明材料</w:t>
            </w:r>
          </w:p>
        </w:tc>
      </w:tr>
      <w:tr w14:paraId="19D8E0E3">
        <w:tblPrEx>
          <w:tblCellMar>
            <w:top w:w="0" w:type="dxa"/>
            <w:left w:w="108" w:type="dxa"/>
            <w:bottom w:w="0" w:type="dxa"/>
            <w:right w:w="108" w:type="dxa"/>
          </w:tblCellMar>
        </w:tblPrEx>
        <w:trPr>
          <w:trHeight w:val="270" w:hRule="atLeast"/>
        </w:trPr>
        <w:tc>
          <w:tcPr>
            <w:tcW w:w="675" w:type="dxa"/>
            <w:tcBorders>
              <w:top w:val="nil"/>
              <w:left w:val="single" w:color="auto" w:sz="4" w:space="0"/>
              <w:bottom w:val="single" w:color="auto" w:sz="4" w:space="0"/>
              <w:right w:val="single" w:color="auto" w:sz="4" w:space="0"/>
            </w:tcBorders>
            <w:vAlign w:val="center"/>
          </w:tcPr>
          <w:p w14:paraId="6EEB5FA9">
            <w:pPr>
              <w:widowControl/>
              <w:jc w:val="center"/>
              <w:rPr>
                <w:rFonts w:ascii="宋体" w:hAnsi="宋体" w:cs="宋体"/>
                <w:kern w:val="0"/>
                <w:sz w:val="24"/>
              </w:rPr>
            </w:pPr>
            <w:r>
              <w:rPr>
                <w:rFonts w:hint="eastAsia" w:ascii="宋体" w:hAnsi="宋体" w:cs="宋体"/>
                <w:kern w:val="0"/>
                <w:sz w:val="24"/>
              </w:rPr>
              <w:t>1</w:t>
            </w:r>
          </w:p>
        </w:tc>
        <w:tc>
          <w:tcPr>
            <w:tcW w:w="993" w:type="dxa"/>
            <w:tcBorders>
              <w:top w:val="nil"/>
              <w:left w:val="nil"/>
              <w:bottom w:val="single" w:color="auto" w:sz="4" w:space="0"/>
              <w:right w:val="single" w:color="auto" w:sz="4" w:space="0"/>
            </w:tcBorders>
            <w:vAlign w:val="center"/>
          </w:tcPr>
          <w:p w14:paraId="4BB2E552">
            <w:pPr>
              <w:widowControl/>
              <w:jc w:val="center"/>
              <w:rPr>
                <w:rFonts w:ascii="宋体" w:hAnsi="宋体" w:cs="宋体"/>
                <w:kern w:val="0"/>
                <w:sz w:val="24"/>
              </w:rPr>
            </w:pPr>
            <w:r>
              <w:rPr>
                <w:rFonts w:hint="eastAsia" w:ascii="宋体" w:hAnsi="宋体" w:cs="宋体"/>
                <w:kern w:val="0"/>
                <w:sz w:val="24"/>
              </w:rPr>
              <w:t>#</w:t>
            </w:r>
          </w:p>
        </w:tc>
        <w:tc>
          <w:tcPr>
            <w:tcW w:w="5953" w:type="dxa"/>
            <w:tcBorders>
              <w:top w:val="nil"/>
              <w:left w:val="nil"/>
              <w:bottom w:val="single" w:color="auto" w:sz="4" w:space="0"/>
              <w:right w:val="single" w:color="auto" w:sz="4" w:space="0"/>
            </w:tcBorders>
            <w:vAlign w:val="center"/>
          </w:tcPr>
          <w:p w14:paraId="234733E3">
            <w:pPr>
              <w:widowControl/>
              <w:rPr>
                <w:rFonts w:ascii="宋体" w:hAnsi="宋体" w:cs="宋体"/>
                <w:kern w:val="0"/>
                <w:sz w:val="24"/>
              </w:rPr>
            </w:pPr>
            <w:r>
              <w:rPr>
                <w:rFonts w:hint="eastAsia" w:ascii="宋体" w:hAnsi="宋体" w:cs="宋体"/>
                <w:kern w:val="0"/>
                <w:sz w:val="24"/>
              </w:rPr>
              <w:t>屏幕尺寸：≥80英寸。</w:t>
            </w:r>
            <w:r>
              <w:rPr>
                <w:rFonts w:hint="eastAsia" w:asciiTheme="minorEastAsia" w:hAnsiTheme="minorEastAsia" w:cstheme="minorEastAsia"/>
                <w:sz w:val="24"/>
              </w:rPr>
              <w:t>（需提供</w:t>
            </w:r>
            <w:r>
              <w:rPr>
                <w:rFonts w:hint="eastAsia" w:asciiTheme="minorEastAsia" w:hAnsiTheme="minorEastAsia" w:eastAsiaTheme="minorEastAsia" w:cstheme="minorEastAsia"/>
                <w:sz w:val="24"/>
              </w:rPr>
              <w:t>生产厂家产品规格书或生产厂家官方网站截图</w:t>
            </w:r>
            <w:r>
              <w:rPr>
                <w:rFonts w:hint="eastAsia" w:asciiTheme="minorEastAsia" w:hAnsiTheme="minorEastAsia" w:cstheme="minorEastAsia"/>
                <w:sz w:val="24"/>
              </w:rPr>
              <w:t>）</w:t>
            </w:r>
          </w:p>
        </w:tc>
        <w:tc>
          <w:tcPr>
            <w:tcW w:w="1103" w:type="dxa"/>
            <w:tcBorders>
              <w:top w:val="nil"/>
              <w:left w:val="nil"/>
              <w:bottom w:val="single" w:color="auto" w:sz="4" w:space="0"/>
              <w:right w:val="single" w:color="auto" w:sz="4" w:space="0"/>
            </w:tcBorders>
            <w:noWrap/>
            <w:vAlign w:val="center"/>
          </w:tcPr>
          <w:p w14:paraId="07E332B1">
            <w:pPr>
              <w:widowControl/>
              <w:jc w:val="center"/>
              <w:rPr>
                <w:rFonts w:ascii="宋体" w:hAnsi="宋体" w:cs="宋体"/>
                <w:kern w:val="0"/>
                <w:sz w:val="24"/>
              </w:rPr>
            </w:pPr>
            <w:r>
              <w:rPr>
                <w:rFonts w:hint="eastAsia" w:ascii="宋体" w:hAnsi="宋体" w:cs="宋体"/>
                <w:kern w:val="0"/>
                <w:sz w:val="24"/>
              </w:rPr>
              <w:t>是</w:t>
            </w:r>
          </w:p>
        </w:tc>
      </w:tr>
      <w:tr w14:paraId="408EEC89">
        <w:tblPrEx>
          <w:tblCellMar>
            <w:top w:w="0" w:type="dxa"/>
            <w:left w:w="108" w:type="dxa"/>
            <w:bottom w:w="0" w:type="dxa"/>
            <w:right w:w="108" w:type="dxa"/>
          </w:tblCellMar>
        </w:tblPrEx>
        <w:trPr>
          <w:trHeight w:val="270" w:hRule="atLeast"/>
        </w:trPr>
        <w:tc>
          <w:tcPr>
            <w:tcW w:w="675" w:type="dxa"/>
            <w:tcBorders>
              <w:top w:val="nil"/>
              <w:left w:val="single" w:color="auto" w:sz="4" w:space="0"/>
              <w:bottom w:val="single" w:color="auto" w:sz="4" w:space="0"/>
              <w:right w:val="single" w:color="auto" w:sz="4" w:space="0"/>
            </w:tcBorders>
            <w:vAlign w:val="center"/>
          </w:tcPr>
          <w:p w14:paraId="5DC6485E">
            <w:pPr>
              <w:widowControl/>
              <w:jc w:val="center"/>
              <w:rPr>
                <w:rFonts w:ascii="宋体" w:hAnsi="宋体" w:cs="宋体"/>
                <w:kern w:val="0"/>
                <w:sz w:val="24"/>
              </w:rPr>
            </w:pPr>
            <w:r>
              <w:rPr>
                <w:rFonts w:hint="eastAsia" w:ascii="宋体" w:hAnsi="宋体" w:cs="宋体"/>
                <w:kern w:val="0"/>
                <w:sz w:val="24"/>
              </w:rPr>
              <w:t>2</w:t>
            </w:r>
          </w:p>
        </w:tc>
        <w:tc>
          <w:tcPr>
            <w:tcW w:w="993" w:type="dxa"/>
            <w:tcBorders>
              <w:top w:val="nil"/>
              <w:left w:val="nil"/>
              <w:bottom w:val="single" w:color="auto" w:sz="4" w:space="0"/>
              <w:right w:val="single" w:color="auto" w:sz="4" w:space="0"/>
            </w:tcBorders>
            <w:vAlign w:val="center"/>
          </w:tcPr>
          <w:p w14:paraId="64C73FBD">
            <w:pPr>
              <w:widowControl/>
              <w:jc w:val="center"/>
              <w:rPr>
                <w:rFonts w:ascii="宋体" w:hAnsi="宋体" w:cs="宋体"/>
                <w:kern w:val="0"/>
                <w:sz w:val="24"/>
              </w:rPr>
            </w:pPr>
          </w:p>
        </w:tc>
        <w:tc>
          <w:tcPr>
            <w:tcW w:w="5953" w:type="dxa"/>
            <w:tcBorders>
              <w:top w:val="nil"/>
              <w:left w:val="nil"/>
              <w:bottom w:val="single" w:color="auto" w:sz="4" w:space="0"/>
              <w:right w:val="single" w:color="auto" w:sz="4" w:space="0"/>
            </w:tcBorders>
            <w:vAlign w:val="center"/>
          </w:tcPr>
          <w:p w14:paraId="2F1B3FEB">
            <w:pPr>
              <w:widowControl/>
              <w:rPr>
                <w:rFonts w:ascii="宋体" w:hAnsi="宋体" w:cs="宋体"/>
                <w:kern w:val="0"/>
                <w:sz w:val="24"/>
              </w:rPr>
            </w:pPr>
            <w:r>
              <w:rPr>
                <w:rFonts w:hint="eastAsia" w:ascii="宋体" w:hAnsi="宋体" w:cs="宋体"/>
                <w:kern w:val="0"/>
                <w:sz w:val="24"/>
              </w:rPr>
              <w:t>分辨率：≥3840×2160像素</w:t>
            </w:r>
          </w:p>
        </w:tc>
        <w:tc>
          <w:tcPr>
            <w:tcW w:w="1103" w:type="dxa"/>
            <w:tcBorders>
              <w:top w:val="nil"/>
              <w:left w:val="nil"/>
              <w:bottom w:val="single" w:color="auto" w:sz="4" w:space="0"/>
              <w:right w:val="single" w:color="auto" w:sz="4" w:space="0"/>
            </w:tcBorders>
            <w:noWrap/>
            <w:vAlign w:val="center"/>
          </w:tcPr>
          <w:p w14:paraId="3BCC32B8">
            <w:pPr>
              <w:widowControl/>
              <w:jc w:val="center"/>
              <w:rPr>
                <w:rFonts w:ascii="宋体" w:hAnsi="宋体" w:cs="宋体"/>
                <w:kern w:val="0"/>
                <w:sz w:val="24"/>
              </w:rPr>
            </w:pPr>
            <w:r>
              <w:rPr>
                <w:rFonts w:hint="eastAsia" w:ascii="宋体" w:hAnsi="宋体" w:cs="宋体"/>
                <w:kern w:val="0"/>
                <w:sz w:val="24"/>
              </w:rPr>
              <w:t>否</w:t>
            </w:r>
          </w:p>
        </w:tc>
      </w:tr>
      <w:tr w14:paraId="2EBDA056">
        <w:tblPrEx>
          <w:tblCellMar>
            <w:top w:w="0" w:type="dxa"/>
            <w:left w:w="108" w:type="dxa"/>
            <w:bottom w:w="0" w:type="dxa"/>
            <w:right w:w="108" w:type="dxa"/>
          </w:tblCellMar>
        </w:tblPrEx>
        <w:trPr>
          <w:trHeight w:val="270" w:hRule="atLeast"/>
        </w:trPr>
        <w:tc>
          <w:tcPr>
            <w:tcW w:w="675" w:type="dxa"/>
            <w:tcBorders>
              <w:top w:val="nil"/>
              <w:left w:val="single" w:color="auto" w:sz="4" w:space="0"/>
              <w:bottom w:val="single" w:color="auto" w:sz="4" w:space="0"/>
              <w:right w:val="single" w:color="auto" w:sz="4" w:space="0"/>
            </w:tcBorders>
            <w:vAlign w:val="center"/>
          </w:tcPr>
          <w:p w14:paraId="6819EB80">
            <w:pPr>
              <w:widowControl/>
              <w:jc w:val="center"/>
              <w:rPr>
                <w:rFonts w:ascii="宋体" w:hAnsi="宋体" w:cs="宋体"/>
                <w:kern w:val="0"/>
                <w:sz w:val="24"/>
              </w:rPr>
            </w:pPr>
            <w:r>
              <w:rPr>
                <w:rFonts w:hint="eastAsia" w:ascii="宋体" w:hAnsi="宋体" w:cs="宋体"/>
                <w:kern w:val="0"/>
                <w:sz w:val="24"/>
              </w:rPr>
              <w:t>3</w:t>
            </w:r>
          </w:p>
        </w:tc>
        <w:tc>
          <w:tcPr>
            <w:tcW w:w="993" w:type="dxa"/>
            <w:tcBorders>
              <w:top w:val="nil"/>
              <w:left w:val="nil"/>
              <w:bottom w:val="single" w:color="auto" w:sz="4" w:space="0"/>
              <w:right w:val="single" w:color="auto" w:sz="4" w:space="0"/>
            </w:tcBorders>
            <w:vAlign w:val="center"/>
          </w:tcPr>
          <w:p w14:paraId="270E72FE">
            <w:pPr>
              <w:widowControl/>
              <w:jc w:val="center"/>
              <w:rPr>
                <w:rFonts w:ascii="宋体" w:hAnsi="宋体" w:cs="宋体"/>
                <w:kern w:val="0"/>
                <w:sz w:val="24"/>
              </w:rPr>
            </w:pPr>
          </w:p>
        </w:tc>
        <w:tc>
          <w:tcPr>
            <w:tcW w:w="5953" w:type="dxa"/>
            <w:tcBorders>
              <w:top w:val="nil"/>
              <w:left w:val="nil"/>
              <w:bottom w:val="single" w:color="auto" w:sz="4" w:space="0"/>
              <w:right w:val="single" w:color="auto" w:sz="4" w:space="0"/>
            </w:tcBorders>
            <w:vAlign w:val="center"/>
          </w:tcPr>
          <w:p w14:paraId="58575270">
            <w:pPr>
              <w:widowControl/>
              <w:rPr>
                <w:rFonts w:ascii="宋体" w:hAnsi="宋体" w:cs="宋体"/>
                <w:kern w:val="0"/>
                <w:sz w:val="24"/>
              </w:rPr>
            </w:pPr>
            <w:r>
              <w:rPr>
                <w:rFonts w:hint="eastAsia" w:ascii="宋体" w:hAnsi="宋体" w:cs="宋体"/>
                <w:kern w:val="0"/>
                <w:sz w:val="24"/>
              </w:rPr>
              <w:t>对比度：≥1200：1</w:t>
            </w:r>
          </w:p>
        </w:tc>
        <w:tc>
          <w:tcPr>
            <w:tcW w:w="1103" w:type="dxa"/>
            <w:tcBorders>
              <w:top w:val="nil"/>
              <w:left w:val="nil"/>
              <w:bottom w:val="single" w:color="auto" w:sz="4" w:space="0"/>
              <w:right w:val="single" w:color="auto" w:sz="4" w:space="0"/>
            </w:tcBorders>
            <w:noWrap/>
            <w:vAlign w:val="center"/>
          </w:tcPr>
          <w:p w14:paraId="65D2D6E9">
            <w:pPr>
              <w:widowControl/>
              <w:jc w:val="center"/>
              <w:rPr>
                <w:rFonts w:ascii="宋体" w:hAnsi="宋体" w:cs="宋体"/>
                <w:kern w:val="0"/>
                <w:sz w:val="24"/>
              </w:rPr>
            </w:pPr>
            <w:r>
              <w:rPr>
                <w:rFonts w:hint="eastAsia" w:ascii="宋体" w:hAnsi="宋体" w:cs="宋体"/>
                <w:kern w:val="0"/>
                <w:sz w:val="24"/>
              </w:rPr>
              <w:t>否</w:t>
            </w:r>
          </w:p>
        </w:tc>
      </w:tr>
      <w:tr w14:paraId="352BC9B9">
        <w:tblPrEx>
          <w:tblCellMar>
            <w:top w:w="0" w:type="dxa"/>
            <w:left w:w="108" w:type="dxa"/>
            <w:bottom w:w="0" w:type="dxa"/>
            <w:right w:w="108" w:type="dxa"/>
          </w:tblCellMar>
        </w:tblPrEx>
        <w:trPr>
          <w:trHeight w:val="270" w:hRule="atLeast"/>
        </w:trPr>
        <w:tc>
          <w:tcPr>
            <w:tcW w:w="675" w:type="dxa"/>
            <w:tcBorders>
              <w:top w:val="nil"/>
              <w:left w:val="single" w:color="auto" w:sz="4" w:space="0"/>
              <w:bottom w:val="single" w:color="auto" w:sz="4" w:space="0"/>
              <w:right w:val="single" w:color="auto" w:sz="4" w:space="0"/>
            </w:tcBorders>
            <w:vAlign w:val="center"/>
          </w:tcPr>
          <w:p w14:paraId="4DCCE7C4">
            <w:pPr>
              <w:widowControl/>
              <w:jc w:val="center"/>
              <w:rPr>
                <w:rFonts w:ascii="宋体" w:hAnsi="宋体" w:cs="宋体"/>
                <w:kern w:val="0"/>
                <w:sz w:val="24"/>
              </w:rPr>
            </w:pPr>
            <w:r>
              <w:rPr>
                <w:rFonts w:hint="eastAsia" w:ascii="宋体" w:hAnsi="宋体" w:cs="宋体"/>
                <w:kern w:val="0"/>
                <w:sz w:val="24"/>
              </w:rPr>
              <w:t>4</w:t>
            </w:r>
          </w:p>
        </w:tc>
        <w:tc>
          <w:tcPr>
            <w:tcW w:w="993" w:type="dxa"/>
            <w:tcBorders>
              <w:top w:val="nil"/>
              <w:left w:val="nil"/>
              <w:bottom w:val="single" w:color="auto" w:sz="4" w:space="0"/>
              <w:right w:val="single" w:color="auto" w:sz="4" w:space="0"/>
            </w:tcBorders>
            <w:vAlign w:val="center"/>
          </w:tcPr>
          <w:p w14:paraId="60925F12">
            <w:pPr>
              <w:widowControl/>
              <w:jc w:val="center"/>
              <w:rPr>
                <w:rFonts w:ascii="宋体" w:hAnsi="宋体" w:cs="宋体"/>
                <w:kern w:val="0"/>
                <w:sz w:val="24"/>
              </w:rPr>
            </w:pPr>
          </w:p>
        </w:tc>
        <w:tc>
          <w:tcPr>
            <w:tcW w:w="5953" w:type="dxa"/>
            <w:tcBorders>
              <w:top w:val="nil"/>
              <w:left w:val="nil"/>
              <w:bottom w:val="single" w:color="auto" w:sz="4" w:space="0"/>
              <w:right w:val="single" w:color="auto" w:sz="4" w:space="0"/>
            </w:tcBorders>
            <w:vAlign w:val="center"/>
          </w:tcPr>
          <w:p w14:paraId="3AD7B3CA">
            <w:pPr>
              <w:widowControl/>
              <w:rPr>
                <w:rFonts w:ascii="宋体" w:hAnsi="宋体" w:cs="宋体"/>
                <w:kern w:val="0"/>
                <w:sz w:val="24"/>
              </w:rPr>
            </w:pPr>
            <w:r>
              <w:rPr>
                <w:rFonts w:hint="eastAsia" w:ascii="宋体" w:hAnsi="宋体" w:cs="宋体"/>
                <w:kern w:val="0"/>
                <w:sz w:val="24"/>
              </w:rPr>
              <w:t>动态响应：≤8ms</w:t>
            </w:r>
          </w:p>
        </w:tc>
        <w:tc>
          <w:tcPr>
            <w:tcW w:w="1103" w:type="dxa"/>
            <w:tcBorders>
              <w:top w:val="nil"/>
              <w:left w:val="nil"/>
              <w:bottom w:val="single" w:color="auto" w:sz="4" w:space="0"/>
              <w:right w:val="single" w:color="auto" w:sz="4" w:space="0"/>
            </w:tcBorders>
            <w:noWrap/>
            <w:vAlign w:val="center"/>
          </w:tcPr>
          <w:p w14:paraId="15D21833">
            <w:pPr>
              <w:widowControl/>
              <w:jc w:val="center"/>
              <w:rPr>
                <w:rFonts w:ascii="宋体" w:hAnsi="宋体" w:cs="宋体"/>
                <w:kern w:val="0"/>
                <w:sz w:val="24"/>
              </w:rPr>
            </w:pPr>
            <w:r>
              <w:rPr>
                <w:rFonts w:hint="eastAsia" w:ascii="宋体" w:hAnsi="宋体" w:cs="宋体"/>
                <w:kern w:val="0"/>
                <w:sz w:val="24"/>
              </w:rPr>
              <w:t>否</w:t>
            </w:r>
          </w:p>
        </w:tc>
      </w:tr>
      <w:tr w14:paraId="743AF425">
        <w:tblPrEx>
          <w:tblCellMar>
            <w:top w:w="0" w:type="dxa"/>
            <w:left w:w="108" w:type="dxa"/>
            <w:bottom w:w="0" w:type="dxa"/>
            <w:right w:w="108" w:type="dxa"/>
          </w:tblCellMar>
        </w:tblPrEx>
        <w:trPr>
          <w:trHeight w:val="270" w:hRule="atLeast"/>
        </w:trPr>
        <w:tc>
          <w:tcPr>
            <w:tcW w:w="675" w:type="dxa"/>
            <w:tcBorders>
              <w:top w:val="nil"/>
              <w:left w:val="single" w:color="auto" w:sz="4" w:space="0"/>
              <w:bottom w:val="single" w:color="auto" w:sz="4" w:space="0"/>
              <w:right w:val="single" w:color="auto" w:sz="4" w:space="0"/>
            </w:tcBorders>
            <w:vAlign w:val="center"/>
          </w:tcPr>
          <w:p w14:paraId="4298BAC1">
            <w:pPr>
              <w:widowControl/>
              <w:jc w:val="center"/>
              <w:rPr>
                <w:rFonts w:ascii="宋体" w:hAnsi="宋体" w:cs="宋体"/>
                <w:kern w:val="0"/>
                <w:sz w:val="24"/>
              </w:rPr>
            </w:pPr>
            <w:r>
              <w:rPr>
                <w:rFonts w:hint="eastAsia" w:ascii="宋体" w:hAnsi="宋体" w:cs="宋体"/>
                <w:kern w:val="0"/>
                <w:sz w:val="24"/>
              </w:rPr>
              <w:t>5</w:t>
            </w:r>
          </w:p>
        </w:tc>
        <w:tc>
          <w:tcPr>
            <w:tcW w:w="993" w:type="dxa"/>
            <w:tcBorders>
              <w:top w:val="nil"/>
              <w:left w:val="nil"/>
              <w:bottom w:val="single" w:color="auto" w:sz="4" w:space="0"/>
              <w:right w:val="single" w:color="auto" w:sz="4" w:space="0"/>
            </w:tcBorders>
            <w:vAlign w:val="center"/>
          </w:tcPr>
          <w:p w14:paraId="72DB3571">
            <w:pPr>
              <w:widowControl/>
              <w:jc w:val="center"/>
              <w:rPr>
                <w:rFonts w:ascii="宋体" w:hAnsi="宋体" w:cs="宋体"/>
                <w:kern w:val="0"/>
                <w:sz w:val="24"/>
              </w:rPr>
            </w:pPr>
          </w:p>
        </w:tc>
        <w:tc>
          <w:tcPr>
            <w:tcW w:w="5953" w:type="dxa"/>
            <w:tcBorders>
              <w:top w:val="nil"/>
              <w:left w:val="nil"/>
              <w:bottom w:val="single" w:color="auto" w:sz="4" w:space="0"/>
              <w:right w:val="single" w:color="auto" w:sz="4" w:space="0"/>
            </w:tcBorders>
            <w:vAlign w:val="center"/>
          </w:tcPr>
          <w:p w14:paraId="6B3F1BCC">
            <w:pPr>
              <w:widowControl/>
              <w:rPr>
                <w:rFonts w:ascii="宋体" w:hAnsi="宋体" w:cs="宋体"/>
                <w:kern w:val="0"/>
                <w:sz w:val="24"/>
              </w:rPr>
            </w:pPr>
            <w:r>
              <w:rPr>
                <w:rFonts w:hint="eastAsia" w:ascii="宋体" w:hAnsi="宋体" w:cs="宋体"/>
                <w:kern w:val="0"/>
                <w:sz w:val="24"/>
              </w:rPr>
              <w:t>国产处理器：主频≥1.8GHz、核心数≥4核</w:t>
            </w:r>
          </w:p>
        </w:tc>
        <w:tc>
          <w:tcPr>
            <w:tcW w:w="1103" w:type="dxa"/>
            <w:tcBorders>
              <w:top w:val="nil"/>
              <w:left w:val="nil"/>
              <w:bottom w:val="single" w:color="auto" w:sz="4" w:space="0"/>
              <w:right w:val="single" w:color="auto" w:sz="4" w:space="0"/>
            </w:tcBorders>
            <w:noWrap/>
            <w:vAlign w:val="center"/>
          </w:tcPr>
          <w:p w14:paraId="4DAB3EAD">
            <w:pPr>
              <w:widowControl/>
              <w:jc w:val="center"/>
              <w:rPr>
                <w:rFonts w:ascii="宋体" w:hAnsi="宋体" w:cs="宋体"/>
                <w:kern w:val="0"/>
                <w:sz w:val="24"/>
              </w:rPr>
            </w:pPr>
            <w:r>
              <w:rPr>
                <w:rFonts w:hint="eastAsia" w:ascii="宋体" w:hAnsi="宋体" w:cs="宋体"/>
                <w:kern w:val="0"/>
                <w:sz w:val="24"/>
              </w:rPr>
              <w:t>否</w:t>
            </w:r>
          </w:p>
        </w:tc>
      </w:tr>
      <w:tr w14:paraId="61A9046E">
        <w:tblPrEx>
          <w:tblCellMar>
            <w:top w:w="0" w:type="dxa"/>
            <w:left w:w="108" w:type="dxa"/>
            <w:bottom w:w="0" w:type="dxa"/>
            <w:right w:w="108" w:type="dxa"/>
          </w:tblCellMar>
        </w:tblPrEx>
        <w:trPr>
          <w:trHeight w:val="270" w:hRule="atLeast"/>
        </w:trPr>
        <w:tc>
          <w:tcPr>
            <w:tcW w:w="675" w:type="dxa"/>
            <w:tcBorders>
              <w:top w:val="nil"/>
              <w:left w:val="single" w:color="auto" w:sz="4" w:space="0"/>
              <w:bottom w:val="single" w:color="auto" w:sz="4" w:space="0"/>
              <w:right w:val="single" w:color="auto" w:sz="4" w:space="0"/>
            </w:tcBorders>
            <w:vAlign w:val="center"/>
          </w:tcPr>
          <w:p w14:paraId="7602DA36">
            <w:pPr>
              <w:widowControl/>
              <w:jc w:val="center"/>
              <w:rPr>
                <w:rFonts w:ascii="宋体" w:hAnsi="宋体" w:cs="宋体"/>
                <w:kern w:val="0"/>
                <w:sz w:val="24"/>
              </w:rPr>
            </w:pPr>
            <w:r>
              <w:rPr>
                <w:rFonts w:hint="eastAsia" w:ascii="宋体" w:hAnsi="宋体" w:cs="宋体"/>
                <w:kern w:val="0"/>
                <w:sz w:val="24"/>
              </w:rPr>
              <w:t>6</w:t>
            </w:r>
          </w:p>
        </w:tc>
        <w:tc>
          <w:tcPr>
            <w:tcW w:w="993" w:type="dxa"/>
            <w:tcBorders>
              <w:top w:val="nil"/>
              <w:left w:val="nil"/>
              <w:bottom w:val="single" w:color="auto" w:sz="4" w:space="0"/>
              <w:right w:val="single" w:color="auto" w:sz="4" w:space="0"/>
            </w:tcBorders>
            <w:vAlign w:val="center"/>
          </w:tcPr>
          <w:p w14:paraId="1B7D688B">
            <w:pPr>
              <w:widowControl/>
              <w:jc w:val="center"/>
              <w:rPr>
                <w:rFonts w:ascii="宋体" w:hAnsi="宋体" w:cs="宋体"/>
                <w:kern w:val="0"/>
                <w:sz w:val="24"/>
              </w:rPr>
            </w:pPr>
          </w:p>
        </w:tc>
        <w:tc>
          <w:tcPr>
            <w:tcW w:w="5953" w:type="dxa"/>
            <w:tcBorders>
              <w:top w:val="nil"/>
              <w:left w:val="nil"/>
              <w:bottom w:val="single" w:color="auto" w:sz="4" w:space="0"/>
              <w:right w:val="single" w:color="auto" w:sz="4" w:space="0"/>
            </w:tcBorders>
            <w:vAlign w:val="center"/>
          </w:tcPr>
          <w:p w14:paraId="38D92A58">
            <w:pPr>
              <w:widowControl/>
              <w:rPr>
                <w:rFonts w:ascii="宋体" w:hAnsi="宋体" w:cs="宋体"/>
                <w:kern w:val="0"/>
                <w:sz w:val="24"/>
              </w:rPr>
            </w:pPr>
            <w:r>
              <w:rPr>
                <w:rFonts w:hint="eastAsia" w:ascii="宋体" w:hAnsi="宋体" w:cs="宋体"/>
                <w:kern w:val="0"/>
                <w:sz w:val="24"/>
              </w:rPr>
              <w:t>内存：≥2G；存储：≥32GB</w:t>
            </w:r>
          </w:p>
        </w:tc>
        <w:tc>
          <w:tcPr>
            <w:tcW w:w="1103" w:type="dxa"/>
            <w:tcBorders>
              <w:top w:val="nil"/>
              <w:left w:val="nil"/>
              <w:bottom w:val="single" w:color="auto" w:sz="4" w:space="0"/>
              <w:right w:val="single" w:color="auto" w:sz="4" w:space="0"/>
            </w:tcBorders>
            <w:noWrap/>
            <w:vAlign w:val="center"/>
          </w:tcPr>
          <w:p w14:paraId="0E50E756">
            <w:pPr>
              <w:widowControl/>
              <w:jc w:val="center"/>
              <w:rPr>
                <w:rFonts w:ascii="宋体" w:hAnsi="宋体" w:cs="宋体"/>
                <w:kern w:val="0"/>
                <w:sz w:val="24"/>
              </w:rPr>
            </w:pPr>
            <w:r>
              <w:rPr>
                <w:rFonts w:hint="eastAsia" w:ascii="宋体" w:hAnsi="宋体" w:cs="宋体"/>
                <w:kern w:val="0"/>
                <w:sz w:val="24"/>
              </w:rPr>
              <w:t>否</w:t>
            </w:r>
          </w:p>
        </w:tc>
      </w:tr>
      <w:tr w14:paraId="3BB42A2C">
        <w:tblPrEx>
          <w:tblCellMar>
            <w:top w:w="0" w:type="dxa"/>
            <w:left w:w="108" w:type="dxa"/>
            <w:bottom w:w="0" w:type="dxa"/>
            <w:right w:w="108" w:type="dxa"/>
          </w:tblCellMar>
        </w:tblPrEx>
        <w:trPr>
          <w:trHeight w:val="270" w:hRule="atLeast"/>
        </w:trPr>
        <w:tc>
          <w:tcPr>
            <w:tcW w:w="675" w:type="dxa"/>
            <w:tcBorders>
              <w:top w:val="single" w:color="auto" w:sz="4" w:space="0"/>
              <w:left w:val="single" w:color="auto" w:sz="4" w:space="0"/>
              <w:bottom w:val="single" w:color="auto" w:sz="4" w:space="0"/>
              <w:right w:val="single" w:color="auto" w:sz="4" w:space="0"/>
            </w:tcBorders>
            <w:vAlign w:val="center"/>
          </w:tcPr>
          <w:p w14:paraId="6CB20661">
            <w:pPr>
              <w:widowControl/>
              <w:jc w:val="center"/>
              <w:rPr>
                <w:rFonts w:ascii="宋体" w:hAnsi="宋体" w:cs="宋体"/>
                <w:kern w:val="0"/>
                <w:sz w:val="24"/>
              </w:rPr>
            </w:pPr>
            <w:r>
              <w:rPr>
                <w:rFonts w:hint="eastAsia" w:ascii="宋体" w:hAnsi="宋体" w:cs="宋体"/>
                <w:kern w:val="0"/>
                <w:sz w:val="24"/>
              </w:rPr>
              <w:t>7</w:t>
            </w:r>
          </w:p>
        </w:tc>
        <w:tc>
          <w:tcPr>
            <w:tcW w:w="993" w:type="dxa"/>
            <w:tcBorders>
              <w:top w:val="single" w:color="auto" w:sz="4" w:space="0"/>
              <w:left w:val="nil"/>
              <w:bottom w:val="single" w:color="auto" w:sz="4" w:space="0"/>
              <w:right w:val="single" w:color="auto" w:sz="4" w:space="0"/>
            </w:tcBorders>
            <w:vAlign w:val="center"/>
          </w:tcPr>
          <w:p w14:paraId="09A4DC71">
            <w:pPr>
              <w:widowControl/>
              <w:jc w:val="center"/>
              <w:rPr>
                <w:rFonts w:ascii="宋体" w:hAnsi="宋体" w:cs="宋体"/>
                <w:kern w:val="0"/>
                <w:sz w:val="24"/>
              </w:rPr>
            </w:pPr>
          </w:p>
        </w:tc>
        <w:tc>
          <w:tcPr>
            <w:tcW w:w="5953" w:type="dxa"/>
            <w:tcBorders>
              <w:top w:val="single" w:color="auto" w:sz="4" w:space="0"/>
              <w:left w:val="nil"/>
              <w:bottom w:val="single" w:color="auto" w:sz="4" w:space="0"/>
              <w:right w:val="single" w:color="auto" w:sz="4" w:space="0"/>
            </w:tcBorders>
            <w:vAlign w:val="center"/>
          </w:tcPr>
          <w:p w14:paraId="053233E9">
            <w:pPr>
              <w:widowControl/>
              <w:rPr>
                <w:rFonts w:ascii="宋体" w:hAnsi="宋体" w:cs="宋体"/>
                <w:kern w:val="0"/>
                <w:sz w:val="24"/>
              </w:rPr>
            </w:pPr>
            <w:r>
              <w:rPr>
                <w:rFonts w:hint="eastAsia" w:ascii="宋体" w:hAnsi="宋体" w:cs="宋体"/>
                <w:kern w:val="0"/>
                <w:sz w:val="24"/>
              </w:rPr>
              <w:t>含现场安装所需壁装支架、电源线和HDMI线缆（长度满足现场实际需要）</w:t>
            </w:r>
          </w:p>
        </w:tc>
        <w:tc>
          <w:tcPr>
            <w:tcW w:w="1103" w:type="dxa"/>
            <w:tcBorders>
              <w:top w:val="single" w:color="auto" w:sz="4" w:space="0"/>
              <w:left w:val="nil"/>
              <w:bottom w:val="single" w:color="auto" w:sz="4" w:space="0"/>
              <w:right w:val="single" w:color="auto" w:sz="4" w:space="0"/>
            </w:tcBorders>
            <w:noWrap/>
            <w:vAlign w:val="center"/>
          </w:tcPr>
          <w:p w14:paraId="0E96FA37">
            <w:pPr>
              <w:widowControl/>
              <w:jc w:val="center"/>
              <w:rPr>
                <w:rFonts w:ascii="宋体" w:hAnsi="宋体" w:cs="宋体"/>
                <w:kern w:val="0"/>
                <w:sz w:val="24"/>
              </w:rPr>
            </w:pPr>
            <w:r>
              <w:rPr>
                <w:rFonts w:hint="eastAsia" w:ascii="宋体" w:hAnsi="宋体" w:cs="宋体"/>
                <w:kern w:val="0"/>
                <w:sz w:val="24"/>
              </w:rPr>
              <w:t>否</w:t>
            </w:r>
          </w:p>
        </w:tc>
      </w:tr>
      <w:tr w14:paraId="4FF85F06">
        <w:tblPrEx>
          <w:tblCellMar>
            <w:top w:w="0" w:type="dxa"/>
            <w:left w:w="108" w:type="dxa"/>
            <w:bottom w:w="0" w:type="dxa"/>
            <w:right w:w="108" w:type="dxa"/>
          </w:tblCellMar>
        </w:tblPrEx>
        <w:trPr>
          <w:trHeight w:val="270" w:hRule="atLeast"/>
        </w:trPr>
        <w:tc>
          <w:tcPr>
            <w:tcW w:w="675" w:type="dxa"/>
            <w:tcBorders>
              <w:top w:val="single" w:color="auto" w:sz="4" w:space="0"/>
              <w:left w:val="single" w:color="auto" w:sz="4" w:space="0"/>
              <w:bottom w:val="single" w:color="auto" w:sz="4" w:space="0"/>
              <w:right w:val="single" w:color="auto" w:sz="4" w:space="0"/>
            </w:tcBorders>
            <w:vAlign w:val="center"/>
          </w:tcPr>
          <w:p w14:paraId="687B5C93">
            <w:pPr>
              <w:widowControl/>
              <w:jc w:val="center"/>
              <w:rPr>
                <w:rFonts w:ascii="宋体" w:hAnsi="宋体" w:cs="宋体"/>
                <w:kern w:val="0"/>
                <w:sz w:val="24"/>
              </w:rPr>
            </w:pPr>
            <w:r>
              <w:rPr>
                <w:rFonts w:hint="eastAsia" w:ascii="宋体" w:hAnsi="宋体" w:cs="宋体"/>
                <w:kern w:val="0"/>
                <w:sz w:val="24"/>
              </w:rPr>
              <w:t>8</w:t>
            </w:r>
          </w:p>
        </w:tc>
        <w:tc>
          <w:tcPr>
            <w:tcW w:w="993" w:type="dxa"/>
            <w:tcBorders>
              <w:top w:val="single" w:color="auto" w:sz="4" w:space="0"/>
              <w:left w:val="nil"/>
              <w:bottom w:val="single" w:color="auto" w:sz="4" w:space="0"/>
              <w:right w:val="single" w:color="auto" w:sz="4" w:space="0"/>
            </w:tcBorders>
            <w:vAlign w:val="center"/>
          </w:tcPr>
          <w:p w14:paraId="3998DBD5">
            <w:pPr>
              <w:widowControl/>
              <w:jc w:val="center"/>
              <w:rPr>
                <w:rFonts w:ascii="宋体" w:hAnsi="宋体" w:cs="宋体"/>
                <w:kern w:val="0"/>
                <w:sz w:val="24"/>
              </w:rPr>
            </w:pPr>
            <w:r>
              <w:rPr>
                <w:rFonts w:hint="eastAsia" w:ascii="宋体" w:hAnsi="宋体" w:cs="宋体"/>
                <w:kern w:val="0"/>
                <w:sz w:val="24"/>
              </w:rPr>
              <w:t>#</w:t>
            </w:r>
          </w:p>
        </w:tc>
        <w:tc>
          <w:tcPr>
            <w:tcW w:w="5953" w:type="dxa"/>
            <w:tcBorders>
              <w:top w:val="single" w:color="auto" w:sz="4" w:space="0"/>
              <w:left w:val="nil"/>
              <w:bottom w:val="single" w:color="auto" w:sz="4" w:space="0"/>
              <w:right w:val="single" w:color="auto" w:sz="4" w:space="0"/>
            </w:tcBorders>
            <w:vAlign w:val="center"/>
          </w:tcPr>
          <w:p w14:paraId="58A19609">
            <w:pPr>
              <w:widowControl/>
              <w:rPr>
                <w:rFonts w:ascii="宋体" w:hAnsi="宋体" w:cs="宋体"/>
                <w:kern w:val="0"/>
                <w:sz w:val="24"/>
              </w:rPr>
            </w:pPr>
            <w:r>
              <w:rPr>
                <w:rFonts w:hint="eastAsia" w:ascii="宋体" w:hAnsi="宋体" w:cs="宋体"/>
                <w:kern w:val="0"/>
                <w:sz w:val="24"/>
              </w:rPr>
              <w:t>具备能效二级及以上证</w:t>
            </w:r>
          </w:p>
        </w:tc>
        <w:tc>
          <w:tcPr>
            <w:tcW w:w="1103" w:type="dxa"/>
            <w:tcBorders>
              <w:top w:val="single" w:color="auto" w:sz="4" w:space="0"/>
              <w:left w:val="nil"/>
              <w:bottom w:val="single" w:color="auto" w:sz="4" w:space="0"/>
              <w:right w:val="single" w:color="auto" w:sz="4" w:space="0"/>
            </w:tcBorders>
            <w:noWrap/>
            <w:vAlign w:val="center"/>
          </w:tcPr>
          <w:p w14:paraId="571C4639">
            <w:pPr>
              <w:widowControl/>
              <w:jc w:val="center"/>
              <w:rPr>
                <w:rFonts w:ascii="宋体" w:hAnsi="宋体" w:cs="宋体"/>
                <w:kern w:val="0"/>
                <w:sz w:val="24"/>
              </w:rPr>
            </w:pPr>
            <w:r>
              <w:rPr>
                <w:rFonts w:hint="eastAsia" w:ascii="宋体" w:hAnsi="宋体" w:cs="宋体"/>
                <w:kern w:val="0"/>
                <w:sz w:val="24"/>
              </w:rPr>
              <w:t>是</w:t>
            </w:r>
          </w:p>
        </w:tc>
      </w:tr>
    </w:tbl>
    <w:p w14:paraId="0D6FDDD5">
      <w:pPr>
        <w:spacing w:line="360" w:lineRule="auto"/>
        <w:rPr>
          <w:rFonts w:ascii="宋体" w:hAnsi="宋体" w:cs="宋体"/>
          <w:sz w:val="24"/>
        </w:rPr>
      </w:pPr>
    </w:p>
    <w:p w14:paraId="2644AACB">
      <w:pPr>
        <w:spacing w:line="360" w:lineRule="auto"/>
        <w:ind w:left="420" w:leftChars="200"/>
        <w:outlineLvl w:val="3"/>
        <w:rPr>
          <w:rFonts w:ascii="宋体" w:hAnsi="宋体" w:cs="宋体"/>
          <w:sz w:val="24"/>
        </w:rPr>
      </w:pPr>
      <w:r>
        <w:rPr>
          <w:rFonts w:hint="eastAsia" w:ascii="宋体" w:hAnsi="宋体" w:cs="宋体"/>
          <w:sz w:val="24"/>
        </w:rPr>
        <w:t>2.1.9 安防UPS（60KVA）</w:t>
      </w:r>
    </w:p>
    <w:tbl>
      <w:tblPr>
        <w:tblStyle w:val="15"/>
        <w:tblW w:w="8724" w:type="dxa"/>
        <w:tblInd w:w="0" w:type="dxa"/>
        <w:tblLayout w:type="fixed"/>
        <w:tblCellMar>
          <w:top w:w="0" w:type="dxa"/>
          <w:left w:w="108" w:type="dxa"/>
          <w:bottom w:w="0" w:type="dxa"/>
          <w:right w:w="108" w:type="dxa"/>
        </w:tblCellMar>
      </w:tblPr>
      <w:tblGrid>
        <w:gridCol w:w="675"/>
        <w:gridCol w:w="993"/>
        <w:gridCol w:w="5953"/>
        <w:gridCol w:w="1103"/>
      </w:tblGrid>
      <w:tr w14:paraId="1DD68936">
        <w:tblPrEx>
          <w:tblCellMar>
            <w:top w:w="0" w:type="dxa"/>
            <w:left w:w="108" w:type="dxa"/>
            <w:bottom w:w="0" w:type="dxa"/>
            <w:right w:w="108" w:type="dxa"/>
          </w:tblCellMar>
        </w:tblPrEx>
        <w:trPr>
          <w:trHeight w:val="540" w:hRule="atLeast"/>
          <w:tblHeader/>
        </w:trPr>
        <w:tc>
          <w:tcPr>
            <w:tcW w:w="675" w:type="dxa"/>
            <w:tcBorders>
              <w:top w:val="single" w:color="auto" w:sz="4" w:space="0"/>
              <w:left w:val="single" w:color="auto" w:sz="4" w:space="0"/>
              <w:bottom w:val="single" w:color="auto" w:sz="4" w:space="0"/>
              <w:right w:val="single" w:color="auto" w:sz="4" w:space="0"/>
            </w:tcBorders>
            <w:vAlign w:val="center"/>
          </w:tcPr>
          <w:p w14:paraId="4816CFB6">
            <w:pPr>
              <w:widowControl/>
              <w:jc w:val="center"/>
              <w:rPr>
                <w:rFonts w:ascii="宋体" w:hAnsi="宋体" w:cs="宋体"/>
                <w:b/>
                <w:bCs/>
                <w:kern w:val="0"/>
                <w:sz w:val="24"/>
              </w:rPr>
            </w:pPr>
            <w:r>
              <w:rPr>
                <w:rFonts w:hint="eastAsia" w:ascii="宋体" w:hAnsi="宋体" w:cs="宋体"/>
                <w:b/>
                <w:bCs/>
                <w:kern w:val="0"/>
                <w:sz w:val="24"/>
              </w:rPr>
              <w:t>序号</w:t>
            </w:r>
          </w:p>
        </w:tc>
        <w:tc>
          <w:tcPr>
            <w:tcW w:w="993" w:type="dxa"/>
            <w:tcBorders>
              <w:top w:val="single" w:color="auto" w:sz="4" w:space="0"/>
              <w:left w:val="nil"/>
              <w:bottom w:val="single" w:color="auto" w:sz="4" w:space="0"/>
              <w:right w:val="single" w:color="auto" w:sz="4" w:space="0"/>
            </w:tcBorders>
            <w:vAlign w:val="center"/>
          </w:tcPr>
          <w:p w14:paraId="669E5CB6">
            <w:pPr>
              <w:widowControl/>
              <w:jc w:val="center"/>
              <w:rPr>
                <w:rFonts w:ascii="宋体" w:hAnsi="宋体" w:cs="宋体"/>
                <w:b/>
                <w:bCs/>
                <w:kern w:val="0"/>
                <w:sz w:val="24"/>
              </w:rPr>
            </w:pPr>
            <w:r>
              <w:rPr>
                <w:rFonts w:hint="eastAsia" w:ascii="宋体" w:hAnsi="宋体" w:cs="宋体"/>
                <w:b/>
                <w:bCs/>
                <w:kern w:val="0"/>
                <w:sz w:val="24"/>
              </w:rPr>
              <w:t>重要性</w:t>
            </w:r>
          </w:p>
        </w:tc>
        <w:tc>
          <w:tcPr>
            <w:tcW w:w="5953" w:type="dxa"/>
            <w:tcBorders>
              <w:top w:val="single" w:color="auto" w:sz="4" w:space="0"/>
              <w:left w:val="nil"/>
              <w:bottom w:val="single" w:color="auto" w:sz="4" w:space="0"/>
              <w:right w:val="single" w:color="auto" w:sz="4" w:space="0"/>
            </w:tcBorders>
            <w:vAlign w:val="center"/>
          </w:tcPr>
          <w:p w14:paraId="551091EE">
            <w:pPr>
              <w:widowControl/>
              <w:jc w:val="center"/>
              <w:rPr>
                <w:rFonts w:ascii="宋体" w:hAnsi="宋体" w:cs="宋体"/>
                <w:b/>
                <w:bCs/>
                <w:kern w:val="0"/>
                <w:sz w:val="24"/>
              </w:rPr>
            </w:pPr>
            <w:r>
              <w:rPr>
                <w:rFonts w:hint="eastAsia" w:ascii="宋体" w:hAnsi="宋体" w:cs="宋体"/>
                <w:b/>
                <w:bCs/>
                <w:kern w:val="0"/>
                <w:sz w:val="24"/>
              </w:rPr>
              <w:t>具体指标内容</w:t>
            </w:r>
          </w:p>
        </w:tc>
        <w:tc>
          <w:tcPr>
            <w:tcW w:w="1103" w:type="dxa"/>
            <w:tcBorders>
              <w:top w:val="single" w:color="auto" w:sz="4" w:space="0"/>
              <w:left w:val="nil"/>
              <w:bottom w:val="single" w:color="auto" w:sz="4" w:space="0"/>
              <w:right w:val="single" w:color="auto" w:sz="4" w:space="0"/>
            </w:tcBorders>
            <w:vAlign w:val="center"/>
          </w:tcPr>
          <w:p w14:paraId="55E030DE">
            <w:pPr>
              <w:widowControl/>
              <w:jc w:val="center"/>
              <w:rPr>
                <w:rFonts w:ascii="宋体" w:hAnsi="宋体" w:cs="宋体"/>
                <w:b/>
                <w:bCs/>
                <w:kern w:val="0"/>
                <w:sz w:val="24"/>
              </w:rPr>
            </w:pPr>
            <w:r>
              <w:rPr>
                <w:rFonts w:hint="eastAsia" w:ascii="宋体" w:hAnsi="宋体" w:cs="宋体"/>
                <w:b/>
                <w:bCs/>
                <w:kern w:val="0"/>
                <w:sz w:val="24"/>
              </w:rPr>
              <w:t>是否需要证明材料</w:t>
            </w:r>
          </w:p>
        </w:tc>
      </w:tr>
      <w:tr w14:paraId="0676CC5E">
        <w:tblPrEx>
          <w:tblCellMar>
            <w:top w:w="0" w:type="dxa"/>
            <w:left w:w="108" w:type="dxa"/>
            <w:bottom w:w="0" w:type="dxa"/>
            <w:right w:w="108" w:type="dxa"/>
          </w:tblCellMar>
        </w:tblPrEx>
        <w:trPr>
          <w:trHeight w:val="270" w:hRule="atLeast"/>
        </w:trPr>
        <w:tc>
          <w:tcPr>
            <w:tcW w:w="675" w:type="dxa"/>
            <w:tcBorders>
              <w:top w:val="nil"/>
              <w:left w:val="single" w:color="auto" w:sz="4" w:space="0"/>
              <w:bottom w:val="single" w:color="auto" w:sz="4" w:space="0"/>
              <w:right w:val="single" w:color="auto" w:sz="4" w:space="0"/>
            </w:tcBorders>
            <w:vAlign w:val="center"/>
          </w:tcPr>
          <w:p w14:paraId="10FC96FC">
            <w:pPr>
              <w:widowControl/>
              <w:jc w:val="center"/>
              <w:rPr>
                <w:rFonts w:ascii="宋体" w:hAnsi="宋体" w:cs="宋体"/>
                <w:kern w:val="0"/>
                <w:sz w:val="24"/>
              </w:rPr>
            </w:pPr>
            <w:r>
              <w:rPr>
                <w:rFonts w:hint="eastAsia" w:ascii="宋体" w:hAnsi="宋体" w:cs="宋体"/>
                <w:kern w:val="0"/>
                <w:sz w:val="24"/>
              </w:rPr>
              <w:t>1</w:t>
            </w:r>
          </w:p>
        </w:tc>
        <w:tc>
          <w:tcPr>
            <w:tcW w:w="993" w:type="dxa"/>
            <w:tcBorders>
              <w:top w:val="nil"/>
              <w:left w:val="nil"/>
              <w:bottom w:val="single" w:color="auto" w:sz="4" w:space="0"/>
              <w:right w:val="single" w:color="auto" w:sz="4" w:space="0"/>
            </w:tcBorders>
            <w:vAlign w:val="center"/>
          </w:tcPr>
          <w:p w14:paraId="5F73BE96">
            <w:pPr>
              <w:widowControl/>
              <w:jc w:val="center"/>
              <w:rPr>
                <w:rFonts w:ascii="宋体" w:hAnsi="宋体" w:cs="宋体"/>
                <w:kern w:val="0"/>
                <w:sz w:val="24"/>
              </w:rPr>
            </w:pPr>
            <w:r>
              <w:rPr>
                <w:rFonts w:hint="eastAsia" w:ascii="宋体" w:hAnsi="宋体" w:cs="宋体"/>
                <w:kern w:val="0"/>
                <w:sz w:val="24"/>
              </w:rPr>
              <w:t>★</w:t>
            </w:r>
          </w:p>
        </w:tc>
        <w:tc>
          <w:tcPr>
            <w:tcW w:w="5953" w:type="dxa"/>
            <w:tcBorders>
              <w:top w:val="nil"/>
              <w:left w:val="nil"/>
              <w:bottom w:val="single" w:color="auto" w:sz="4" w:space="0"/>
              <w:right w:val="single" w:color="auto" w:sz="4" w:space="0"/>
            </w:tcBorders>
            <w:vAlign w:val="center"/>
          </w:tcPr>
          <w:p w14:paraId="02B29B3B">
            <w:pPr>
              <w:widowControl/>
              <w:rPr>
                <w:rFonts w:ascii="宋体" w:hAnsi="宋体" w:cs="宋体"/>
                <w:kern w:val="0"/>
                <w:sz w:val="24"/>
              </w:rPr>
            </w:pPr>
            <w:r>
              <w:rPr>
                <w:rFonts w:hint="eastAsia" w:ascii="宋体" w:hAnsi="宋体" w:cs="宋体"/>
                <w:kern w:val="0"/>
                <w:sz w:val="24"/>
              </w:rPr>
              <w:t>额定容量：≥60KVA。</w:t>
            </w:r>
            <w:r>
              <w:rPr>
                <w:rFonts w:hint="eastAsia" w:ascii="宋体" w:hAnsi="宋体"/>
                <w:color w:val="000000"/>
                <w:sz w:val="24"/>
                <w:highlight w:val="none"/>
              </w:rPr>
              <w:t>（提供产品规格书</w:t>
            </w:r>
            <w:r>
              <w:rPr>
                <w:rFonts w:hint="eastAsia" w:ascii="宋体" w:hAnsi="宋体"/>
                <w:color w:val="000000"/>
                <w:sz w:val="24"/>
                <w:highlight w:val="none"/>
                <w:lang w:eastAsia="zh-CN"/>
              </w:rPr>
              <w:t>或</w:t>
            </w:r>
            <w:r>
              <w:rPr>
                <w:rFonts w:hint="eastAsia" w:ascii="宋体" w:hAnsi="宋体"/>
                <w:color w:val="000000"/>
                <w:sz w:val="24"/>
                <w:highlight w:val="none"/>
              </w:rPr>
              <w:t>提供具备资质的第三方检测机构出具的检测报告</w:t>
            </w:r>
            <w:r>
              <w:rPr>
                <w:rFonts w:hint="eastAsia" w:ascii="宋体" w:hAnsi="宋体"/>
                <w:color w:val="000000"/>
                <w:sz w:val="24"/>
                <w:highlight w:val="none"/>
                <w:lang w:eastAsia="zh-CN"/>
              </w:rPr>
              <w:t>或提供产品认证证书</w:t>
            </w:r>
            <w:r>
              <w:rPr>
                <w:rFonts w:hint="eastAsia" w:ascii="宋体" w:hAnsi="宋体"/>
                <w:color w:val="000000"/>
                <w:sz w:val="24"/>
                <w:highlight w:val="yellow"/>
              </w:rPr>
              <w:t>）</w:t>
            </w:r>
          </w:p>
        </w:tc>
        <w:tc>
          <w:tcPr>
            <w:tcW w:w="1103" w:type="dxa"/>
            <w:tcBorders>
              <w:top w:val="nil"/>
              <w:left w:val="nil"/>
              <w:bottom w:val="single" w:color="auto" w:sz="4" w:space="0"/>
              <w:right w:val="single" w:color="auto" w:sz="4" w:space="0"/>
            </w:tcBorders>
            <w:noWrap/>
            <w:vAlign w:val="center"/>
          </w:tcPr>
          <w:p w14:paraId="4B3D2580">
            <w:pPr>
              <w:widowControl/>
              <w:jc w:val="center"/>
              <w:rPr>
                <w:rFonts w:ascii="宋体" w:hAnsi="宋体" w:cs="宋体"/>
                <w:kern w:val="0"/>
                <w:sz w:val="24"/>
              </w:rPr>
            </w:pPr>
            <w:r>
              <w:rPr>
                <w:rFonts w:hint="eastAsia" w:ascii="宋体" w:hAnsi="宋体" w:cs="宋体"/>
                <w:kern w:val="0"/>
                <w:sz w:val="24"/>
              </w:rPr>
              <w:t>是</w:t>
            </w:r>
          </w:p>
        </w:tc>
      </w:tr>
      <w:tr w14:paraId="0E668DD4">
        <w:tblPrEx>
          <w:tblCellMar>
            <w:top w:w="0" w:type="dxa"/>
            <w:left w:w="108" w:type="dxa"/>
            <w:bottom w:w="0" w:type="dxa"/>
            <w:right w:w="108" w:type="dxa"/>
          </w:tblCellMar>
        </w:tblPrEx>
        <w:trPr>
          <w:trHeight w:val="270" w:hRule="atLeast"/>
        </w:trPr>
        <w:tc>
          <w:tcPr>
            <w:tcW w:w="675" w:type="dxa"/>
            <w:tcBorders>
              <w:top w:val="nil"/>
              <w:left w:val="single" w:color="auto" w:sz="4" w:space="0"/>
              <w:bottom w:val="single" w:color="auto" w:sz="4" w:space="0"/>
              <w:right w:val="single" w:color="auto" w:sz="4" w:space="0"/>
            </w:tcBorders>
            <w:vAlign w:val="center"/>
          </w:tcPr>
          <w:p w14:paraId="4B53241D">
            <w:pPr>
              <w:widowControl/>
              <w:jc w:val="center"/>
              <w:rPr>
                <w:rFonts w:ascii="宋体" w:hAnsi="宋体" w:cs="宋体"/>
                <w:kern w:val="0"/>
                <w:sz w:val="24"/>
              </w:rPr>
            </w:pPr>
            <w:r>
              <w:rPr>
                <w:rFonts w:hint="eastAsia" w:ascii="宋体" w:hAnsi="宋体" w:cs="宋体"/>
                <w:kern w:val="0"/>
                <w:sz w:val="24"/>
              </w:rPr>
              <w:t>2</w:t>
            </w:r>
          </w:p>
        </w:tc>
        <w:tc>
          <w:tcPr>
            <w:tcW w:w="993" w:type="dxa"/>
            <w:tcBorders>
              <w:top w:val="nil"/>
              <w:left w:val="nil"/>
              <w:bottom w:val="single" w:color="auto" w:sz="4" w:space="0"/>
              <w:right w:val="single" w:color="auto" w:sz="4" w:space="0"/>
            </w:tcBorders>
            <w:vAlign w:val="center"/>
          </w:tcPr>
          <w:p w14:paraId="60F7C1AD">
            <w:pPr>
              <w:widowControl/>
              <w:jc w:val="center"/>
              <w:rPr>
                <w:rFonts w:ascii="宋体" w:hAnsi="宋体" w:cs="宋体"/>
                <w:kern w:val="0"/>
                <w:sz w:val="24"/>
              </w:rPr>
            </w:pPr>
          </w:p>
        </w:tc>
        <w:tc>
          <w:tcPr>
            <w:tcW w:w="5953" w:type="dxa"/>
            <w:tcBorders>
              <w:top w:val="nil"/>
              <w:left w:val="nil"/>
              <w:bottom w:val="single" w:color="auto" w:sz="4" w:space="0"/>
              <w:right w:val="single" w:color="auto" w:sz="4" w:space="0"/>
            </w:tcBorders>
            <w:vAlign w:val="center"/>
          </w:tcPr>
          <w:p w14:paraId="67D71600">
            <w:pPr>
              <w:widowControl/>
              <w:rPr>
                <w:rFonts w:ascii="宋体" w:hAnsi="宋体" w:cs="宋体"/>
                <w:kern w:val="0"/>
                <w:sz w:val="24"/>
              </w:rPr>
            </w:pPr>
            <w:r>
              <w:rPr>
                <w:rFonts w:hint="eastAsia" w:ascii="宋体" w:hAnsi="宋体" w:cs="宋体"/>
                <w:kern w:val="0"/>
                <w:sz w:val="24"/>
              </w:rPr>
              <w:t>工作方式：三进三出在线式。配置双DSP控制器。系统采用模块化设计，系统内所有风扇采取冗余设计，配备EPO紧急关机功能。</w:t>
            </w:r>
          </w:p>
        </w:tc>
        <w:tc>
          <w:tcPr>
            <w:tcW w:w="1103" w:type="dxa"/>
            <w:tcBorders>
              <w:top w:val="nil"/>
              <w:left w:val="nil"/>
              <w:bottom w:val="single" w:color="auto" w:sz="4" w:space="0"/>
              <w:right w:val="single" w:color="auto" w:sz="4" w:space="0"/>
            </w:tcBorders>
            <w:noWrap/>
            <w:vAlign w:val="center"/>
          </w:tcPr>
          <w:p w14:paraId="3B8CAB8B">
            <w:pPr>
              <w:widowControl/>
              <w:jc w:val="center"/>
              <w:rPr>
                <w:rFonts w:ascii="宋体" w:hAnsi="宋体" w:cs="宋体"/>
                <w:kern w:val="0"/>
                <w:sz w:val="24"/>
              </w:rPr>
            </w:pPr>
            <w:r>
              <w:rPr>
                <w:rFonts w:hint="eastAsia" w:ascii="宋体" w:hAnsi="宋体" w:cs="宋体"/>
                <w:kern w:val="0"/>
                <w:sz w:val="24"/>
              </w:rPr>
              <w:t>否　</w:t>
            </w:r>
          </w:p>
        </w:tc>
      </w:tr>
      <w:tr w14:paraId="06948CCE">
        <w:tblPrEx>
          <w:tblCellMar>
            <w:top w:w="0" w:type="dxa"/>
            <w:left w:w="108" w:type="dxa"/>
            <w:bottom w:w="0" w:type="dxa"/>
            <w:right w:w="108" w:type="dxa"/>
          </w:tblCellMar>
        </w:tblPrEx>
        <w:trPr>
          <w:trHeight w:val="270" w:hRule="atLeast"/>
        </w:trPr>
        <w:tc>
          <w:tcPr>
            <w:tcW w:w="675" w:type="dxa"/>
            <w:tcBorders>
              <w:top w:val="nil"/>
              <w:left w:val="single" w:color="auto" w:sz="4" w:space="0"/>
              <w:bottom w:val="single" w:color="auto" w:sz="4" w:space="0"/>
              <w:right w:val="single" w:color="auto" w:sz="4" w:space="0"/>
            </w:tcBorders>
            <w:vAlign w:val="center"/>
          </w:tcPr>
          <w:p w14:paraId="1640777A">
            <w:pPr>
              <w:widowControl/>
              <w:jc w:val="center"/>
              <w:rPr>
                <w:rFonts w:ascii="宋体" w:hAnsi="宋体" w:cs="宋体"/>
                <w:kern w:val="0"/>
                <w:sz w:val="24"/>
              </w:rPr>
            </w:pPr>
            <w:r>
              <w:rPr>
                <w:rFonts w:hint="eastAsia" w:ascii="宋体" w:hAnsi="宋体" w:cs="宋体"/>
                <w:kern w:val="0"/>
                <w:sz w:val="24"/>
              </w:rPr>
              <w:t>3</w:t>
            </w:r>
          </w:p>
        </w:tc>
        <w:tc>
          <w:tcPr>
            <w:tcW w:w="993" w:type="dxa"/>
            <w:tcBorders>
              <w:top w:val="nil"/>
              <w:left w:val="nil"/>
              <w:bottom w:val="single" w:color="auto" w:sz="4" w:space="0"/>
              <w:right w:val="single" w:color="auto" w:sz="4" w:space="0"/>
            </w:tcBorders>
            <w:vAlign w:val="center"/>
          </w:tcPr>
          <w:p w14:paraId="3583D5A7">
            <w:pPr>
              <w:widowControl/>
              <w:jc w:val="center"/>
              <w:rPr>
                <w:rFonts w:ascii="宋体" w:hAnsi="宋体" w:cs="宋体"/>
                <w:kern w:val="0"/>
                <w:sz w:val="24"/>
              </w:rPr>
            </w:pPr>
          </w:p>
        </w:tc>
        <w:tc>
          <w:tcPr>
            <w:tcW w:w="5953" w:type="dxa"/>
            <w:tcBorders>
              <w:top w:val="nil"/>
              <w:left w:val="nil"/>
              <w:bottom w:val="single" w:color="auto" w:sz="4" w:space="0"/>
              <w:right w:val="single" w:color="auto" w:sz="4" w:space="0"/>
            </w:tcBorders>
            <w:vAlign w:val="center"/>
          </w:tcPr>
          <w:p w14:paraId="2B5FC684">
            <w:pPr>
              <w:widowControl/>
              <w:rPr>
                <w:rFonts w:ascii="宋体" w:hAnsi="宋体" w:cs="宋体"/>
                <w:kern w:val="0"/>
                <w:sz w:val="24"/>
              </w:rPr>
            </w:pPr>
            <w:r>
              <w:rPr>
                <w:rFonts w:hint="eastAsia" w:ascii="宋体" w:hAnsi="宋体" w:cs="宋体"/>
                <w:kern w:val="0"/>
                <w:sz w:val="24"/>
              </w:rPr>
              <w:t>输入电压范围：覆盖380V/400V/415V，三相四线制，输入功率因数≥0.99，输入谐波电流≤3%，整机效率≥96%，频率范围：覆盖40-70HZ。</w:t>
            </w:r>
          </w:p>
        </w:tc>
        <w:tc>
          <w:tcPr>
            <w:tcW w:w="1103" w:type="dxa"/>
            <w:tcBorders>
              <w:top w:val="nil"/>
              <w:left w:val="nil"/>
              <w:bottom w:val="single" w:color="auto" w:sz="4" w:space="0"/>
              <w:right w:val="single" w:color="auto" w:sz="4" w:space="0"/>
            </w:tcBorders>
            <w:noWrap/>
            <w:vAlign w:val="center"/>
          </w:tcPr>
          <w:p w14:paraId="19EF2936">
            <w:pPr>
              <w:widowControl/>
              <w:jc w:val="center"/>
              <w:rPr>
                <w:rFonts w:ascii="宋体" w:hAnsi="宋体" w:cs="宋体"/>
                <w:kern w:val="0"/>
                <w:sz w:val="24"/>
              </w:rPr>
            </w:pPr>
            <w:r>
              <w:rPr>
                <w:rFonts w:hint="eastAsia" w:ascii="宋体" w:hAnsi="宋体" w:cs="宋体"/>
                <w:kern w:val="0"/>
                <w:sz w:val="24"/>
              </w:rPr>
              <w:t>否　</w:t>
            </w:r>
          </w:p>
        </w:tc>
      </w:tr>
      <w:tr w14:paraId="7567922F">
        <w:tblPrEx>
          <w:tblCellMar>
            <w:top w:w="0" w:type="dxa"/>
            <w:left w:w="108" w:type="dxa"/>
            <w:bottom w:w="0" w:type="dxa"/>
            <w:right w:w="108" w:type="dxa"/>
          </w:tblCellMar>
        </w:tblPrEx>
        <w:trPr>
          <w:trHeight w:val="540" w:hRule="atLeast"/>
        </w:trPr>
        <w:tc>
          <w:tcPr>
            <w:tcW w:w="675" w:type="dxa"/>
            <w:tcBorders>
              <w:top w:val="nil"/>
              <w:left w:val="single" w:color="auto" w:sz="4" w:space="0"/>
              <w:bottom w:val="single" w:color="auto" w:sz="4" w:space="0"/>
              <w:right w:val="single" w:color="auto" w:sz="4" w:space="0"/>
            </w:tcBorders>
            <w:vAlign w:val="center"/>
          </w:tcPr>
          <w:p w14:paraId="48FDB9D5">
            <w:pPr>
              <w:widowControl/>
              <w:jc w:val="center"/>
              <w:rPr>
                <w:rFonts w:ascii="宋体" w:hAnsi="宋体" w:cs="宋体"/>
                <w:kern w:val="0"/>
                <w:sz w:val="24"/>
              </w:rPr>
            </w:pPr>
            <w:r>
              <w:rPr>
                <w:rFonts w:hint="eastAsia" w:ascii="宋体" w:hAnsi="宋体" w:cs="宋体"/>
                <w:kern w:val="0"/>
                <w:sz w:val="24"/>
              </w:rPr>
              <w:t>4</w:t>
            </w:r>
          </w:p>
        </w:tc>
        <w:tc>
          <w:tcPr>
            <w:tcW w:w="993" w:type="dxa"/>
            <w:tcBorders>
              <w:top w:val="nil"/>
              <w:left w:val="nil"/>
              <w:bottom w:val="single" w:color="auto" w:sz="4" w:space="0"/>
              <w:right w:val="single" w:color="auto" w:sz="4" w:space="0"/>
            </w:tcBorders>
            <w:vAlign w:val="center"/>
          </w:tcPr>
          <w:p w14:paraId="74F62BC1">
            <w:pPr>
              <w:widowControl/>
              <w:jc w:val="center"/>
              <w:rPr>
                <w:rFonts w:ascii="宋体" w:hAnsi="宋体" w:cs="宋体"/>
                <w:kern w:val="0"/>
                <w:sz w:val="24"/>
              </w:rPr>
            </w:pPr>
          </w:p>
        </w:tc>
        <w:tc>
          <w:tcPr>
            <w:tcW w:w="5953" w:type="dxa"/>
            <w:tcBorders>
              <w:top w:val="nil"/>
              <w:left w:val="nil"/>
              <w:bottom w:val="single" w:color="auto" w:sz="4" w:space="0"/>
              <w:right w:val="single" w:color="auto" w:sz="4" w:space="0"/>
            </w:tcBorders>
            <w:vAlign w:val="center"/>
          </w:tcPr>
          <w:p w14:paraId="380ED5DE">
            <w:pPr>
              <w:widowControl/>
              <w:rPr>
                <w:rFonts w:ascii="宋体" w:hAnsi="宋体" w:cs="宋体"/>
                <w:kern w:val="0"/>
                <w:sz w:val="24"/>
              </w:rPr>
            </w:pPr>
            <w:r>
              <w:rPr>
                <w:rFonts w:hint="eastAsia" w:ascii="宋体" w:hAnsi="宋体" w:cs="宋体"/>
                <w:kern w:val="0"/>
                <w:sz w:val="24"/>
              </w:rPr>
              <w:t>输出电压精度：不低于±0.5%，动态电压瞬变：≤2%（0-100%负载变化），电压畸变率：THD＜0.5%（线性负载）/THD＜3%（非线性负载），功率因素：≥0.9，输出频率：50/60HZ，过载能力：105%长期/ 110%60min/ 125%10min/ 150%1min。</w:t>
            </w:r>
          </w:p>
        </w:tc>
        <w:tc>
          <w:tcPr>
            <w:tcW w:w="1103" w:type="dxa"/>
            <w:tcBorders>
              <w:top w:val="nil"/>
              <w:left w:val="nil"/>
              <w:bottom w:val="single" w:color="auto" w:sz="4" w:space="0"/>
              <w:right w:val="single" w:color="auto" w:sz="4" w:space="0"/>
            </w:tcBorders>
            <w:noWrap/>
            <w:vAlign w:val="center"/>
          </w:tcPr>
          <w:p w14:paraId="383DCC0D">
            <w:pPr>
              <w:widowControl/>
              <w:jc w:val="center"/>
              <w:rPr>
                <w:rFonts w:ascii="宋体" w:hAnsi="宋体" w:cs="宋体"/>
                <w:kern w:val="0"/>
                <w:sz w:val="24"/>
              </w:rPr>
            </w:pPr>
            <w:r>
              <w:rPr>
                <w:rFonts w:hint="eastAsia" w:ascii="宋体" w:hAnsi="宋体" w:cs="宋体"/>
                <w:kern w:val="0"/>
                <w:sz w:val="24"/>
              </w:rPr>
              <w:t>否　</w:t>
            </w:r>
          </w:p>
        </w:tc>
      </w:tr>
      <w:tr w14:paraId="080F8C69">
        <w:tblPrEx>
          <w:tblCellMar>
            <w:top w:w="0" w:type="dxa"/>
            <w:left w:w="108" w:type="dxa"/>
            <w:bottom w:w="0" w:type="dxa"/>
            <w:right w:w="108" w:type="dxa"/>
          </w:tblCellMar>
        </w:tblPrEx>
        <w:trPr>
          <w:trHeight w:val="270" w:hRule="atLeast"/>
        </w:trPr>
        <w:tc>
          <w:tcPr>
            <w:tcW w:w="675" w:type="dxa"/>
            <w:tcBorders>
              <w:top w:val="nil"/>
              <w:left w:val="single" w:color="auto" w:sz="4" w:space="0"/>
              <w:bottom w:val="single" w:color="auto" w:sz="4" w:space="0"/>
              <w:right w:val="single" w:color="auto" w:sz="4" w:space="0"/>
            </w:tcBorders>
            <w:vAlign w:val="center"/>
          </w:tcPr>
          <w:p w14:paraId="4782F70A">
            <w:pPr>
              <w:widowControl/>
              <w:jc w:val="center"/>
              <w:rPr>
                <w:rFonts w:ascii="宋体" w:hAnsi="宋体" w:cs="宋体"/>
                <w:kern w:val="0"/>
                <w:sz w:val="24"/>
              </w:rPr>
            </w:pPr>
            <w:r>
              <w:rPr>
                <w:rFonts w:hint="eastAsia" w:ascii="宋体" w:hAnsi="宋体" w:cs="宋体"/>
                <w:kern w:val="0"/>
                <w:sz w:val="24"/>
              </w:rPr>
              <w:t>5</w:t>
            </w:r>
          </w:p>
        </w:tc>
        <w:tc>
          <w:tcPr>
            <w:tcW w:w="993" w:type="dxa"/>
            <w:tcBorders>
              <w:top w:val="nil"/>
              <w:left w:val="nil"/>
              <w:bottom w:val="single" w:color="auto" w:sz="4" w:space="0"/>
              <w:right w:val="single" w:color="auto" w:sz="4" w:space="0"/>
            </w:tcBorders>
            <w:vAlign w:val="center"/>
          </w:tcPr>
          <w:p w14:paraId="6E86718E">
            <w:pPr>
              <w:widowControl/>
              <w:jc w:val="center"/>
              <w:rPr>
                <w:rFonts w:ascii="宋体" w:hAnsi="宋体" w:cs="宋体"/>
                <w:kern w:val="0"/>
                <w:sz w:val="24"/>
              </w:rPr>
            </w:pPr>
          </w:p>
        </w:tc>
        <w:tc>
          <w:tcPr>
            <w:tcW w:w="5953" w:type="dxa"/>
            <w:tcBorders>
              <w:top w:val="nil"/>
              <w:left w:val="nil"/>
              <w:bottom w:val="single" w:color="auto" w:sz="4" w:space="0"/>
              <w:right w:val="single" w:color="auto" w:sz="4" w:space="0"/>
            </w:tcBorders>
            <w:vAlign w:val="center"/>
          </w:tcPr>
          <w:p w14:paraId="05A13ED1">
            <w:pPr>
              <w:widowControl/>
              <w:rPr>
                <w:rFonts w:ascii="宋体" w:hAnsi="宋体" w:cs="宋体"/>
                <w:kern w:val="0"/>
                <w:sz w:val="24"/>
              </w:rPr>
            </w:pPr>
            <w:r>
              <w:rPr>
                <w:rFonts w:hint="eastAsia" w:ascii="宋体" w:hAnsi="宋体" w:cs="宋体"/>
                <w:kern w:val="0"/>
                <w:sz w:val="24"/>
              </w:rPr>
              <w:t>显示屏：LCD+LED。</w:t>
            </w:r>
          </w:p>
        </w:tc>
        <w:tc>
          <w:tcPr>
            <w:tcW w:w="1103" w:type="dxa"/>
            <w:tcBorders>
              <w:top w:val="nil"/>
              <w:left w:val="nil"/>
              <w:bottom w:val="single" w:color="auto" w:sz="4" w:space="0"/>
              <w:right w:val="single" w:color="auto" w:sz="4" w:space="0"/>
            </w:tcBorders>
            <w:noWrap/>
            <w:vAlign w:val="center"/>
          </w:tcPr>
          <w:p w14:paraId="695135E0">
            <w:pPr>
              <w:widowControl/>
              <w:jc w:val="center"/>
              <w:rPr>
                <w:rFonts w:ascii="宋体" w:hAnsi="宋体" w:cs="宋体"/>
                <w:kern w:val="0"/>
                <w:sz w:val="24"/>
              </w:rPr>
            </w:pPr>
            <w:r>
              <w:rPr>
                <w:rFonts w:hint="eastAsia" w:ascii="宋体" w:hAnsi="宋体" w:cs="宋体"/>
                <w:kern w:val="0"/>
                <w:sz w:val="24"/>
              </w:rPr>
              <w:t>否　</w:t>
            </w:r>
          </w:p>
        </w:tc>
      </w:tr>
      <w:tr w14:paraId="3BCF39C1">
        <w:tblPrEx>
          <w:tblCellMar>
            <w:top w:w="0" w:type="dxa"/>
            <w:left w:w="108" w:type="dxa"/>
            <w:bottom w:w="0" w:type="dxa"/>
            <w:right w:w="108" w:type="dxa"/>
          </w:tblCellMar>
        </w:tblPrEx>
        <w:trPr>
          <w:trHeight w:val="270" w:hRule="atLeast"/>
        </w:trPr>
        <w:tc>
          <w:tcPr>
            <w:tcW w:w="675" w:type="dxa"/>
            <w:tcBorders>
              <w:top w:val="nil"/>
              <w:left w:val="single" w:color="auto" w:sz="4" w:space="0"/>
              <w:bottom w:val="single" w:color="auto" w:sz="4" w:space="0"/>
              <w:right w:val="single" w:color="auto" w:sz="4" w:space="0"/>
            </w:tcBorders>
            <w:vAlign w:val="center"/>
          </w:tcPr>
          <w:p w14:paraId="455A0955">
            <w:pPr>
              <w:widowControl/>
              <w:jc w:val="center"/>
              <w:rPr>
                <w:rFonts w:ascii="宋体" w:hAnsi="宋体" w:cs="宋体"/>
                <w:kern w:val="0"/>
                <w:sz w:val="24"/>
              </w:rPr>
            </w:pPr>
            <w:r>
              <w:rPr>
                <w:rFonts w:hint="eastAsia" w:ascii="宋体" w:hAnsi="宋体" w:cs="宋体"/>
                <w:kern w:val="0"/>
                <w:sz w:val="24"/>
              </w:rPr>
              <w:t>6</w:t>
            </w:r>
          </w:p>
        </w:tc>
        <w:tc>
          <w:tcPr>
            <w:tcW w:w="993" w:type="dxa"/>
            <w:tcBorders>
              <w:top w:val="nil"/>
              <w:left w:val="nil"/>
              <w:bottom w:val="single" w:color="auto" w:sz="4" w:space="0"/>
              <w:right w:val="single" w:color="auto" w:sz="4" w:space="0"/>
            </w:tcBorders>
            <w:vAlign w:val="center"/>
          </w:tcPr>
          <w:p w14:paraId="2BEF3D64">
            <w:pPr>
              <w:widowControl/>
              <w:jc w:val="center"/>
              <w:rPr>
                <w:rFonts w:ascii="宋体" w:hAnsi="宋体" w:cs="宋体"/>
                <w:kern w:val="0"/>
                <w:sz w:val="24"/>
              </w:rPr>
            </w:pPr>
          </w:p>
        </w:tc>
        <w:tc>
          <w:tcPr>
            <w:tcW w:w="5953" w:type="dxa"/>
            <w:tcBorders>
              <w:top w:val="nil"/>
              <w:left w:val="nil"/>
              <w:bottom w:val="single" w:color="auto" w:sz="4" w:space="0"/>
              <w:right w:val="single" w:color="auto" w:sz="4" w:space="0"/>
            </w:tcBorders>
            <w:vAlign w:val="center"/>
          </w:tcPr>
          <w:p w14:paraId="4FC976CB">
            <w:pPr>
              <w:widowControl/>
              <w:rPr>
                <w:rFonts w:ascii="宋体" w:hAnsi="宋体" w:cs="宋体"/>
                <w:kern w:val="0"/>
                <w:sz w:val="24"/>
              </w:rPr>
            </w:pPr>
            <w:r>
              <w:rPr>
                <w:rFonts w:hint="eastAsia" w:ascii="宋体" w:hAnsi="宋体" w:cs="宋体"/>
                <w:kern w:val="0"/>
                <w:sz w:val="24"/>
              </w:rPr>
              <w:t>防护等级：≥IP20。</w:t>
            </w:r>
          </w:p>
        </w:tc>
        <w:tc>
          <w:tcPr>
            <w:tcW w:w="1103" w:type="dxa"/>
            <w:tcBorders>
              <w:top w:val="nil"/>
              <w:left w:val="nil"/>
              <w:bottom w:val="single" w:color="auto" w:sz="4" w:space="0"/>
              <w:right w:val="single" w:color="auto" w:sz="4" w:space="0"/>
            </w:tcBorders>
            <w:noWrap/>
            <w:vAlign w:val="center"/>
          </w:tcPr>
          <w:p w14:paraId="07BD55D6">
            <w:pPr>
              <w:widowControl/>
              <w:jc w:val="center"/>
              <w:rPr>
                <w:rFonts w:ascii="宋体" w:hAnsi="宋体" w:cs="宋体"/>
                <w:kern w:val="0"/>
                <w:sz w:val="24"/>
              </w:rPr>
            </w:pPr>
            <w:r>
              <w:rPr>
                <w:rFonts w:hint="eastAsia" w:ascii="宋体" w:hAnsi="宋体" w:cs="宋体"/>
                <w:kern w:val="0"/>
                <w:sz w:val="24"/>
              </w:rPr>
              <w:t>否　</w:t>
            </w:r>
          </w:p>
        </w:tc>
      </w:tr>
      <w:tr w14:paraId="3B84F916">
        <w:tblPrEx>
          <w:tblCellMar>
            <w:top w:w="0" w:type="dxa"/>
            <w:left w:w="108" w:type="dxa"/>
            <w:bottom w:w="0" w:type="dxa"/>
            <w:right w:w="108" w:type="dxa"/>
          </w:tblCellMar>
        </w:tblPrEx>
        <w:trPr>
          <w:trHeight w:val="270" w:hRule="atLeast"/>
        </w:trPr>
        <w:tc>
          <w:tcPr>
            <w:tcW w:w="675" w:type="dxa"/>
            <w:tcBorders>
              <w:top w:val="nil"/>
              <w:left w:val="single" w:color="auto" w:sz="4" w:space="0"/>
              <w:bottom w:val="single" w:color="auto" w:sz="4" w:space="0"/>
              <w:right w:val="single" w:color="auto" w:sz="4" w:space="0"/>
            </w:tcBorders>
            <w:vAlign w:val="center"/>
          </w:tcPr>
          <w:p w14:paraId="2C91ED41">
            <w:pPr>
              <w:widowControl/>
              <w:jc w:val="center"/>
              <w:rPr>
                <w:rFonts w:ascii="宋体" w:hAnsi="宋体" w:cs="宋体"/>
                <w:kern w:val="0"/>
                <w:sz w:val="24"/>
              </w:rPr>
            </w:pPr>
            <w:r>
              <w:rPr>
                <w:rFonts w:hint="eastAsia" w:ascii="宋体" w:hAnsi="宋体" w:cs="宋体"/>
                <w:kern w:val="0"/>
                <w:sz w:val="24"/>
              </w:rPr>
              <w:t>7</w:t>
            </w:r>
          </w:p>
        </w:tc>
        <w:tc>
          <w:tcPr>
            <w:tcW w:w="993" w:type="dxa"/>
            <w:tcBorders>
              <w:top w:val="nil"/>
              <w:left w:val="nil"/>
              <w:bottom w:val="single" w:color="auto" w:sz="4" w:space="0"/>
              <w:right w:val="single" w:color="auto" w:sz="4" w:space="0"/>
            </w:tcBorders>
            <w:vAlign w:val="center"/>
          </w:tcPr>
          <w:p w14:paraId="7824BA5F">
            <w:pPr>
              <w:widowControl/>
              <w:jc w:val="center"/>
              <w:rPr>
                <w:rFonts w:ascii="宋体" w:hAnsi="宋体" w:cs="宋体"/>
                <w:kern w:val="0"/>
                <w:sz w:val="24"/>
              </w:rPr>
            </w:pPr>
          </w:p>
        </w:tc>
        <w:tc>
          <w:tcPr>
            <w:tcW w:w="5953" w:type="dxa"/>
            <w:tcBorders>
              <w:top w:val="nil"/>
              <w:left w:val="nil"/>
              <w:bottom w:val="single" w:color="auto" w:sz="4" w:space="0"/>
              <w:right w:val="single" w:color="auto" w:sz="4" w:space="0"/>
            </w:tcBorders>
            <w:vAlign w:val="center"/>
          </w:tcPr>
          <w:p w14:paraId="6F6ECC90">
            <w:pPr>
              <w:widowControl/>
              <w:rPr>
                <w:rFonts w:ascii="宋体" w:hAnsi="宋体" w:cs="宋体"/>
                <w:kern w:val="0"/>
                <w:sz w:val="24"/>
              </w:rPr>
            </w:pPr>
            <w:r>
              <w:rPr>
                <w:rFonts w:hint="eastAsia" w:ascii="宋体" w:hAnsi="宋体" w:cs="宋体"/>
                <w:kern w:val="0"/>
                <w:sz w:val="24"/>
              </w:rPr>
              <w:t>通信接口：标配RS232、RS482。</w:t>
            </w:r>
          </w:p>
        </w:tc>
        <w:tc>
          <w:tcPr>
            <w:tcW w:w="1103" w:type="dxa"/>
            <w:tcBorders>
              <w:top w:val="nil"/>
              <w:left w:val="nil"/>
              <w:bottom w:val="single" w:color="auto" w:sz="4" w:space="0"/>
              <w:right w:val="single" w:color="auto" w:sz="4" w:space="0"/>
            </w:tcBorders>
            <w:noWrap/>
            <w:vAlign w:val="center"/>
          </w:tcPr>
          <w:p w14:paraId="2AF9D39D">
            <w:pPr>
              <w:widowControl/>
              <w:jc w:val="center"/>
              <w:rPr>
                <w:rFonts w:ascii="宋体" w:hAnsi="宋体" w:cs="宋体"/>
                <w:kern w:val="0"/>
                <w:sz w:val="24"/>
              </w:rPr>
            </w:pPr>
            <w:r>
              <w:rPr>
                <w:rFonts w:hint="eastAsia" w:ascii="宋体" w:hAnsi="宋体" w:cs="宋体"/>
                <w:kern w:val="0"/>
                <w:sz w:val="24"/>
              </w:rPr>
              <w:t>否　</w:t>
            </w:r>
          </w:p>
        </w:tc>
      </w:tr>
      <w:tr w14:paraId="124BF542">
        <w:tblPrEx>
          <w:tblCellMar>
            <w:top w:w="0" w:type="dxa"/>
            <w:left w:w="108" w:type="dxa"/>
            <w:bottom w:w="0" w:type="dxa"/>
            <w:right w:w="108" w:type="dxa"/>
          </w:tblCellMar>
        </w:tblPrEx>
        <w:trPr>
          <w:trHeight w:val="840" w:hRule="atLeast"/>
        </w:trPr>
        <w:tc>
          <w:tcPr>
            <w:tcW w:w="675" w:type="dxa"/>
            <w:tcBorders>
              <w:top w:val="nil"/>
              <w:left w:val="single" w:color="auto" w:sz="4" w:space="0"/>
              <w:bottom w:val="single" w:color="auto" w:sz="4" w:space="0"/>
              <w:right w:val="single" w:color="auto" w:sz="4" w:space="0"/>
            </w:tcBorders>
            <w:vAlign w:val="center"/>
          </w:tcPr>
          <w:p w14:paraId="5E88CCBC">
            <w:pPr>
              <w:widowControl/>
              <w:jc w:val="center"/>
              <w:rPr>
                <w:rFonts w:ascii="宋体" w:hAnsi="宋体" w:cs="宋体"/>
                <w:kern w:val="0"/>
                <w:sz w:val="24"/>
              </w:rPr>
            </w:pPr>
            <w:r>
              <w:rPr>
                <w:rFonts w:hint="eastAsia" w:ascii="宋体" w:hAnsi="宋体" w:cs="宋体"/>
                <w:kern w:val="0"/>
                <w:sz w:val="24"/>
              </w:rPr>
              <w:t>8</w:t>
            </w:r>
          </w:p>
        </w:tc>
        <w:tc>
          <w:tcPr>
            <w:tcW w:w="993" w:type="dxa"/>
            <w:tcBorders>
              <w:top w:val="nil"/>
              <w:left w:val="nil"/>
              <w:bottom w:val="single" w:color="auto" w:sz="4" w:space="0"/>
              <w:right w:val="single" w:color="auto" w:sz="4" w:space="0"/>
            </w:tcBorders>
            <w:vAlign w:val="center"/>
          </w:tcPr>
          <w:p w14:paraId="3CFC7E0C">
            <w:pPr>
              <w:widowControl/>
              <w:jc w:val="center"/>
              <w:rPr>
                <w:rFonts w:ascii="宋体" w:hAnsi="宋体" w:cs="宋体"/>
                <w:kern w:val="0"/>
                <w:sz w:val="24"/>
              </w:rPr>
            </w:pPr>
          </w:p>
        </w:tc>
        <w:tc>
          <w:tcPr>
            <w:tcW w:w="5953" w:type="dxa"/>
            <w:tcBorders>
              <w:top w:val="nil"/>
              <w:left w:val="nil"/>
              <w:bottom w:val="single" w:color="auto" w:sz="4" w:space="0"/>
              <w:right w:val="single" w:color="auto" w:sz="4" w:space="0"/>
            </w:tcBorders>
            <w:vAlign w:val="center"/>
          </w:tcPr>
          <w:p w14:paraId="34792523">
            <w:pPr>
              <w:widowControl/>
              <w:rPr>
                <w:rFonts w:ascii="宋体" w:hAnsi="宋体" w:cs="宋体"/>
                <w:kern w:val="0"/>
                <w:sz w:val="24"/>
              </w:rPr>
            </w:pPr>
            <w:r>
              <w:rPr>
                <w:rFonts w:hint="eastAsia" w:ascii="宋体" w:hAnsi="宋体" w:cs="宋体"/>
                <w:kern w:val="0"/>
                <w:sz w:val="24"/>
              </w:rPr>
              <w:t>含UPS主机散力架1套：50*50mm角钢，100*50mm槽钢，采用网格化井字形结构。焊材选择：采用ER50-6镀铜焊丝，配合CO₂气体保护焊工艺，确保焊缝金属韧性及抗裂性，焊缝强度与母材匹配度≥95%以上。焊接规范：严格执行《钢结构焊接规范》(GB 50661-2011)，包括坡口加工、定位焊、多层多道焊等全流程控制。防锈防腐：所有焊接点需做防锈防腐处理，通常采用静电喷粉烤漆工艺，涂层附着牢固，防氧化，耐酸碱。</w:t>
            </w:r>
          </w:p>
        </w:tc>
        <w:tc>
          <w:tcPr>
            <w:tcW w:w="1103" w:type="dxa"/>
            <w:tcBorders>
              <w:top w:val="nil"/>
              <w:left w:val="nil"/>
              <w:bottom w:val="single" w:color="auto" w:sz="4" w:space="0"/>
              <w:right w:val="single" w:color="auto" w:sz="4" w:space="0"/>
            </w:tcBorders>
            <w:noWrap/>
            <w:vAlign w:val="center"/>
          </w:tcPr>
          <w:p w14:paraId="0F53ECC9">
            <w:pPr>
              <w:widowControl/>
              <w:jc w:val="center"/>
              <w:rPr>
                <w:rFonts w:ascii="宋体" w:hAnsi="宋体" w:cs="宋体"/>
                <w:kern w:val="0"/>
                <w:sz w:val="24"/>
              </w:rPr>
            </w:pPr>
            <w:r>
              <w:rPr>
                <w:rFonts w:hint="eastAsia" w:ascii="宋体" w:hAnsi="宋体" w:cs="宋体"/>
                <w:kern w:val="0"/>
                <w:sz w:val="24"/>
              </w:rPr>
              <w:t>否　</w:t>
            </w:r>
          </w:p>
        </w:tc>
      </w:tr>
      <w:tr w14:paraId="3B864798">
        <w:tblPrEx>
          <w:tblCellMar>
            <w:top w:w="0" w:type="dxa"/>
            <w:left w:w="108" w:type="dxa"/>
            <w:bottom w:w="0" w:type="dxa"/>
            <w:right w:w="108" w:type="dxa"/>
          </w:tblCellMar>
        </w:tblPrEx>
        <w:trPr>
          <w:trHeight w:val="270" w:hRule="atLeast"/>
        </w:trPr>
        <w:tc>
          <w:tcPr>
            <w:tcW w:w="675" w:type="dxa"/>
            <w:tcBorders>
              <w:top w:val="nil"/>
              <w:left w:val="single" w:color="auto" w:sz="4" w:space="0"/>
              <w:bottom w:val="single" w:color="auto" w:sz="4" w:space="0"/>
              <w:right w:val="single" w:color="auto" w:sz="4" w:space="0"/>
            </w:tcBorders>
            <w:vAlign w:val="center"/>
          </w:tcPr>
          <w:p w14:paraId="7D36D227">
            <w:pPr>
              <w:widowControl/>
              <w:jc w:val="center"/>
              <w:rPr>
                <w:rFonts w:ascii="宋体" w:hAnsi="宋体" w:cs="宋体"/>
                <w:kern w:val="0"/>
                <w:sz w:val="24"/>
              </w:rPr>
            </w:pPr>
            <w:r>
              <w:rPr>
                <w:rFonts w:hint="eastAsia" w:ascii="宋体" w:hAnsi="宋体" w:cs="宋体"/>
                <w:kern w:val="0"/>
                <w:sz w:val="24"/>
              </w:rPr>
              <w:t>9</w:t>
            </w:r>
          </w:p>
        </w:tc>
        <w:tc>
          <w:tcPr>
            <w:tcW w:w="993" w:type="dxa"/>
            <w:tcBorders>
              <w:top w:val="nil"/>
              <w:left w:val="nil"/>
              <w:bottom w:val="single" w:color="auto" w:sz="4" w:space="0"/>
              <w:right w:val="single" w:color="auto" w:sz="4" w:space="0"/>
            </w:tcBorders>
            <w:vAlign w:val="center"/>
          </w:tcPr>
          <w:p w14:paraId="356F4ED8">
            <w:pPr>
              <w:widowControl/>
              <w:jc w:val="center"/>
              <w:rPr>
                <w:rFonts w:ascii="宋体" w:hAnsi="宋体" w:cs="宋体"/>
                <w:kern w:val="0"/>
                <w:sz w:val="24"/>
              </w:rPr>
            </w:pPr>
          </w:p>
        </w:tc>
        <w:tc>
          <w:tcPr>
            <w:tcW w:w="5953" w:type="dxa"/>
            <w:tcBorders>
              <w:top w:val="nil"/>
              <w:left w:val="nil"/>
              <w:bottom w:val="single" w:color="auto" w:sz="4" w:space="0"/>
              <w:right w:val="single" w:color="auto" w:sz="4" w:space="0"/>
            </w:tcBorders>
            <w:vAlign w:val="center"/>
          </w:tcPr>
          <w:p w14:paraId="49F07789">
            <w:pPr>
              <w:widowControl/>
              <w:rPr>
                <w:rFonts w:ascii="宋体" w:hAnsi="宋体" w:cs="宋体"/>
                <w:kern w:val="0"/>
                <w:sz w:val="24"/>
              </w:rPr>
            </w:pPr>
            <w:r>
              <w:rPr>
                <w:rFonts w:hint="eastAsia" w:ascii="宋体" w:hAnsi="宋体" w:cs="宋体"/>
                <w:kern w:val="0"/>
                <w:sz w:val="24"/>
              </w:rPr>
              <w:t>含电池连接线：低烟无卤，阻燃BVR线缆。（长度满足现场实际需要）</w:t>
            </w:r>
          </w:p>
        </w:tc>
        <w:tc>
          <w:tcPr>
            <w:tcW w:w="1103" w:type="dxa"/>
            <w:tcBorders>
              <w:top w:val="nil"/>
              <w:left w:val="nil"/>
              <w:bottom w:val="single" w:color="auto" w:sz="4" w:space="0"/>
              <w:right w:val="single" w:color="auto" w:sz="4" w:space="0"/>
            </w:tcBorders>
            <w:noWrap/>
            <w:vAlign w:val="center"/>
          </w:tcPr>
          <w:p w14:paraId="7297B6BD">
            <w:pPr>
              <w:widowControl/>
              <w:jc w:val="center"/>
              <w:rPr>
                <w:rFonts w:ascii="宋体" w:hAnsi="宋体" w:cs="宋体"/>
                <w:kern w:val="0"/>
                <w:sz w:val="24"/>
              </w:rPr>
            </w:pPr>
            <w:r>
              <w:rPr>
                <w:rFonts w:hint="eastAsia" w:ascii="宋体" w:hAnsi="宋体" w:cs="宋体"/>
                <w:kern w:val="0"/>
                <w:sz w:val="24"/>
              </w:rPr>
              <w:t>否　</w:t>
            </w:r>
          </w:p>
        </w:tc>
      </w:tr>
      <w:tr w14:paraId="4626E24E">
        <w:tblPrEx>
          <w:tblCellMar>
            <w:top w:w="0" w:type="dxa"/>
            <w:left w:w="108" w:type="dxa"/>
            <w:bottom w:w="0" w:type="dxa"/>
            <w:right w:w="108" w:type="dxa"/>
          </w:tblCellMar>
        </w:tblPrEx>
        <w:trPr>
          <w:trHeight w:val="270" w:hRule="atLeast"/>
        </w:trPr>
        <w:tc>
          <w:tcPr>
            <w:tcW w:w="675" w:type="dxa"/>
            <w:tcBorders>
              <w:top w:val="nil"/>
              <w:left w:val="single" w:color="auto" w:sz="4" w:space="0"/>
              <w:bottom w:val="single" w:color="auto" w:sz="4" w:space="0"/>
              <w:right w:val="single" w:color="auto" w:sz="4" w:space="0"/>
            </w:tcBorders>
            <w:vAlign w:val="center"/>
          </w:tcPr>
          <w:p w14:paraId="7C0C4E2E">
            <w:pPr>
              <w:widowControl/>
              <w:jc w:val="center"/>
              <w:rPr>
                <w:rFonts w:ascii="宋体" w:hAnsi="宋体" w:cs="宋体"/>
                <w:kern w:val="0"/>
                <w:sz w:val="24"/>
              </w:rPr>
            </w:pPr>
            <w:r>
              <w:rPr>
                <w:rFonts w:hint="eastAsia" w:ascii="宋体" w:hAnsi="宋体" w:cs="宋体"/>
                <w:kern w:val="0"/>
                <w:sz w:val="24"/>
              </w:rPr>
              <w:t>10</w:t>
            </w:r>
          </w:p>
        </w:tc>
        <w:tc>
          <w:tcPr>
            <w:tcW w:w="993" w:type="dxa"/>
            <w:tcBorders>
              <w:top w:val="nil"/>
              <w:left w:val="nil"/>
              <w:bottom w:val="single" w:color="auto" w:sz="4" w:space="0"/>
              <w:right w:val="single" w:color="auto" w:sz="4" w:space="0"/>
            </w:tcBorders>
            <w:vAlign w:val="center"/>
          </w:tcPr>
          <w:p w14:paraId="39F8F86C">
            <w:pPr>
              <w:widowControl/>
              <w:jc w:val="center"/>
              <w:rPr>
                <w:rFonts w:ascii="宋体" w:hAnsi="宋体" w:cs="宋体"/>
                <w:kern w:val="0"/>
                <w:sz w:val="24"/>
              </w:rPr>
            </w:pPr>
          </w:p>
        </w:tc>
        <w:tc>
          <w:tcPr>
            <w:tcW w:w="5953" w:type="dxa"/>
            <w:tcBorders>
              <w:top w:val="nil"/>
              <w:left w:val="nil"/>
              <w:bottom w:val="single" w:color="auto" w:sz="4" w:space="0"/>
              <w:right w:val="single" w:color="auto" w:sz="4" w:space="0"/>
            </w:tcBorders>
            <w:vAlign w:val="center"/>
          </w:tcPr>
          <w:p w14:paraId="1D327236">
            <w:pPr>
              <w:widowControl/>
              <w:rPr>
                <w:rFonts w:ascii="宋体" w:hAnsi="宋体" w:cs="宋体"/>
                <w:kern w:val="0"/>
                <w:sz w:val="24"/>
              </w:rPr>
            </w:pPr>
            <w:r>
              <w:rPr>
                <w:rFonts w:hint="eastAsia" w:ascii="宋体" w:hAnsi="宋体" w:cs="宋体"/>
                <w:kern w:val="0"/>
                <w:sz w:val="24"/>
              </w:rPr>
              <w:t>含输入输出线缆：低烟无卤，阻燃YJV电缆。（长度满足现场实际需要）</w:t>
            </w:r>
          </w:p>
        </w:tc>
        <w:tc>
          <w:tcPr>
            <w:tcW w:w="1103" w:type="dxa"/>
            <w:tcBorders>
              <w:top w:val="nil"/>
              <w:left w:val="nil"/>
              <w:bottom w:val="single" w:color="auto" w:sz="4" w:space="0"/>
              <w:right w:val="single" w:color="auto" w:sz="4" w:space="0"/>
            </w:tcBorders>
            <w:noWrap/>
            <w:vAlign w:val="center"/>
          </w:tcPr>
          <w:p w14:paraId="584AE029">
            <w:pPr>
              <w:widowControl/>
              <w:jc w:val="center"/>
              <w:rPr>
                <w:rFonts w:ascii="宋体" w:hAnsi="宋体" w:cs="宋体"/>
                <w:kern w:val="0"/>
                <w:sz w:val="24"/>
              </w:rPr>
            </w:pPr>
            <w:r>
              <w:rPr>
                <w:rFonts w:hint="eastAsia" w:ascii="宋体" w:hAnsi="宋体" w:cs="宋体"/>
                <w:kern w:val="0"/>
                <w:sz w:val="24"/>
              </w:rPr>
              <w:t>否</w:t>
            </w:r>
          </w:p>
        </w:tc>
      </w:tr>
    </w:tbl>
    <w:p w14:paraId="5940349C">
      <w:pPr>
        <w:spacing w:line="360" w:lineRule="auto"/>
        <w:rPr>
          <w:rFonts w:ascii="宋体" w:hAnsi="宋体" w:cs="宋体"/>
          <w:sz w:val="24"/>
        </w:rPr>
      </w:pPr>
    </w:p>
    <w:p w14:paraId="577EFEE9">
      <w:pPr>
        <w:spacing w:line="360" w:lineRule="auto"/>
        <w:ind w:firstLine="480" w:firstLineChars="200"/>
        <w:contextualSpacing/>
        <w:outlineLvl w:val="2"/>
        <w:rPr>
          <w:rFonts w:ascii="宋体" w:hAnsi="宋体" w:cs="宋体"/>
          <w:sz w:val="24"/>
        </w:rPr>
      </w:pPr>
      <w:r>
        <w:rPr>
          <w:rFonts w:hint="eastAsia" w:ascii="宋体" w:hAnsi="宋体" w:cs="宋体"/>
          <w:sz w:val="24"/>
        </w:rPr>
        <w:t>2.2项目实施管理要求</w:t>
      </w:r>
    </w:p>
    <w:p w14:paraId="288CCB37">
      <w:pPr>
        <w:spacing w:line="360" w:lineRule="auto"/>
        <w:ind w:firstLine="480" w:firstLineChars="200"/>
        <w:rPr>
          <w:rFonts w:ascii="宋体" w:hAnsi="宋体" w:cs="宋体"/>
          <w:sz w:val="24"/>
        </w:rPr>
      </w:pPr>
      <w:r>
        <w:rPr>
          <w:rFonts w:hint="eastAsia" w:ascii="宋体" w:hAnsi="宋体" w:cs="宋体"/>
          <w:sz w:val="24"/>
        </w:rPr>
        <w:t>投标人应重视项目组织及人员管理，给出项目组织结构图并对组织职责及人员分工进行详细说明。重视项目实施的质量管理与安全保密管理措施，确保本项目安全实施并确保质量符合要求。重视项目计划与进度管理，确保在规定的时间内完成项目所需的全部工作和完成的工作各个过程。</w:t>
      </w:r>
    </w:p>
    <w:p w14:paraId="7C6660E7">
      <w:pPr>
        <w:spacing w:line="360" w:lineRule="auto"/>
        <w:ind w:firstLine="480" w:firstLineChars="200"/>
        <w:rPr>
          <w:rFonts w:ascii="宋体" w:hAnsi="宋体" w:cs="宋体"/>
          <w:sz w:val="24"/>
        </w:rPr>
      </w:pPr>
      <w:r>
        <w:rPr>
          <w:rFonts w:hint="eastAsia" w:ascii="宋体" w:hAnsi="宋体" w:cs="宋体"/>
          <w:sz w:val="24"/>
        </w:rPr>
        <w:t>在项目实施过程中投标人须加强与采购人多渠道沟通，沟通方式不限于定期会议、文件汇报和专题会议。通过沟通确保在项目实施过程中存在的问题能够及时理解并达成一致，使问题得到有效快速地解决。</w:t>
      </w:r>
    </w:p>
    <w:p w14:paraId="079F312A">
      <w:pPr>
        <w:spacing w:line="360" w:lineRule="auto"/>
        <w:ind w:firstLine="480" w:firstLineChars="200"/>
        <w:rPr>
          <w:rFonts w:ascii="宋体" w:hAnsi="宋体" w:cs="宋体"/>
          <w:sz w:val="24"/>
        </w:rPr>
      </w:pPr>
      <w:r>
        <w:rPr>
          <w:rFonts w:hint="eastAsia" w:ascii="宋体" w:hAnsi="宋体" w:cs="宋体"/>
          <w:sz w:val="24"/>
        </w:rPr>
        <w:t>为了按时完成项目建设的全部工作，投标人需提供进度计划管理方案，给出本项目实施总体计划、详细进度计划、进度计划控制方法和保障措施，确保能够按照项目时间要求完成项目的实施。</w:t>
      </w:r>
    </w:p>
    <w:p w14:paraId="22EC81C3">
      <w:pPr>
        <w:spacing w:line="360" w:lineRule="auto"/>
        <w:ind w:firstLine="480" w:firstLineChars="200"/>
        <w:rPr>
          <w:rFonts w:ascii="宋体" w:hAnsi="宋体" w:cs="宋体"/>
          <w:sz w:val="24"/>
        </w:rPr>
      </w:pPr>
      <w:r>
        <w:rPr>
          <w:rFonts w:hint="eastAsia" w:ascii="宋体" w:hAnsi="宋体" w:cs="宋体"/>
          <w:sz w:val="24"/>
        </w:rPr>
        <w:t>项目建设周期：</w:t>
      </w:r>
      <w:r>
        <w:rPr>
          <w:rFonts w:hint="eastAsia" w:ascii="宋体" w:hAnsi="宋体" w:cs="宋体"/>
          <w:sz w:val="24"/>
          <w:highlight w:val="none"/>
        </w:rPr>
        <w:t>合同签订之日起，本项目建设周期为18个月。</w:t>
      </w:r>
      <w:r>
        <w:rPr>
          <w:rFonts w:hint="eastAsia" w:ascii="宋体" w:hAnsi="宋体" w:cs="宋体"/>
          <w:sz w:val="24"/>
        </w:rPr>
        <w:t>合同签订后30个日历日内完成所有设备到货，现场具备安装条件后90个日历日内安装、调试。投标人应在规定时间内完成项目所有建设内容完成终验，进入质保期。若因采购人或法律政策等原因导致项目起始时间变化、发生暂停，项目总期限不变，时间相应顺延。</w:t>
      </w:r>
    </w:p>
    <w:p w14:paraId="2A59525C">
      <w:pPr>
        <w:spacing w:line="360" w:lineRule="auto"/>
        <w:ind w:firstLine="480" w:firstLineChars="200"/>
        <w:rPr>
          <w:rFonts w:ascii="宋体" w:hAnsi="宋体" w:cs="宋体"/>
          <w:sz w:val="24"/>
        </w:rPr>
      </w:pPr>
      <w:r>
        <w:rPr>
          <w:rFonts w:hint="eastAsia" w:ascii="宋体" w:hAnsi="宋体" w:cs="宋体"/>
          <w:sz w:val="24"/>
        </w:rPr>
        <w:t>项目实施要求：投标人应结合本项目实际实施需求，提供完整合理的项目实施方案，方案内容包括但不限于实施组织与人员、总体周期计划与各阶段详细计划以及实施质量保障。</w:t>
      </w:r>
    </w:p>
    <w:p w14:paraId="782F3183">
      <w:pPr>
        <w:spacing w:line="360" w:lineRule="auto"/>
        <w:ind w:firstLine="480" w:firstLineChars="200"/>
        <w:rPr>
          <w:rFonts w:ascii="宋体" w:hAnsi="宋体" w:cs="宋体"/>
          <w:sz w:val="24"/>
        </w:rPr>
      </w:pPr>
      <w:r>
        <w:rPr>
          <w:rFonts w:hint="eastAsia" w:ascii="宋体" w:hAnsi="宋体" w:cs="宋体"/>
          <w:sz w:val="24"/>
        </w:rPr>
        <w:t>项目实施地点及部署要求：采购人指定的地点，部署方式为本地化部署方式。</w:t>
      </w:r>
    </w:p>
    <w:p w14:paraId="387D1F02">
      <w:pPr>
        <w:spacing w:line="360" w:lineRule="auto"/>
        <w:ind w:firstLine="480" w:firstLineChars="200"/>
        <w:rPr>
          <w:rFonts w:ascii="宋体" w:hAnsi="宋体" w:cs="宋体"/>
          <w:sz w:val="24"/>
        </w:rPr>
      </w:pPr>
      <w:r>
        <w:rPr>
          <w:rFonts w:hint="eastAsia" w:ascii="宋体" w:hAnsi="宋体" w:cs="宋体"/>
          <w:sz w:val="24"/>
        </w:rPr>
        <w:t>项目实施人员要求：为确保项目实施质量达到预期目标，投标人应建立分工明确、职责清楚的项目管理组织架构、明确各岗位的职责和任职资格，提供具有类似项目实施和管理经验且稳定的专业化团队。投标人应承诺在项目不同阶段根据项目需求配置足够的人员组织实施项目，确保按项目进度完成建设工作。项目建设过程中，投标人可更换采购人认为不合适的人员。</w:t>
      </w:r>
    </w:p>
    <w:p w14:paraId="3CE305B9">
      <w:pPr>
        <w:spacing w:line="360" w:lineRule="auto"/>
        <w:ind w:firstLine="480" w:firstLineChars="200"/>
        <w:rPr>
          <w:rFonts w:ascii="宋体" w:hAnsi="宋体" w:cs="宋体"/>
          <w:sz w:val="24"/>
        </w:rPr>
      </w:pPr>
      <w:r>
        <w:rPr>
          <w:rFonts w:hint="eastAsia" w:ascii="宋体" w:hAnsi="宋体" w:cs="宋体"/>
          <w:sz w:val="24"/>
        </w:rPr>
        <w:t>采购人提供必要的场地和部署工作条件，协调组织相关责任人及时配合项目相关实施与验收工作。</w:t>
      </w:r>
    </w:p>
    <w:p w14:paraId="5DAF3153">
      <w:pPr>
        <w:widowControl/>
        <w:spacing w:line="360" w:lineRule="auto"/>
        <w:ind w:firstLine="480" w:firstLineChars="200"/>
        <w:jc w:val="left"/>
        <w:rPr>
          <w:rFonts w:ascii="宋体" w:hAnsi="宋体" w:cs="宋体"/>
          <w:sz w:val="24"/>
        </w:rPr>
      </w:pPr>
      <w:r>
        <w:rPr>
          <w:rFonts w:hint="eastAsia" w:ascii="宋体" w:hAnsi="宋体" w:cs="宋体"/>
          <w:sz w:val="24"/>
        </w:rPr>
        <w:t xml:space="preserve">2.3 </w:t>
      </w:r>
      <w:r>
        <w:rPr>
          <w:rFonts w:hint="eastAsia" w:ascii="宋体" w:hAnsi="宋体" w:cs="宋体"/>
          <w:bCs/>
          <w:sz w:val="24"/>
        </w:rPr>
        <w:t>项目人员培训要求</w:t>
      </w:r>
    </w:p>
    <w:p w14:paraId="06820D6D">
      <w:pPr>
        <w:spacing w:line="360" w:lineRule="auto"/>
        <w:ind w:firstLine="480" w:firstLineChars="200"/>
        <w:contextualSpacing/>
        <w:rPr>
          <w:rFonts w:ascii="宋体" w:hAnsi="宋体" w:cs="宋体"/>
          <w:sz w:val="24"/>
        </w:rPr>
      </w:pPr>
      <w:r>
        <w:rPr>
          <w:rFonts w:hint="eastAsia" w:ascii="宋体" w:hAnsi="宋体" w:cs="宋体"/>
          <w:sz w:val="24"/>
        </w:rPr>
        <w:t>培训工作是整个项目得以正常运行的关键，除了对系统使用人员的专项培训以外，应对系统维护人员进行系统维护的培训。具体培训要求如下：</w:t>
      </w:r>
    </w:p>
    <w:p w14:paraId="453DE5D8">
      <w:pPr>
        <w:spacing w:line="360" w:lineRule="auto"/>
        <w:ind w:firstLine="480" w:firstLineChars="200"/>
        <w:contextualSpacing/>
        <w:rPr>
          <w:rFonts w:ascii="宋体" w:hAnsi="宋体" w:cs="宋体"/>
          <w:sz w:val="24"/>
        </w:rPr>
      </w:pPr>
      <w:r>
        <w:rPr>
          <w:rFonts w:hint="eastAsia" w:ascii="宋体" w:hAnsi="宋体" w:cs="宋体"/>
          <w:sz w:val="24"/>
        </w:rPr>
        <w:t>投标人须为本项目建设的系统管理及使用人员提供培训服务，通过系统化的培训使培训对象能够熟练地掌握系统使用和维护方法，使其能够独立管理、使用和维护项目相关系统。</w:t>
      </w:r>
    </w:p>
    <w:p w14:paraId="53B7B4DA">
      <w:pPr>
        <w:spacing w:line="360" w:lineRule="auto"/>
        <w:ind w:firstLine="480" w:firstLineChars="200"/>
        <w:contextualSpacing/>
        <w:rPr>
          <w:rFonts w:ascii="宋体" w:hAnsi="宋体" w:cs="宋体"/>
          <w:sz w:val="24"/>
        </w:rPr>
      </w:pPr>
      <w:r>
        <w:rPr>
          <w:rFonts w:hint="eastAsia" w:ascii="宋体" w:hAnsi="宋体" w:cs="宋体"/>
          <w:sz w:val="24"/>
        </w:rPr>
        <w:t>2.3.1投标人应在投标文件中提出详细的培训计划，计划内容应包括培训项目、培训次数、培训地点、培训教材、培训讲师要求、培训对象、日程安排及其他相关事项。培训教材包括视频文件、培训PPT资料，培训所使用的语言和教材应为是中文。</w:t>
      </w:r>
    </w:p>
    <w:p w14:paraId="7561D23B">
      <w:pPr>
        <w:spacing w:line="360" w:lineRule="auto"/>
        <w:ind w:firstLine="480" w:firstLineChars="200"/>
        <w:rPr>
          <w:rFonts w:ascii="宋体" w:hAnsi="宋体" w:cs="宋体"/>
          <w:sz w:val="24"/>
        </w:rPr>
      </w:pPr>
      <w:r>
        <w:rPr>
          <w:rFonts w:hint="eastAsia" w:ascii="宋体" w:hAnsi="宋体" w:cs="宋体"/>
          <w:sz w:val="24"/>
        </w:rPr>
        <w:t>2.3.2技术培训的内容需涵盖软件的日常操作、系统管理维护以及基本的故障诊断与排错。培训教材应由投标人提供，并确保内容全面、易于理解。培训讲师应具备丰富的相关领域经验，能够有效传授知识和技能。培训对象应包括系统管理员、技术支持人员及其他相关操作人员，确保其能够熟练掌握软件的使用与维护。</w:t>
      </w:r>
    </w:p>
    <w:p w14:paraId="55F192B3">
      <w:pPr>
        <w:tabs>
          <w:tab w:val="left" w:pos="0"/>
        </w:tabs>
        <w:spacing w:line="360" w:lineRule="auto"/>
        <w:ind w:firstLine="480" w:firstLineChars="200"/>
        <w:contextualSpacing/>
        <w:jc w:val="left"/>
        <w:outlineLvl w:val="1"/>
        <w:rPr>
          <w:rFonts w:ascii="宋体" w:hAnsi="宋体" w:cs="宋体"/>
          <w:bCs/>
          <w:sz w:val="24"/>
        </w:rPr>
      </w:pPr>
      <w:r>
        <w:rPr>
          <w:rFonts w:hint="eastAsia" w:ascii="宋体" w:hAnsi="宋体" w:cs="宋体"/>
          <w:bCs/>
          <w:sz w:val="24"/>
        </w:rPr>
        <w:t>2.4 项目售后服务要求</w:t>
      </w:r>
    </w:p>
    <w:p w14:paraId="4BF062B3">
      <w:pPr>
        <w:spacing w:line="360" w:lineRule="auto"/>
        <w:ind w:firstLine="480" w:firstLineChars="200"/>
        <w:jc w:val="left"/>
        <w:rPr>
          <w:rFonts w:ascii="宋体" w:hAnsi="宋体" w:cs="宋体"/>
          <w:sz w:val="24"/>
        </w:rPr>
      </w:pPr>
      <w:r>
        <w:rPr>
          <w:rFonts w:hint="eastAsia" w:ascii="宋体" w:hAnsi="宋体" w:cs="宋体"/>
          <w:sz w:val="24"/>
        </w:rPr>
        <w:t>针对本项目的售后服务，投标人须提供完整可行的售后服务方案，包括但不限于售后服务机构及服务团队构成、售后服务方式、服务响应时间及服务内容。</w:t>
      </w:r>
    </w:p>
    <w:p w14:paraId="1F893F97">
      <w:pPr>
        <w:spacing w:line="360" w:lineRule="auto"/>
        <w:ind w:left="480"/>
        <w:jc w:val="left"/>
        <w:rPr>
          <w:rFonts w:ascii="宋体" w:hAnsi="宋体" w:cs="宋体"/>
          <w:sz w:val="24"/>
        </w:rPr>
      </w:pPr>
      <w:r>
        <w:rPr>
          <w:rFonts w:hint="eastAsia" w:ascii="宋体" w:hAnsi="宋体" w:cs="宋体"/>
          <w:sz w:val="24"/>
        </w:rPr>
        <w:t>2.4.1售后服务质保年限</w:t>
      </w:r>
    </w:p>
    <w:p w14:paraId="1990F249">
      <w:pPr>
        <w:spacing w:after="120" w:line="480" w:lineRule="exact"/>
        <w:ind w:left="420" w:leftChars="200" w:firstLine="480" w:firstLineChars="200"/>
        <w:rPr>
          <w:rFonts w:ascii="宋体" w:hAnsi="宋体" w:cs="宋体"/>
          <w:sz w:val="24"/>
        </w:rPr>
      </w:pPr>
      <w:r>
        <w:rPr>
          <w:rFonts w:hint="eastAsia" w:ascii="宋体" w:hAnsi="宋体" w:cs="宋体"/>
          <w:sz w:val="24"/>
        </w:rPr>
        <w:t>会议平板一体机、75寸显示器、后勤UPS（30KVA）和安防UPS（60KVA），自验收合格之日起提供不少于三年的质保服务并加盖投标人公章；</w:t>
      </w:r>
    </w:p>
    <w:p w14:paraId="3C4AEA3F">
      <w:pPr>
        <w:spacing w:after="120" w:line="480" w:lineRule="exact"/>
        <w:ind w:left="420" w:leftChars="200" w:firstLine="480" w:firstLineChars="200"/>
        <w:rPr>
          <w:rFonts w:ascii="宋体" w:hAnsi="宋体" w:cs="宋体"/>
          <w:sz w:val="24"/>
        </w:rPr>
      </w:pPr>
      <w:r>
        <w:rPr>
          <w:rFonts w:hint="eastAsia" w:ascii="宋体" w:hAnsi="宋体" w:cs="宋体"/>
          <w:sz w:val="24"/>
        </w:rPr>
        <w:t>32寸显示器、60寸显示器、98寸显示器、55寸液晶电视、80寸液晶电视，自验收合格之日起提供不少于二年的质保服务并加盖投标人公章。</w:t>
      </w:r>
    </w:p>
    <w:p w14:paraId="63C05E11">
      <w:pPr>
        <w:spacing w:line="360" w:lineRule="auto"/>
        <w:ind w:firstLine="480" w:firstLineChars="200"/>
        <w:jc w:val="left"/>
        <w:rPr>
          <w:rFonts w:ascii="宋体" w:hAnsi="宋体" w:cs="宋体"/>
          <w:sz w:val="24"/>
        </w:rPr>
      </w:pPr>
      <w:r>
        <w:rPr>
          <w:rFonts w:hint="eastAsia" w:ascii="宋体" w:hAnsi="宋体" w:cs="宋体"/>
          <w:sz w:val="24"/>
        </w:rPr>
        <w:t>2.4.2售后服务团队</w:t>
      </w:r>
    </w:p>
    <w:p w14:paraId="313EA28A">
      <w:pPr>
        <w:spacing w:line="360" w:lineRule="auto"/>
        <w:ind w:firstLine="480" w:firstLineChars="200"/>
        <w:jc w:val="left"/>
        <w:rPr>
          <w:rFonts w:ascii="宋体" w:hAnsi="宋体" w:cs="宋体"/>
          <w:sz w:val="24"/>
        </w:rPr>
      </w:pPr>
      <w:r>
        <w:rPr>
          <w:rFonts w:hint="eastAsia" w:ascii="宋体" w:hAnsi="宋体" w:cs="宋体"/>
          <w:sz w:val="24"/>
        </w:rPr>
        <w:t>投标人需建立售后服务机构以及提供专业化的技术服务团队，包括不限于售后服务工程师。在项目质保期内提供快速、及时的故障排除、技术咨询等服务。</w:t>
      </w:r>
    </w:p>
    <w:p w14:paraId="41B79C64">
      <w:pPr>
        <w:spacing w:line="360" w:lineRule="auto"/>
        <w:ind w:firstLine="480" w:firstLineChars="200"/>
        <w:jc w:val="left"/>
        <w:rPr>
          <w:rFonts w:ascii="宋体" w:hAnsi="宋体" w:cs="宋体"/>
          <w:sz w:val="24"/>
        </w:rPr>
      </w:pPr>
      <w:r>
        <w:rPr>
          <w:rFonts w:hint="eastAsia" w:ascii="宋体" w:hAnsi="宋体" w:cs="宋体"/>
          <w:sz w:val="24"/>
        </w:rPr>
        <w:t>2.4.3售后服务方式</w:t>
      </w:r>
    </w:p>
    <w:p w14:paraId="6F04B5DD">
      <w:pPr>
        <w:spacing w:line="360" w:lineRule="auto"/>
        <w:ind w:firstLine="480" w:firstLineChars="200"/>
        <w:jc w:val="left"/>
        <w:rPr>
          <w:rFonts w:ascii="宋体" w:hAnsi="宋体" w:cs="宋体"/>
          <w:sz w:val="24"/>
        </w:rPr>
      </w:pPr>
      <w:r>
        <w:rPr>
          <w:rFonts w:hint="eastAsia" w:ascii="宋体" w:hAnsi="宋体" w:cs="宋体"/>
          <w:sz w:val="24"/>
        </w:rPr>
        <w:t>提供包括但不限于电话支持服务、现场支持服务、远程支持服务方式满足采购人服务需求。</w:t>
      </w:r>
    </w:p>
    <w:p w14:paraId="41F42FAF">
      <w:pPr>
        <w:spacing w:line="360" w:lineRule="auto"/>
        <w:ind w:firstLine="480" w:firstLineChars="200"/>
        <w:jc w:val="left"/>
        <w:rPr>
          <w:rFonts w:ascii="宋体" w:hAnsi="宋体" w:cs="宋体"/>
          <w:sz w:val="24"/>
        </w:rPr>
      </w:pPr>
      <w:r>
        <w:rPr>
          <w:rFonts w:hint="eastAsia" w:ascii="宋体" w:hAnsi="宋体" w:cs="宋体"/>
          <w:sz w:val="24"/>
        </w:rPr>
        <w:t>2.4.4售后服务时间</w:t>
      </w:r>
    </w:p>
    <w:p w14:paraId="279B9B4A">
      <w:pPr>
        <w:spacing w:line="360" w:lineRule="auto"/>
        <w:ind w:firstLine="480" w:firstLineChars="200"/>
        <w:jc w:val="left"/>
        <w:rPr>
          <w:rFonts w:ascii="宋体" w:hAnsi="宋体" w:cs="宋体"/>
          <w:sz w:val="24"/>
        </w:rPr>
      </w:pPr>
      <w:r>
        <w:rPr>
          <w:rFonts w:hint="eastAsia" w:ascii="宋体" w:hAnsi="宋体" w:cs="宋体"/>
          <w:sz w:val="24"/>
        </w:rPr>
        <w:t>售后服务时间不低于如下要求：</w:t>
      </w:r>
    </w:p>
    <w:p w14:paraId="652ED314">
      <w:pPr>
        <w:spacing w:line="360" w:lineRule="auto"/>
        <w:ind w:firstLine="480" w:firstLineChars="200"/>
        <w:jc w:val="left"/>
        <w:rPr>
          <w:rFonts w:ascii="宋体" w:hAnsi="宋体" w:cs="宋体"/>
          <w:sz w:val="24"/>
        </w:rPr>
      </w:pPr>
      <w:r>
        <w:rPr>
          <w:rFonts w:hint="eastAsia" w:ascii="宋体" w:hAnsi="宋体" w:cs="宋体"/>
          <w:sz w:val="24"/>
        </w:rPr>
        <w:t>投标人需提供每周7X24小时多样化的售后技术支持服务，随时接受用户对系统操作的技术咨询和技术交流，及时解答用户遇到的问题。接到用户报修后，采用远程技术支持方式排查，若无法解决需2小时内派遣技术人员提供现场技术支持服务，并定期电话回访用户进行满意度调查。项目售后期间需安排巡检，要求每季度一次，对系统运行状态进行监测、管理和维护。</w:t>
      </w:r>
    </w:p>
    <w:p w14:paraId="5D0C8E3C">
      <w:pPr>
        <w:spacing w:line="360" w:lineRule="auto"/>
        <w:rPr>
          <w:rFonts w:ascii="宋体" w:hAnsi="宋体" w:cs="宋体"/>
          <w:i/>
          <w:iCs/>
          <w:sz w:val="24"/>
        </w:rPr>
      </w:pPr>
      <w:r>
        <w:rPr>
          <w:rFonts w:hint="eastAsia" w:ascii="宋体" w:hAnsi="宋体" w:cs="宋体"/>
          <w:sz w:val="24"/>
        </w:rPr>
        <w:t>3. 验收标准</w:t>
      </w:r>
    </w:p>
    <w:p w14:paraId="41D15521">
      <w:pPr>
        <w:spacing w:line="360" w:lineRule="auto"/>
        <w:ind w:firstLine="480" w:firstLineChars="200"/>
        <w:rPr>
          <w:rFonts w:ascii="宋体" w:hAnsi="宋体" w:cs="宋体"/>
          <w:sz w:val="24"/>
        </w:rPr>
      </w:pPr>
      <w:r>
        <w:rPr>
          <w:rFonts w:hint="eastAsia" w:ascii="宋体" w:hAnsi="宋体" w:cs="宋体"/>
          <w:sz w:val="24"/>
        </w:rPr>
        <w:t>按招标文件要求对全部设备、材料的型号、规格、数量、外型、外观、包装及资料、文件等进行验收，应满足招标文件要求。</w:t>
      </w:r>
    </w:p>
    <w:p w14:paraId="44C495EF">
      <w:pPr>
        <w:spacing w:line="360" w:lineRule="auto"/>
        <w:ind w:firstLine="480" w:firstLineChars="200"/>
        <w:rPr>
          <w:rFonts w:ascii="宋体" w:hAnsi="宋体" w:cs="宋体"/>
          <w:sz w:val="24"/>
        </w:rPr>
      </w:pPr>
      <w:r>
        <w:rPr>
          <w:rFonts w:hint="eastAsia" w:ascii="宋体" w:hAnsi="宋体" w:cs="宋体"/>
          <w:sz w:val="24"/>
        </w:rPr>
        <w:t>投标人提供的各种文件载明的内容真实；</w:t>
      </w:r>
    </w:p>
    <w:p w14:paraId="17DB0D66">
      <w:pPr>
        <w:spacing w:line="360" w:lineRule="auto"/>
        <w:ind w:firstLine="480" w:firstLineChars="200"/>
        <w:rPr>
          <w:rFonts w:ascii="宋体" w:hAnsi="宋体" w:cs="宋体"/>
          <w:sz w:val="24"/>
        </w:rPr>
      </w:pPr>
      <w:r>
        <w:rPr>
          <w:rFonts w:hint="eastAsia" w:ascii="宋体" w:hAnsi="宋体" w:cs="宋体"/>
          <w:sz w:val="24"/>
        </w:rPr>
        <w:t>拆箱后，投标人应对其全部产品、零件、配件、用户许可证书、资料、介质造册登记，并与装箱单对比，如有出入应立即书面记录，由投标人解决，如影响安装则按合同有关条款处理；</w:t>
      </w:r>
    </w:p>
    <w:p w14:paraId="5B956BD2">
      <w:pPr>
        <w:spacing w:line="360" w:lineRule="auto"/>
        <w:ind w:firstLine="480" w:firstLineChars="200"/>
        <w:rPr>
          <w:rFonts w:ascii="宋体" w:hAnsi="宋体" w:cs="宋体"/>
          <w:sz w:val="24"/>
        </w:rPr>
      </w:pPr>
      <w:r>
        <w:rPr>
          <w:rFonts w:hint="eastAsia" w:ascii="宋体" w:hAnsi="宋体" w:cs="宋体"/>
          <w:sz w:val="24"/>
        </w:rPr>
        <w:t>设备通电测试应单台进行，所有设备通电自检正常后，才能相互连接；</w:t>
      </w:r>
    </w:p>
    <w:p w14:paraId="48308A6E">
      <w:pPr>
        <w:spacing w:line="360" w:lineRule="auto"/>
        <w:ind w:firstLine="480" w:firstLineChars="200"/>
        <w:rPr>
          <w:rFonts w:ascii="宋体" w:hAnsi="宋体" w:cs="宋体"/>
          <w:sz w:val="24"/>
        </w:rPr>
      </w:pPr>
      <w:r>
        <w:rPr>
          <w:rFonts w:hint="eastAsia" w:ascii="宋体" w:hAnsi="宋体" w:cs="宋体"/>
          <w:sz w:val="24"/>
        </w:rPr>
        <w:t>硬件全部安装完成且连接完毕进行系统测试，应严格按测试计划、内容和方法进行，并做好各项测试记录；</w:t>
      </w:r>
    </w:p>
    <w:p w14:paraId="2B77B116">
      <w:pPr>
        <w:spacing w:line="360" w:lineRule="auto"/>
        <w:ind w:firstLine="480" w:firstLineChars="200"/>
        <w:rPr>
          <w:rFonts w:ascii="宋体" w:hAnsi="宋体" w:cs="宋体"/>
          <w:sz w:val="24"/>
        </w:rPr>
      </w:pPr>
      <w:r>
        <w:rPr>
          <w:rFonts w:hint="eastAsia" w:ascii="宋体" w:hAnsi="宋体" w:cs="宋体"/>
          <w:sz w:val="24"/>
        </w:rPr>
        <w:t>系统测试中如发现设备性能指标或功能上不符合招标文件要求时，将被视为性能不合格，采购人有权拒收并要求赔偿；</w:t>
      </w:r>
    </w:p>
    <w:p w14:paraId="68B789B8">
      <w:pPr>
        <w:spacing w:line="360" w:lineRule="auto"/>
        <w:ind w:firstLine="480" w:firstLineChars="200"/>
        <w:rPr>
          <w:rFonts w:ascii="宋体" w:hAnsi="宋体" w:cs="宋体"/>
          <w:sz w:val="24"/>
        </w:rPr>
      </w:pPr>
      <w:r>
        <w:rPr>
          <w:rFonts w:hint="eastAsia" w:ascii="宋体" w:hAnsi="宋体" w:cs="宋体"/>
          <w:sz w:val="24"/>
        </w:rPr>
        <w:t>本项目启动之日起，系统对接完成，正常使用。</w:t>
      </w:r>
    </w:p>
    <w:p w14:paraId="7F7F354E">
      <w:pPr>
        <w:spacing w:line="360" w:lineRule="auto"/>
        <w:ind w:firstLine="480" w:firstLineChars="200"/>
        <w:rPr>
          <w:rFonts w:ascii="宋体" w:hAnsi="宋体" w:cs="宋体"/>
          <w:sz w:val="24"/>
        </w:rPr>
      </w:pPr>
      <w:r>
        <w:rPr>
          <w:rFonts w:hint="eastAsia" w:ascii="宋体" w:hAnsi="宋体" w:cs="宋体"/>
          <w:sz w:val="24"/>
        </w:rPr>
        <w:t>货物经采购人验收合格签字后，并不能免除投标人对货物应承担的责任。</w:t>
      </w:r>
    </w:p>
    <w:bookmarkEnd w:id="1"/>
    <w:bookmarkEnd w:id="2"/>
    <w:bookmarkEnd w:id="3"/>
    <w:bookmarkEnd w:id="4"/>
    <w:bookmarkEnd w:id="5"/>
    <w:bookmarkEnd w:id="6"/>
    <w:bookmarkEnd w:id="7"/>
    <w:bookmarkEnd w:id="8"/>
    <w:bookmarkEnd w:id="9"/>
    <w:bookmarkEnd w:id="10"/>
    <w:bookmarkEnd w:id="11"/>
    <w:bookmarkEnd w:id="12"/>
    <w:bookmarkEnd w:id="13"/>
    <w:bookmarkEnd w:id="14"/>
    <w:p w14:paraId="18BDA789">
      <w:bookmarkStart w:id="24" w:name="_GoBack"/>
      <w:bookmarkEnd w:id="24"/>
    </w:p>
    <w:sectPr>
      <w:footerReference r:id="rId3" w:type="default"/>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D859A">
    <w:pPr>
      <w:pStyle w:val="10"/>
      <w:jc w:val="cente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266</w:t>
    </w:r>
    <w:r>
      <w:rPr>
        <w:rFonts w:ascii="Times New Roman"/>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FA75DC9"/>
    <w:multiLevelType w:val="multilevel"/>
    <w:tmpl w:val="2FA75DC9"/>
    <w:lvl w:ilvl="0" w:tentative="0">
      <w:start w:val="1"/>
      <w:numFmt w:val="decimal"/>
      <w:lvlText w:val="%1."/>
      <w:lvlJc w:val="left"/>
      <w:pPr>
        <w:ind w:left="3134" w:hanging="440"/>
      </w:pPr>
    </w:lvl>
    <w:lvl w:ilvl="1" w:tentative="0">
      <w:start w:val="1"/>
      <w:numFmt w:val="lowerLetter"/>
      <w:lvlText w:val="%2)"/>
      <w:lvlJc w:val="left"/>
      <w:pPr>
        <w:ind w:left="3574" w:hanging="440"/>
      </w:pPr>
    </w:lvl>
    <w:lvl w:ilvl="2" w:tentative="0">
      <w:start w:val="1"/>
      <w:numFmt w:val="lowerRoman"/>
      <w:lvlText w:val="%3."/>
      <w:lvlJc w:val="right"/>
      <w:pPr>
        <w:ind w:left="4014" w:hanging="440"/>
      </w:pPr>
    </w:lvl>
    <w:lvl w:ilvl="3" w:tentative="0">
      <w:start w:val="1"/>
      <w:numFmt w:val="decimal"/>
      <w:lvlText w:val="%4."/>
      <w:lvlJc w:val="left"/>
      <w:pPr>
        <w:ind w:left="4454" w:hanging="440"/>
      </w:pPr>
    </w:lvl>
    <w:lvl w:ilvl="4" w:tentative="0">
      <w:start w:val="1"/>
      <w:numFmt w:val="lowerLetter"/>
      <w:lvlText w:val="%5)"/>
      <w:lvlJc w:val="left"/>
      <w:pPr>
        <w:ind w:left="4894" w:hanging="440"/>
      </w:pPr>
    </w:lvl>
    <w:lvl w:ilvl="5" w:tentative="0">
      <w:start w:val="1"/>
      <w:numFmt w:val="lowerRoman"/>
      <w:lvlText w:val="%6."/>
      <w:lvlJc w:val="right"/>
      <w:pPr>
        <w:ind w:left="5334" w:hanging="440"/>
      </w:pPr>
    </w:lvl>
    <w:lvl w:ilvl="6" w:tentative="0">
      <w:start w:val="1"/>
      <w:numFmt w:val="decimal"/>
      <w:lvlText w:val="%7."/>
      <w:lvlJc w:val="left"/>
      <w:pPr>
        <w:ind w:left="5774" w:hanging="440"/>
      </w:pPr>
    </w:lvl>
    <w:lvl w:ilvl="7" w:tentative="0">
      <w:start w:val="1"/>
      <w:numFmt w:val="lowerLetter"/>
      <w:lvlText w:val="%8)"/>
      <w:lvlJc w:val="left"/>
      <w:pPr>
        <w:ind w:left="6214" w:hanging="440"/>
      </w:pPr>
    </w:lvl>
    <w:lvl w:ilvl="8" w:tentative="0">
      <w:start w:val="1"/>
      <w:numFmt w:val="lowerRoman"/>
      <w:lvlText w:val="%9."/>
      <w:lvlJc w:val="right"/>
      <w:pPr>
        <w:ind w:left="6654" w:hanging="440"/>
      </w:pPr>
    </w:lvl>
  </w:abstractNum>
  <w:abstractNum w:abstractNumId="2">
    <w:nsid w:val="58D95506"/>
    <w:multiLevelType w:val="multilevel"/>
    <w:tmpl w:val="58D95506"/>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5E4F372A"/>
    <w:multiLevelType w:val="multilevel"/>
    <w:tmpl w:val="5E4F372A"/>
    <w:lvl w:ilvl="0" w:tentative="0">
      <w:start w:val="1"/>
      <w:numFmt w:val="japaneseCounting"/>
      <w:lvlText w:val="%1、"/>
      <w:lvlJc w:val="left"/>
      <w:pPr>
        <w:ind w:left="21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6332FB1"/>
    <w:rsid w:val="5A0F6D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3">
    <w:name w:val="heading 3"/>
    <w:basedOn w:val="1"/>
    <w:next w:val="4"/>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5">
    <w:name w:val="heading 4"/>
    <w:basedOn w:val="1"/>
    <w:next w:val="1"/>
    <w:qFormat/>
    <w:uiPriority w:val="0"/>
    <w:pPr>
      <w:keepNext/>
      <w:keepLines/>
      <w:adjustRightInd w:val="0"/>
      <w:spacing w:before="280" w:after="290" w:line="376" w:lineRule="atLeast"/>
      <w:textAlignment w:val="baseline"/>
      <w:outlineLvl w:val="3"/>
    </w:pPr>
    <w:rPr>
      <w:kern w:val="0"/>
      <w:sz w:val="24"/>
      <w:szCs w:val="20"/>
    </w:rPr>
  </w:style>
  <w:style w:type="character" w:default="1" w:styleId="17">
    <w:name w:val="Default Paragraph Font"/>
    <w:semiHidden/>
    <w:qFormat/>
    <w:uiPriority w:val="0"/>
  </w:style>
  <w:style w:type="table" w:default="1" w:styleId="15">
    <w:name w:val="Normal Table"/>
    <w:semiHidden/>
    <w:uiPriority w:val="0"/>
    <w:tblPr>
      <w:tblCellMar>
        <w:top w:w="0" w:type="dxa"/>
        <w:left w:w="108" w:type="dxa"/>
        <w:bottom w:w="0" w:type="dxa"/>
        <w:right w:w="108" w:type="dxa"/>
      </w:tblCellMar>
    </w:tblPr>
  </w:style>
  <w:style w:type="paragraph" w:styleId="4">
    <w:name w:val="Normal Indent"/>
    <w:basedOn w:val="1"/>
    <w:qFormat/>
    <w:uiPriority w:val="0"/>
    <w:pPr>
      <w:autoSpaceDE w:val="0"/>
      <w:autoSpaceDN w:val="0"/>
      <w:adjustRightInd w:val="0"/>
      <w:ind w:firstLine="420"/>
      <w:jc w:val="left"/>
    </w:pPr>
    <w:rPr>
      <w:rFonts w:ascii="宋体"/>
      <w:sz w:val="24"/>
    </w:rPr>
  </w:style>
  <w:style w:type="paragraph" w:styleId="6">
    <w:name w:val="annotation text"/>
    <w:basedOn w:val="1"/>
    <w:qFormat/>
    <w:uiPriority w:val="99"/>
    <w:pPr>
      <w:jc w:val="left"/>
    </w:pPr>
  </w:style>
  <w:style w:type="paragraph" w:styleId="7">
    <w:name w:val="Body Text"/>
    <w:basedOn w:val="1"/>
    <w:qFormat/>
    <w:uiPriority w:val="0"/>
    <w:pPr>
      <w:tabs>
        <w:tab w:val="left" w:pos="567"/>
      </w:tabs>
      <w:spacing w:before="120" w:line="22" w:lineRule="atLeast"/>
    </w:pPr>
    <w:rPr>
      <w:rFonts w:ascii="宋体" w:hAnsi="宋体"/>
      <w:sz w:val="24"/>
    </w:rPr>
  </w:style>
  <w:style w:type="paragraph" w:styleId="8">
    <w:name w:val="Body Text Indent"/>
    <w:basedOn w:val="1"/>
    <w:qFormat/>
    <w:uiPriority w:val="0"/>
    <w:pPr>
      <w:spacing w:line="360" w:lineRule="auto"/>
      <w:ind w:firstLine="570"/>
    </w:pPr>
    <w:rPr>
      <w:sz w:val="24"/>
    </w:rPr>
  </w:style>
  <w:style w:type="paragraph" w:styleId="9">
    <w:name w:val="Plain Text"/>
    <w:basedOn w:val="1"/>
    <w:qFormat/>
    <w:uiPriority w:val="0"/>
    <w:rPr>
      <w:rFonts w:hint="eastAsia" w:ascii="宋体" w:hAnsi="Courier New"/>
      <w:szCs w:val="20"/>
    </w:rPr>
  </w:style>
  <w:style w:type="paragraph" w:styleId="10">
    <w:name w:val="footer"/>
    <w:basedOn w:val="1"/>
    <w:qFormat/>
    <w:uiPriority w:val="0"/>
    <w:pPr>
      <w:tabs>
        <w:tab w:val="center" w:pos="4153"/>
        <w:tab w:val="right" w:pos="8306"/>
      </w:tabs>
      <w:autoSpaceDE w:val="0"/>
      <w:autoSpaceDN w:val="0"/>
      <w:adjustRightInd w:val="0"/>
      <w:snapToGrid w:val="0"/>
      <w:jc w:val="left"/>
    </w:pPr>
    <w:rPr>
      <w:rFonts w:ascii="宋体"/>
      <w:kern w:val="0"/>
      <w:sz w:val="18"/>
      <w:szCs w:val="20"/>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left" w:pos="1050"/>
        <w:tab w:val="right" w:leader="dot" w:pos="8937"/>
      </w:tabs>
      <w:spacing w:line="300" w:lineRule="auto"/>
    </w:pPr>
    <w:rPr>
      <w:rFonts w:ascii="宋体" w:hAnsi="宋体"/>
      <w:b/>
      <w:sz w:val="24"/>
    </w:rPr>
  </w:style>
  <w:style w:type="paragraph" w:styleId="1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4">
    <w:name w:val="Body Text First Indent 2"/>
    <w:basedOn w:val="8"/>
    <w:qFormat/>
    <w:uiPriority w:val="0"/>
    <w:pPr>
      <w:spacing w:after="120" w:line="480" w:lineRule="exact"/>
      <w:ind w:left="420" w:leftChars="200" w:firstLine="420" w:firstLineChars="200"/>
    </w:pPr>
    <w:rPr>
      <w:szCs w:val="20"/>
    </w:rPr>
  </w:style>
  <w:style w:type="table" w:styleId="16">
    <w:name w:val="Table Grid"/>
    <w:basedOn w:val="15"/>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8">
    <w:name w:val="Strong"/>
    <w:qFormat/>
    <w:uiPriority w:val="0"/>
    <w:rPr>
      <w:b/>
      <w:bCs/>
    </w:rPr>
  </w:style>
  <w:style w:type="character" w:styleId="19">
    <w:name w:val="page number"/>
    <w:qFormat/>
    <w:uiPriority w:val="0"/>
  </w:style>
  <w:style w:type="character" w:styleId="20">
    <w:name w:val="Emphasis"/>
    <w:qFormat/>
    <w:uiPriority w:val="0"/>
    <w:rPr>
      <w:color w:val="CC0033"/>
    </w:rPr>
  </w:style>
  <w:style w:type="character" w:styleId="21">
    <w:name w:val="Hyperlink"/>
    <w:qFormat/>
    <w:uiPriority w:val="99"/>
    <w:rPr>
      <w:color w:val="0000FF"/>
      <w:u w:val="single"/>
    </w:rPr>
  </w:style>
  <w:style w:type="character" w:styleId="22">
    <w:name w:val="annotation reference"/>
    <w:qFormat/>
    <w:uiPriority w:val="99"/>
    <w:rPr>
      <w:sz w:val="21"/>
      <w:szCs w:val="21"/>
    </w:rPr>
  </w:style>
  <w:style w:type="paragraph" w:styleId="23">
    <w:name w:val="List Paragraph"/>
    <w:basedOn w:val="1"/>
    <w:qFormat/>
    <w:uiPriority w:val="34"/>
    <w:pPr>
      <w:ind w:firstLine="420" w:firstLineChars="200"/>
    </w:pPr>
    <w:rPr>
      <w:rFonts w:ascii="Calibri" w:hAnsi="Calibri"/>
      <w:szCs w:val="22"/>
    </w:rPr>
  </w:style>
  <w:style w:type="paragraph" w:customStyle="1" w:styleId="24">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5">
    <w:name w:val="无间隔1"/>
    <w:basedOn w:val="1"/>
    <w:qFormat/>
    <w:uiPriority w:val="0"/>
    <w:pPr>
      <w:widowControl/>
      <w:spacing w:line="360" w:lineRule="auto"/>
      <w:jc w:val="center"/>
    </w:pPr>
    <w:rPr>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2026-08-13T07:35:45Z</dcterms:created>
  <dc:creator>zhhx</dc:creator>
  <cp:lastModifiedBy>高</cp:lastModifiedBy>
  <dcterms:modified xsi:type="dcterms:W3CDTF">2026-08-13T07:37:41Z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eyJoZGlkIjoiOTEwNzllZDM2ZTdkZjM5ZWQ4N2U5NWIyN2UyZWUyZGYiLCJ1c2VySWQiOiI0NjYwNDMyMDYifQ==</vt:lpwstr>
  </property>
  <property fmtid="{D5CDD505-2E9C-101B-9397-08002B2CF9AE}" pid="4" name="ICV">
    <vt:lpwstr>3B5595D84106437387C8E5C56AFDD147_12</vt:lpwstr>
  </property>
</Properties>
</file>