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3E950">
      <w:pPr>
        <w:pStyle w:val="7"/>
        <w:numPr>
          <w:numId w:val="0"/>
        </w:numPr>
        <w:spacing w:line="360" w:lineRule="auto"/>
        <w:ind w:leftChars="0"/>
        <w:contextualSpacing/>
        <w:jc w:val="center"/>
        <w:rPr>
          <w:rFonts w:ascii="宋体" w:hAnsi="宋体" w:cs="宋体"/>
          <w:b/>
          <w:sz w:val="24"/>
          <w:szCs w:val="24"/>
        </w:rPr>
      </w:pPr>
      <w:bookmarkStart w:id="0" w:name="_GoBack"/>
      <w:r>
        <w:rPr>
          <w:rFonts w:ascii="宋体" w:hAnsi="宋体"/>
          <w:b/>
          <w:sz w:val="36"/>
          <w:szCs w:val="36"/>
        </w:rPr>
        <w:t>采购需求</w:t>
      </w:r>
    </w:p>
    <w:bookmarkEnd w:id="0"/>
    <w:p w14:paraId="7BB2E02C">
      <w:pPr>
        <w:pStyle w:val="7"/>
        <w:numPr>
          <w:ilvl w:val="0"/>
          <w:numId w:val="1"/>
        </w:numPr>
        <w:spacing w:line="360" w:lineRule="auto"/>
        <w:ind w:firstLineChars="0"/>
        <w:contextualSpacing/>
        <w:rPr>
          <w:rFonts w:ascii="宋体" w:hAnsi="宋体" w:cs="宋体"/>
          <w:b/>
          <w:sz w:val="24"/>
          <w:szCs w:val="24"/>
        </w:rPr>
      </w:pPr>
      <w:r>
        <w:rPr>
          <w:rFonts w:hint="eastAsia" w:ascii="宋体" w:hAnsi="宋体" w:cs="宋体"/>
          <w:b/>
          <w:sz w:val="24"/>
          <w:szCs w:val="24"/>
        </w:rPr>
        <w:t>采购标的</w:t>
      </w:r>
    </w:p>
    <w:tbl>
      <w:tblPr>
        <w:tblStyle w:val="5"/>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2444"/>
        <w:gridCol w:w="1140"/>
        <w:gridCol w:w="1559"/>
        <w:gridCol w:w="1134"/>
        <w:gridCol w:w="1276"/>
      </w:tblGrid>
      <w:tr w14:paraId="4F62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11" w:type="dxa"/>
            <w:vAlign w:val="center"/>
          </w:tcPr>
          <w:p w14:paraId="27195CEE">
            <w:pPr>
              <w:jc w:val="center"/>
              <w:rPr>
                <w:rFonts w:ascii="宋体" w:hAnsi="宋体" w:cs="宋体"/>
                <w:b/>
                <w:bCs/>
                <w:sz w:val="24"/>
              </w:rPr>
            </w:pPr>
            <w:r>
              <w:rPr>
                <w:rFonts w:hint="eastAsia" w:ascii="宋体" w:hAnsi="宋体" w:cs="宋体"/>
                <w:b/>
                <w:bCs/>
                <w:sz w:val="24"/>
              </w:rPr>
              <w:t>序号</w:t>
            </w:r>
          </w:p>
        </w:tc>
        <w:tc>
          <w:tcPr>
            <w:tcW w:w="2444" w:type="dxa"/>
            <w:vAlign w:val="center"/>
          </w:tcPr>
          <w:p w14:paraId="130ED5EE">
            <w:pPr>
              <w:jc w:val="center"/>
              <w:rPr>
                <w:rFonts w:ascii="宋体" w:hAnsi="宋体" w:cs="宋体"/>
                <w:b/>
                <w:bCs/>
                <w:sz w:val="24"/>
              </w:rPr>
            </w:pPr>
            <w:r>
              <w:rPr>
                <w:rFonts w:hint="eastAsia" w:ascii="宋体" w:hAnsi="宋体" w:cs="宋体"/>
                <w:b/>
                <w:bCs/>
                <w:sz w:val="24"/>
              </w:rPr>
              <w:t>标的名称</w:t>
            </w:r>
          </w:p>
        </w:tc>
        <w:tc>
          <w:tcPr>
            <w:tcW w:w="1140" w:type="dxa"/>
            <w:vAlign w:val="center"/>
          </w:tcPr>
          <w:p w14:paraId="3B31B92B">
            <w:pPr>
              <w:jc w:val="center"/>
              <w:rPr>
                <w:rFonts w:ascii="宋体" w:hAnsi="宋体" w:cs="宋体"/>
                <w:b/>
                <w:bCs/>
                <w:sz w:val="24"/>
              </w:rPr>
            </w:pPr>
            <w:r>
              <w:rPr>
                <w:rFonts w:hint="eastAsia" w:ascii="宋体" w:hAnsi="宋体" w:cs="宋体"/>
                <w:b/>
                <w:bCs/>
                <w:sz w:val="24"/>
              </w:rPr>
              <w:t>数量（台/套）</w:t>
            </w:r>
          </w:p>
        </w:tc>
        <w:tc>
          <w:tcPr>
            <w:tcW w:w="1559" w:type="dxa"/>
            <w:vAlign w:val="center"/>
          </w:tcPr>
          <w:p w14:paraId="7D9978D0">
            <w:pPr>
              <w:jc w:val="center"/>
              <w:rPr>
                <w:rFonts w:ascii="宋体" w:hAnsi="宋体" w:cs="宋体"/>
                <w:b/>
                <w:bCs/>
                <w:sz w:val="24"/>
              </w:rPr>
            </w:pPr>
            <w:r>
              <w:rPr>
                <w:rFonts w:hint="eastAsia" w:ascii="宋体" w:hAnsi="宋体" w:cs="宋体"/>
                <w:b/>
                <w:bCs/>
                <w:sz w:val="24"/>
              </w:rPr>
              <w:t>单价最高限价（万元）</w:t>
            </w:r>
          </w:p>
        </w:tc>
        <w:tc>
          <w:tcPr>
            <w:tcW w:w="1134" w:type="dxa"/>
            <w:vAlign w:val="center"/>
          </w:tcPr>
          <w:p w14:paraId="03BCCDBC">
            <w:pPr>
              <w:jc w:val="center"/>
              <w:rPr>
                <w:rFonts w:ascii="宋体" w:hAnsi="宋体" w:cs="宋体"/>
                <w:b/>
                <w:bCs/>
                <w:sz w:val="24"/>
              </w:rPr>
            </w:pPr>
            <w:r>
              <w:rPr>
                <w:rFonts w:hint="eastAsia" w:ascii="宋体" w:hAnsi="宋体" w:cs="宋体"/>
                <w:b/>
                <w:bCs/>
                <w:sz w:val="24"/>
              </w:rPr>
              <w:t>是否允许进口</w:t>
            </w:r>
          </w:p>
        </w:tc>
        <w:tc>
          <w:tcPr>
            <w:tcW w:w="1276" w:type="dxa"/>
            <w:vAlign w:val="center"/>
          </w:tcPr>
          <w:p w14:paraId="7D2D56AC">
            <w:pPr>
              <w:jc w:val="center"/>
              <w:rPr>
                <w:rFonts w:ascii="宋体" w:hAnsi="宋体" w:cs="宋体"/>
                <w:b/>
                <w:bCs/>
                <w:sz w:val="24"/>
              </w:rPr>
            </w:pPr>
            <w:r>
              <w:rPr>
                <w:rFonts w:hint="eastAsia" w:ascii="宋体" w:hAnsi="宋体" w:cs="宋体"/>
                <w:b/>
                <w:bCs/>
                <w:sz w:val="24"/>
              </w:rPr>
              <w:t>是否为核心产品</w:t>
            </w:r>
          </w:p>
        </w:tc>
      </w:tr>
      <w:tr w14:paraId="1723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811" w:type="dxa"/>
            <w:vAlign w:val="center"/>
          </w:tcPr>
          <w:p w14:paraId="22FFD966">
            <w:pPr>
              <w:widowControl/>
              <w:jc w:val="center"/>
              <w:textAlignment w:val="center"/>
              <w:rPr>
                <w:rFonts w:ascii="宋体" w:hAnsi="宋体" w:cs="宋体"/>
                <w:bCs/>
                <w:sz w:val="24"/>
              </w:rPr>
            </w:pPr>
            <w:r>
              <w:rPr>
                <w:rFonts w:hint="eastAsia" w:ascii="宋体" w:hAnsi="宋体" w:cs="宋体"/>
                <w:bCs/>
                <w:sz w:val="24"/>
              </w:rPr>
              <w:t>1</w:t>
            </w:r>
          </w:p>
        </w:tc>
        <w:tc>
          <w:tcPr>
            <w:tcW w:w="2444" w:type="dxa"/>
            <w:vAlign w:val="center"/>
          </w:tcPr>
          <w:p w14:paraId="4C43E1CA">
            <w:pPr>
              <w:widowControl/>
              <w:jc w:val="center"/>
              <w:textAlignment w:val="center"/>
              <w:rPr>
                <w:rFonts w:ascii="宋体" w:hAnsi="宋体" w:cs="宋体"/>
                <w:bCs/>
                <w:sz w:val="24"/>
              </w:rPr>
            </w:pPr>
            <w:r>
              <w:rPr>
                <w:rFonts w:hint="eastAsia" w:ascii="宋体" w:hAnsi="宋体" w:cs="宋体"/>
                <w:bCs/>
                <w:sz w:val="24"/>
              </w:rPr>
              <w:t>经颅磁刺激用立体定位系统</w:t>
            </w:r>
          </w:p>
        </w:tc>
        <w:tc>
          <w:tcPr>
            <w:tcW w:w="1140" w:type="dxa"/>
            <w:vAlign w:val="center"/>
          </w:tcPr>
          <w:p w14:paraId="6339E403">
            <w:pPr>
              <w:widowControl/>
              <w:jc w:val="center"/>
              <w:textAlignment w:val="center"/>
              <w:rPr>
                <w:rFonts w:ascii="宋体" w:hAnsi="宋体" w:cs="宋体"/>
                <w:bCs/>
                <w:sz w:val="24"/>
              </w:rPr>
            </w:pPr>
            <w:r>
              <w:rPr>
                <w:rFonts w:hint="eastAsia" w:ascii="宋体" w:hAnsi="宋体" w:cs="宋体"/>
                <w:bCs/>
                <w:sz w:val="24"/>
              </w:rPr>
              <w:t>1</w:t>
            </w:r>
          </w:p>
        </w:tc>
        <w:tc>
          <w:tcPr>
            <w:tcW w:w="1559" w:type="dxa"/>
            <w:vAlign w:val="center"/>
          </w:tcPr>
          <w:p w14:paraId="3EED3AEE">
            <w:pPr>
              <w:widowControl/>
              <w:jc w:val="center"/>
              <w:textAlignment w:val="center"/>
              <w:rPr>
                <w:rFonts w:ascii="宋体" w:hAnsi="宋体" w:cs="宋体"/>
                <w:bCs/>
                <w:sz w:val="24"/>
              </w:rPr>
            </w:pPr>
            <w:r>
              <w:rPr>
                <w:rFonts w:hint="eastAsia" w:ascii="宋体" w:hAnsi="宋体" w:cs="宋体"/>
                <w:bCs/>
                <w:sz w:val="24"/>
              </w:rPr>
              <w:t>110</w:t>
            </w:r>
          </w:p>
        </w:tc>
        <w:tc>
          <w:tcPr>
            <w:tcW w:w="1134" w:type="dxa"/>
            <w:vAlign w:val="center"/>
          </w:tcPr>
          <w:p w14:paraId="2DFA8F42">
            <w:pPr>
              <w:widowControl/>
              <w:jc w:val="center"/>
              <w:textAlignment w:val="center"/>
              <w:rPr>
                <w:rFonts w:ascii="宋体" w:hAnsi="宋体" w:cs="宋体"/>
                <w:bCs/>
                <w:sz w:val="24"/>
              </w:rPr>
            </w:pPr>
            <w:r>
              <w:rPr>
                <w:rFonts w:hint="eastAsia" w:ascii="宋体" w:hAnsi="宋体" w:cs="宋体"/>
                <w:bCs/>
                <w:sz w:val="24"/>
              </w:rPr>
              <w:t>是</w:t>
            </w:r>
          </w:p>
        </w:tc>
        <w:tc>
          <w:tcPr>
            <w:tcW w:w="1276" w:type="dxa"/>
            <w:vAlign w:val="center"/>
          </w:tcPr>
          <w:p w14:paraId="0056A5CE">
            <w:pPr>
              <w:widowControl/>
              <w:jc w:val="center"/>
              <w:textAlignment w:val="center"/>
              <w:rPr>
                <w:rFonts w:ascii="宋体" w:hAnsi="宋体" w:cs="宋体"/>
                <w:bCs/>
                <w:sz w:val="24"/>
              </w:rPr>
            </w:pPr>
            <w:r>
              <w:rPr>
                <w:rFonts w:hint="eastAsia" w:ascii="宋体" w:hAnsi="宋体" w:cs="宋体"/>
                <w:bCs/>
                <w:sz w:val="24"/>
              </w:rPr>
              <w:t>是</w:t>
            </w:r>
          </w:p>
        </w:tc>
      </w:tr>
      <w:tr w14:paraId="5052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811" w:type="dxa"/>
            <w:vAlign w:val="center"/>
          </w:tcPr>
          <w:p w14:paraId="48EFE00C">
            <w:pPr>
              <w:widowControl/>
              <w:jc w:val="center"/>
              <w:textAlignment w:val="center"/>
              <w:rPr>
                <w:rFonts w:ascii="宋体" w:hAnsi="宋体" w:cs="宋体"/>
                <w:bCs/>
                <w:sz w:val="24"/>
              </w:rPr>
            </w:pPr>
            <w:r>
              <w:rPr>
                <w:rFonts w:hint="eastAsia" w:ascii="宋体" w:hAnsi="宋体" w:cs="宋体"/>
                <w:bCs/>
                <w:sz w:val="24"/>
              </w:rPr>
              <w:t>2</w:t>
            </w:r>
          </w:p>
        </w:tc>
        <w:tc>
          <w:tcPr>
            <w:tcW w:w="2444" w:type="dxa"/>
            <w:vAlign w:val="center"/>
          </w:tcPr>
          <w:p w14:paraId="3572F83E">
            <w:pPr>
              <w:widowControl/>
              <w:jc w:val="center"/>
              <w:textAlignment w:val="center"/>
              <w:rPr>
                <w:rFonts w:ascii="宋体" w:hAnsi="宋体" w:cs="宋体"/>
                <w:bCs/>
                <w:sz w:val="24"/>
              </w:rPr>
            </w:pPr>
            <w:r>
              <w:rPr>
                <w:rFonts w:hint="eastAsia" w:ascii="宋体" w:hAnsi="宋体" w:cs="宋体"/>
                <w:bCs/>
                <w:sz w:val="24"/>
              </w:rPr>
              <w:t>可编程式多通道高精度经颅电刺激系统</w:t>
            </w:r>
          </w:p>
        </w:tc>
        <w:tc>
          <w:tcPr>
            <w:tcW w:w="1140" w:type="dxa"/>
            <w:vAlign w:val="center"/>
          </w:tcPr>
          <w:p w14:paraId="16AA444F">
            <w:pPr>
              <w:widowControl/>
              <w:jc w:val="center"/>
              <w:textAlignment w:val="center"/>
              <w:rPr>
                <w:rFonts w:ascii="宋体" w:hAnsi="宋体" w:cs="宋体"/>
                <w:bCs/>
                <w:sz w:val="24"/>
              </w:rPr>
            </w:pPr>
            <w:r>
              <w:rPr>
                <w:rFonts w:hint="eastAsia" w:ascii="宋体" w:hAnsi="宋体" w:cs="宋体"/>
                <w:bCs/>
                <w:sz w:val="24"/>
              </w:rPr>
              <w:t>2</w:t>
            </w:r>
          </w:p>
        </w:tc>
        <w:tc>
          <w:tcPr>
            <w:tcW w:w="1559" w:type="dxa"/>
            <w:vAlign w:val="center"/>
          </w:tcPr>
          <w:p w14:paraId="1D0B3FC0">
            <w:pPr>
              <w:widowControl/>
              <w:jc w:val="center"/>
              <w:textAlignment w:val="center"/>
              <w:rPr>
                <w:rFonts w:ascii="宋体" w:hAnsi="宋体" w:cs="宋体"/>
                <w:bCs/>
                <w:sz w:val="24"/>
              </w:rPr>
            </w:pPr>
            <w:r>
              <w:rPr>
                <w:rFonts w:hint="eastAsia" w:ascii="宋体" w:hAnsi="宋体" w:cs="宋体"/>
                <w:bCs/>
                <w:sz w:val="24"/>
              </w:rPr>
              <w:t>71.5</w:t>
            </w:r>
          </w:p>
        </w:tc>
        <w:tc>
          <w:tcPr>
            <w:tcW w:w="1134" w:type="dxa"/>
            <w:vAlign w:val="center"/>
          </w:tcPr>
          <w:p w14:paraId="5399734E">
            <w:pPr>
              <w:widowControl/>
              <w:jc w:val="center"/>
              <w:textAlignment w:val="center"/>
              <w:rPr>
                <w:rFonts w:ascii="宋体" w:hAnsi="宋体" w:cs="宋体"/>
                <w:bCs/>
                <w:sz w:val="24"/>
              </w:rPr>
            </w:pPr>
            <w:r>
              <w:rPr>
                <w:rFonts w:hint="eastAsia" w:ascii="宋体" w:hAnsi="宋体" w:cs="宋体"/>
                <w:bCs/>
                <w:sz w:val="24"/>
              </w:rPr>
              <w:t>是</w:t>
            </w:r>
          </w:p>
        </w:tc>
        <w:tc>
          <w:tcPr>
            <w:tcW w:w="1276" w:type="dxa"/>
            <w:vAlign w:val="center"/>
          </w:tcPr>
          <w:p w14:paraId="40E946E9">
            <w:pPr>
              <w:widowControl/>
              <w:jc w:val="center"/>
              <w:textAlignment w:val="center"/>
              <w:rPr>
                <w:rFonts w:ascii="宋体" w:hAnsi="宋体" w:cs="宋体"/>
                <w:bCs/>
                <w:sz w:val="24"/>
              </w:rPr>
            </w:pPr>
            <w:r>
              <w:rPr>
                <w:rFonts w:ascii="宋体" w:hAnsi="宋体" w:cs="宋体"/>
                <w:bCs/>
                <w:sz w:val="24"/>
              </w:rPr>
              <w:t>否</w:t>
            </w:r>
          </w:p>
        </w:tc>
      </w:tr>
    </w:tbl>
    <w:p w14:paraId="276C086F">
      <w:pPr>
        <w:pStyle w:val="4"/>
        <w:spacing w:line="360" w:lineRule="auto"/>
        <w:rPr>
          <w:rFonts w:ascii="宋体" w:hAnsi="宋体" w:cs="宋体"/>
          <w:b/>
          <w:sz w:val="24"/>
        </w:rPr>
      </w:pPr>
      <w:r>
        <w:rPr>
          <w:rFonts w:hint="eastAsia" w:ascii="宋体" w:hAnsi="宋体" w:cs="宋体"/>
          <w:bCs/>
          <w:sz w:val="24"/>
        </w:rPr>
        <w:t>二、</w:t>
      </w:r>
      <w:r>
        <w:rPr>
          <w:rFonts w:hint="eastAsia" w:ascii="宋体" w:hAnsi="宋体" w:cs="宋体"/>
          <w:b/>
          <w:sz w:val="24"/>
        </w:rPr>
        <w:t>商务要求</w:t>
      </w:r>
    </w:p>
    <w:p w14:paraId="768C3FD2">
      <w:pPr>
        <w:spacing w:line="360" w:lineRule="auto"/>
        <w:ind w:firstLine="482" w:firstLineChars="200"/>
        <w:contextualSpacing/>
        <w:jc w:val="left"/>
        <w:rPr>
          <w:rFonts w:ascii="宋体" w:hAnsi="宋体" w:cs="宋体"/>
          <w:b/>
          <w:sz w:val="24"/>
        </w:rPr>
      </w:pPr>
      <w:r>
        <w:rPr>
          <w:rFonts w:hint="eastAsia" w:ascii="宋体" w:hAnsi="宋体" w:cs="宋体"/>
          <w:b/>
          <w:sz w:val="24"/>
        </w:rPr>
        <w:t>（一）交货时间和地点：</w:t>
      </w:r>
    </w:p>
    <w:p w14:paraId="7D794FA6">
      <w:pPr>
        <w:pStyle w:val="2"/>
        <w:spacing w:line="360" w:lineRule="auto"/>
        <w:ind w:firstLine="480" w:firstLineChars="200"/>
        <w:rPr>
          <w:rFonts w:hAnsi="宋体" w:cs="宋体"/>
          <w:bCs/>
        </w:rPr>
      </w:pPr>
      <w:r>
        <w:rPr>
          <w:rFonts w:hint="eastAsia" w:hAnsi="宋体" w:cs="宋体"/>
          <w:bCs/>
        </w:rPr>
        <w:t>1.交货时间：</w:t>
      </w:r>
      <w:r>
        <w:rPr>
          <w:rFonts w:hint="eastAsia" w:hAnsi="宋体"/>
        </w:rPr>
        <w:t>合同签订后</w:t>
      </w:r>
      <w:r>
        <w:rPr>
          <w:rFonts w:hAnsi="宋体"/>
        </w:rPr>
        <w:t>180</w:t>
      </w:r>
      <w:r>
        <w:rPr>
          <w:rFonts w:hint="eastAsia" w:hAnsi="宋体"/>
        </w:rPr>
        <w:t>日内完成交货</w:t>
      </w:r>
      <w:r>
        <w:rPr>
          <w:rFonts w:hint="eastAsia" w:hAnsi="宋体" w:cs="宋体"/>
          <w:bCs/>
        </w:rPr>
        <w:t>。</w:t>
      </w:r>
    </w:p>
    <w:p w14:paraId="31F196F4">
      <w:pPr>
        <w:pStyle w:val="2"/>
        <w:spacing w:line="360" w:lineRule="auto"/>
        <w:ind w:firstLine="480" w:firstLineChars="200"/>
        <w:rPr>
          <w:rFonts w:hAnsi="宋体" w:cs="宋体"/>
          <w:bCs/>
        </w:rPr>
      </w:pPr>
      <w:r>
        <w:rPr>
          <w:rFonts w:hint="eastAsia" w:hAnsi="宋体" w:cs="宋体"/>
          <w:bCs/>
        </w:rPr>
        <w:t>2.交货地点：采购人指定地点</w:t>
      </w:r>
    </w:p>
    <w:p w14:paraId="1C38EE07">
      <w:pPr>
        <w:spacing w:line="360" w:lineRule="auto"/>
        <w:ind w:firstLine="482" w:firstLineChars="200"/>
        <w:contextualSpacing/>
        <w:jc w:val="left"/>
        <w:rPr>
          <w:rFonts w:ascii="宋体" w:hAnsi="宋体" w:cs="宋体"/>
          <w:sz w:val="24"/>
        </w:rPr>
      </w:pPr>
      <w:r>
        <w:rPr>
          <w:rFonts w:hint="eastAsia" w:ascii="宋体" w:hAnsi="宋体" w:cs="宋体"/>
          <w:b/>
          <w:sz w:val="24"/>
        </w:rPr>
        <w:t>（二）付款条件（进度和方式）：</w:t>
      </w:r>
      <w:r>
        <w:rPr>
          <w:rFonts w:hint="eastAsia" w:ascii="宋体" w:hAnsi="宋体" w:cs="宋体"/>
          <w:bCs/>
          <w:sz w:val="24"/>
        </w:rPr>
        <w:t>见第六章拟签订的合同文本</w:t>
      </w:r>
    </w:p>
    <w:p w14:paraId="4F103EC9">
      <w:pPr>
        <w:pStyle w:val="3"/>
        <w:spacing w:line="360" w:lineRule="auto"/>
        <w:ind w:left="0" w:leftChars="0" w:firstLine="482" w:firstLineChars="200"/>
        <w:jc w:val="left"/>
        <w:rPr>
          <w:rFonts w:ascii="宋体" w:hAnsi="宋体" w:cs="宋体"/>
          <w:sz w:val="24"/>
        </w:rPr>
      </w:pPr>
      <w:r>
        <w:rPr>
          <w:rFonts w:hint="eastAsia" w:ascii="宋体" w:hAnsi="宋体" w:cs="宋体"/>
          <w:b/>
          <w:bCs/>
          <w:sz w:val="24"/>
        </w:rPr>
        <w:t>（三）包装和运输</w:t>
      </w:r>
      <w:r>
        <w:rPr>
          <w:rFonts w:hint="eastAsia" w:ascii="宋体" w:hAnsi="宋体" w:cs="宋体"/>
          <w:sz w:val="24"/>
        </w:rPr>
        <w:t>（如适用）：须满足《关于印发〈商品包装政府采购需求标准（试行）〉、〈快递包装政府采购需求标准（试行）〉的通知》（财办库﹝2020﹞123号）</w:t>
      </w:r>
    </w:p>
    <w:p w14:paraId="44873C76">
      <w:pPr>
        <w:spacing w:line="360" w:lineRule="auto"/>
        <w:ind w:firstLine="482" w:firstLineChars="200"/>
        <w:contextualSpacing/>
        <w:rPr>
          <w:rFonts w:ascii="宋体" w:hAnsi="宋体"/>
          <w:sz w:val="24"/>
        </w:rPr>
      </w:pPr>
      <w:r>
        <w:rPr>
          <w:rFonts w:hint="eastAsia" w:ascii="宋体" w:hAnsi="宋体"/>
          <w:b/>
          <w:sz w:val="24"/>
        </w:rPr>
        <w:t>（四）质保期</w:t>
      </w:r>
      <w:r>
        <w:rPr>
          <w:rFonts w:hint="eastAsia" w:ascii="宋体" w:hAnsi="宋体"/>
          <w:sz w:val="24"/>
        </w:rPr>
        <w:t>：经颅磁刺激用立体定位系统保修≥5年；可编程式多通道高精度经颅电刺激系统保修≥3年。</w:t>
      </w:r>
    </w:p>
    <w:p w14:paraId="3D45805C">
      <w:pPr>
        <w:spacing w:line="360" w:lineRule="auto"/>
        <w:ind w:firstLine="482" w:firstLineChars="200"/>
        <w:outlineLvl w:val="1"/>
        <w:rPr>
          <w:rFonts w:ascii="宋体" w:hAnsi="宋体" w:cs="宋体"/>
          <w:b/>
          <w:bCs/>
          <w:sz w:val="24"/>
        </w:rPr>
      </w:pPr>
      <w:r>
        <w:rPr>
          <w:rFonts w:hint="eastAsia" w:ascii="宋体" w:hAnsi="宋体" w:cs="宋体"/>
          <w:b/>
          <w:bCs/>
          <w:sz w:val="24"/>
        </w:rPr>
        <w:t>三、技术要求</w:t>
      </w:r>
    </w:p>
    <w:p w14:paraId="2E5A0D02">
      <w:pPr>
        <w:spacing w:line="360" w:lineRule="auto"/>
        <w:ind w:firstLine="482" w:firstLineChars="200"/>
        <w:contextualSpacing/>
        <w:outlineLvl w:val="1"/>
        <w:rPr>
          <w:rFonts w:ascii="宋体" w:hAnsi="宋体" w:cs="宋体"/>
          <w:b/>
          <w:bCs/>
          <w:sz w:val="24"/>
        </w:rPr>
      </w:pPr>
      <w:r>
        <w:rPr>
          <w:rFonts w:hint="eastAsia" w:ascii="宋体" w:hAnsi="宋体" w:cs="宋体"/>
          <w:b/>
          <w:bCs/>
          <w:sz w:val="24"/>
        </w:rPr>
        <w:t>（一）基本要求</w:t>
      </w:r>
    </w:p>
    <w:p w14:paraId="4FB1D96C">
      <w:pPr>
        <w:spacing w:line="360" w:lineRule="auto"/>
        <w:ind w:firstLine="482" w:firstLineChars="200"/>
        <w:contextualSpacing/>
        <w:rPr>
          <w:rFonts w:ascii="宋体" w:hAnsi="宋体" w:cs="宋体"/>
          <w:b/>
          <w:bCs/>
          <w:sz w:val="24"/>
        </w:rPr>
      </w:pPr>
      <w:r>
        <w:rPr>
          <w:rFonts w:hint="eastAsia" w:ascii="宋体" w:hAnsi="宋体" w:cs="宋体"/>
          <w:b/>
          <w:bCs/>
          <w:sz w:val="24"/>
        </w:rPr>
        <w:t>1.采购标的需实现的功能或者目标</w:t>
      </w:r>
    </w:p>
    <w:p w14:paraId="74EED9F3">
      <w:pPr>
        <w:spacing w:line="360" w:lineRule="auto"/>
        <w:ind w:firstLine="480" w:firstLineChars="200"/>
        <w:contextualSpacing/>
        <w:rPr>
          <w:rFonts w:ascii="宋体" w:hAnsi="宋体" w:cs="宋体"/>
          <w:b/>
          <w:bCs/>
          <w:sz w:val="24"/>
        </w:rPr>
      </w:pPr>
      <w:r>
        <w:rPr>
          <w:rFonts w:hint="eastAsia" w:ascii="宋体" w:hAnsi="宋体"/>
          <w:sz w:val="24"/>
        </w:rPr>
        <w:t>本次采购是“痴呆队列数据库建设及神经调控项目科研设备购置”，供应商应根据招标文件所提出的设备技术规格和服务要求，以满足招标文件要求的产品、优良的货物和优惠的价格，充分显示自己的竞争实力。</w:t>
      </w:r>
    </w:p>
    <w:p w14:paraId="0A2C37B1">
      <w:pPr>
        <w:spacing w:line="360" w:lineRule="auto"/>
        <w:ind w:firstLine="482" w:firstLineChars="200"/>
        <w:contextualSpacing/>
        <w:rPr>
          <w:rFonts w:ascii="宋体" w:hAnsi="宋体" w:cs="宋体"/>
          <w:kern w:val="0"/>
          <w:sz w:val="24"/>
        </w:rPr>
      </w:pPr>
      <w:r>
        <w:rPr>
          <w:rFonts w:hint="eastAsia" w:ascii="宋体" w:hAnsi="宋体" w:cs="宋体"/>
          <w:b/>
          <w:bCs/>
          <w:sz w:val="24"/>
        </w:rPr>
        <w:t>2.需执行的国家相关标准、行业标准、地方标准或者其他标准、规范：</w:t>
      </w:r>
      <w:r>
        <w:rPr>
          <w:rFonts w:hint="eastAsia" w:ascii="宋体" w:hAnsi="宋体" w:cs="宋体"/>
          <w:kern w:val="0"/>
          <w:sz w:val="24"/>
        </w:rPr>
        <w:t>投标产品及制造商应符合国家有关部门规定的相应技术法规及标准，如国家有关部门对投标产品或其制造商有强制性规定或要求的，投标产品或其制造商必须符合相应规定或要求。</w:t>
      </w:r>
    </w:p>
    <w:p w14:paraId="5D6130E1">
      <w:pPr>
        <w:spacing w:line="360" w:lineRule="auto"/>
        <w:ind w:firstLine="482" w:firstLineChars="200"/>
        <w:contextualSpacing/>
        <w:rPr>
          <w:rFonts w:ascii="宋体" w:hAnsi="宋体" w:cs="宋体"/>
          <w:b/>
          <w:bCs/>
          <w:sz w:val="24"/>
        </w:rPr>
      </w:pPr>
      <w:r>
        <w:rPr>
          <w:rFonts w:hint="eastAsia" w:ascii="宋体" w:hAnsi="宋体" w:cs="宋体"/>
          <w:b/>
          <w:bCs/>
          <w:sz w:val="24"/>
        </w:rPr>
        <w:t>3.为落实政府采购政策需满足的要求</w:t>
      </w:r>
    </w:p>
    <w:p w14:paraId="749D0EB0">
      <w:pPr>
        <w:spacing w:line="360" w:lineRule="auto"/>
        <w:ind w:firstLine="480" w:firstLineChars="200"/>
        <w:jc w:val="left"/>
        <w:rPr>
          <w:rFonts w:ascii="宋体" w:hAnsi="宋体" w:cs="宋体"/>
          <w:kern w:val="0"/>
          <w:sz w:val="24"/>
        </w:rPr>
      </w:pPr>
      <w:r>
        <w:rPr>
          <w:rFonts w:hint="eastAsia" w:ascii="宋体" w:hAnsi="宋体" w:cs="宋体"/>
          <w:kern w:val="0"/>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484965CE">
      <w:pPr>
        <w:spacing w:line="360" w:lineRule="auto"/>
        <w:ind w:firstLine="480" w:firstLineChars="200"/>
        <w:jc w:val="left"/>
        <w:rPr>
          <w:rFonts w:ascii="宋体" w:hAnsi="宋体" w:cs="宋体"/>
          <w:kern w:val="0"/>
          <w:sz w:val="24"/>
        </w:rPr>
      </w:pPr>
      <w:r>
        <w:rPr>
          <w:rFonts w:hint="eastAsia" w:ascii="宋体" w:hAnsi="宋体" w:cs="宋体"/>
          <w:kern w:val="0"/>
          <w:sz w:val="24"/>
        </w:rPr>
        <w:t>3.2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42D37105">
      <w:pPr>
        <w:spacing w:line="360" w:lineRule="auto"/>
        <w:ind w:firstLine="480" w:firstLineChars="200"/>
        <w:jc w:val="left"/>
        <w:rPr>
          <w:rFonts w:ascii="宋体" w:hAnsi="宋体" w:cs="宋体"/>
          <w:kern w:val="0"/>
          <w:sz w:val="24"/>
        </w:rPr>
      </w:pPr>
      <w:r>
        <w:rPr>
          <w:rFonts w:hint="eastAsia" w:ascii="宋体" w:hAnsi="宋体" w:cs="宋体"/>
          <w:kern w:val="0"/>
          <w:sz w:val="24"/>
        </w:rPr>
        <w:t>3.3促进残疾人就业政府采购政策：根据《三部门联合发布关于促进残疾人就业政府采购政策的通知》（财库〔2017〕141 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14:paraId="44A396D8">
      <w:pPr>
        <w:spacing w:line="360" w:lineRule="auto"/>
        <w:ind w:firstLine="480" w:firstLineChars="200"/>
        <w:jc w:val="left"/>
        <w:rPr>
          <w:rFonts w:ascii="宋体" w:hAnsi="宋体" w:cs="宋体"/>
          <w:kern w:val="0"/>
          <w:sz w:val="24"/>
        </w:rPr>
      </w:pPr>
      <w:r>
        <w:rPr>
          <w:rFonts w:hint="eastAsia" w:ascii="宋体" w:hAnsi="宋体" w:cs="宋体"/>
          <w:kern w:val="0"/>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52DEC7FD">
      <w:pPr>
        <w:spacing w:line="360" w:lineRule="auto"/>
        <w:ind w:firstLine="480" w:firstLineChars="200"/>
        <w:jc w:val="left"/>
        <w:rPr>
          <w:rFonts w:ascii="宋体" w:hAnsi="宋体" w:cs="宋体"/>
          <w:kern w:val="0"/>
          <w:sz w:val="24"/>
        </w:rPr>
      </w:pPr>
      <w:r>
        <w:rPr>
          <w:rFonts w:hint="eastAsia" w:ascii="宋体" w:hAnsi="宋体" w:cs="宋体"/>
          <w:kern w:val="0"/>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47AB27DA">
      <w:pPr>
        <w:spacing w:line="360" w:lineRule="auto"/>
        <w:ind w:firstLine="480" w:firstLineChars="200"/>
        <w:jc w:val="left"/>
        <w:rPr>
          <w:rFonts w:ascii="宋体" w:hAnsi="宋体" w:cs="宋体"/>
          <w:kern w:val="0"/>
          <w:sz w:val="24"/>
        </w:rPr>
      </w:pPr>
      <w:r>
        <w:rPr>
          <w:rFonts w:hint="eastAsia" w:ascii="宋体" w:hAnsi="宋体" w:cs="宋体"/>
          <w:kern w:val="0"/>
          <w:sz w:val="24"/>
        </w:rPr>
        <w:t>3.6实施本国产品标准及相关政策：依据《国务院办公厅关于在政府采购中实施本国产品标准及相关政策的通知》（国办发〔2025〕34号）规定，本项目</w:t>
      </w:r>
      <w:r>
        <w:rPr>
          <w:rFonts w:hint="eastAsia" w:ascii="宋体" w:hAnsi="宋体"/>
          <w:sz w:val="24"/>
        </w:rPr>
        <w:t>既有本国产品又有非本国产品参与竞争的，如</w:t>
      </w:r>
      <w:r>
        <w:rPr>
          <w:rFonts w:hint="eastAsia" w:ascii="宋体" w:hAnsi="宋体" w:cs="宋体"/>
          <w:kern w:val="0"/>
          <w:sz w:val="24"/>
        </w:rPr>
        <w:t>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14:paraId="0C24A21A">
      <w:pPr>
        <w:spacing w:line="360" w:lineRule="auto"/>
        <w:ind w:firstLine="482" w:firstLineChars="200"/>
        <w:jc w:val="left"/>
        <w:outlineLvl w:val="1"/>
        <w:rPr>
          <w:rFonts w:ascii="宋体" w:hAnsi="宋体" w:cs="宋体"/>
          <w:sz w:val="24"/>
        </w:rPr>
      </w:pPr>
      <w:r>
        <w:rPr>
          <w:rFonts w:hint="eastAsia" w:ascii="宋体" w:hAnsi="宋体" w:cs="宋体"/>
          <w:b/>
          <w:bCs/>
          <w:sz w:val="24"/>
        </w:rPr>
        <w:t>（二）具体要求</w:t>
      </w:r>
    </w:p>
    <w:p w14:paraId="746B72FE">
      <w:pPr>
        <w:spacing w:line="360" w:lineRule="auto"/>
        <w:ind w:firstLine="482" w:firstLineChars="200"/>
        <w:jc w:val="left"/>
        <w:outlineLvl w:val="1"/>
        <w:rPr>
          <w:rFonts w:ascii="宋体" w:hAnsi="宋体" w:cs="宋体"/>
          <w:sz w:val="24"/>
        </w:rPr>
      </w:pPr>
      <w:r>
        <w:rPr>
          <w:rFonts w:hint="eastAsia" w:ascii="宋体" w:hAnsi="宋体" w:cs="宋体"/>
          <w:b/>
          <w:bCs/>
          <w:sz w:val="24"/>
        </w:rPr>
        <w:t>标的1：经颅磁刺激用立体定位系统</w:t>
      </w:r>
    </w:p>
    <w:p w14:paraId="66856DF5">
      <w:pPr>
        <w:spacing w:line="360" w:lineRule="auto"/>
        <w:ind w:firstLine="480" w:firstLineChars="200"/>
        <w:rPr>
          <w:rFonts w:ascii="宋体" w:hAnsi="宋体" w:cs="宋体"/>
          <w:sz w:val="24"/>
        </w:rPr>
      </w:pPr>
      <w:r>
        <w:rPr>
          <w:rFonts w:hint="eastAsia" w:ascii="宋体" w:hAnsi="宋体" w:cs="宋体"/>
          <w:sz w:val="24"/>
        </w:rPr>
        <w:t>1.导航专用影像工作站：</w:t>
      </w:r>
    </w:p>
    <w:p w14:paraId="59277947">
      <w:pPr>
        <w:spacing w:line="360" w:lineRule="auto"/>
        <w:ind w:firstLine="480" w:firstLineChars="200"/>
        <w:rPr>
          <w:rFonts w:ascii="宋体" w:hAnsi="宋体" w:cs="宋体"/>
          <w:sz w:val="24"/>
        </w:rPr>
      </w:pPr>
      <w:r>
        <w:rPr>
          <w:rFonts w:hint="eastAsia" w:ascii="宋体" w:hAnsi="宋体" w:cs="宋体"/>
          <w:sz w:val="24"/>
        </w:rPr>
        <w:t>1.1八核以上处理器，内存≥8G，≥22英寸显示器，预装MAC OS、Windows、Linux、UNIX等操作系统；</w:t>
      </w:r>
    </w:p>
    <w:p w14:paraId="5A646E23">
      <w:pPr>
        <w:spacing w:line="360" w:lineRule="auto"/>
        <w:ind w:firstLine="480" w:firstLineChars="200"/>
        <w:rPr>
          <w:rFonts w:ascii="宋体" w:hAnsi="宋体" w:cs="宋体"/>
          <w:sz w:val="24"/>
        </w:rPr>
      </w:pPr>
      <w:r>
        <w:rPr>
          <w:rFonts w:hint="eastAsia" w:ascii="宋体" w:hAnsi="宋体" w:cs="宋体"/>
          <w:sz w:val="24"/>
        </w:rPr>
        <w:t>▲1.2高精度双摄数码无源红外光学定位器，精度达到≤2.5毫米；</w:t>
      </w:r>
    </w:p>
    <w:p w14:paraId="59E20A48">
      <w:pPr>
        <w:spacing w:line="360" w:lineRule="auto"/>
        <w:ind w:firstLine="480" w:firstLineChars="200"/>
        <w:rPr>
          <w:rFonts w:ascii="宋体" w:hAnsi="宋体" w:cs="宋体"/>
          <w:sz w:val="24"/>
        </w:rPr>
      </w:pPr>
      <w:r>
        <w:rPr>
          <w:rFonts w:hint="eastAsia" w:ascii="宋体" w:hAnsi="宋体" w:cs="宋体"/>
          <w:sz w:val="24"/>
        </w:rPr>
        <w:t>1.3配备医疗级专业安全隔离电源防止供电干扰；</w:t>
      </w:r>
    </w:p>
    <w:p w14:paraId="4FB156A1">
      <w:pPr>
        <w:spacing w:line="360" w:lineRule="auto"/>
        <w:ind w:firstLine="480" w:firstLineChars="200"/>
        <w:rPr>
          <w:rFonts w:ascii="宋体" w:hAnsi="宋体" w:cs="宋体"/>
          <w:sz w:val="24"/>
        </w:rPr>
      </w:pPr>
      <w:r>
        <w:rPr>
          <w:rFonts w:hint="eastAsia" w:ascii="宋体" w:hAnsi="宋体" w:cs="宋体"/>
          <w:sz w:val="24"/>
        </w:rPr>
        <w:t>1.4配备校准工具及导航定位工具包一套；</w:t>
      </w:r>
    </w:p>
    <w:p w14:paraId="61553C99">
      <w:pPr>
        <w:spacing w:line="360" w:lineRule="auto"/>
        <w:ind w:firstLine="480" w:firstLineChars="200"/>
        <w:rPr>
          <w:rFonts w:ascii="宋体" w:hAnsi="宋体" w:cs="宋体"/>
          <w:sz w:val="24"/>
        </w:rPr>
      </w:pPr>
      <w:r>
        <w:rPr>
          <w:rFonts w:hint="eastAsia" w:ascii="宋体" w:hAnsi="宋体" w:cs="宋体"/>
          <w:sz w:val="24"/>
        </w:rPr>
        <w:t>▲1.5每个追踪器所需反射球数量≤3个。</w:t>
      </w:r>
    </w:p>
    <w:p w14:paraId="1E0298D1">
      <w:pPr>
        <w:spacing w:line="360" w:lineRule="auto"/>
        <w:ind w:firstLine="480" w:firstLineChars="200"/>
        <w:rPr>
          <w:rFonts w:ascii="宋体" w:hAnsi="宋体" w:cs="宋体"/>
          <w:sz w:val="24"/>
        </w:rPr>
      </w:pPr>
      <w:r>
        <w:rPr>
          <w:rFonts w:hint="eastAsia" w:ascii="宋体" w:hAnsi="宋体" w:cs="宋体"/>
          <w:sz w:val="24"/>
        </w:rPr>
        <w:t>1.6针对用户指定线圈配备专用线圈校准适配器辅助校准</w:t>
      </w:r>
    </w:p>
    <w:p w14:paraId="64AD5E98">
      <w:pPr>
        <w:spacing w:line="360" w:lineRule="auto"/>
        <w:ind w:firstLine="480" w:firstLineChars="200"/>
        <w:rPr>
          <w:rFonts w:ascii="宋体" w:hAnsi="宋体" w:cs="宋体"/>
          <w:sz w:val="24"/>
        </w:rPr>
      </w:pPr>
      <w:r>
        <w:rPr>
          <w:rFonts w:hint="eastAsia" w:ascii="宋体" w:hAnsi="宋体" w:cs="宋体"/>
          <w:sz w:val="24"/>
        </w:rPr>
        <w:t>1.7追踪器需为金属材质，且钢体具有独立编号及识别配置文件</w:t>
      </w:r>
    </w:p>
    <w:p w14:paraId="062C9155">
      <w:pPr>
        <w:spacing w:line="360" w:lineRule="auto"/>
        <w:ind w:firstLine="480" w:firstLineChars="200"/>
        <w:rPr>
          <w:rFonts w:ascii="宋体" w:hAnsi="宋体" w:cs="宋体"/>
          <w:sz w:val="24"/>
        </w:rPr>
      </w:pPr>
      <w:r>
        <w:rPr>
          <w:rFonts w:hint="eastAsia" w:ascii="宋体" w:hAnsi="宋体" w:cs="宋体"/>
          <w:sz w:val="24"/>
        </w:rPr>
        <w:t>1.8独立双通道MEP模块，支持双通道MEP测量，采样频率：≥2kHz，总带宽：16-470Hz，共模抑制比：≥110dB</w:t>
      </w:r>
    </w:p>
    <w:p w14:paraId="76D018C8">
      <w:pPr>
        <w:spacing w:line="360" w:lineRule="auto"/>
        <w:ind w:firstLine="480" w:firstLineChars="200"/>
        <w:rPr>
          <w:rFonts w:ascii="宋体" w:hAnsi="宋体" w:cs="宋体"/>
          <w:sz w:val="24"/>
        </w:rPr>
      </w:pPr>
      <w:r>
        <w:rPr>
          <w:rFonts w:hint="eastAsia" w:ascii="宋体" w:hAnsi="宋体" w:cs="宋体"/>
          <w:sz w:val="24"/>
        </w:rPr>
        <w:t>▲1.9独立I/O接口盒，支持POE供电</w:t>
      </w:r>
    </w:p>
    <w:p w14:paraId="2853A59F">
      <w:pPr>
        <w:spacing w:line="360" w:lineRule="auto"/>
        <w:ind w:firstLine="480" w:firstLineChars="200"/>
        <w:rPr>
          <w:rFonts w:ascii="宋体" w:hAnsi="宋体" w:cs="宋体"/>
          <w:sz w:val="24"/>
        </w:rPr>
      </w:pPr>
      <w:r>
        <w:rPr>
          <w:rFonts w:hint="eastAsia" w:ascii="宋体" w:hAnsi="宋体" w:cs="宋体"/>
          <w:sz w:val="24"/>
        </w:rPr>
        <w:t>1.9.1BNC触发输入接口：≥2个；</w:t>
      </w:r>
    </w:p>
    <w:p w14:paraId="2C058D12">
      <w:pPr>
        <w:spacing w:line="360" w:lineRule="auto"/>
        <w:ind w:firstLine="480" w:firstLineChars="200"/>
        <w:rPr>
          <w:rFonts w:ascii="宋体" w:hAnsi="宋体" w:cs="宋体"/>
          <w:sz w:val="24"/>
        </w:rPr>
      </w:pPr>
      <w:r>
        <w:rPr>
          <w:rFonts w:hint="eastAsia" w:ascii="宋体" w:hAnsi="宋体" w:cs="宋体"/>
          <w:sz w:val="24"/>
        </w:rPr>
        <w:t>1.9.2USB接口：≥1个；</w:t>
      </w:r>
    </w:p>
    <w:p w14:paraId="6C01A9E1">
      <w:pPr>
        <w:spacing w:line="360" w:lineRule="auto"/>
        <w:ind w:firstLine="480" w:firstLineChars="200"/>
        <w:rPr>
          <w:rFonts w:ascii="宋体" w:hAnsi="宋体" w:cs="宋体"/>
          <w:sz w:val="24"/>
        </w:rPr>
      </w:pPr>
      <w:r>
        <w:rPr>
          <w:rFonts w:hint="eastAsia" w:ascii="宋体" w:hAnsi="宋体" w:cs="宋体"/>
          <w:sz w:val="24"/>
        </w:rPr>
        <w:t>1.9.3脚踏开关接口：≥1个；</w:t>
      </w:r>
    </w:p>
    <w:p w14:paraId="16DEFB60">
      <w:pPr>
        <w:spacing w:line="360" w:lineRule="auto"/>
        <w:ind w:firstLine="480" w:firstLineChars="200"/>
        <w:rPr>
          <w:rFonts w:ascii="宋体" w:hAnsi="宋体" w:cs="宋体"/>
          <w:sz w:val="24"/>
        </w:rPr>
      </w:pPr>
      <w:r>
        <w:rPr>
          <w:rFonts w:hint="eastAsia" w:ascii="宋体" w:hAnsi="宋体" w:cs="宋体"/>
          <w:sz w:val="24"/>
        </w:rPr>
        <w:t>1.9.4网络接口：≥4个。</w:t>
      </w:r>
    </w:p>
    <w:p w14:paraId="035E553D">
      <w:pPr>
        <w:spacing w:line="360" w:lineRule="auto"/>
        <w:ind w:firstLine="480" w:firstLineChars="200"/>
        <w:rPr>
          <w:rFonts w:ascii="宋体" w:hAnsi="宋体" w:cs="宋体"/>
          <w:sz w:val="24"/>
        </w:rPr>
      </w:pPr>
      <w:r>
        <w:rPr>
          <w:rFonts w:hint="eastAsia" w:ascii="宋体" w:hAnsi="宋体" w:cs="宋体"/>
          <w:sz w:val="24"/>
        </w:rPr>
        <w:t>▲1.10配备便携式近红外脑血氧脑功能监测模块1个。</w:t>
      </w:r>
    </w:p>
    <w:p w14:paraId="54F8C3F3">
      <w:pPr>
        <w:spacing w:line="360" w:lineRule="auto"/>
        <w:ind w:firstLine="480" w:firstLineChars="200"/>
        <w:rPr>
          <w:rFonts w:ascii="宋体" w:hAnsi="宋体" w:cs="宋体"/>
          <w:sz w:val="24"/>
        </w:rPr>
      </w:pPr>
      <w:r>
        <w:rPr>
          <w:rFonts w:hint="eastAsia" w:ascii="宋体" w:hAnsi="宋体" w:cs="宋体"/>
          <w:sz w:val="24"/>
        </w:rPr>
        <w:t>1.10.1全套硬件重量≤65g；</w:t>
      </w:r>
    </w:p>
    <w:p w14:paraId="6682235B">
      <w:pPr>
        <w:spacing w:line="360" w:lineRule="auto"/>
        <w:ind w:firstLine="480" w:firstLineChars="200"/>
        <w:rPr>
          <w:rFonts w:ascii="宋体" w:hAnsi="宋体" w:cs="宋体"/>
          <w:sz w:val="24"/>
        </w:rPr>
      </w:pPr>
      <w:r>
        <w:rPr>
          <w:rFonts w:hint="eastAsia" w:ascii="宋体" w:hAnsi="宋体" w:cs="宋体"/>
          <w:sz w:val="24"/>
        </w:rPr>
        <w:t>1.10.2支持脑组织血氧饱和度的连续无创监测，可监测指标：脑氧饱和度百分比；</w:t>
      </w:r>
    </w:p>
    <w:p w14:paraId="29935159">
      <w:pPr>
        <w:spacing w:line="360" w:lineRule="auto"/>
        <w:ind w:firstLine="480" w:firstLineChars="200"/>
        <w:rPr>
          <w:rFonts w:ascii="宋体" w:hAnsi="宋体" w:cs="宋体"/>
          <w:sz w:val="24"/>
        </w:rPr>
      </w:pPr>
      <w:r>
        <w:rPr>
          <w:rFonts w:hint="eastAsia" w:ascii="宋体" w:hAnsi="宋体" w:cs="宋体"/>
          <w:sz w:val="24"/>
        </w:rPr>
        <w:t>1.10.3可利用便携设备在刺激过程中进行持续脑功能监测。</w:t>
      </w:r>
    </w:p>
    <w:p w14:paraId="13A47D68">
      <w:pPr>
        <w:spacing w:line="360" w:lineRule="auto"/>
        <w:ind w:firstLine="480" w:firstLineChars="200"/>
        <w:rPr>
          <w:rFonts w:ascii="宋体" w:hAnsi="宋体" w:cs="宋体"/>
          <w:sz w:val="24"/>
        </w:rPr>
      </w:pPr>
      <w:r>
        <w:rPr>
          <w:rFonts w:hint="eastAsia" w:ascii="宋体" w:hAnsi="宋体" w:cs="宋体"/>
          <w:sz w:val="24"/>
        </w:rPr>
        <w:t>2.软件</w:t>
      </w:r>
    </w:p>
    <w:p w14:paraId="286BA97E">
      <w:pPr>
        <w:spacing w:line="360" w:lineRule="auto"/>
        <w:ind w:firstLine="480" w:firstLineChars="200"/>
        <w:rPr>
          <w:rFonts w:ascii="宋体" w:hAnsi="宋体" w:cs="宋体"/>
          <w:sz w:val="24"/>
        </w:rPr>
      </w:pPr>
      <w:r>
        <w:rPr>
          <w:rFonts w:hint="eastAsia" w:ascii="宋体" w:hAnsi="宋体" w:cs="宋体"/>
          <w:sz w:val="24"/>
        </w:rPr>
        <w:t xml:space="preserve">2.1支持导入被试真实影像数据，并对皮层及头皮进行全自动三维重建 </w:t>
      </w:r>
    </w:p>
    <w:p w14:paraId="45520EC8">
      <w:pPr>
        <w:spacing w:line="360" w:lineRule="auto"/>
        <w:ind w:firstLine="480" w:firstLineChars="200"/>
        <w:rPr>
          <w:rFonts w:ascii="宋体" w:hAnsi="宋体" w:cs="宋体"/>
          <w:sz w:val="24"/>
        </w:rPr>
      </w:pPr>
      <w:r>
        <w:rPr>
          <w:rFonts w:hint="eastAsia" w:ascii="宋体" w:hAnsi="宋体" w:cs="宋体"/>
          <w:sz w:val="24"/>
        </w:rPr>
        <w:t>▲2.2支持导入的文件类型包括DICOM、ACR/NEMA、Analyze7.5、MINC、NIfTI-1、PAR/REC、BrainVoyager™ anatomical(.vmr)等</w:t>
      </w:r>
    </w:p>
    <w:p w14:paraId="780DD77C">
      <w:pPr>
        <w:spacing w:line="360" w:lineRule="auto"/>
        <w:ind w:firstLine="480" w:firstLineChars="200"/>
        <w:rPr>
          <w:rFonts w:ascii="宋体" w:hAnsi="宋体" w:cs="宋体"/>
          <w:sz w:val="24"/>
        </w:rPr>
      </w:pPr>
      <w:r>
        <w:rPr>
          <w:rFonts w:hint="eastAsia" w:ascii="宋体" w:hAnsi="宋体" w:cs="宋体"/>
          <w:sz w:val="24"/>
        </w:rPr>
        <w:t>2.3支持融合导入MNI坐标和Talairach坐标；</w:t>
      </w:r>
    </w:p>
    <w:p w14:paraId="46109F2A">
      <w:pPr>
        <w:spacing w:line="360" w:lineRule="auto"/>
        <w:ind w:firstLine="480" w:firstLineChars="200"/>
        <w:rPr>
          <w:rFonts w:ascii="宋体" w:hAnsi="宋体" w:cs="宋体"/>
          <w:sz w:val="24"/>
        </w:rPr>
      </w:pPr>
      <w:r>
        <w:rPr>
          <w:rFonts w:hint="eastAsia" w:ascii="宋体" w:hAnsi="宋体" w:cs="宋体"/>
          <w:sz w:val="24"/>
        </w:rPr>
        <w:t>2.3.1支持手动标定AC/PC进行配准；</w:t>
      </w:r>
    </w:p>
    <w:p w14:paraId="06B6F67D">
      <w:pPr>
        <w:spacing w:line="360" w:lineRule="auto"/>
        <w:ind w:firstLine="480" w:firstLineChars="200"/>
        <w:rPr>
          <w:rFonts w:ascii="宋体" w:hAnsi="宋体" w:cs="宋体"/>
          <w:sz w:val="24"/>
        </w:rPr>
      </w:pPr>
      <w:r>
        <w:rPr>
          <w:rFonts w:hint="eastAsia" w:ascii="宋体" w:hAnsi="宋体" w:cs="宋体"/>
          <w:sz w:val="24"/>
        </w:rPr>
        <w:t>2.3.2支持导入MATRIX注册文件进行自动坐标系配准；</w:t>
      </w:r>
    </w:p>
    <w:p w14:paraId="341ABFED">
      <w:pPr>
        <w:spacing w:line="360" w:lineRule="auto"/>
        <w:ind w:firstLine="480" w:firstLineChars="200"/>
        <w:rPr>
          <w:rFonts w:ascii="宋体" w:hAnsi="宋体" w:cs="宋体"/>
          <w:sz w:val="24"/>
        </w:rPr>
      </w:pPr>
      <w:r>
        <w:rPr>
          <w:rFonts w:hint="eastAsia" w:ascii="宋体" w:hAnsi="宋体" w:cs="宋体"/>
          <w:sz w:val="24"/>
        </w:rPr>
        <w:t>2.3.3支持基于全脑模板(MNI152)的三维影像导航。</w:t>
      </w:r>
    </w:p>
    <w:p w14:paraId="0141A884">
      <w:pPr>
        <w:spacing w:line="360" w:lineRule="auto"/>
        <w:ind w:firstLine="480" w:firstLineChars="200"/>
        <w:rPr>
          <w:rFonts w:ascii="宋体" w:hAnsi="宋体" w:cs="宋体"/>
          <w:sz w:val="24"/>
        </w:rPr>
      </w:pPr>
      <w:r>
        <w:rPr>
          <w:rFonts w:hint="eastAsia" w:ascii="宋体" w:hAnsi="宋体" w:cs="宋体"/>
          <w:sz w:val="24"/>
        </w:rPr>
        <w:t>2.5支持标记点、含角度信息的轨迹标记、轨迹矩阵等多种靶点设置</w:t>
      </w:r>
    </w:p>
    <w:p w14:paraId="4EEA7305">
      <w:pPr>
        <w:spacing w:line="360" w:lineRule="auto"/>
        <w:ind w:firstLine="480" w:firstLineChars="200"/>
        <w:rPr>
          <w:rFonts w:ascii="宋体" w:hAnsi="宋体" w:cs="宋体"/>
          <w:sz w:val="24"/>
        </w:rPr>
      </w:pPr>
      <w:r>
        <w:rPr>
          <w:rFonts w:hint="eastAsia" w:ascii="宋体" w:hAnsi="宋体" w:cs="宋体"/>
          <w:sz w:val="24"/>
        </w:rPr>
        <w:t>2.5.1支持通过输入坐标自动选定靶点；</w:t>
      </w:r>
    </w:p>
    <w:p w14:paraId="134B60F6">
      <w:pPr>
        <w:spacing w:line="360" w:lineRule="auto"/>
        <w:ind w:firstLine="480" w:firstLineChars="200"/>
        <w:rPr>
          <w:rFonts w:ascii="宋体" w:hAnsi="宋体" w:cs="宋体"/>
          <w:sz w:val="24"/>
        </w:rPr>
      </w:pPr>
      <w:r>
        <w:rPr>
          <w:rFonts w:hint="eastAsia" w:ascii="宋体" w:hAnsi="宋体" w:cs="宋体"/>
          <w:sz w:val="24"/>
        </w:rPr>
        <w:t>2.5.2支持输入角度数值或拖动调整工具调整靶点水平角度和垂直角度；</w:t>
      </w:r>
    </w:p>
    <w:p w14:paraId="4DD369A6">
      <w:pPr>
        <w:spacing w:line="360" w:lineRule="auto"/>
        <w:ind w:firstLine="480" w:firstLineChars="200"/>
        <w:rPr>
          <w:rFonts w:ascii="宋体" w:hAnsi="宋体" w:cs="宋体"/>
          <w:sz w:val="24"/>
        </w:rPr>
      </w:pPr>
      <w:r>
        <w:rPr>
          <w:rFonts w:hint="eastAsia" w:ascii="宋体" w:hAnsi="宋体" w:cs="宋体"/>
          <w:sz w:val="24"/>
        </w:rPr>
        <w:t>2.5.3支持对靶点位置进行垂直方向的微调；</w:t>
      </w:r>
    </w:p>
    <w:p w14:paraId="4288EC8E">
      <w:pPr>
        <w:spacing w:line="360" w:lineRule="auto"/>
        <w:ind w:firstLine="480" w:firstLineChars="200"/>
        <w:rPr>
          <w:rFonts w:ascii="宋体" w:hAnsi="宋体" w:cs="宋体"/>
          <w:sz w:val="24"/>
        </w:rPr>
      </w:pPr>
      <w:r>
        <w:rPr>
          <w:rFonts w:hint="eastAsia" w:ascii="宋体" w:hAnsi="宋体" w:cs="宋体"/>
          <w:sz w:val="24"/>
        </w:rPr>
        <w:t>2.5.4矩阵靶点支持根据皮层弧度自动垂直优化。</w:t>
      </w:r>
    </w:p>
    <w:p w14:paraId="19E7E8F7">
      <w:pPr>
        <w:spacing w:line="360" w:lineRule="auto"/>
        <w:ind w:firstLine="480" w:firstLineChars="200"/>
        <w:rPr>
          <w:rFonts w:ascii="宋体" w:hAnsi="宋体" w:cs="宋体"/>
          <w:sz w:val="24"/>
        </w:rPr>
      </w:pPr>
      <w:r>
        <w:rPr>
          <w:rFonts w:hint="eastAsia" w:ascii="宋体" w:hAnsi="宋体" w:cs="宋体"/>
          <w:sz w:val="24"/>
        </w:rPr>
        <w:t>2.6导航系统实时显示并记录信息：</w:t>
      </w:r>
    </w:p>
    <w:p w14:paraId="70E11C5A">
      <w:pPr>
        <w:spacing w:line="360" w:lineRule="auto"/>
        <w:ind w:firstLine="480" w:firstLineChars="200"/>
        <w:rPr>
          <w:rFonts w:ascii="宋体" w:hAnsi="宋体" w:cs="宋体"/>
          <w:sz w:val="24"/>
        </w:rPr>
      </w:pPr>
      <w:r>
        <w:rPr>
          <w:rFonts w:hint="eastAsia" w:ascii="宋体" w:hAnsi="宋体" w:cs="宋体"/>
          <w:sz w:val="24"/>
        </w:rPr>
        <w:t>2.6.1实时显示并记录：刺激靶点三维坐标、刺激点距靶点距离及水平角度误差和垂直角度误差；</w:t>
      </w:r>
    </w:p>
    <w:p w14:paraId="0709939F">
      <w:pPr>
        <w:spacing w:line="360" w:lineRule="auto"/>
        <w:ind w:firstLine="480" w:firstLineChars="200"/>
        <w:rPr>
          <w:rFonts w:ascii="宋体" w:hAnsi="宋体" w:cs="宋体"/>
          <w:sz w:val="24"/>
        </w:rPr>
      </w:pPr>
      <w:r>
        <w:rPr>
          <w:rFonts w:hint="eastAsia" w:ascii="宋体" w:hAnsi="宋体" w:cs="宋体"/>
          <w:sz w:val="24"/>
        </w:rPr>
        <w:t>2.6.2实时在影像上实时显示刺激线圈三维模型；</w:t>
      </w:r>
    </w:p>
    <w:p w14:paraId="1570F608">
      <w:pPr>
        <w:spacing w:line="360" w:lineRule="auto"/>
        <w:ind w:firstLine="480" w:firstLineChars="200"/>
        <w:rPr>
          <w:rFonts w:ascii="宋体" w:hAnsi="宋体" w:cs="宋体"/>
          <w:sz w:val="24"/>
        </w:rPr>
      </w:pPr>
      <w:r>
        <w:rPr>
          <w:rFonts w:hint="eastAsia" w:ascii="宋体" w:hAnsi="宋体" w:cs="宋体"/>
          <w:sz w:val="24"/>
        </w:rPr>
        <w:t>2.6.3可以完整记录整个刺激过程并以支持回放查看；</w:t>
      </w:r>
    </w:p>
    <w:p w14:paraId="299B5E62">
      <w:pPr>
        <w:spacing w:line="360" w:lineRule="auto"/>
        <w:ind w:firstLine="480" w:firstLineChars="200"/>
        <w:rPr>
          <w:rFonts w:ascii="宋体" w:hAnsi="宋体" w:cs="宋体"/>
          <w:sz w:val="24"/>
        </w:rPr>
      </w:pPr>
      <w:r>
        <w:rPr>
          <w:rFonts w:hint="eastAsia" w:ascii="宋体" w:hAnsi="宋体" w:cs="宋体"/>
          <w:sz w:val="24"/>
        </w:rPr>
        <w:t>▲2.6.4支持导入通用免费开源磁刺激仿真软件SimNIBS的电场模拟分析结果。</w:t>
      </w:r>
    </w:p>
    <w:p w14:paraId="4880A866">
      <w:pPr>
        <w:spacing w:line="360" w:lineRule="auto"/>
        <w:ind w:firstLine="480" w:firstLineChars="200"/>
        <w:rPr>
          <w:rFonts w:ascii="宋体" w:hAnsi="宋体" w:cs="宋体"/>
          <w:sz w:val="24"/>
        </w:rPr>
      </w:pPr>
      <w:r>
        <w:rPr>
          <w:rFonts w:hint="eastAsia" w:ascii="宋体" w:hAnsi="宋体" w:cs="宋体"/>
          <w:sz w:val="24"/>
        </w:rPr>
        <w:t>2.7支持将记录到的刺激位点直接转化设置为靶点。</w:t>
      </w:r>
    </w:p>
    <w:p w14:paraId="0AC91FE2">
      <w:pPr>
        <w:spacing w:line="360" w:lineRule="auto"/>
        <w:ind w:firstLine="480" w:firstLineChars="200"/>
        <w:rPr>
          <w:rFonts w:ascii="宋体" w:hAnsi="宋体" w:cs="宋体"/>
          <w:sz w:val="24"/>
        </w:rPr>
      </w:pPr>
      <w:r>
        <w:rPr>
          <w:rFonts w:hint="eastAsia" w:ascii="宋体" w:hAnsi="宋体" w:cs="宋体"/>
          <w:sz w:val="24"/>
        </w:rPr>
        <w:t>2.8支持在三维影像上标定记录EEG电极位置、NIRS探头位置功能。</w:t>
      </w:r>
    </w:p>
    <w:p w14:paraId="60D8D7DF">
      <w:pPr>
        <w:spacing w:line="360" w:lineRule="auto"/>
        <w:ind w:firstLine="480" w:firstLineChars="200"/>
        <w:rPr>
          <w:rFonts w:ascii="宋体" w:hAnsi="宋体" w:cs="宋体"/>
          <w:sz w:val="24"/>
        </w:rPr>
      </w:pPr>
      <w:r>
        <w:rPr>
          <w:rFonts w:hint="eastAsia" w:ascii="宋体" w:hAnsi="宋体" w:cs="宋体"/>
          <w:sz w:val="24"/>
        </w:rPr>
        <w:t>2.9导航系统软件支持MEP测量及显示功能。</w:t>
      </w:r>
    </w:p>
    <w:p w14:paraId="79DE7DBE">
      <w:pPr>
        <w:spacing w:line="360" w:lineRule="auto"/>
        <w:ind w:firstLine="480" w:firstLineChars="200"/>
        <w:rPr>
          <w:rFonts w:ascii="宋体" w:hAnsi="宋体" w:cs="宋体"/>
          <w:sz w:val="24"/>
        </w:rPr>
      </w:pPr>
      <w:r>
        <w:rPr>
          <w:rFonts w:hint="eastAsia" w:ascii="宋体" w:hAnsi="宋体" w:cs="宋体"/>
          <w:sz w:val="24"/>
        </w:rPr>
        <w:t>2.10支持EEG数据和MEP数据offline导入。</w:t>
      </w:r>
    </w:p>
    <w:p w14:paraId="678AEC44">
      <w:pPr>
        <w:spacing w:line="360" w:lineRule="auto"/>
        <w:ind w:firstLine="480" w:firstLineChars="200"/>
        <w:rPr>
          <w:rFonts w:ascii="宋体" w:hAnsi="宋体" w:cs="宋体"/>
          <w:sz w:val="24"/>
        </w:rPr>
      </w:pPr>
      <w:r>
        <w:rPr>
          <w:rFonts w:hint="eastAsia" w:ascii="宋体" w:hAnsi="宋体" w:cs="宋体"/>
          <w:sz w:val="24"/>
        </w:rPr>
        <w:t>2.11支持三维影像文件及MEP标记信息以DICOM格式导出。</w:t>
      </w:r>
    </w:p>
    <w:p w14:paraId="5796CB7C">
      <w:pPr>
        <w:spacing w:line="360" w:lineRule="auto"/>
        <w:ind w:firstLine="480" w:firstLineChars="200"/>
        <w:rPr>
          <w:rFonts w:ascii="宋体" w:hAnsi="宋体" w:cs="宋体"/>
          <w:sz w:val="24"/>
        </w:rPr>
      </w:pPr>
      <w:r>
        <w:rPr>
          <w:rFonts w:hint="eastAsia" w:ascii="宋体" w:hAnsi="宋体" w:cs="宋体"/>
          <w:sz w:val="24"/>
        </w:rPr>
        <w:t>2.12支持语音识别控制。</w:t>
      </w:r>
    </w:p>
    <w:p w14:paraId="4F094BA2">
      <w:pPr>
        <w:spacing w:line="360" w:lineRule="auto"/>
        <w:ind w:firstLine="480" w:firstLineChars="200"/>
        <w:rPr>
          <w:rFonts w:ascii="宋体" w:hAnsi="宋体" w:cs="宋体"/>
          <w:sz w:val="24"/>
        </w:rPr>
      </w:pPr>
      <w:r>
        <w:rPr>
          <w:rFonts w:hint="eastAsia" w:ascii="宋体" w:hAnsi="宋体" w:cs="宋体"/>
          <w:sz w:val="24"/>
        </w:rPr>
        <w:t>2.13支持升级导入并显示NIRS数据的接口方便多模态研究。</w:t>
      </w:r>
    </w:p>
    <w:p w14:paraId="13D500C2">
      <w:pPr>
        <w:spacing w:line="360" w:lineRule="auto"/>
        <w:ind w:firstLine="480" w:firstLineChars="200"/>
        <w:rPr>
          <w:rFonts w:ascii="宋体" w:hAnsi="宋体" w:cs="宋体"/>
          <w:sz w:val="24"/>
        </w:rPr>
      </w:pPr>
      <w:r>
        <w:rPr>
          <w:rFonts w:hint="eastAsia" w:ascii="宋体" w:hAnsi="宋体" w:cs="宋体"/>
          <w:sz w:val="24"/>
        </w:rPr>
        <w:t>▲2.14支持升级动物开颅手术定位。</w:t>
      </w:r>
    </w:p>
    <w:p w14:paraId="597961B2">
      <w:pPr>
        <w:spacing w:line="360" w:lineRule="auto"/>
        <w:ind w:firstLine="480" w:firstLineChars="200"/>
        <w:rPr>
          <w:rFonts w:ascii="宋体" w:hAnsi="宋体" w:cs="宋体"/>
          <w:sz w:val="24"/>
        </w:rPr>
      </w:pPr>
      <w:r>
        <w:rPr>
          <w:rFonts w:hint="eastAsia" w:ascii="宋体" w:hAnsi="宋体" w:cs="宋体"/>
          <w:sz w:val="24"/>
        </w:rPr>
        <w:t>2.15支持升级全自动机器人控制实现全自动导航刺激。</w:t>
      </w:r>
    </w:p>
    <w:p w14:paraId="20A5D989">
      <w:pPr>
        <w:spacing w:line="360" w:lineRule="auto"/>
        <w:ind w:firstLine="480" w:firstLineChars="200"/>
        <w:rPr>
          <w:rFonts w:ascii="宋体" w:hAnsi="宋体" w:cs="宋体"/>
          <w:sz w:val="24"/>
        </w:rPr>
      </w:pPr>
      <w:r>
        <w:rPr>
          <w:rFonts w:hint="eastAsia" w:ascii="宋体" w:hAnsi="宋体" w:cs="宋体"/>
          <w:sz w:val="24"/>
        </w:rPr>
        <w:t>▲2.16导航软件开放权限，支持在多套计算机同时安装运行，无需加密狗。</w:t>
      </w:r>
    </w:p>
    <w:p w14:paraId="15971784">
      <w:pPr>
        <w:spacing w:line="360" w:lineRule="auto"/>
        <w:ind w:firstLine="480" w:firstLineChars="200"/>
        <w:rPr>
          <w:rFonts w:ascii="宋体" w:hAnsi="宋体" w:cs="宋体"/>
          <w:sz w:val="24"/>
        </w:rPr>
      </w:pPr>
      <w:r>
        <w:rPr>
          <w:rFonts w:hint="eastAsia" w:ascii="宋体" w:hAnsi="宋体" w:cs="宋体"/>
          <w:sz w:val="24"/>
        </w:rPr>
        <w:t>3.主要配置</w:t>
      </w:r>
    </w:p>
    <w:p w14:paraId="606DE603">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1专用导航定位软件（U盘）</w:t>
      </w:r>
      <w:r>
        <w:rPr>
          <w:rFonts w:hint="eastAsia" w:ascii="宋体" w:hAnsi="宋体" w:cs="宋体"/>
          <w:sz w:val="24"/>
        </w:rPr>
        <w:t>：</w:t>
      </w:r>
      <w:r>
        <w:rPr>
          <w:rFonts w:ascii="宋体" w:hAnsi="宋体" w:cs="宋体"/>
          <w:sz w:val="24"/>
        </w:rPr>
        <w:t>1个；</w:t>
      </w:r>
    </w:p>
    <w:p w14:paraId="731DF0BB">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2数码无源红外捕捉器</w:t>
      </w:r>
      <w:r>
        <w:rPr>
          <w:rFonts w:hint="eastAsia" w:ascii="宋体" w:hAnsi="宋体" w:cs="宋体"/>
          <w:sz w:val="24"/>
        </w:rPr>
        <w:t>：</w:t>
      </w:r>
      <w:r>
        <w:rPr>
          <w:rFonts w:ascii="宋体" w:hAnsi="宋体" w:cs="宋体"/>
          <w:sz w:val="24"/>
        </w:rPr>
        <w:t>1个；</w:t>
      </w:r>
    </w:p>
    <w:p w14:paraId="5EA9287F">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3捕捉器支架</w:t>
      </w:r>
      <w:r>
        <w:rPr>
          <w:rFonts w:hint="eastAsia" w:ascii="宋体" w:hAnsi="宋体" w:cs="宋体"/>
          <w:sz w:val="24"/>
        </w:rPr>
        <w:t>：</w:t>
      </w:r>
      <w:r>
        <w:rPr>
          <w:rFonts w:ascii="宋体" w:hAnsi="宋体" w:cs="宋体"/>
          <w:sz w:val="24"/>
        </w:rPr>
        <w:t>1个；</w:t>
      </w:r>
    </w:p>
    <w:p w14:paraId="1A838600">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4校准工具</w:t>
      </w:r>
      <w:r>
        <w:rPr>
          <w:rFonts w:hint="eastAsia" w:ascii="宋体" w:hAnsi="宋体" w:cs="宋体"/>
          <w:sz w:val="24"/>
        </w:rPr>
        <w:t>：</w:t>
      </w:r>
      <w:r>
        <w:rPr>
          <w:rFonts w:ascii="宋体" w:hAnsi="宋体" w:cs="宋体"/>
          <w:sz w:val="24"/>
        </w:rPr>
        <w:t>1个；</w:t>
      </w:r>
    </w:p>
    <w:p w14:paraId="42B87D20">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5被动反射目标追踪器</w:t>
      </w:r>
      <w:r>
        <w:rPr>
          <w:rFonts w:hint="eastAsia" w:ascii="宋体" w:hAnsi="宋体" w:cs="宋体"/>
          <w:sz w:val="24"/>
        </w:rPr>
        <w:t>：</w:t>
      </w:r>
      <w:r>
        <w:rPr>
          <w:rFonts w:ascii="宋体" w:hAnsi="宋体" w:cs="宋体"/>
          <w:sz w:val="24"/>
        </w:rPr>
        <w:t>1个；</w:t>
      </w:r>
    </w:p>
    <w:p w14:paraId="3AA50746">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6被动反射线圈追踪器</w:t>
      </w:r>
      <w:r>
        <w:rPr>
          <w:rFonts w:hint="eastAsia" w:ascii="宋体" w:hAnsi="宋体" w:cs="宋体"/>
          <w:sz w:val="24"/>
        </w:rPr>
        <w:t>：</w:t>
      </w:r>
      <w:r>
        <w:rPr>
          <w:rFonts w:ascii="宋体" w:hAnsi="宋体" w:cs="宋体"/>
          <w:sz w:val="24"/>
        </w:rPr>
        <w:t>1个；</w:t>
      </w:r>
    </w:p>
    <w:p w14:paraId="6814C951">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7被动反射指示器</w:t>
      </w:r>
      <w:r>
        <w:rPr>
          <w:rFonts w:hint="eastAsia" w:ascii="宋体" w:hAnsi="宋体" w:cs="宋体"/>
          <w:sz w:val="24"/>
        </w:rPr>
        <w:t>：</w:t>
      </w:r>
      <w:r>
        <w:rPr>
          <w:rFonts w:ascii="宋体" w:hAnsi="宋体" w:cs="宋体"/>
          <w:sz w:val="24"/>
        </w:rPr>
        <w:t>1个；</w:t>
      </w:r>
    </w:p>
    <w:p w14:paraId="007C0DCF">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8头带式固定带</w:t>
      </w:r>
      <w:r>
        <w:rPr>
          <w:rFonts w:hint="eastAsia" w:ascii="宋体" w:hAnsi="宋体" w:cs="宋体"/>
          <w:sz w:val="24"/>
        </w:rPr>
        <w:t>：</w:t>
      </w:r>
      <w:r>
        <w:rPr>
          <w:rFonts w:ascii="宋体" w:hAnsi="宋体" w:cs="宋体"/>
          <w:sz w:val="24"/>
        </w:rPr>
        <w:t>1个；</w:t>
      </w:r>
    </w:p>
    <w:p w14:paraId="322A6876">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9眼镜式固定架</w:t>
      </w:r>
      <w:r>
        <w:rPr>
          <w:rFonts w:hint="eastAsia" w:ascii="宋体" w:hAnsi="宋体" w:cs="宋体"/>
          <w:sz w:val="24"/>
        </w:rPr>
        <w:t>：</w:t>
      </w:r>
      <w:r>
        <w:rPr>
          <w:rFonts w:ascii="宋体" w:hAnsi="宋体" w:cs="宋体"/>
          <w:sz w:val="24"/>
        </w:rPr>
        <w:t>1个；</w:t>
      </w:r>
    </w:p>
    <w:p w14:paraId="1FF63B6E">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10</w:t>
      </w:r>
      <w:r>
        <w:rPr>
          <w:rFonts w:hint="eastAsia" w:ascii="宋体" w:hAnsi="宋体" w:cs="宋体"/>
          <w:sz w:val="24"/>
        </w:rPr>
        <w:t xml:space="preserve"> </w:t>
      </w:r>
      <w:r>
        <w:rPr>
          <w:rFonts w:ascii="宋体" w:hAnsi="宋体" w:cs="宋体"/>
          <w:sz w:val="24"/>
        </w:rPr>
        <w:t>I/O接口盒</w:t>
      </w:r>
      <w:r>
        <w:rPr>
          <w:rFonts w:hint="eastAsia" w:ascii="宋体" w:hAnsi="宋体" w:cs="宋体"/>
          <w:sz w:val="24"/>
        </w:rPr>
        <w:t>：</w:t>
      </w:r>
      <w:r>
        <w:rPr>
          <w:rFonts w:ascii="宋体" w:hAnsi="宋体" w:cs="宋体"/>
          <w:sz w:val="24"/>
        </w:rPr>
        <w:t>1个；</w:t>
      </w:r>
    </w:p>
    <w:p w14:paraId="4452B1A8">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11脚踏开关</w:t>
      </w:r>
      <w:r>
        <w:rPr>
          <w:rFonts w:hint="eastAsia" w:ascii="宋体" w:hAnsi="宋体" w:cs="宋体"/>
          <w:sz w:val="24"/>
        </w:rPr>
        <w:t>：</w:t>
      </w:r>
      <w:r>
        <w:rPr>
          <w:rFonts w:ascii="宋体" w:hAnsi="宋体" w:cs="宋体"/>
          <w:sz w:val="24"/>
        </w:rPr>
        <w:t>1个；</w:t>
      </w:r>
    </w:p>
    <w:p w14:paraId="33764F30">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12双通道MEP套装</w:t>
      </w:r>
      <w:r>
        <w:rPr>
          <w:rFonts w:hint="eastAsia" w:ascii="宋体" w:hAnsi="宋体" w:cs="宋体"/>
          <w:sz w:val="24"/>
        </w:rPr>
        <w:t>：</w:t>
      </w:r>
      <w:r>
        <w:rPr>
          <w:rFonts w:ascii="宋体" w:hAnsi="宋体" w:cs="宋体"/>
          <w:sz w:val="24"/>
        </w:rPr>
        <w:t>1套；</w:t>
      </w:r>
    </w:p>
    <w:p w14:paraId="5CC8BBCD">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13隔离变压器</w:t>
      </w:r>
      <w:r>
        <w:rPr>
          <w:rFonts w:hint="eastAsia" w:ascii="宋体" w:hAnsi="宋体" w:cs="宋体"/>
          <w:sz w:val="24"/>
        </w:rPr>
        <w:t>：</w:t>
      </w:r>
      <w:r>
        <w:rPr>
          <w:rFonts w:ascii="宋体" w:hAnsi="宋体" w:cs="宋体"/>
          <w:sz w:val="24"/>
        </w:rPr>
        <w:t>1个；</w:t>
      </w:r>
    </w:p>
    <w:p w14:paraId="1BD99FBC">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14导航定位系统</w:t>
      </w:r>
      <w:r>
        <w:rPr>
          <w:rFonts w:hint="eastAsia" w:ascii="宋体" w:hAnsi="宋体" w:cs="宋体"/>
          <w:sz w:val="24"/>
        </w:rPr>
        <w:t>：</w:t>
      </w:r>
      <w:r>
        <w:rPr>
          <w:rFonts w:ascii="宋体" w:hAnsi="宋体" w:cs="宋体"/>
          <w:sz w:val="24"/>
        </w:rPr>
        <w:t>1台；</w:t>
      </w:r>
    </w:p>
    <w:p w14:paraId="06D1B73B">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15</w:t>
      </w:r>
      <w:r>
        <w:rPr>
          <w:rFonts w:hint="eastAsia" w:ascii="宋体" w:hAnsi="宋体" w:cs="宋体"/>
          <w:sz w:val="24"/>
        </w:rPr>
        <w:t xml:space="preserve"> </w:t>
      </w:r>
      <w:r>
        <w:rPr>
          <w:rFonts w:ascii="宋体" w:hAnsi="宋体" w:cs="宋体"/>
          <w:sz w:val="24"/>
        </w:rPr>
        <w:t>一体式</w:t>
      </w:r>
      <w:r>
        <w:rPr>
          <w:rFonts w:hint="eastAsia" w:ascii="宋体" w:hAnsi="宋体" w:cs="宋体"/>
          <w:sz w:val="24"/>
        </w:rPr>
        <w:t>工作站</w:t>
      </w:r>
      <w:r>
        <w:rPr>
          <w:rFonts w:ascii="宋体" w:hAnsi="宋体" w:cs="宋体"/>
          <w:sz w:val="24"/>
        </w:rPr>
        <w:t>主机</w:t>
      </w:r>
      <w:r>
        <w:rPr>
          <w:rFonts w:hint="eastAsia" w:ascii="宋体" w:hAnsi="宋体" w:cs="宋体"/>
          <w:sz w:val="24"/>
        </w:rPr>
        <w:t>：</w:t>
      </w:r>
      <w:r>
        <w:rPr>
          <w:rFonts w:ascii="宋体" w:hAnsi="宋体" w:cs="宋体"/>
          <w:sz w:val="24"/>
        </w:rPr>
        <w:t>1台；</w:t>
      </w:r>
    </w:p>
    <w:p w14:paraId="366F144C">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16导航系统仪器车</w:t>
      </w:r>
      <w:r>
        <w:rPr>
          <w:rFonts w:hint="eastAsia" w:ascii="宋体" w:hAnsi="宋体" w:cs="宋体"/>
          <w:sz w:val="24"/>
        </w:rPr>
        <w:t>：</w:t>
      </w:r>
      <w:r>
        <w:rPr>
          <w:rFonts w:ascii="宋体" w:hAnsi="宋体" w:cs="宋体"/>
          <w:sz w:val="24"/>
        </w:rPr>
        <w:t>1套；</w:t>
      </w:r>
    </w:p>
    <w:p w14:paraId="5E6A747C">
      <w:pPr>
        <w:spacing w:line="360" w:lineRule="auto"/>
        <w:ind w:firstLine="480" w:firstLineChars="200"/>
        <w:rPr>
          <w:rFonts w:ascii="宋体" w:hAnsi="宋体" w:cs="宋体"/>
          <w:sz w:val="24"/>
        </w:rPr>
      </w:pPr>
      <w:r>
        <w:rPr>
          <w:rFonts w:hint="eastAsia" w:ascii="宋体" w:hAnsi="宋体" w:cs="宋体"/>
          <w:sz w:val="24"/>
        </w:rPr>
        <w:t>3.</w:t>
      </w:r>
      <w:r>
        <w:rPr>
          <w:rFonts w:ascii="宋体" w:hAnsi="宋体" w:cs="宋体"/>
          <w:sz w:val="24"/>
        </w:rPr>
        <w:t>17便携式近红外脑血氧脑功能监测模块</w:t>
      </w:r>
      <w:r>
        <w:rPr>
          <w:rFonts w:hint="eastAsia" w:ascii="宋体" w:hAnsi="宋体" w:cs="宋体"/>
          <w:sz w:val="24"/>
        </w:rPr>
        <w:t>：</w:t>
      </w:r>
      <w:r>
        <w:rPr>
          <w:rFonts w:ascii="宋体" w:hAnsi="宋体" w:cs="宋体"/>
          <w:sz w:val="24"/>
        </w:rPr>
        <w:t>1个。</w:t>
      </w:r>
    </w:p>
    <w:p w14:paraId="3503A0D3">
      <w:pPr>
        <w:rPr>
          <w:rFonts w:ascii="宋体" w:hAnsi="宋体"/>
        </w:rPr>
      </w:pPr>
    </w:p>
    <w:p w14:paraId="673D8814">
      <w:pPr>
        <w:spacing w:line="360" w:lineRule="auto"/>
        <w:ind w:firstLine="482" w:firstLineChars="200"/>
        <w:jc w:val="left"/>
        <w:outlineLvl w:val="1"/>
        <w:rPr>
          <w:rFonts w:ascii="宋体" w:hAnsi="宋体" w:cs="宋体"/>
          <w:sz w:val="24"/>
        </w:rPr>
      </w:pPr>
      <w:r>
        <w:rPr>
          <w:rFonts w:hint="eastAsia" w:ascii="宋体" w:hAnsi="宋体" w:cs="宋体"/>
          <w:b/>
          <w:bCs/>
          <w:sz w:val="24"/>
        </w:rPr>
        <w:t>标的2：可编程式多通道高精度经颅电刺激系统</w:t>
      </w:r>
    </w:p>
    <w:p w14:paraId="3E9A67C5">
      <w:pPr>
        <w:spacing w:line="360" w:lineRule="auto"/>
        <w:ind w:firstLine="480" w:firstLineChars="200"/>
        <w:rPr>
          <w:rFonts w:ascii="宋体" w:hAnsi="宋体" w:cs="宋体"/>
          <w:sz w:val="24"/>
        </w:rPr>
      </w:pPr>
      <w:r>
        <w:rPr>
          <w:rFonts w:hint="eastAsia" w:ascii="宋体" w:hAnsi="宋体" w:cs="宋体"/>
          <w:sz w:val="24"/>
        </w:rPr>
        <w:t>1.刺激主机系统：</w:t>
      </w:r>
    </w:p>
    <w:p w14:paraId="448BB7C0">
      <w:pPr>
        <w:spacing w:line="360" w:lineRule="auto"/>
        <w:ind w:firstLine="480" w:firstLineChars="200"/>
        <w:rPr>
          <w:rFonts w:ascii="宋体" w:hAnsi="宋体" w:cs="宋体"/>
          <w:sz w:val="24"/>
        </w:rPr>
      </w:pPr>
      <w:r>
        <w:rPr>
          <w:rFonts w:hint="eastAsia" w:ascii="宋体" w:hAnsi="宋体" w:cs="宋体"/>
          <w:sz w:val="24"/>
        </w:rPr>
        <w:t>▲1.1刺激主机输出功能要求：台式整机，可通过Type-C进行连接有线输出，非头戴式或小型便携式有线传输或无线蓝牙传输；</w:t>
      </w:r>
    </w:p>
    <w:p w14:paraId="3F1509A8">
      <w:pPr>
        <w:spacing w:line="360" w:lineRule="auto"/>
        <w:ind w:firstLine="480" w:firstLineChars="200"/>
        <w:rPr>
          <w:rFonts w:ascii="宋体" w:hAnsi="宋体" w:cs="宋体"/>
          <w:sz w:val="24"/>
        </w:rPr>
      </w:pPr>
      <w:r>
        <w:rPr>
          <w:rFonts w:hint="eastAsia" w:ascii="宋体" w:hAnsi="宋体" w:cs="宋体"/>
          <w:sz w:val="24"/>
        </w:rPr>
        <w:t>▲1.2通道数：≥9通道，可同时实现刺激多组脑区刺激，具备基本模式（可实现常规设定）和自由模式（可根据研究人员自行设定参数，且每通道电流、延迟时间、波形频率等参数均可独立设定，可最大化实现实验编程）；</w:t>
      </w:r>
    </w:p>
    <w:p w14:paraId="252041C2">
      <w:pPr>
        <w:spacing w:line="360" w:lineRule="auto"/>
        <w:ind w:firstLine="480" w:firstLineChars="200"/>
        <w:rPr>
          <w:rFonts w:ascii="宋体" w:hAnsi="宋体" w:cs="宋体"/>
          <w:sz w:val="24"/>
        </w:rPr>
      </w:pPr>
      <w:r>
        <w:rPr>
          <w:rFonts w:hint="eastAsia" w:ascii="宋体" w:hAnsi="宋体" w:cs="宋体"/>
          <w:sz w:val="24"/>
        </w:rPr>
        <w:t>1.3刺激模式：tDCS 经颅直流电刺激，tACS 经颅交流电刺激，toDCS 振荡波形刺激，tRNS随机噪声刺激、AM调幅波形刺激、通过软件个性化编程波形等；</w:t>
      </w:r>
    </w:p>
    <w:p w14:paraId="61876D24">
      <w:pPr>
        <w:spacing w:line="360" w:lineRule="auto"/>
        <w:ind w:firstLine="480" w:firstLineChars="200"/>
        <w:rPr>
          <w:rFonts w:ascii="宋体" w:hAnsi="宋体" w:cs="宋体"/>
          <w:sz w:val="24"/>
        </w:rPr>
      </w:pPr>
      <w:r>
        <w:rPr>
          <w:rFonts w:hint="eastAsia" w:ascii="宋体" w:hAnsi="宋体" w:cs="宋体"/>
          <w:sz w:val="24"/>
        </w:rPr>
        <w:t>1.4电极指标：多种电极搭配方案可选择：1×8、2×3等，高精度电极：≥9个 Ag/AgCl 环形电极，直径≤12mm；</w:t>
      </w:r>
    </w:p>
    <w:p w14:paraId="2372EABA">
      <w:pPr>
        <w:spacing w:line="360" w:lineRule="auto"/>
        <w:ind w:firstLine="480" w:firstLineChars="200"/>
        <w:rPr>
          <w:rFonts w:ascii="宋体" w:hAnsi="宋体" w:cs="宋体"/>
          <w:sz w:val="24"/>
        </w:rPr>
      </w:pPr>
      <w:r>
        <w:rPr>
          <w:rFonts w:hint="eastAsia" w:ascii="宋体" w:hAnsi="宋体" w:cs="宋体"/>
          <w:sz w:val="24"/>
        </w:rPr>
        <w:t>1.5定位装置：≥9个扣锁式环形电极托，嵌入可穿戴式标准脑电电极帽固定电极；</w:t>
      </w:r>
    </w:p>
    <w:p w14:paraId="0AA3A396">
      <w:pPr>
        <w:spacing w:line="360" w:lineRule="auto"/>
        <w:ind w:firstLine="480" w:firstLineChars="200"/>
        <w:rPr>
          <w:rFonts w:ascii="宋体" w:hAnsi="宋体" w:cs="宋体"/>
          <w:sz w:val="24"/>
        </w:rPr>
      </w:pPr>
      <w:r>
        <w:rPr>
          <w:rFonts w:hint="eastAsia" w:ascii="宋体" w:hAnsi="宋体" w:cs="宋体"/>
          <w:sz w:val="24"/>
        </w:rPr>
        <w:t>1.6设备具备BNC接口；</w:t>
      </w:r>
    </w:p>
    <w:p w14:paraId="42C765F1">
      <w:pPr>
        <w:spacing w:line="360" w:lineRule="auto"/>
        <w:ind w:firstLine="480" w:firstLineChars="200"/>
        <w:rPr>
          <w:rFonts w:ascii="宋体" w:hAnsi="宋体" w:cs="宋体"/>
          <w:sz w:val="24"/>
        </w:rPr>
      </w:pPr>
      <w:r>
        <w:rPr>
          <w:rFonts w:hint="eastAsia" w:ascii="宋体" w:hAnsi="宋体" w:cs="宋体"/>
          <w:sz w:val="24"/>
        </w:rPr>
        <w:t>1.7供电方式：使用Type-C连接供电，无需接入固定电源；</w:t>
      </w:r>
    </w:p>
    <w:p w14:paraId="769EAE15">
      <w:pPr>
        <w:spacing w:line="360" w:lineRule="auto"/>
        <w:ind w:firstLine="480" w:firstLineChars="200"/>
        <w:rPr>
          <w:rFonts w:ascii="宋体" w:hAnsi="宋体" w:cs="宋体"/>
          <w:sz w:val="24"/>
        </w:rPr>
      </w:pPr>
      <w:r>
        <w:rPr>
          <w:rFonts w:hint="eastAsia" w:ascii="宋体" w:hAnsi="宋体" w:cs="宋体"/>
          <w:sz w:val="24"/>
        </w:rPr>
        <w:t>▲1.8频率参数：每通道频率调节范围：0~5KHz，每通道频率分辨率：≤0.01Hz；</w:t>
      </w:r>
    </w:p>
    <w:p w14:paraId="40894C2C">
      <w:pPr>
        <w:spacing w:line="360" w:lineRule="auto"/>
        <w:ind w:firstLine="480" w:firstLineChars="200"/>
        <w:rPr>
          <w:rFonts w:ascii="宋体" w:hAnsi="宋体" w:cs="宋体"/>
          <w:sz w:val="24"/>
        </w:rPr>
      </w:pPr>
      <w:r>
        <w:rPr>
          <w:rFonts w:hint="eastAsia" w:ascii="宋体" w:hAnsi="宋体" w:cs="宋体"/>
          <w:sz w:val="24"/>
        </w:rPr>
        <w:t>1.9时间参数：刺激时间0~60分钟可调，最低最小时间可设为≤3s（取决于电流上升或下降时间为0时），刺激开始前与结束后电流缓升缓降范围 0-100s，分辨率≤1s；</w:t>
      </w:r>
    </w:p>
    <w:p w14:paraId="6E3C073A">
      <w:pPr>
        <w:spacing w:line="360" w:lineRule="auto"/>
        <w:ind w:firstLine="480" w:firstLineChars="200"/>
        <w:rPr>
          <w:rFonts w:ascii="宋体" w:hAnsi="宋体" w:cs="宋体"/>
          <w:sz w:val="24"/>
        </w:rPr>
      </w:pPr>
      <w:r>
        <w:rPr>
          <w:rFonts w:hint="eastAsia" w:ascii="宋体" w:hAnsi="宋体" w:cs="宋体"/>
          <w:sz w:val="24"/>
        </w:rPr>
        <w:t>1.10电流参数设定：单通道电流输出强度：0~±2.5mA，设备最大总输出电流±6.0mA，电流精度：1%；</w:t>
      </w:r>
    </w:p>
    <w:p w14:paraId="0FEE34B5">
      <w:pPr>
        <w:spacing w:line="360" w:lineRule="auto"/>
        <w:ind w:firstLine="480" w:firstLineChars="200"/>
        <w:rPr>
          <w:rFonts w:ascii="宋体" w:hAnsi="宋体" w:cs="宋体"/>
          <w:sz w:val="24"/>
        </w:rPr>
      </w:pPr>
      <w:r>
        <w:rPr>
          <w:rFonts w:hint="eastAsia" w:ascii="宋体" w:hAnsi="宋体" w:cs="宋体"/>
          <w:sz w:val="24"/>
        </w:rPr>
        <w:t>▲1.11通道功能：可切换Single或Multiple通道。</w:t>
      </w:r>
    </w:p>
    <w:p w14:paraId="4068C850">
      <w:pPr>
        <w:spacing w:line="360" w:lineRule="auto"/>
        <w:ind w:firstLine="480" w:firstLineChars="200"/>
        <w:rPr>
          <w:rFonts w:ascii="宋体" w:hAnsi="宋体" w:cs="宋体"/>
          <w:sz w:val="24"/>
        </w:rPr>
      </w:pPr>
      <w:r>
        <w:rPr>
          <w:rFonts w:hint="eastAsia" w:ascii="宋体" w:hAnsi="宋体" w:cs="宋体"/>
          <w:sz w:val="24"/>
        </w:rPr>
        <w:t>2.电刺激控制软件：</w:t>
      </w:r>
    </w:p>
    <w:p w14:paraId="0ED9869F">
      <w:pPr>
        <w:spacing w:line="360" w:lineRule="auto"/>
        <w:ind w:firstLine="480" w:firstLineChars="200"/>
        <w:rPr>
          <w:rFonts w:ascii="宋体" w:hAnsi="宋体" w:cs="宋体"/>
          <w:sz w:val="24"/>
        </w:rPr>
      </w:pPr>
      <w:r>
        <w:rPr>
          <w:rFonts w:hint="eastAsia" w:ascii="宋体" w:hAnsi="宋体" w:cs="宋体"/>
          <w:sz w:val="24"/>
        </w:rPr>
        <w:t>▲2.1具备 basic（基础）和arbitrary（任意）两种设置模式，允许使用者导入自己生成的电流波形文件（txt格式）；</w:t>
      </w:r>
    </w:p>
    <w:p w14:paraId="4A0E4845">
      <w:pPr>
        <w:spacing w:line="360" w:lineRule="auto"/>
        <w:ind w:firstLine="480" w:firstLineChars="200"/>
        <w:rPr>
          <w:rFonts w:ascii="宋体" w:hAnsi="宋体" w:cs="宋体"/>
          <w:sz w:val="24"/>
        </w:rPr>
      </w:pPr>
      <w:r>
        <w:rPr>
          <w:rFonts w:hint="eastAsia" w:ascii="宋体" w:hAnsi="宋体" w:cs="宋体"/>
          <w:sz w:val="24"/>
        </w:rPr>
        <w:t>2.2独立调节功能：每个通道可单独设置，实现tDCS、tACS、tPCS和tRNS等多种刺激同时输出；</w:t>
      </w:r>
    </w:p>
    <w:p w14:paraId="20F755FC">
      <w:pPr>
        <w:spacing w:line="360" w:lineRule="auto"/>
        <w:ind w:firstLine="480" w:firstLineChars="200"/>
        <w:rPr>
          <w:rFonts w:ascii="宋体" w:hAnsi="宋体" w:cs="宋体"/>
          <w:sz w:val="24"/>
        </w:rPr>
      </w:pPr>
      <w:r>
        <w:rPr>
          <w:rFonts w:hint="eastAsia" w:ascii="宋体" w:hAnsi="宋体" w:cs="宋体"/>
          <w:sz w:val="24"/>
        </w:rPr>
        <w:t>2.3单双相调节功能：配备切换功能，每通道单双相可调；</w:t>
      </w:r>
    </w:p>
    <w:p w14:paraId="4BAA72FF">
      <w:pPr>
        <w:spacing w:line="360" w:lineRule="auto"/>
        <w:ind w:firstLine="480" w:firstLineChars="200"/>
        <w:rPr>
          <w:rFonts w:ascii="宋体" w:hAnsi="宋体" w:cs="宋体"/>
          <w:sz w:val="24"/>
        </w:rPr>
      </w:pPr>
      <w:r>
        <w:rPr>
          <w:rFonts w:hint="eastAsia" w:ascii="宋体" w:hAnsi="宋体" w:cs="宋体"/>
          <w:sz w:val="24"/>
        </w:rPr>
        <w:t>2.4伪刺激功能，可实现伪刺激，生成对照组；</w:t>
      </w:r>
    </w:p>
    <w:p w14:paraId="650A814B">
      <w:pPr>
        <w:spacing w:line="360" w:lineRule="auto"/>
        <w:ind w:firstLine="480" w:firstLineChars="200"/>
        <w:rPr>
          <w:rFonts w:ascii="宋体" w:hAnsi="宋体" w:cs="宋体"/>
          <w:sz w:val="24"/>
        </w:rPr>
      </w:pPr>
      <w:r>
        <w:rPr>
          <w:rFonts w:hint="eastAsia" w:ascii="宋体" w:hAnsi="宋体" w:cs="宋体"/>
          <w:sz w:val="24"/>
        </w:rPr>
        <w:t>2.5阻抗检测功能：每通道可实时进行电阻检测，可通道颜色和数值进行电阻监控；</w:t>
      </w:r>
    </w:p>
    <w:p w14:paraId="5F0F0039">
      <w:pPr>
        <w:spacing w:line="360" w:lineRule="auto"/>
        <w:ind w:firstLine="480" w:firstLineChars="200"/>
        <w:rPr>
          <w:rFonts w:ascii="宋体" w:hAnsi="宋体" w:cs="宋体"/>
          <w:sz w:val="24"/>
        </w:rPr>
      </w:pPr>
      <w:r>
        <w:rPr>
          <w:rFonts w:hint="eastAsia" w:ascii="宋体" w:hAnsi="宋体" w:cs="宋体"/>
          <w:sz w:val="24"/>
        </w:rPr>
        <w:t>▲2.6阻抗功能：在设备连接状态下，可随时关闭阻抗功能；</w:t>
      </w:r>
    </w:p>
    <w:p w14:paraId="5D886CB6">
      <w:pPr>
        <w:spacing w:line="360" w:lineRule="auto"/>
        <w:ind w:firstLine="480" w:firstLineChars="200"/>
        <w:rPr>
          <w:rFonts w:ascii="宋体" w:hAnsi="宋体" w:cs="宋体"/>
          <w:sz w:val="24"/>
        </w:rPr>
      </w:pPr>
      <w:r>
        <w:rPr>
          <w:rFonts w:hint="eastAsia" w:ascii="宋体" w:hAnsi="宋体" w:cs="宋体"/>
          <w:sz w:val="24"/>
        </w:rPr>
        <w:t>▲2.7方案存储和单双盲功能：可个性化建立并通过软件内部存储被试方案（支持中英文输入存储），可随时通过软件加载已存储被试方案，无需重复输入参数，具备单双盲对照实验功能；</w:t>
      </w:r>
    </w:p>
    <w:p w14:paraId="55BF726F">
      <w:pPr>
        <w:spacing w:line="360" w:lineRule="auto"/>
        <w:ind w:firstLine="480" w:firstLineChars="200"/>
        <w:rPr>
          <w:rFonts w:ascii="宋体" w:hAnsi="宋体" w:cs="宋体"/>
          <w:sz w:val="24"/>
        </w:rPr>
      </w:pPr>
      <w:r>
        <w:rPr>
          <w:rFonts w:hint="eastAsia" w:ascii="宋体" w:hAnsi="宋体" w:cs="宋体"/>
          <w:sz w:val="24"/>
        </w:rPr>
        <w:t>2.8账户管理功能：支持创建多个账户管理；</w:t>
      </w:r>
    </w:p>
    <w:p w14:paraId="2C95F0E1">
      <w:pPr>
        <w:spacing w:line="360" w:lineRule="auto"/>
        <w:ind w:firstLine="480" w:firstLineChars="200"/>
        <w:rPr>
          <w:rFonts w:ascii="宋体" w:hAnsi="宋体" w:cs="宋体"/>
          <w:sz w:val="24"/>
        </w:rPr>
      </w:pPr>
      <w:r>
        <w:rPr>
          <w:rFonts w:hint="eastAsia" w:ascii="宋体" w:hAnsi="宋体" w:cs="宋体"/>
          <w:sz w:val="24"/>
        </w:rPr>
        <w:t>2.9可通过第三方程序对设备编程控制功能，实现闭环等实验设计。</w:t>
      </w:r>
    </w:p>
    <w:p w14:paraId="0F46B870">
      <w:pPr>
        <w:spacing w:line="360" w:lineRule="auto"/>
        <w:ind w:firstLine="480" w:firstLineChars="200"/>
        <w:rPr>
          <w:rFonts w:ascii="宋体" w:hAnsi="宋体" w:cs="宋体"/>
          <w:sz w:val="24"/>
        </w:rPr>
      </w:pPr>
      <w:r>
        <w:rPr>
          <w:rFonts w:hint="eastAsia" w:ascii="宋体" w:hAnsi="宋体" w:cs="宋体"/>
          <w:sz w:val="24"/>
        </w:rPr>
        <w:t>3.仿真可视化软件：</w:t>
      </w:r>
    </w:p>
    <w:p w14:paraId="271E6C38">
      <w:pPr>
        <w:spacing w:line="360" w:lineRule="auto"/>
        <w:ind w:firstLine="480" w:firstLineChars="200"/>
        <w:rPr>
          <w:rFonts w:ascii="宋体" w:hAnsi="宋体" w:cs="宋体"/>
          <w:sz w:val="24"/>
        </w:rPr>
      </w:pPr>
      <w:r>
        <w:rPr>
          <w:rFonts w:hint="eastAsia" w:ascii="宋体" w:hAnsi="宋体" w:cs="宋体"/>
          <w:sz w:val="24"/>
        </w:rPr>
        <w:t>3.1应具备高精度软件实现模拟电刺激在脑模上形成的电流及电场图（可实现2D或3D）；</w:t>
      </w:r>
    </w:p>
    <w:p w14:paraId="552A576A">
      <w:pPr>
        <w:spacing w:line="360" w:lineRule="auto"/>
        <w:ind w:firstLine="480" w:firstLineChars="200"/>
        <w:rPr>
          <w:rFonts w:ascii="宋体" w:hAnsi="宋体" w:cs="宋体"/>
          <w:sz w:val="24"/>
        </w:rPr>
      </w:pPr>
      <w:r>
        <w:rPr>
          <w:rFonts w:hint="eastAsia" w:ascii="宋体" w:hAnsi="宋体" w:cs="宋体"/>
          <w:sz w:val="24"/>
        </w:rPr>
        <w:t>▲3.2刺激方案自动探索功能：预设≥322个脑部区域，操作者只需选择刺激最大电流值、电极放置位置、电极极性、电极数量，软件将自动模拟出电场在脑膜中的分布图形（MRI、电场）。操作者可以通过软件的模拟结果来确定如何摆放电极能够达到最佳的刺激位置；</w:t>
      </w:r>
    </w:p>
    <w:p w14:paraId="54686AC1">
      <w:pPr>
        <w:spacing w:line="360" w:lineRule="auto"/>
        <w:ind w:firstLine="480" w:firstLineChars="200"/>
        <w:rPr>
          <w:rFonts w:ascii="宋体" w:hAnsi="宋体" w:cs="宋体"/>
          <w:sz w:val="24"/>
        </w:rPr>
      </w:pPr>
      <w:r>
        <w:rPr>
          <w:rFonts w:hint="eastAsia" w:ascii="宋体" w:hAnsi="宋体" w:cs="宋体"/>
          <w:sz w:val="24"/>
        </w:rPr>
        <w:t>3.3电场可视化功能：三步便可实现刺激电场在颅内分布可视化。模拟脑部电场分布，通过MRI下预设脑膜和虚拟电场整合的方式显示颅内电流场位置；提供冠状、矢量、横切面三种视角图形显示，可360°观测刺激聚焦位置；</w:t>
      </w:r>
    </w:p>
    <w:p w14:paraId="44D44182">
      <w:pPr>
        <w:spacing w:line="360" w:lineRule="auto"/>
        <w:ind w:firstLine="480" w:firstLineChars="200"/>
        <w:rPr>
          <w:rFonts w:ascii="宋体" w:hAnsi="宋体" w:cs="宋体"/>
          <w:sz w:val="24"/>
        </w:rPr>
      </w:pPr>
      <w:r>
        <w:rPr>
          <w:rFonts w:hint="eastAsia" w:ascii="宋体" w:hAnsi="宋体" w:cs="宋体"/>
          <w:sz w:val="24"/>
        </w:rPr>
        <w:t>▲3.4影像脑模：预设三种正常成人以及一种标准脑模，可定制任意个体的脑模存入软件库，实现个体化的应用及实验设计；</w:t>
      </w:r>
    </w:p>
    <w:p w14:paraId="1DE1F870">
      <w:pPr>
        <w:spacing w:line="360" w:lineRule="auto"/>
        <w:ind w:firstLine="480" w:firstLineChars="200"/>
        <w:rPr>
          <w:rFonts w:ascii="宋体" w:hAnsi="宋体" w:cs="宋体"/>
          <w:sz w:val="24"/>
        </w:rPr>
      </w:pPr>
      <w:r>
        <w:rPr>
          <w:rFonts w:hint="eastAsia" w:ascii="宋体" w:hAnsi="宋体" w:cs="宋体"/>
          <w:sz w:val="24"/>
        </w:rPr>
        <w:t>3.5可以颜色标识区分电流强度；</w:t>
      </w:r>
    </w:p>
    <w:p w14:paraId="01049CDC">
      <w:pPr>
        <w:spacing w:line="360" w:lineRule="auto"/>
        <w:ind w:firstLine="480" w:firstLineChars="200"/>
        <w:rPr>
          <w:rFonts w:ascii="宋体" w:hAnsi="宋体" w:cs="宋体"/>
          <w:sz w:val="24"/>
        </w:rPr>
      </w:pPr>
      <w:r>
        <w:rPr>
          <w:rFonts w:hint="eastAsia" w:ascii="宋体" w:hAnsi="宋体" w:cs="宋体"/>
          <w:sz w:val="24"/>
        </w:rPr>
        <w:t>3.6可自行编辑设定应用方案，方案及数据可存储；</w:t>
      </w:r>
    </w:p>
    <w:p w14:paraId="290251EE">
      <w:pPr>
        <w:spacing w:line="360" w:lineRule="auto"/>
        <w:ind w:firstLine="480" w:firstLineChars="200"/>
        <w:rPr>
          <w:rFonts w:ascii="宋体" w:hAnsi="宋体" w:cs="宋体"/>
          <w:sz w:val="24"/>
        </w:rPr>
      </w:pPr>
      <w:r>
        <w:rPr>
          <w:rFonts w:hint="eastAsia" w:ascii="宋体" w:hAnsi="宋体" w:cs="宋体"/>
          <w:sz w:val="24"/>
        </w:rPr>
        <w:t>3.7实时MNI坐标显示场强。</w:t>
      </w:r>
    </w:p>
    <w:p w14:paraId="590DDF2B">
      <w:pPr>
        <w:spacing w:line="360" w:lineRule="auto"/>
        <w:ind w:firstLine="480" w:firstLineChars="200"/>
        <w:rPr>
          <w:rFonts w:ascii="宋体" w:hAnsi="宋体" w:cs="宋体"/>
          <w:sz w:val="24"/>
        </w:rPr>
      </w:pPr>
      <w:r>
        <w:rPr>
          <w:rFonts w:hint="eastAsia" w:ascii="宋体" w:hAnsi="宋体" w:cs="宋体"/>
          <w:sz w:val="24"/>
        </w:rPr>
        <w:t>4.主要配置</w:t>
      </w:r>
    </w:p>
    <w:p w14:paraId="04375372">
      <w:pPr>
        <w:spacing w:line="360" w:lineRule="auto"/>
        <w:ind w:firstLine="480" w:firstLineChars="200"/>
        <w:rPr>
          <w:rFonts w:ascii="宋体" w:hAnsi="宋体" w:cs="宋体"/>
          <w:sz w:val="24"/>
        </w:rPr>
      </w:pPr>
      <w:r>
        <w:rPr>
          <w:rFonts w:hint="eastAsia" w:ascii="宋体" w:hAnsi="宋体" w:cs="宋体"/>
          <w:sz w:val="24"/>
        </w:rPr>
        <w:t>4.1硬件：≥9通道台式刺激仪主机1台。</w:t>
      </w:r>
    </w:p>
    <w:p w14:paraId="5988FDE6">
      <w:pPr>
        <w:spacing w:line="360" w:lineRule="auto"/>
        <w:ind w:firstLine="480" w:firstLineChars="200"/>
        <w:rPr>
          <w:rFonts w:ascii="宋体" w:hAnsi="宋体" w:cs="宋体"/>
          <w:sz w:val="24"/>
        </w:rPr>
      </w:pPr>
      <w:r>
        <w:rPr>
          <w:rFonts w:hint="eastAsia" w:ascii="宋体" w:hAnsi="宋体" w:cs="宋体"/>
          <w:sz w:val="24"/>
        </w:rPr>
        <w:t>4.2软件：可编程式HD-SC电刺激控制软件、仿真可视化软件1套。</w:t>
      </w:r>
    </w:p>
    <w:p w14:paraId="77815750">
      <w:pPr>
        <w:spacing w:line="360" w:lineRule="auto"/>
        <w:ind w:firstLine="480" w:firstLineChars="200"/>
        <w:rPr>
          <w:rFonts w:ascii="宋体" w:hAnsi="宋体" w:cs="宋体"/>
          <w:sz w:val="24"/>
        </w:rPr>
      </w:pPr>
    </w:p>
    <w:p w14:paraId="37FF9472">
      <w:pPr>
        <w:widowControl/>
        <w:spacing w:line="360" w:lineRule="auto"/>
        <w:ind w:firstLine="482" w:firstLineChars="200"/>
        <w:contextualSpacing/>
        <w:jc w:val="left"/>
        <w:outlineLvl w:val="1"/>
        <w:rPr>
          <w:rFonts w:ascii="宋体" w:hAnsi="宋体" w:cs="宋体"/>
          <w:b/>
          <w:bCs/>
          <w:sz w:val="24"/>
        </w:rPr>
      </w:pPr>
      <w:r>
        <w:rPr>
          <w:rFonts w:hint="eastAsia" w:ascii="宋体" w:hAnsi="宋体" w:cs="宋体"/>
          <w:b/>
          <w:bCs/>
          <w:sz w:val="24"/>
        </w:rPr>
        <w:t>（三）其他要求</w:t>
      </w:r>
    </w:p>
    <w:p w14:paraId="77A235D6">
      <w:pPr>
        <w:spacing w:line="360" w:lineRule="auto"/>
        <w:ind w:firstLine="480" w:firstLineChars="200"/>
        <w:contextualSpacing/>
        <w:rPr>
          <w:rFonts w:ascii="宋体" w:hAnsi="宋体"/>
          <w:sz w:val="24"/>
        </w:rPr>
      </w:pPr>
      <w:r>
        <w:rPr>
          <w:rFonts w:hint="eastAsia" w:ascii="宋体" w:hAnsi="宋体"/>
          <w:sz w:val="24"/>
        </w:rPr>
        <w:t>1.供应商必须提供专业的安装服务，并确保设备投入运行符合所有功能要求。</w:t>
      </w:r>
    </w:p>
    <w:p w14:paraId="24F85A97">
      <w:pPr>
        <w:spacing w:line="360" w:lineRule="auto"/>
        <w:ind w:firstLine="480" w:firstLineChars="200"/>
        <w:contextualSpacing/>
        <w:rPr>
          <w:rFonts w:ascii="宋体" w:hAnsi="宋体"/>
          <w:sz w:val="24"/>
        </w:rPr>
      </w:pPr>
      <w:r>
        <w:rPr>
          <w:rFonts w:hint="eastAsia" w:ascii="宋体" w:hAnsi="宋体"/>
          <w:sz w:val="24"/>
        </w:rPr>
        <w:t>2.培训：免费提供设备到达现场后的安装调试，应用培训，直至操作人员掌握为止。</w:t>
      </w:r>
    </w:p>
    <w:p w14:paraId="66B81278">
      <w:pPr>
        <w:spacing w:line="360" w:lineRule="auto"/>
        <w:contextualSpacing/>
        <w:rPr>
          <w:rFonts w:ascii="宋体" w:hAnsi="宋体"/>
          <w:sz w:val="24"/>
        </w:rPr>
      </w:pPr>
      <w:r>
        <w:rPr>
          <w:rFonts w:hint="eastAsia" w:ascii="宋体" w:hAnsi="宋体"/>
          <w:sz w:val="24"/>
        </w:rPr>
        <w:t>培训讲师师资力量构成，为技术专业人员，要求提供具体学历资质证书。</w:t>
      </w:r>
    </w:p>
    <w:p w14:paraId="3EA9679A">
      <w:pPr>
        <w:spacing w:line="360" w:lineRule="auto"/>
        <w:ind w:firstLine="480" w:firstLineChars="200"/>
        <w:contextualSpacing/>
        <w:rPr>
          <w:rFonts w:ascii="宋体" w:hAnsi="宋体"/>
          <w:sz w:val="24"/>
        </w:rPr>
      </w:pPr>
      <w:r>
        <w:rPr>
          <w:rFonts w:hint="eastAsia" w:ascii="宋体" w:hAnsi="宋体"/>
          <w:sz w:val="24"/>
        </w:rPr>
        <w:t>3.提供操作使用培训，提供完整的操作手册。</w:t>
      </w:r>
    </w:p>
    <w:p w14:paraId="03F848E7">
      <w:pPr>
        <w:spacing w:line="360" w:lineRule="auto"/>
        <w:ind w:firstLine="480" w:firstLineChars="200"/>
        <w:contextualSpacing/>
        <w:rPr>
          <w:rFonts w:ascii="宋体" w:hAnsi="宋体"/>
          <w:sz w:val="24"/>
        </w:rPr>
      </w:pPr>
      <w:r>
        <w:rPr>
          <w:rFonts w:hint="eastAsia" w:ascii="宋体" w:hAnsi="宋体"/>
          <w:sz w:val="24"/>
        </w:rPr>
        <w:t>4.技术支持：免费提供设备使用手册、培训教材、应用资料等；长期提供技术服务支持。</w:t>
      </w:r>
    </w:p>
    <w:p w14:paraId="6711841B">
      <w:pPr>
        <w:spacing w:line="360" w:lineRule="auto"/>
        <w:ind w:firstLine="480" w:firstLineChars="200"/>
        <w:contextualSpacing/>
        <w:rPr>
          <w:rFonts w:ascii="宋体" w:hAnsi="宋体"/>
          <w:sz w:val="24"/>
        </w:rPr>
      </w:pPr>
      <w:r>
        <w:rPr>
          <w:rFonts w:hint="eastAsia" w:ascii="宋体" w:hAnsi="宋体"/>
          <w:sz w:val="24"/>
        </w:rPr>
        <w:t>5.维修要求：在设备整个使用期内，卖方应确保设备的正常使用。在接到用户维修要求后须在2小时内作出回应，并在48小时内派员到达买方现场实施维修。</w:t>
      </w:r>
    </w:p>
    <w:p w14:paraId="2605F6DF">
      <w:pPr>
        <w:spacing w:line="360" w:lineRule="auto"/>
        <w:ind w:firstLine="480" w:firstLineChars="200"/>
        <w:contextualSpacing/>
        <w:rPr>
          <w:rFonts w:ascii="宋体" w:hAnsi="宋体"/>
          <w:sz w:val="24"/>
        </w:rPr>
      </w:pPr>
      <w:r>
        <w:rPr>
          <w:rFonts w:hint="eastAsia" w:ascii="宋体" w:hAnsi="宋体"/>
          <w:sz w:val="24"/>
        </w:rPr>
        <w:t>6.出保后软件终身免费升级 ，硬件老化更换只收取配件成本费用不收人工费。</w:t>
      </w:r>
    </w:p>
    <w:p w14:paraId="4DDC948A">
      <w:pPr>
        <w:pStyle w:val="2"/>
        <w:spacing w:line="360" w:lineRule="auto"/>
        <w:ind w:firstLine="480" w:firstLineChars="200"/>
        <w:rPr>
          <w:rFonts w:hAnsi="宋体" w:cs="宋体"/>
          <w:bCs/>
        </w:rPr>
      </w:pPr>
      <w:r>
        <w:rPr>
          <w:rFonts w:hint="eastAsia" w:hAnsi="宋体" w:cs="宋体"/>
          <w:bCs/>
        </w:rPr>
        <w:t>7.验收：产品到货后，采购人使用单位进行开箱检查，对于出现的产品损坏、数量不全、产品不符等问题时，采购人有权要求中标供应商退货、更换货物、补充货物。按合同文件的技术指标对产品的性能、配置进行选择性测试检查。</w:t>
      </w:r>
    </w:p>
    <w:p w14:paraId="223B4F92">
      <w:pPr>
        <w:widowControl/>
        <w:spacing w:line="360" w:lineRule="auto"/>
        <w:ind w:firstLine="480" w:firstLineChars="200"/>
        <w:contextualSpacing/>
        <w:jc w:val="left"/>
        <w:rPr>
          <w:rFonts w:ascii="宋体" w:hAnsi="宋体"/>
          <w:sz w:val="24"/>
        </w:rPr>
      </w:pPr>
      <w:r>
        <w:rPr>
          <w:rFonts w:hint="eastAsia" w:ascii="宋体" w:hAnsi="宋体"/>
          <w:sz w:val="24"/>
        </w:rPr>
        <w:t>8.投标人应在投标文件中提供：</w:t>
      </w:r>
    </w:p>
    <w:p w14:paraId="58685AEC">
      <w:pPr>
        <w:widowControl/>
        <w:spacing w:line="360" w:lineRule="auto"/>
        <w:ind w:firstLine="480" w:firstLineChars="200"/>
        <w:contextualSpacing/>
        <w:jc w:val="left"/>
        <w:rPr>
          <w:rFonts w:ascii="宋体" w:hAnsi="宋体"/>
          <w:sz w:val="24"/>
        </w:rPr>
      </w:pPr>
      <w:r>
        <w:rPr>
          <w:rFonts w:hint="eastAsia" w:ascii="宋体" w:hAnsi="宋体"/>
          <w:sz w:val="24"/>
        </w:rPr>
        <w:t>8.1供货、安装、验收方案，内容包括但不限于：</w:t>
      </w:r>
    </w:p>
    <w:p w14:paraId="3674E321">
      <w:pPr>
        <w:widowControl/>
        <w:spacing w:line="360" w:lineRule="auto"/>
        <w:ind w:firstLine="480" w:firstLineChars="200"/>
        <w:contextualSpacing/>
        <w:jc w:val="left"/>
        <w:rPr>
          <w:rFonts w:ascii="宋体" w:hAnsi="宋体"/>
          <w:sz w:val="24"/>
        </w:rPr>
      </w:pPr>
      <w:r>
        <w:rPr>
          <w:rFonts w:hint="eastAsia" w:ascii="宋体" w:hAnsi="宋体"/>
          <w:sz w:val="24"/>
        </w:rPr>
        <w:t>8.1.1供货保障方案；</w:t>
      </w:r>
    </w:p>
    <w:p w14:paraId="3D3A4932">
      <w:pPr>
        <w:widowControl/>
        <w:spacing w:line="360" w:lineRule="auto"/>
        <w:ind w:firstLine="480" w:firstLineChars="200"/>
        <w:contextualSpacing/>
        <w:jc w:val="left"/>
        <w:rPr>
          <w:rFonts w:ascii="宋体" w:hAnsi="宋体"/>
          <w:sz w:val="24"/>
        </w:rPr>
      </w:pPr>
      <w:r>
        <w:rPr>
          <w:rFonts w:hint="eastAsia" w:ascii="宋体" w:hAnsi="宋体"/>
          <w:sz w:val="24"/>
        </w:rPr>
        <w:t>8.1.2安装实施方案；</w:t>
      </w:r>
    </w:p>
    <w:p w14:paraId="0016E5B3">
      <w:pPr>
        <w:widowControl/>
        <w:spacing w:line="360" w:lineRule="auto"/>
        <w:ind w:firstLine="480" w:firstLineChars="200"/>
        <w:contextualSpacing/>
        <w:jc w:val="left"/>
        <w:rPr>
          <w:rFonts w:ascii="宋体" w:hAnsi="宋体"/>
          <w:sz w:val="24"/>
        </w:rPr>
      </w:pPr>
      <w:r>
        <w:rPr>
          <w:rFonts w:hint="eastAsia" w:ascii="宋体" w:hAnsi="宋体"/>
          <w:sz w:val="24"/>
        </w:rPr>
        <w:t>8.1.3验收标准与流程方案；</w:t>
      </w:r>
    </w:p>
    <w:p w14:paraId="0976B209">
      <w:pPr>
        <w:widowControl/>
        <w:spacing w:line="360" w:lineRule="auto"/>
        <w:ind w:firstLine="480" w:firstLineChars="200"/>
        <w:contextualSpacing/>
        <w:jc w:val="left"/>
        <w:rPr>
          <w:rFonts w:ascii="宋体" w:hAnsi="宋体"/>
          <w:sz w:val="24"/>
        </w:rPr>
      </w:pPr>
      <w:r>
        <w:rPr>
          <w:rFonts w:hint="eastAsia" w:ascii="宋体" w:hAnsi="宋体"/>
          <w:sz w:val="24"/>
        </w:rPr>
        <w:t>8.1.4项目进度保障措施。</w:t>
      </w:r>
    </w:p>
    <w:p w14:paraId="2998CAFB">
      <w:pPr>
        <w:widowControl/>
        <w:spacing w:line="360" w:lineRule="auto"/>
        <w:ind w:firstLine="480" w:firstLineChars="200"/>
        <w:contextualSpacing/>
        <w:jc w:val="left"/>
        <w:rPr>
          <w:rFonts w:ascii="宋体" w:hAnsi="宋体"/>
          <w:sz w:val="24"/>
        </w:rPr>
      </w:pPr>
      <w:r>
        <w:rPr>
          <w:rFonts w:hint="eastAsia" w:ascii="宋体" w:hAnsi="宋体"/>
          <w:sz w:val="24"/>
        </w:rPr>
        <w:t>8.2售后服务方案：内容包括但不限于：</w:t>
      </w:r>
    </w:p>
    <w:p w14:paraId="65AFB9CB">
      <w:pPr>
        <w:widowControl/>
        <w:spacing w:line="360" w:lineRule="auto"/>
        <w:ind w:firstLine="480" w:firstLineChars="200"/>
        <w:contextualSpacing/>
        <w:jc w:val="left"/>
        <w:rPr>
          <w:rFonts w:ascii="宋体" w:hAnsi="宋体"/>
          <w:sz w:val="24"/>
        </w:rPr>
      </w:pPr>
      <w:r>
        <w:rPr>
          <w:rFonts w:hint="eastAsia" w:ascii="宋体" w:hAnsi="宋体"/>
          <w:sz w:val="24"/>
        </w:rPr>
        <w:t>8.2.1售后服务承诺（售后响应及处理周期等）及保障措施；</w:t>
      </w:r>
    </w:p>
    <w:p w14:paraId="21779ABB">
      <w:pPr>
        <w:widowControl/>
        <w:spacing w:line="360" w:lineRule="auto"/>
        <w:ind w:firstLine="480" w:firstLineChars="200"/>
        <w:contextualSpacing/>
        <w:jc w:val="left"/>
        <w:rPr>
          <w:rFonts w:ascii="宋体" w:hAnsi="宋体"/>
          <w:sz w:val="24"/>
        </w:rPr>
      </w:pPr>
      <w:r>
        <w:rPr>
          <w:rFonts w:hint="eastAsia" w:ascii="宋体" w:hAnsi="宋体"/>
          <w:sz w:val="24"/>
        </w:rPr>
        <w:t>8.2.2售后备品备件情况；</w:t>
      </w:r>
    </w:p>
    <w:p w14:paraId="0477C6B0">
      <w:pPr>
        <w:widowControl/>
        <w:spacing w:line="360" w:lineRule="auto"/>
        <w:ind w:firstLine="480" w:firstLineChars="200"/>
        <w:contextualSpacing/>
        <w:jc w:val="left"/>
        <w:rPr>
          <w:rFonts w:ascii="宋体" w:hAnsi="宋体"/>
          <w:sz w:val="24"/>
        </w:rPr>
      </w:pPr>
      <w:r>
        <w:rPr>
          <w:rFonts w:hint="eastAsia" w:ascii="宋体" w:hAnsi="宋体"/>
          <w:sz w:val="24"/>
        </w:rPr>
        <w:t>8.2.3售后人员配置及回访方案。</w:t>
      </w:r>
    </w:p>
    <w:p w14:paraId="020DFDBF">
      <w:pPr>
        <w:widowControl/>
        <w:spacing w:line="360" w:lineRule="auto"/>
        <w:ind w:firstLine="480" w:firstLineChars="200"/>
        <w:contextualSpacing/>
        <w:jc w:val="left"/>
        <w:rPr>
          <w:rFonts w:ascii="宋体" w:hAnsi="宋体"/>
          <w:sz w:val="24"/>
        </w:rPr>
      </w:pPr>
      <w:r>
        <w:rPr>
          <w:rFonts w:hint="eastAsia" w:ascii="宋体" w:hAnsi="宋体"/>
          <w:sz w:val="24"/>
        </w:rPr>
        <w:t>8.3培训方案：内容包括但不限于：</w:t>
      </w:r>
    </w:p>
    <w:p w14:paraId="6DCC3784">
      <w:pPr>
        <w:widowControl/>
        <w:spacing w:line="360" w:lineRule="auto"/>
        <w:ind w:firstLine="480" w:firstLineChars="200"/>
        <w:contextualSpacing/>
        <w:jc w:val="left"/>
        <w:rPr>
          <w:rFonts w:ascii="宋体" w:hAnsi="宋体"/>
          <w:sz w:val="24"/>
        </w:rPr>
      </w:pPr>
      <w:r>
        <w:rPr>
          <w:rFonts w:hint="eastAsia" w:ascii="宋体" w:hAnsi="宋体"/>
          <w:sz w:val="24"/>
        </w:rPr>
        <w:t>8.3.1培训的时间、培训方式、培训内容；</w:t>
      </w:r>
    </w:p>
    <w:p w14:paraId="4E7AA676">
      <w:pPr>
        <w:widowControl/>
        <w:spacing w:line="360" w:lineRule="auto"/>
        <w:ind w:firstLine="480" w:firstLineChars="200"/>
        <w:contextualSpacing/>
        <w:jc w:val="left"/>
        <w:rPr>
          <w:rFonts w:ascii="宋体" w:hAnsi="宋体" w:cs="宋体"/>
          <w:b/>
          <w:bCs/>
          <w:sz w:val="24"/>
        </w:rPr>
      </w:pPr>
      <w:r>
        <w:rPr>
          <w:rFonts w:hint="eastAsia" w:ascii="宋体" w:hAnsi="宋体"/>
          <w:sz w:val="24"/>
        </w:rPr>
        <w:t>8.3.2培训师资与保障措施、培训效果评估及考核方案。</w:t>
      </w:r>
    </w:p>
    <w:p w14:paraId="5250CFD0">
      <w:pPr>
        <w:widowControl/>
        <w:spacing w:line="360" w:lineRule="auto"/>
        <w:ind w:firstLine="482" w:firstLineChars="200"/>
        <w:contextualSpacing/>
        <w:jc w:val="left"/>
        <w:outlineLvl w:val="1"/>
        <w:rPr>
          <w:rFonts w:ascii="宋体" w:hAnsi="宋体" w:cs="宋体"/>
          <w:b/>
          <w:bCs/>
          <w:sz w:val="24"/>
        </w:rPr>
      </w:pPr>
      <w:r>
        <w:rPr>
          <w:rFonts w:hint="eastAsia" w:ascii="宋体" w:hAnsi="宋体" w:cs="宋体"/>
          <w:b/>
          <w:bCs/>
          <w:sz w:val="24"/>
        </w:rPr>
        <w:t>（四）特别说明</w:t>
      </w:r>
    </w:p>
    <w:p w14:paraId="01413B54">
      <w:pPr>
        <w:spacing w:line="360" w:lineRule="auto"/>
        <w:ind w:firstLine="480" w:firstLineChars="200"/>
        <w:jc w:val="left"/>
        <w:rPr>
          <w:rFonts w:ascii="宋体" w:hAnsi="宋体"/>
          <w:sz w:val="24"/>
        </w:rPr>
      </w:pPr>
      <w:r>
        <w:rPr>
          <w:rFonts w:hint="eastAsia" w:ascii="宋体" w:hAnsi="宋体"/>
          <w:sz w:val="24"/>
        </w:rPr>
        <w:t>1.对于技术规格中标注“★”号（如有）的技术参数代表实质性指标，不满足该指标项将直接导致其投标无效。</w:t>
      </w:r>
    </w:p>
    <w:p w14:paraId="3E8DB40C">
      <w:pPr>
        <w:spacing w:line="360" w:lineRule="auto"/>
        <w:ind w:firstLine="480" w:firstLineChars="200"/>
        <w:jc w:val="left"/>
        <w:rPr>
          <w:rFonts w:ascii="宋体" w:hAnsi="宋体"/>
          <w:sz w:val="24"/>
        </w:rPr>
      </w:pPr>
      <w:r>
        <w:rPr>
          <w:rFonts w:hint="eastAsia" w:ascii="宋体" w:hAnsi="宋体"/>
          <w:sz w:val="24"/>
        </w:rPr>
        <w:t>2.标注“</w:t>
      </w:r>
      <w:r>
        <w:rPr>
          <w:rFonts w:hint="eastAsia" w:ascii="宋体" w:hAnsi="宋体" w:cs="宋体"/>
          <w:bCs/>
          <w:kern w:val="0"/>
          <w:sz w:val="24"/>
        </w:rPr>
        <w:t>▲</w:t>
      </w:r>
      <w:r>
        <w:rPr>
          <w:rFonts w:hint="eastAsia" w:ascii="宋体" w:hAnsi="宋体"/>
          <w:sz w:val="24"/>
        </w:rPr>
        <w:t>”的指标为重要的技术指标，</w:t>
      </w:r>
      <w:r>
        <w:rPr>
          <w:rFonts w:ascii="宋体" w:hAnsi="宋体" w:cs="宋体"/>
          <w:sz w:val="24"/>
        </w:rPr>
        <w:t>投标人不满足任意▲指标，</w:t>
      </w:r>
      <w:r>
        <w:rPr>
          <w:rFonts w:hint="eastAsia" w:ascii="宋体" w:hAnsi="宋体"/>
          <w:sz w:val="24"/>
        </w:rPr>
        <w:t>将导致其在第四章评标标准中对采购需求的响应情况被扣除相应分值。</w:t>
      </w:r>
    </w:p>
    <w:p w14:paraId="3445A33D">
      <w:r>
        <w:rPr>
          <w:rFonts w:hint="eastAsia" w:ascii="宋体" w:hAnsi="宋体"/>
          <w:sz w:val="24"/>
        </w:rPr>
        <w:t>3.对于采购需求三、技术要求（二）具体要求中标注“▲”号的技术指标，</w:t>
      </w:r>
      <w:r>
        <w:rPr>
          <w:rFonts w:hint="eastAsia" w:ascii="宋体" w:hAnsi="宋体" w:cs="宋体"/>
          <w:sz w:val="24"/>
        </w:rPr>
        <w:t>投标人须在投标文件中按照招标文件技术规格的要求提供技术应答的证明材料，其中技术应答的证明材料指生产厂家公开发布的印刷资料或检测机构出具的检验报告（下文有特殊规定的从其规定）。若生产厂家公开发布的印刷资料与检测机构出具的检验报告不一致，以检测机构出具的检验报告为准。如投标人技术响应与技术应答的证明材料不一致，将以技术应答的证明材料为准。对于投标人提供的投标文件技术应答未按本条款要求提供技术应答的证明材料的，评标委员会可不予承认，并可认为该技术应答不符合招标文件要求。由此产生的风险由投标人承担</w:t>
      </w:r>
      <w:r>
        <w:rPr>
          <w:rFonts w:hint="eastAsia" w:ascii="宋体" w:hAnsi="宋体"/>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777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jc w:val="left"/>
    </w:pPr>
    <w:rPr>
      <w:rFonts w:ascii="宋体"/>
      <w:sz w:val="24"/>
    </w:rPr>
  </w:style>
  <w:style w:type="paragraph" w:styleId="3">
    <w:name w:val="toc 2"/>
    <w:basedOn w:val="1"/>
    <w:next w:val="1"/>
    <w:qFormat/>
    <w:uiPriority w:val="39"/>
    <w:pPr>
      <w:tabs>
        <w:tab w:val="right" w:leader="dot" w:pos="8937"/>
      </w:tabs>
      <w:spacing w:line="312" w:lineRule="auto"/>
      <w:ind w:left="420" w:leftChars="200"/>
    </w:pPr>
  </w:style>
  <w:style w:type="paragraph" w:styleId="4">
    <w:name w:val="Body Text 2"/>
    <w:basedOn w:val="1"/>
    <w:semiHidden/>
    <w:unhideWhenUsed/>
    <w:qFormat/>
    <w:uiPriority w:val="99"/>
    <w:pPr>
      <w:spacing w:after="120" w:line="480" w:lineRule="auto"/>
    </w:pPr>
  </w:style>
  <w:style w:type="paragraph" w:customStyle="1" w:styleId="7">
    <w:name w:val="列出段落1"/>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2026-08-14T05:25:37Z</dcterms:created>
  <dc:creator>zxhd2026</dc:creator>
  <cp:lastModifiedBy>用户</cp:lastModifiedBy>
  <dcterms:modified xsi:type="dcterms:W3CDTF">2026-08-14T05:26:45Z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eyJoZGlkIjoiNzdmODdjN2Y4NmFiNjdjZGFiMmRjZGU1NzVlN2NkYTMiLCJ1c2VySWQiOiIyOTI2NjUzMzQifQ==</vt:lpwstr>
  </property>
  <property fmtid="{D5CDD505-2E9C-101B-9397-08002B2CF9AE}" pid="4" name="ICV">
    <vt:lpwstr>892A193283A843DF8E927C6C5EEEBA16_12</vt:lpwstr>
  </property>
</Properties>
</file>