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94BB0F">
      <w:pPr>
        <w:spacing w:line="360" w:lineRule="auto"/>
        <w:jc w:val="center"/>
        <w:outlineLvl w:val="0"/>
        <w:rPr>
          <w:b/>
          <w:sz w:val="36"/>
          <w:szCs w:val="36"/>
          <w:highlight w:val="none"/>
        </w:rPr>
      </w:pPr>
      <w:r>
        <w:rPr>
          <w:b/>
          <w:sz w:val="36"/>
          <w:szCs w:val="36"/>
          <w:highlight w:val="none"/>
        </w:rPr>
        <w:t>采购需求</w:t>
      </w:r>
    </w:p>
    <w:p w14:paraId="19D15806">
      <w:pPr>
        <w:jc w:val="center"/>
        <w:rPr>
          <w:rFonts w:hint="eastAsia" w:ascii="宋体" w:hAnsi="宋体" w:cs="宋体"/>
          <w:kern w:val="0"/>
          <w:sz w:val="24"/>
          <w:highlight w:val="none"/>
        </w:rPr>
      </w:pPr>
    </w:p>
    <w:p w14:paraId="1E6341D3">
      <w:pPr>
        <w:pStyle w:val="3"/>
        <w:numPr>
          <w:ilvl w:val="0"/>
          <w:numId w:val="1"/>
        </w:numPr>
        <w:jc w:val="left"/>
        <w:rPr>
          <w:rFonts w:hint="eastAsia" w:hAnsi="宋体" w:cs="宋体"/>
          <w:sz w:val="24"/>
          <w:szCs w:val="24"/>
          <w:highlight w:val="none"/>
        </w:rPr>
      </w:pPr>
      <w:bookmarkStart w:id="0" w:name="_Toc14624"/>
      <w:r>
        <w:rPr>
          <w:rFonts w:hint="eastAsia" w:hAnsi="宋体" w:cs="宋体"/>
          <w:sz w:val="24"/>
          <w:szCs w:val="24"/>
          <w:highlight w:val="none"/>
        </w:rPr>
        <w:t>采购</w:t>
      </w:r>
      <w:bookmarkEnd w:id="0"/>
      <w:r>
        <w:rPr>
          <w:rFonts w:hint="eastAsia" w:hAnsi="宋体" w:cs="宋体"/>
          <w:sz w:val="24"/>
          <w:szCs w:val="24"/>
          <w:highlight w:val="none"/>
        </w:rPr>
        <w:t>标的</w:t>
      </w:r>
    </w:p>
    <w:p w14:paraId="0B7AB819">
      <w:pPr>
        <w:pStyle w:val="4"/>
        <w:ind w:firstLine="241" w:firstLineChars="100"/>
        <w:jc w:val="left"/>
        <w:rPr>
          <w:rFonts w:hint="eastAsia" w:ascii="宋体" w:hAnsi="宋体" w:eastAsia="宋体" w:cs="宋体"/>
          <w:sz w:val="24"/>
          <w:szCs w:val="24"/>
          <w:highlight w:val="none"/>
        </w:rPr>
      </w:pPr>
      <w:bookmarkStart w:id="1" w:name="_Toc23035"/>
      <w:bookmarkStart w:id="2" w:name="_Toc1635"/>
      <w:r>
        <w:rPr>
          <w:rFonts w:hint="eastAsia" w:ascii="宋体" w:hAnsi="宋体" w:eastAsia="宋体" w:cs="宋体"/>
          <w:sz w:val="24"/>
          <w:szCs w:val="24"/>
          <w:highlight w:val="none"/>
        </w:rPr>
        <w:t>（一）项目基本情况</w:t>
      </w:r>
      <w:bookmarkEnd w:id="1"/>
      <w:bookmarkEnd w:id="2"/>
    </w:p>
    <w:p w14:paraId="518B7E89">
      <w:pPr>
        <w:adjustRightInd w:val="0"/>
        <w:snapToGrid w:val="0"/>
        <w:spacing w:line="360" w:lineRule="auto"/>
        <w:rPr>
          <w:rFonts w:hint="eastAsia" w:ascii="宋体" w:hAnsi="宋体" w:cs="宋体"/>
          <w:sz w:val="24"/>
          <w:highlight w:val="none"/>
        </w:rPr>
      </w:pPr>
      <w:r>
        <w:rPr>
          <w:rFonts w:hint="eastAsia" w:ascii="宋体" w:hAnsi="宋体" w:cs="宋体"/>
          <w:sz w:val="24"/>
          <w:highlight w:val="none"/>
        </w:rPr>
        <w:t>1.采购包情况：</w:t>
      </w:r>
    </w:p>
    <w:tbl>
      <w:tblPr>
        <w:tblStyle w:val="9"/>
        <w:tblW w:w="87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2740"/>
        <w:gridCol w:w="2991"/>
        <w:gridCol w:w="1751"/>
      </w:tblGrid>
      <w:tr w14:paraId="32CF2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9" w:type="dxa"/>
            <w:vAlign w:val="center"/>
          </w:tcPr>
          <w:p w14:paraId="7F896F4F">
            <w:pPr>
              <w:adjustRightInd w:val="0"/>
              <w:snapToGrid w:val="0"/>
              <w:spacing w:line="360" w:lineRule="auto"/>
              <w:jc w:val="center"/>
              <w:rPr>
                <w:rFonts w:hint="eastAsia" w:ascii="宋体" w:hAnsi="宋体" w:cs="宋体"/>
                <w:bCs/>
                <w:sz w:val="24"/>
                <w:highlight w:val="none"/>
              </w:rPr>
            </w:pPr>
            <w:r>
              <w:rPr>
                <w:rFonts w:hint="eastAsia" w:ascii="宋体" w:hAnsi="宋体" w:cs="宋体"/>
                <w:bCs/>
                <w:sz w:val="24"/>
                <w:highlight w:val="none"/>
              </w:rPr>
              <w:t>包号</w:t>
            </w:r>
          </w:p>
        </w:tc>
        <w:tc>
          <w:tcPr>
            <w:tcW w:w="2740" w:type="dxa"/>
            <w:vAlign w:val="center"/>
          </w:tcPr>
          <w:p w14:paraId="476368A3">
            <w:pPr>
              <w:adjustRightInd w:val="0"/>
              <w:snapToGrid w:val="0"/>
              <w:spacing w:line="360" w:lineRule="auto"/>
              <w:jc w:val="center"/>
              <w:rPr>
                <w:rFonts w:hint="eastAsia" w:ascii="宋体" w:hAnsi="宋体" w:cs="宋体"/>
                <w:bCs/>
                <w:sz w:val="24"/>
                <w:highlight w:val="none"/>
              </w:rPr>
            </w:pPr>
            <w:r>
              <w:rPr>
                <w:rFonts w:hint="eastAsia" w:ascii="宋体" w:hAnsi="宋体" w:cs="宋体"/>
                <w:bCs/>
                <w:sz w:val="24"/>
                <w:highlight w:val="none"/>
              </w:rPr>
              <w:t>标的名称</w:t>
            </w:r>
          </w:p>
        </w:tc>
        <w:tc>
          <w:tcPr>
            <w:tcW w:w="2991" w:type="dxa"/>
            <w:vAlign w:val="center"/>
          </w:tcPr>
          <w:p w14:paraId="73E93637">
            <w:pPr>
              <w:adjustRightInd w:val="0"/>
              <w:snapToGrid w:val="0"/>
              <w:spacing w:line="360" w:lineRule="auto"/>
              <w:jc w:val="center"/>
              <w:rPr>
                <w:rFonts w:hint="eastAsia" w:ascii="宋体" w:hAnsi="宋体" w:cs="宋体"/>
                <w:bCs/>
                <w:sz w:val="24"/>
                <w:highlight w:val="none"/>
              </w:rPr>
            </w:pPr>
            <w:r>
              <w:rPr>
                <w:rFonts w:hint="eastAsia" w:ascii="宋体" w:hAnsi="宋体" w:cs="宋体"/>
                <w:bCs/>
                <w:sz w:val="24"/>
                <w:highlight w:val="none"/>
              </w:rPr>
              <w:t>采购包预算金额</w:t>
            </w:r>
          </w:p>
          <w:p w14:paraId="65DBB45F">
            <w:pPr>
              <w:adjustRightInd w:val="0"/>
              <w:snapToGrid w:val="0"/>
              <w:spacing w:line="360" w:lineRule="auto"/>
              <w:jc w:val="center"/>
              <w:rPr>
                <w:rFonts w:hint="eastAsia" w:ascii="宋体" w:hAnsi="宋体" w:cs="宋体"/>
                <w:bCs/>
                <w:sz w:val="24"/>
                <w:highlight w:val="none"/>
              </w:rPr>
            </w:pPr>
            <w:r>
              <w:rPr>
                <w:rFonts w:hint="eastAsia" w:ascii="宋体" w:hAnsi="宋体" w:cs="宋体"/>
                <w:bCs/>
                <w:sz w:val="24"/>
                <w:highlight w:val="none"/>
              </w:rPr>
              <w:t>（万元）</w:t>
            </w:r>
          </w:p>
        </w:tc>
        <w:tc>
          <w:tcPr>
            <w:tcW w:w="1751" w:type="dxa"/>
            <w:vAlign w:val="center"/>
          </w:tcPr>
          <w:p w14:paraId="6CE61669">
            <w:pPr>
              <w:adjustRightInd w:val="0"/>
              <w:snapToGrid w:val="0"/>
              <w:spacing w:line="360" w:lineRule="auto"/>
              <w:jc w:val="center"/>
              <w:rPr>
                <w:rFonts w:hint="eastAsia" w:ascii="宋体" w:hAnsi="宋体" w:cs="宋体"/>
                <w:bCs/>
                <w:sz w:val="24"/>
                <w:highlight w:val="none"/>
              </w:rPr>
            </w:pPr>
            <w:r>
              <w:rPr>
                <w:rFonts w:hint="eastAsia" w:ascii="宋体" w:hAnsi="宋体" w:cs="宋体"/>
                <w:bCs/>
                <w:sz w:val="24"/>
                <w:highlight w:val="none"/>
              </w:rPr>
              <w:t>数量</w:t>
            </w:r>
          </w:p>
        </w:tc>
      </w:tr>
      <w:tr w14:paraId="51CE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9" w:type="dxa"/>
            <w:vAlign w:val="center"/>
          </w:tcPr>
          <w:p w14:paraId="21D76028">
            <w:pPr>
              <w:adjustRightInd w:val="0"/>
              <w:snapToGrid w:val="0"/>
              <w:spacing w:line="360" w:lineRule="auto"/>
              <w:jc w:val="center"/>
              <w:rPr>
                <w:rFonts w:hint="eastAsia" w:ascii="宋体" w:hAnsi="宋体" w:cs="宋体"/>
                <w:bCs/>
                <w:sz w:val="24"/>
                <w:highlight w:val="none"/>
              </w:rPr>
            </w:pPr>
            <w:r>
              <w:rPr>
                <w:rFonts w:hint="eastAsia" w:ascii="宋体" w:hAnsi="宋体" w:cs="宋体"/>
                <w:bCs/>
                <w:sz w:val="24"/>
                <w:highlight w:val="none"/>
              </w:rPr>
              <w:t>1</w:t>
            </w:r>
          </w:p>
        </w:tc>
        <w:tc>
          <w:tcPr>
            <w:tcW w:w="2740" w:type="dxa"/>
            <w:vAlign w:val="center"/>
          </w:tcPr>
          <w:p w14:paraId="0D153029">
            <w:pPr>
              <w:adjustRightInd w:val="0"/>
              <w:snapToGrid w:val="0"/>
              <w:spacing w:line="360" w:lineRule="auto"/>
              <w:rPr>
                <w:rFonts w:hint="eastAsia" w:ascii="宋体" w:hAnsi="宋体" w:cs="宋体"/>
                <w:bCs/>
                <w:sz w:val="24"/>
                <w:highlight w:val="none"/>
              </w:rPr>
            </w:pPr>
            <w:r>
              <w:rPr>
                <w:rFonts w:ascii="宋体" w:hAnsi="宋体" w:cs="宋体"/>
                <w:bCs/>
                <w:sz w:val="24"/>
                <w:highlight w:val="none"/>
              </w:rPr>
              <w:t>北京市疾病预防控制中心2026年开办类项目-新址迁建信息化建设项目政务云资源租用项目</w:t>
            </w:r>
          </w:p>
        </w:tc>
        <w:tc>
          <w:tcPr>
            <w:tcW w:w="2991" w:type="dxa"/>
            <w:vAlign w:val="center"/>
          </w:tcPr>
          <w:p w14:paraId="5B110816">
            <w:pPr>
              <w:adjustRightInd w:val="0"/>
              <w:snapToGrid w:val="0"/>
              <w:spacing w:line="360" w:lineRule="auto"/>
              <w:rPr>
                <w:rFonts w:hint="eastAsia" w:ascii="宋体" w:hAnsi="宋体" w:cs="宋体"/>
                <w:bCs/>
                <w:sz w:val="24"/>
                <w:highlight w:val="none"/>
              </w:rPr>
            </w:pPr>
            <w:r>
              <w:rPr>
                <w:rFonts w:hint="eastAsia" w:ascii="宋体" w:hAnsi="宋体" w:cs="宋体"/>
                <w:bCs/>
                <w:sz w:val="24"/>
                <w:highlight w:val="none"/>
              </w:rPr>
              <w:t>170.05</w:t>
            </w:r>
          </w:p>
        </w:tc>
        <w:tc>
          <w:tcPr>
            <w:tcW w:w="1751" w:type="dxa"/>
            <w:vAlign w:val="center"/>
          </w:tcPr>
          <w:p w14:paraId="28AEC827">
            <w:pPr>
              <w:adjustRightInd w:val="0"/>
              <w:snapToGrid w:val="0"/>
              <w:spacing w:line="360" w:lineRule="auto"/>
              <w:jc w:val="center"/>
              <w:rPr>
                <w:rFonts w:hint="eastAsia" w:ascii="宋体" w:hAnsi="宋体" w:cs="宋体"/>
                <w:bCs/>
                <w:sz w:val="24"/>
                <w:highlight w:val="none"/>
              </w:rPr>
            </w:pPr>
            <w:r>
              <w:rPr>
                <w:rFonts w:hint="eastAsia" w:ascii="宋体" w:hAnsi="宋体" w:cs="宋体"/>
                <w:bCs/>
                <w:sz w:val="24"/>
                <w:highlight w:val="none"/>
              </w:rPr>
              <w:t>1</w:t>
            </w:r>
          </w:p>
        </w:tc>
      </w:tr>
    </w:tbl>
    <w:p w14:paraId="7569A138">
      <w:pPr>
        <w:adjustRightInd w:val="0"/>
        <w:snapToGrid w:val="0"/>
        <w:spacing w:line="360" w:lineRule="auto"/>
        <w:rPr>
          <w:rFonts w:hint="eastAsia" w:ascii="宋体" w:hAnsi="宋体" w:cs="宋体"/>
          <w:sz w:val="24"/>
          <w:highlight w:val="none"/>
        </w:rPr>
      </w:pPr>
      <w:r>
        <w:rPr>
          <w:rFonts w:hint="eastAsia" w:ascii="宋体" w:hAnsi="宋体" w:cs="宋体"/>
          <w:sz w:val="24"/>
          <w:highlight w:val="none"/>
        </w:rPr>
        <w:t>2.合同履行期限：__12个月___</w:t>
      </w:r>
    </w:p>
    <w:p w14:paraId="7C7D6CCD">
      <w:pPr>
        <w:pStyle w:val="3"/>
        <w:numPr>
          <w:ilvl w:val="0"/>
          <w:numId w:val="1"/>
        </w:numPr>
        <w:jc w:val="left"/>
        <w:rPr>
          <w:rFonts w:hint="eastAsia" w:hAnsi="宋体" w:cs="宋体"/>
          <w:sz w:val="24"/>
          <w:szCs w:val="24"/>
          <w:highlight w:val="none"/>
        </w:rPr>
      </w:pPr>
      <w:bookmarkStart w:id="3" w:name="_Toc26578"/>
      <w:r>
        <w:rPr>
          <w:rFonts w:hint="eastAsia" w:hAnsi="宋体" w:cs="宋体"/>
          <w:sz w:val="24"/>
          <w:szCs w:val="24"/>
          <w:highlight w:val="none"/>
        </w:rPr>
        <w:t>商务要求</w:t>
      </w:r>
    </w:p>
    <w:p w14:paraId="6CAB5782">
      <w:pPr>
        <w:pStyle w:val="4"/>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（一）服务地点</w:t>
      </w:r>
    </w:p>
    <w:p w14:paraId="4934C608">
      <w:pPr>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北京市政务云机房</w:t>
      </w:r>
    </w:p>
    <w:p w14:paraId="2E325CCA">
      <w:pPr>
        <w:pStyle w:val="4"/>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（二）服务期限</w:t>
      </w:r>
    </w:p>
    <w:p w14:paraId="14834DF0">
      <w:pPr>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12个月，起始时间以采购人与投标人约定时间为准</w:t>
      </w:r>
    </w:p>
    <w:p w14:paraId="118283DA">
      <w:pPr>
        <w:pStyle w:val="4"/>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（三）支付方式</w:t>
      </w:r>
    </w:p>
    <w:p w14:paraId="30A83789">
      <w:pPr>
        <w:pStyle w:val="2"/>
        <w:snapToGrid w:val="0"/>
        <w:ind w:firstLine="480"/>
        <w:rPr>
          <w:rFonts w:hint="eastAsia" w:cs="宋体"/>
          <w:bCs/>
          <w:highlight w:val="none"/>
        </w:rPr>
      </w:pPr>
      <w:r>
        <w:rPr>
          <w:rFonts w:hint="eastAsia" w:cs="宋体"/>
          <w:highlight w:val="none"/>
        </w:rPr>
        <w:t>合同签署之日起15个工作日内，支付服务费的（70%）；</w:t>
      </w:r>
      <w:bookmarkStart w:id="4" w:name="OLE_LINK3"/>
      <w:r>
        <w:rPr>
          <w:rFonts w:hint="eastAsia" w:cs="宋体"/>
          <w:highlight w:val="none"/>
        </w:rPr>
        <w:t>项目通过终验后15个工作日内</w:t>
      </w:r>
      <w:bookmarkEnd w:id="4"/>
      <w:r>
        <w:rPr>
          <w:rFonts w:hint="eastAsia" w:cs="宋体"/>
          <w:highlight w:val="none"/>
        </w:rPr>
        <w:t>，支付服务费的（30%）</w:t>
      </w:r>
      <w:r>
        <w:rPr>
          <w:rFonts w:hint="eastAsia" w:cs="宋体"/>
          <w:bCs/>
          <w:highlight w:val="none"/>
        </w:rPr>
        <w:t>。</w:t>
      </w:r>
    </w:p>
    <w:p w14:paraId="3BE26C69">
      <w:pPr>
        <w:pStyle w:val="4"/>
        <w:snapToGrid w:val="0"/>
        <w:spacing w:before="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（四）合同要求</w:t>
      </w:r>
    </w:p>
    <w:p w14:paraId="134EA90F">
      <w:pPr>
        <w:pStyle w:val="2"/>
        <w:snapToGrid w:val="0"/>
        <w:ind w:firstLine="480"/>
        <w:rPr>
          <w:rFonts w:hint="eastAsia" w:cs="宋体"/>
          <w:highlight w:val="none"/>
        </w:rPr>
      </w:pPr>
      <w:r>
        <w:rPr>
          <w:rFonts w:hint="eastAsia" w:cs="宋体"/>
          <w:highlight w:val="none"/>
        </w:rPr>
        <w:t>1．采购人与中标人如需变更政府采购合同的相关条款应遵守《中华人民共和国政府采购法》第五章关于政府采购合同的规定。</w:t>
      </w:r>
    </w:p>
    <w:p w14:paraId="27C03D61">
      <w:pPr>
        <w:pStyle w:val="2"/>
        <w:snapToGrid w:val="0"/>
        <w:ind w:firstLine="480"/>
        <w:rPr>
          <w:rFonts w:hint="eastAsia" w:cs="宋体"/>
          <w:bCs/>
          <w:highlight w:val="none"/>
        </w:rPr>
      </w:pPr>
      <w:r>
        <w:rPr>
          <w:rFonts w:hint="eastAsia" w:cs="宋体"/>
          <w:bCs/>
          <w:highlight w:val="none"/>
        </w:rPr>
        <w:t>2．对于分包事项（如等保测评、密码应用安全性评估等），采购人应当对分包承接主体的网络安全能力进行评估，与网络服务提供者签订合同及保密协议，明确约定各方保障网络和数据安全的权利及义务。投标人应当具备网络和数据安全管理能力及相关资质，对提供产品和服务的安全性、合规性负责。发生网络安全事件时，在依法按程序报告的同时，投标人应当及时向采购人报告，并有义务配合调查。</w:t>
      </w:r>
    </w:p>
    <w:p w14:paraId="237DE7D2">
      <w:pPr>
        <w:pStyle w:val="2"/>
        <w:snapToGrid w:val="0"/>
        <w:ind w:firstLine="480"/>
        <w:rPr>
          <w:rFonts w:hint="eastAsia" w:cs="宋体"/>
          <w:bCs/>
          <w:highlight w:val="none"/>
        </w:rPr>
      </w:pPr>
      <w:r>
        <w:rPr>
          <w:rFonts w:hint="eastAsia" w:cs="宋体"/>
          <w:bCs/>
          <w:highlight w:val="none"/>
        </w:rPr>
        <w:t>3．采购人应当加强政务网络和信息系统权限管理，最高管理权限务必由采购人专人负责，按照最小必要原则对投标人进行精细化授权，防范越权访问风险。</w:t>
      </w:r>
    </w:p>
    <w:p w14:paraId="51742DF4">
      <w:pPr>
        <w:pStyle w:val="4"/>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（五）验收服务标准</w:t>
      </w:r>
    </w:p>
    <w:p w14:paraId="1B82CDC1">
      <w:pPr>
        <w:snapToGrid w:val="0"/>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1．服务绩效指标</w:t>
      </w:r>
    </w:p>
    <w:p w14:paraId="61029069">
      <w:pPr>
        <w:pStyle w:val="2"/>
        <w:snapToGrid w:val="0"/>
        <w:ind w:firstLine="480"/>
        <w:rPr>
          <w:rFonts w:hint="eastAsia" w:cs="宋体"/>
          <w:highlight w:val="none"/>
        </w:rPr>
      </w:pPr>
      <w:r>
        <w:rPr>
          <w:rFonts w:hint="eastAsia" w:cs="宋体"/>
          <w:highlight w:val="none"/>
        </w:rPr>
        <w:t>（1）云服务全年整体可用性≥99.9%；</w:t>
      </w:r>
    </w:p>
    <w:p w14:paraId="4BEFF3CE">
      <w:pPr>
        <w:pStyle w:val="2"/>
        <w:snapToGrid w:val="0"/>
        <w:ind w:firstLine="480"/>
        <w:rPr>
          <w:rFonts w:hint="eastAsia" w:cs="宋体"/>
          <w:highlight w:val="none"/>
        </w:rPr>
      </w:pPr>
      <w:r>
        <w:rPr>
          <w:rFonts w:hint="eastAsia" w:cs="宋体"/>
          <w:highlight w:val="none"/>
        </w:rPr>
        <w:t>（2）故障响应率100%；</w:t>
      </w:r>
    </w:p>
    <w:p w14:paraId="53C9EAE8">
      <w:pPr>
        <w:pStyle w:val="2"/>
        <w:snapToGrid w:val="0"/>
        <w:ind w:firstLine="480"/>
        <w:rPr>
          <w:rFonts w:hint="eastAsia" w:cs="宋体"/>
          <w:highlight w:val="none"/>
        </w:rPr>
      </w:pPr>
      <w:r>
        <w:rPr>
          <w:rFonts w:hint="eastAsia" w:cs="宋体"/>
          <w:highlight w:val="none"/>
        </w:rPr>
        <w:t>（3）应急响应时间≤5分钟（重大事件1分钟内响应）；</w:t>
      </w:r>
    </w:p>
    <w:p w14:paraId="586D5ACB">
      <w:pPr>
        <w:snapToGrid w:val="0"/>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2．项目验收要求</w:t>
      </w:r>
    </w:p>
    <w:p w14:paraId="0D1A8B27">
      <w:pPr>
        <w:snapToGrid w:val="0"/>
        <w:spacing w:line="360" w:lineRule="auto"/>
        <w:ind w:firstLine="480" w:firstLineChars="200"/>
        <w:rPr>
          <w:rFonts w:hint="eastAsia" w:ascii="宋体" w:hAnsi="宋体" w:cs="宋体"/>
          <w:bCs/>
          <w:sz w:val="24"/>
          <w:highlight w:val="none"/>
        </w:rPr>
      </w:pPr>
      <w:r>
        <w:rPr>
          <w:rFonts w:hint="eastAsia" w:ascii="宋体" w:hAnsi="宋体" w:cs="宋体"/>
          <w:sz w:val="24"/>
          <w:highlight w:val="none"/>
        </w:rPr>
        <w:t>（1）</w:t>
      </w:r>
      <w:r>
        <w:rPr>
          <w:rFonts w:hint="eastAsia" w:ascii="宋体" w:hAnsi="宋体" w:cs="宋体"/>
          <w:bCs/>
          <w:sz w:val="24"/>
          <w:highlight w:val="none"/>
        </w:rPr>
        <w:t>投标人所提供的北京市市级政务云基础资源服务应遵循客观、科学、合理的原则，符合《北京市市级政务云管理办法》的相关标准及要求。</w:t>
      </w:r>
    </w:p>
    <w:p w14:paraId="539D137F">
      <w:pPr>
        <w:snapToGrid w:val="0"/>
        <w:spacing w:line="360" w:lineRule="auto"/>
        <w:ind w:firstLine="480" w:firstLineChars="200"/>
        <w:rPr>
          <w:rFonts w:hint="eastAsia" w:ascii="宋体" w:hAnsi="宋体" w:cs="宋体"/>
          <w:bCs/>
          <w:sz w:val="24"/>
          <w:highlight w:val="none"/>
        </w:rPr>
      </w:pPr>
      <w:r>
        <w:rPr>
          <w:rFonts w:hint="eastAsia" w:ascii="宋体" w:hAnsi="宋体" w:cs="宋体"/>
          <w:sz w:val="24"/>
          <w:highlight w:val="none"/>
        </w:rPr>
        <w:t>（2）</w:t>
      </w:r>
      <w:r>
        <w:rPr>
          <w:rFonts w:hint="eastAsia" w:ascii="宋体" w:hAnsi="宋体" w:cs="宋体"/>
          <w:bCs/>
          <w:sz w:val="24"/>
          <w:highlight w:val="none"/>
        </w:rPr>
        <w:t>投标人所提供资源应满足采购文件规定的要求。保证合同期内系统安全稳定运行，不因硬件故障导致服务中断2小时及以上。</w:t>
      </w:r>
    </w:p>
    <w:p w14:paraId="1990F143">
      <w:pPr>
        <w:snapToGrid w:val="0"/>
        <w:spacing w:line="360" w:lineRule="auto"/>
        <w:ind w:firstLine="480" w:firstLineChars="200"/>
        <w:rPr>
          <w:rFonts w:hint="eastAsia" w:ascii="宋体" w:hAnsi="宋体" w:cs="宋体"/>
          <w:bCs/>
          <w:sz w:val="24"/>
          <w:highlight w:val="none"/>
        </w:rPr>
      </w:pPr>
      <w:r>
        <w:rPr>
          <w:rFonts w:hint="eastAsia" w:ascii="宋体" w:hAnsi="宋体" w:cs="宋体"/>
          <w:sz w:val="24"/>
          <w:highlight w:val="none"/>
        </w:rPr>
        <w:t>（3）</w:t>
      </w:r>
      <w:r>
        <w:rPr>
          <w:rFonts w:hint="eastAsia" w:ascii="宋体" w:hAnsi="宋体" w:cs="宋体"/>
          <w:bCs/>
          <w:sz w:val="24"/>
          <w:highlight w:val="none"/>
        </w:rPr>
        <w:t>服务期满后30个工作日开始对合同项目进行验收，投标人应当在采购人指定的验收日前向采购人提交验收报告。验收报告的内容包括但不限于，合同规定的各项服务清单，各系统设备运行情况。</w:t>
      </w:r>
    </w:p>
    <w:p w14:paraId="2417EBC8">
      <w:pPr>
        <w:pStyle w:val="6"/>
        <w:numPr>
          <w:ilvl w:val="0"/>
          <w:numId w:val="1"/>
        </w:numPr>
        <w:snapToGrid w:val="0"/>
        <w:ind w:left="420" w:firstLine="480"/>
        <w:jc w:val="left"/>
        <w:rPr>
          <w:rFonts w:hint="eastAsia" w:hAnsi="宋体" w:cs="宋体"/>
          <w:highlight w:val="none"/>
        </w:rPr>
      </w:pPr>
      <w:r>
        <w:rPr>
          <w:rFonts w:hint="eastAsia" w:hAnsi="宋体" w:cs="宋体"/>
          <w:highlight w:val="none"/>
        </w:rPr>
        <w:t>（4）服务期届满，投标人按照采购人要求完成所有项目，各项记录、报告等文档齐全，无任何系统遗留问题，并通过由采购人组织的专家验收评审，方可通过验收。</w:t>
      </w:r>
    </w:p>
    <w:p w14:paraId="6C474049">
      <w:pPr>
        <w:pStyle w:val="3"/>
        <w:numPr>
          <w:ilvl w:val="0"/>
          <w:numId w:val="1"/>
        </w:numPr>
        <w:jc w:val="left"/>
        <w:rPr>
          <w:rFonts w:hint="eastAsia" w:hAnsi="宋体" w:cs="宋体"/>
          <w:sz w:val="24"/>
          <w:szCs w:val="24"/>
          <w:highlight w:val="none"/>
        </w:rPr>
      </w:pPr>
      <w:r>
        <w:rPr>
          <w:rFonts w:hint="eastAsia" w:hAnsi="宋体" w:cs="宋体"/>
          <w:sz w:val="24"/>
          <w:szCs w:val="24"/>
          <w:highlight w:val="none"/>
        </w:rPr>
        <w:t>规范性引用文件</w:t>
      </w:r>
      <w:bookmarkEnd w:id="3"/>
    </w:p>
    <w:p w14:paraId="793A7DBD">
      <w:pPr>
        <w:pStyle w:val="4"/>
        <w:ind w:firstLine="241" w:firstLineChars="100"/>
        <w:jc w:val="left"/>
        <w:rPr>
          <w:rFonts w:hint="eastAsia" w:ascii="宋体" w:hAnsi="宋体" w:eastAsia="宋体" w:cs="宋体"/>
          <w:sz w:val="24"/>
          <w:szCs w:val="24"/>
          <w:highlight w:val="none"/>
        </w:rPr>
      </w:pPr>
      <w:bookmarkStart w:id="5" w:name="_Toc28779"/>
      <w:r>
        <w:rPr>
          <w:rFonts w:hint="eastAsia" w:ascii="宋体" w:hAnsi="宋体" w:eastAsia="宋体" w:cs="宋体"/>
          <w:sz w:val="24"/>
          <w:szCs w:val="24"/>
          <w:highlight w:val="none"/>
        </w:rPr>
        <w:t>（一）国家及北京市有关政策</w:t>
      </w:r>
      <w:bookmarkEnd w:id="5"/>
    </w:p>
    <w:p w14:paraId="09329A1D">
      <w:pPr>
        <w:snapToGrid w:val="0"/>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1.《关键信息基础设施安全保护条例》（中华人民共和国国务院令第745号）</w:t>
      </w:r>
    </w:p>
    <w:p w14:paraId="41C753D1">
      <w:pPr>
        <w:pStyle w:val="6"/>
        <w:snapToGrid w:val="0"/>
        <w:ind w:firstLine="480"/>
        <w:rPr>
          <w:rFonts w:hint="eastAsia" w:hAnsi="宋体" w:cs="宋体"/>
          <w:bCs/>
          <w:highlight w:val="none"/>
        </w:rPr>
      </w:pPr>
      <w:r>
        <w:rPr>
          <w:rFonts w:hint="eastAsia" w:hAnsi="宋体" w:cs="宋体"/>
          <w:bCs/>
          <w:highlight w:val="none"/>
        </w:rPr>
        <w:t>2.《国家政务信息化项目建设管理办法》（国办发〔2019〕57号）</w:t>
      </w:r>
    </w:p>
    <w:p w14:paraId="68210CC9">
      <w:pPr>
        <w:snapToGrid w:val="0"/>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3.</w:t>
      </w:r>
      <w:r>
        <w:rPr>
          <w:rFonts w:hint="eastAsia" w:ascii="宋体" w:hAnsi="宋体" w:cs="宋体"/>
          <w:sz w:val="24"/>
          <w:highlight w:val="none"/>
        </w:rPr>
        <w:t>《政府采购需求管理办法》(财库〔2021〕22号)</w:t>
      </w:r>
    </w:p>
    <w:p w14:paraId="60FED579">
      <w:pPr>
        <w:snapToGrid w:val="0"/>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4.</w:t>
      </w:r>
      <w:r>
        <w:rPr>
          <w:rFonts w:hint="eastAsia" w:ascii="宋体" w:hAnsi="宋体" w:cs="宋体"/>
          <w:sz w:val="24"/>
          <w:highlight w:val="none"/>
        </w:rPr>
        <w:t>《关于促进政府采购公平竞争优化营商环境的通知》（财库〔2019〕38号）</w:t>
      </w:r>
    </w:p>
    <w:p w14:paraId="3498AFB5">
      <w:pPr>
        <w:snapToGrid w:val="0"/>
        <w:spacing w:line="360" w:lineRule="auto"/>
        <w:ind w:firstLine="480" w:firstLineChars="200"/>
        <w:rPr>
          <w:rFonts w:hint="eastAsia" w:ascii="宋体" w:hAnsi="宋体" w:cs="宋体"/>
          <w:sz w:val="24"/>
          <w:highlight w:val="none"/>
        </w:rPr>
      </w:pPr>
      <w:r>
        <w:rPr>
          <w:rFonts w:hint="eastAsia" w:ascii="宋体" w:hAnsi="宋体" w:cs="宋体"/>
          <w:bCs/>
          <w:sz w:val="24"/>
          <w:highlight w:val="none"/>
        </w:rPr>
        <w:t>5.</w:t>
      </w:r>
      <w:r>
        <w:rPr>
          <w:rFonts w:hint="eastAsia" w:ascii="宋体" w:hAnsi="宋体" w:cs="宋体"/>
          <w:sz w:val="24"/>
          <w:highlight w:val="none"/>
        </w:rPr>
        <w:t>《关于进一步提高政府采购透明度和采购效率相关事项的通知》（财办库〔2023〕243号）</w:t>
      </w:r>
    </w:p>
    <w:p w14:paraId="3DAB5486">
      <w:pPr>
        <w:snapToGrid w:val="0"/>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6.《工业和信息化部信息通信管理局关于督促互联网网络接入服务企业依法持证经营的通知》（工信管函〔2018〕84号）</w:t>
      </w:r>
    </w:p>
    <w:p w14:paraId="235A7E13">
      <w:pPr>
        <w:snapToGrid w:val="0"/>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7.《云计算服务安全评估办法》（国家互联网信息办公室、国家发展和改革委员会、工业和信息化部、财政部公告2019年2号）</w:t>
      </w:r>
    </w:p>
    <w:p w14:paraId="11CE7AED">
      <w:pPr>
        <w:snapToGrid w:val="0"/>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8.《关于加强党政部门云计算服务网络安全管理的意见》（中网办发文〔2014〕14号）</w:t>
      </w:r>
    </w:p>
    <w:p w14:paraId="7A7298CD">
      <w:pPr>
        <w:snapToGrid w:val="0"/>
        <w:spacing w:line="360" w:lineRule="auto"/>
        <w:ind w:firstLine="480" w:firstLineChars="200"/>
        <w:rPr>
          <w:rFonts w:hint="eastAsia" w:ascii="宋体" w:hAnsi="宋体" w:cs="宋体"/>
          <w:sz w:val="24"/>
          <w:highlight w:val="none"/>
        </w:rPr>
      </w:pPr>
      <w:r>
        <w:rPr>
          <w:rFonts w:hint="eastAsia" w:ascii="宋体" w:hAnsi="宋体" w:cs="宋体"/>
          <w:bCs/>
          <w:sz w:val="24"/>
          <w:highlight w:val="none"/>
        </w:rPr>
        <w:t>9.《基于云计算的电子政务公共平台顶层设计指南》</w:t>
      </w:r>
    </w:p>
    <w:p w14:paraId="785A6B07">
      <w:pPr>
        <w:snapToGrid w:val="0"/>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10.</w:t>
      </w:r>
      <w:r>
        <w:rPr>
          <w:rFonts w:hint="eastAsia" w:ascii="宋体" w:hAnsi="宋体" w:cs="宋体"/>
          <w:sz w:val="24"/>
          <w:highlight w:val="none"/>
        </w:rPr>
        <w:t>《北京市财政局关于印发&lt;北京市政府采购负面清单&gt;的通知》（京财采购〔2020〕1345号）</w:t>
      </w:r>
    </w:p>
    <w:p w14:paraId="425D4A55">
      <w:pPr>
        <w:snapToGrid w:val="0"/>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11.</w:t>
      </w:r>
      <w:r>
        <w:rPr>
          <w:rFonts w:hint="eastAsia" w:ascii="宋体" w:hAnsi="宋体" w:cs="宋体"/>
          <w:sz w:val="24"/>
          <w:highlight w:val="none"/>
        </w:rPr>
        <w:t>《北京市财政局关于落实好政府采购支持中小企业发展的通知（京财采购〔2022〕1143号）</w:t>
      </w:r>
    </w:p>
    <w:p w14:paraId="0129C932">
      <w:pPr>
        <w:pStyle w:val="6"/>
        <w:snapToGrid w:val="0"/>
        <w:ind w:firstLine="480"/>
        <w:rPr>
          <w:rFonts w:hint="eastAsia" w:hAnsi="宋体" w:cs="宋体"/>
          <w:bCs/>
          <w:highlight w:val="none"/>
        </w:rPr>
      </w:pPr>
      <w:r>
        <w:rPr>
          <w:rFonts w:hint="eastAsia" w:hAnsi="宋体" w:cs="宋体"/>
          <w:bCs/>
          <w:highlight w:val="none"/>
        </w:rPr>
        <w:t>12.</w:t>
      </w:r>
      <w:r>
        <w:rPr>
          <w:rFonts w:hint="eastAsia" w:hAnsi="宋体" w:cs="宋体"/>
          <w:color w:val="000000"/>
          <w:highlight w:val="none"/>
        </w:rPr>
        <w:t>《关于印发&lt;关于推进我市政务信息系统整合共享的实施方案&gt;的通知》（京经信委发〔2017〕89号）</w:t>
      </w:r>
    </w:p>
    <w:p w14:paraId="69E3DB43">
      <w:pPr>
        <w:pStyle w:val="6"/>
        <w:snapToGrid w:val="0"/>
        <w:ind w:firstLine="480"/>
        <w:rPr>
          <w:rFonts w:hint="eastAsia" w:hAnsi="宋体" w:cs="宋体"/>
          <w:highlight w:val="none"/>
        </w:rPr>
      </w:pPr>
      <w:r>
        <w:rPr>
          <w:rFonts w:hint="eastAsia" w:hAnsi="宋体" w:cs="宋体"/>
          <w:highlight w:val="none"/>
        </w:rPr>
        <w:t>13.</w:t>
      </w:r>
      <w:r>
        <w:rPr>
          <w:rFonts w:hint="eastAsia" w:hAnsi="宋体" w:cs="宋体"/>
          <w:color w:val="000000"/>
          <w:highlight w:val="none"/>
        </w:rPr>
        <w:t>《北京市人民政府关于印发&lt;北京市政务信息资源管理办法（试行）&gt;的通知》（京政发〔2017〕37号）</w:t>
      </w:r>
    </w:p>
    <w:p w14:paraId="61FBB1DF">
      <w:pPr>
        <w:pStyle w:val="6"/>
        <w:snapToGrid w:val="0"/>
        <w:ind w:firstLine="480"/>
        <w:rPr>
          <w:rFonts w:hint="eastAsia" w:hAnsi="宋体" w:cs="宋体"/>
          <w:highlight w:val="none"/>
        </w:rPr>
      </w:pPr>
      <w:r>
        <w:rPr>
          <w:rFonts w:hint="eastAsia" w:hAnsi="宋体" w:cs="宋体"/>
          <w:highlight w:val="none"/>
        </w:rPr>
        <w:t>14.</w:t>
      </w:r>
      <w:r>
        <w:rPr>
          <w:rFonts w:hint="eastAsia" w:hAnsi="宋体" w:cs="宋体"/>
          <w:color w:val="000000"/>
          <w:highlight w:val="none"/>
        </w:rPr>
        <w:t>《关于印发&lt;北京市市级政务云管理办法&gt;的通知》（京经信函〔2019〕150号）</w:t>
      </w:r>
    </w:p>
    <w:p w14:paraId="244AB52A">
      <w:pPr>
        <w:pStyle w:val="6"/>
        <w:snapToGrid w:val="0"/>
        <w:ind w:firstLine="480"/>
        <w:rPr>
          <w:rFonts w:hint="eastAsia" w:hAnsi="宋体" w:cs="宋体"/>
          <w:highlight w:val="none"/>
        </w:rPr>
      </w:pPr>
      <w:r>
        <w:rPr>
          <w:rFonts w:hint="eastAsia" w:hAnsi="宋体" w:cs="宋体"/>
          <w:highlight w:val="none"/>
        </w:rPr>
        <w:t>15.《北京市政务网络和数据安全管理办法》（京经信发〔2023〕57号）</w:t>
      </w:r>
    </w:p>
    <w:p w14:paraId="75DA0FEA">
      <w:pPr>
        <w:pStyle w:val="6"/>
        <w:snapToGrid w:val="0"/>
        <w:ind w:firstLine="480"/>
        <w:rPr>
          <w:rFonts w:hint="eastAsia" w:hAnsi="宋体" w:cs="宋体"/>
          <w:highlight w:val="none"/>
        </w:rPr>
      </w:pPr>
      <w:r>
        <w:rPr>
          <w:rFonts w:hint="eastAsia" w:hAnsi="宋体" w:cs="宋体"/>
          <w:highlight w:val="none"/>
        </w:rPr>
        <w:t>16.《北京市“十四五”时期智慧城市建设控制性规划要求（试行）》（京大数据发〔2021〕2号）</w:t>
      </w:r>
    </w:p>
    <w:p w14:paraId="26ECAA31">
      <w:pPr>
        <w:rPr>
          <w:rFonts w:hint="eastAsia" w:ascii="宋体" w:hAnsi="宋体" w:cs="宋体"/>
          <w:sz w:val="24"/>
          <w:highlight w:val="none"/>
        </w:rPr>
      </w:pPr>
      <w:r>
        <w:rPr>
          <w:rFonts w:hint="eastAsia" w:ascii="宋体" w:hAnsi="宋体" w:cs="宋体"/>
          <w:sz w:val="24"/>
          <w:highlight w:val="none"/>
        </w:rPr>
        <w:t>……</w:t>
      </w:r>
    </w:p>
    <w:p w14:paraId="187448EC">
      <w:pPr>
        <w:pStyle w:val="6"/>
        <w:snapToGrid w:val="0"/>
        <w:ind w:left="480" w:firstLine="0"/>
        <w:rPr>
          <w:rFonts w:hint="eastAsia" w:hAnsi="宋体" w:cs="宋体"/>
          <w:highlight w:val="none"/>
        </w:rPr>
      </w:pPr>
    </w:p>
    <w:p w14:paraId="7E1F49D7">
      <w:pPr>
        <w:pStyle w:val="4"/>
        <w:ind w:firstLine="241" w:firstLineChars="100"/>
        <w:jc w:val="left"/>
        <w:rPr>
          <w:rFonts w:hint="eastAsia" w:ascii="宋体" w:hAnsi="宋体" w:eastAsia="宋体" w:cs="宋体"/>
          <w:sz w:val="24"/>
          <w:szCs w:val="24"/>
          <w:highlight w:val="none"/>
        </w:rPr>
      </w:pPr>
      <w:bookmarkStart w:id="6" w:name="_Toc7253"/>
      <w:r>
        <w:rPr>
          <w:rFonts w:hint="eastAsia" w:ascii="宋体" w:hAnsi="宋体" w:eastAsia="宋体" w:cs="宋体"/>
          <w:sz w:val="24"/>
          <w:szCs w:val="24"/>
          <w:highlight w:val="none"/>
        </w:rPr>
        <w:t>（二）国家相关标准</w:t>
      </w:r>
      <w:bookmarkEnd w:id="6"/>
    </w:p>
    <w:p w14:paraId="19106226">
      <w:pPr>
        <w:numPr>
          <w:ilvl w:val="0"/>
          <w:numId w:val="2"/>
        </w:numPr>
        <w:snapToGrid w:val="0"/>
        <w:spacing w:line="360" w:lineRule="auto"/>
        <w:ind w:left="0" w:firstLine="425"/>
        <w:rPr>
          <w:rFonts w:hint="eastAsia" w:ascii="宋体" w:hAnsi="宋体" w:cs="宋体"/>
          <w:bCs/>
          <w:sz w:val="24"/>
          <w:highlight w:val="none"/>
        </w:rPr>
      </w:pPr>
      <w:r>
        <w:rPr>
          <w:rFonts w:hint="eastAsia" w:ascii="宋体" w:hAnsi="宋体" w:cs="宋体"/>
          <w:bCs/>
          <w:sz w:val="24"/>
          <w:highlight w:val="none"/>
        </w:rPr>
        <w:t>《国家电子政务外网安全接入平台技术规范》</w:t>
      </w:r>
    </w:p>
    <w:p w14:paraId="1DC1FC25">
      <w:pPr>
        <w:numPr>
          <w:ilvl w:val="0"/>
          <w:numId w:val="2"/>
        </w:numPr>
        <w:snapToGrid w:val="0"/>
        <w:spacing w:line="360" w:lineRule="auto"/>
        <w:ind w:left="0" w:firstLine="425"/>
        <w:rPr>
          <w:rFonts w:hint="eastAsia" w:ascii="宋体" w:hAnsi="宋体" w:cs="宋体"/>
          <w:bCs/>
          <w:sz w:val="24"/>
          <w:highlight w:val="none"/>
        </w:rPr>
      </w:pPr>
      <w:r>
        <w:rPr>
          <w:rFonts w:hint="eastAsia" w:ascii="宋体" w:hAnsi="宋体" w:cs="宋体"/>
          <w:bCs/>
          <w:sz w:val="24"/>
          <w:highlight w:val="none"/>
        </w:rPr>
        <w:t>《信息技术—云计算—云服务质量评价指标》（GB/T 37738-2019）</w:t>
      </w:r>
    </w:p>
    <w:p w14:paraId="3C856BD7">
      <w:pPr>
        <w:numPr>
          <w:ilvl w:val="0"/>
          <w:numId w:val="2"/>
        </w:numPr>
        <w:snapToGrid w:val="0"/>
        <w:spacing w:line="360" w:lineRule="auto"/>
        <w:ind w:left="0" w:firstLine="425"/>
        <w:rPr>
          <w:rFonts w:hint="eastAsia" w:ascii="宋体" w:hAnsi="宋体" w:cs="宋体"/>
          <w:bCs/>
          <w:sz w:val="24"/>
          <w:highlight w:val="none"/>
        </w:rPr>
      </w:pPr>
      <w:r>
        <w:rPr>
          <w:rFonts w:hint="eastAsia" w:ascii="宋体" w:hAnsi="宋体" w:cs="宋体"/>
          <w:bCs/>
          <w:sz w:val="24"/>
          <w:highlight w:val="none"/>
        </w:rPr>
        <w:t>《信息技术—云计算—云服务计量指标》（GB/T 37735-2019）</w:t>
      </w:r>
    </w:p>
    <w:p w14:paraId="160864E6">
      <w:pPr>
        <w:numPr>
          <w:ilvl w:val="0"/>
          <w:numId w:val="2"/>
        </w:numPr>
        <w:snapToGrid w:val="0"/>
        <w:spacing w:line="360" w:lineRule="auto"/>
        <w:ind w:left="0" w:firstLine="425"/>
        <w:rPr>
          <w:rFonts w:hint="eastAsia" w:ascii="宋体" w:hAnsi="宋体" w:cs="宋体"/>
          <w:bCs/>
          <w:sz w:val="24"/>
          <w:highlight w:val="none"/>
        </w:rPr>
      </w:pPr>
      <w:r>
        <w:rPr>
          <w:rFonts w:hint="eastAsia" w:ascii="宋体" w:hAnsi="宋体" w:cs="宋体"/>
          <w:bCs/>
          <w:sz w:val="24"/>
          <w:highlight w:val="none"/>
        </w:rPr>
        <w:t>《信息技术—云计算—云服务采购指南》（GB/T 37734-2019）</w:t>
      </w:r>
    </w:p>
    <w:p w14:paraId="19AE783B">
      <w:pPr>
        <w:numPr>
          <w:ilvl w:val="0"/>
          <w:numId w:val="2"/>
        </w:numPr>
        <w:snapToGrid w:val="0"/>
        <w:spacing w:line="360" w:lineRule="auto"/>
        <w:ind w:left="0" w:firstLine="425"/>
        <w:rPr>
          <w:rFonts w:hint="eastAsia" w:ascii="宋体" w:hAnsi="宋体" w:cs="宋体"/>
          <w:bCs/>
          <w:sz w:val="24"/>
          <w:highlight w:val="none"/>
        </w:rPr>
      </w:pPr>
      <w:r>
        <w:rPr>
          <w:rFonts w:hint="eastAsia" w:ascii="宋体" w:hAnsi="宋体" w:cs="宋体"/>
          <w:bCs/>
          <w:sz w:val="24"/>
          <w:highlight w:val="none"/>
        </w:rPr>
        <w:t>《信息技术—云计算—云存储系统服务接口功能》（GB/T 37732-2019）</w:t>
      </w:r>
    </w:p>
    <w:p w14:paraId="0B30DDD8">
      <w:pPr>
        <w:numPr>
          <w:ilvl w:val="0"/>
          <w:numId w:val="2"/>
        </w:numPr>
        <w:snapToGrid w:val="0"/>
        <w:spacing w:line="360" w:lineRule="auto"/>
        <w:ind w:left="0" w:firstLine="425"/>
        <w:rPr>
          <w:rFonts w:hint="eastAsia" w:ascii="宋体" w:hAnsi="宋体" w:cs="宋体"/>
          <w:bCs/>
          <w:sz w:val="24"/>
          <w:highlight w:val="none"/>
        </w:rPr>
      </w:pPr>
      <w:r>
        <w:rPr>
          <w:rFonts w:hint="eastAsia" w:ascii="宋体" w:hAnsi="宋体" w:cs="宋体"/>
          <w:bCs/>
          <w:sz w:val="24"/>
          <w:highlight w:val="none"/>
        </w:rPr>
        <w:t>《信息技术—云计算—云资源监控通用要求》（GB/T 37736-2019）</w:t>
      </w:r>
    </w:p>
    <w:p w14:paraId="70D8779F">
      <w:pPr>
        <w:numPr>
          <w:ilvl w:val="0"/>
          <w:numId w:val="2"/>
        </w:numPr>
        <w:snapToGrid w:val="0"/>
        <w:spacing w:line="360" w:lineRule="auto"/>
        <w:ind w:left="0" w:firstLine="425"/>
        <w:rPr>
          <w:rFonts w:hint="eastAsia" w:ascii="宋体" w:hAnsi="宋体" w:cs="宋体"/>
          <w:bCs/>
          <w:sz w:val="24"/>
          <w:highlight w:val="none"/>
        </w:rPr>
      </w:pPr>
      <w:r>
        <w:rPr>
          <w:rFonts w:hint="eastAsia" w:ascii="宋体" w:hAnsi="宋体" w:cs="宋体"/>
          <w:bCs/>
          <w:sz w:val="24"/>
          <w:highlight w:val="none"/>
        </w:rPr>
        <w:t>《信息技术—云计算—云平台间应用和数据迁移指南》（GB/T 37740-2019）</w:t>
      </w:r>
    </w:p>
    <w:p w14:paraId="6986884A">
      <w:pPr>
        <w:numPr>
          <w:ilvl w:val="0"/>
          <w:numId w:val="2"/>
        </w:numPr>
        <w:snapToGrid w:val="0"/>
        <w:spacing w:line="360" w:lineRule="auto"/>
        <w:ind w:left="0" w:firstLine="425"/>
        <w:rPr>
          <w:rFonts w:hint="eastAsia" w:ascii="宋体" w:hAnsi="宋体" w:cs="宋体"/>
          <w:bCs/>
          <w:sz w:val="24"/>
          <w:highlight w:val="none"/>
        </w:rPr>
      </w:pPr>
      <w:r>
        <w:rPr>
          <w:rFonts w:hint="eastAsia" w:ascii="宋体" w:hAnsi="宋体" w:cs="宋体"/>
          <w:bCs/>
          <w:sz w:val="24"/>
          <w:highlight w:val="none"/>
        </w:rPr>
        <w:t>《信息技术—云计算—云服务交付要求》（GB/T 37741-2019）</w:t>
      </w:r>
    </w:p>
    <w:p w14:paraId="2836D4E0">
      <w:pPr>
        <w:numPr>
          <w:ilvl w:val="0"/>
          <w:numId w:val="2"/>
        </w:numPr>
        <w:snapToGrid w:val="0"/>
        <w:spacing w:line="360" w:lineRule="auto"/>
        <w:ind w:left="0" w:firstLine="425"/>
        <w:rPr>
          <w:rFonts w:hint="eastAsia" w:ascii="宋体" w:hAnsi="宋体" w:cs="宋体"/>
          <w:bCs/>
          <w:sz w:val="24"/>
          <w:highlight w:val="none"/>
        </w:rPr>
      </w:pPr>
      <w:r>
        <w:rPr>
          <w:rFonts w:hint="eastAsia" w:ascii="宋体" w:hAnsi="宋体" w:cs="宋体"/>
          <w:bCs/>
          <w:sz w:val="24"/>
          <w:highlight w:val="none"/>
        </w:rPr>
        <w:t>《信息系统灾难恢复规范》（GB/T 20988-2007）</w:t>
      </w:r>
    </w:p>
    <w:p w14:paraId="59836FC8">
      <w:pPr>
        <w:numPr>
          <w:ilvl w:val="0"/>
          <w:numId w:val="2"/>
        </w:numPr>
        <w:snapToGrid w:val="0"/>
        <w:spacing w:line="360" w:lineRule="auto"/>
        <w:ind w:left="0" w:firstLine="425"/>
        <w:rPr>
          <w:rFonts w:hint="eastAsia" w:ascii="宋体" w:hAnsi="宋体" w:cs="宋体"/>
          <w:bCs/>
          <w:sz w:val="24"/>
          <w:highlight w:val="none"/>
        </w:rPr>
      </w:pPr>
      <w:r>
        <w:rPr>
          <w:rFonts w:hint="eastAsia" w:ascii="宋体" w:hAnsi="宋体" w:cs="宋体"/>
          <w:bCs/>
          <w:sz w:val="24"/>
          <w:highlight w:val="none"/>
        </w:rPr>
        <w:t>《信息安全技术 云计算服务安全能力要求》（GB/T 31168-2014）</w:t>
      </w:r>
    </w:p>
    <w:p w14:paraId="39FAFD39">
      <w:pPr>
        <w:numPr>
          <w:ilvl w:val="0"/>
          <w:numId w:val="2"/>
        </w:numPr>
        <w:snapToGrid w:val="0"/>
        <w:spacing w:line="360" w:lineRule="auto"/>
        <w:ind w:left="0" w:firstLine="425"/>
        <w:rPr>
          <w:rFonts w:hint="eastAsia" w:ascii="宋体" w:hAnsi="宋体" w:cs="宋体"/>
          <w:bCs/>
          <w:sz w:val="24"/>
          <w:highlight w:val="none"/>
        </w:rPr>
      </w:pPr>
      <w:r>
        <w:rPr>
          <w:rFonts w:hint="eastAsia" w:ascii="宋体" w:hAnsi="宋体" w:cs="宋体"/>
          <w:bCs/>
          <w:sz w:val="24"/>
          <w:highlight w:val="none"/>
        </w:rPr>
        <w:t>《信息安全技术 网络安全等级保护定级指南》（GB/T 22240-2020）</w:t>
      </w:r>
    </w:p>
    <w:p w14:paraId="3ADEDAA4">
      <w:pPr>
        <w:numPr>
          <w:ilvl w:val="0"/>
          <w:numId w:val="2"/>
        </w:numPr>
        <w:snapToGrid w:val="0"/>
        <w:spacing w:line="360" w:lineRule="auto"/>
        <w:ind w:left="0" w:firstLine="425"/>
        <w:rPr>
          <w:rFonts w:hint="eastAsia" w:ascii="宋体" w:hAnsi="宋体" w:cs="宋体"/>
          <w:bCs/>
          <w:sz w:val="24"/>
          <w:highlight w:val="none"/>
        </w:rPr>
      </w:pPr>
      <w:r>
        <w:rPr>
          <w:rFonts w:hint="eastAsia" w:ascii="宋体" w:hAnsi="宋体" w:cs="宋体"/>
          <w:bCs/>
          <w:sz w:val="24"/>
          <w:highlight w:val="none"/>
        </w:rPr>
        <w:t>《信息安全技术 网络安全等级保护基本要求》（GB/T 22239-2019）</w:t>
      </w:r>
    </w:p>
    <w:p w14:paraId="25542635">
      <w:pPr>
        <w:numPr>
          <w:ilvl w:val="0"/>
          <w:numId w:val="2"/>
        </w:numPr>
        <w:snapToGrid w:val="0"/>
        <w:spacing w:line="360" w:lineRule="auto"/>
        <w:ind w:left="0" w:firstLine="425"/>
        <w:rPr>
          <w:rFonts w:hint="eastAsia" w:ascii="宋体" w:hAnsi="宋体" w:cs="宋体"/>
          <w:bCs/>
          <w:sz w:val="24"/>
          <w:highlight w:val="none"/>
        </w:rPr>
      </w:pPr>
      <w:r>
        <w:rPr>
          <w:rFonts w:hint="eastAsia" w:ascii="宋体" w:hAnsi="宋体" w:cs="宋体"/>
          <w:bCs/>
          <w:sz w:val="24"/>
          <w:highlight w:val="none"/>
        </w:rPr>
        <w:t>《信息安全技术 网络安全等级保护测评要求》（GB/T 28448-2019）</w:t>
      </w:r>
    </w:p>
    <w:p w14:paraId="0E3903FA">
      <w:pPr>
        <w:numPr>
          <w:ilvl w:val="0"/>
          <w:numId w:val="2"/>
        </w:numPr>
        <w:snapToGrid w:val="0"/>
        <w:spacing w:line="360" w:lineRule="auto"/>
        <w:ind w:left="0" w:firstLine="425"/>
        <w:rPr>
          <w:rFonts w:hint="eastAsia" w:ascii="宋体" w:hAnsi="宋体" w:cs="宋体"/>
          <w:sz w:val="24"/>
          <w:highlight w:val="none"/>
        </w:rPr>
      </w:pPr>
      <w:r>
        <w:rPr>
          <w:rFonts w:hint="eastAsia" w:ascii="宋体" w:hAnsi="宋体" w:cs="宋体"/>
          <w:bCs/>
          <w:sz w:val="24"/>
          <w:highlight w:val="none"/>
        </w:rPr>
        <w:t>《信息安全技术 信息系统密码应用基本要求》（GB/T39786-2021）</w:t>
      </w:r>
    </w:p>
    <w:p w14:paraId="6C7FC8A7">
      <w:pPr>
        <w:numPr>
          <w:ilvl w:val="0"/>
          <w:numId w:val="2"/>
        </w:numPr>
        <w:snapToGrid w:val="0"/>
        <w:spacing w:line="360" w:lineRule="auto"/>
        <w:ind w:left="0" w:firstLine="425"/>
        <w:rPr>
          <w:rFonts w:hint="eastAsia" w:ascii="宋体" w:hAnsi="宋体" w:cs="宋体"/>
          <w:bCs/>
          <w:sz w:val="24"/>
          <w:highlight w:val="none"/>
        </w:rPr>
      </w:pPr>
      <w:r>
        <w:rPr>
          <w:rFonts w:hint="eastAsia" w:ascii="宋体" w:hAnsi="宋体" w:cs="宋体"/>
          <w:bCs/>
          <w:sz w:val="24"/>
          <w:highlight w:val="none"/>
        </w:rPr>
        <w:t>《信息安全技术 信息安全风险评估方法》（GB/T 20984-2022）</w:t>
      </w:r>
    </w:p>
    <w:p w14:paraId="05012A0F">
      <w:pPr>
        <w:numPr>
          <w:ilvl w:val="0"/>
          <w:numId w:val="2"/>
        </w:numPr>
        <w:snapToGrid w:val="0"/>
        <w:spacing w:line="360" w:lineRule="auto"/>
        <w:ind w:left="0" w:firstLine="425"/>
        <w:rPr>
          <w:rFonts w:hint="eastAsia" w:ascii="宋体" w:hAnsi="宋体" w:cs="宋体"/>
          <w:sz w:val="24"/>
          <w:highlight w:val="none"/>
        </w:rPr>
      </w:pPr>
      <w:r>
        <w:rPr>
          <w:rFonts w:hint="eastAsia" w:ascii="宋体" w:hAnsi="宋体" w:cs="宋体"/>
          <w:bCs/>
          <w:sz w:val="24"/>
          <w:highlight w:val="none"/>
        </w:rPr>
        <w:t>《信息安全技术 云计算服务安全指南》（GB/T 31167-2014）</w:t>
      </w:r>
    </w:p>
    <w:p w14:paraId="62FA1522">
      <w:pPr>
        <w:numPr>
          <w:ilvl w:val="0"/>
          <w:numId w:val="2"/>
        </w:numPr>
        <w:snapToGrid w:val="0"/>
        <w:spacing w:line="360" w:lineRule="auto"/>
        <w:ind w:left="0" w:firstLine="425"/>
        <w:rPr>
          <w:rFonts w:hint="eastAsia" w:ascii="宋体" w:hAnsi="宋体" w:cs="宋体"/>
          <w:sz w:val="24"/>
          <w:highlight w:val="none"/>
        </w:rPr>
      </w:pPr>
      <w:r>
        <w:rPr>
          <w:rFonts w:hint="eastAsia" w:ascii="宋体" w:hAnsi="宋体" w:cs="宋体"/>
          <w:bCs/>
          <w:sz w:val="24"/>
          <w:highlight w:val="none"/>
        </w:rPr>
        <w:t>《信息安全技术 政府网站云计算服务安全指南》（GB/T 38249—2019）</w:t>
      </w:r>
    </w:p>
    <w:p w14:paraId="512BFCC1">
      <w:pPr>
        <w:numPr>
          <w:ilvl w:val="0"/>
          <w:numId w:val="2"/>
        </w:numPr>
        <w:snapToGrid w:val="0"/>
        <w:spacing w:line="360" w:lineRule="auto"/>
        <w:ind w:left="0" w:firstLine="425"/>
        <w:rPr>
          <w:rFonts w:hint="eastAsia" w:ascii="宋体" w:hAnsi="宋体" w:cs="宋体"/>
          <w:sz w:val="24"/>
          <w:highlight w:val="none"/>
        </w:rPr>
      </w:pPr>
      <w:r>
        <w:rPr>
          <w:rFonts w:hint="eastAsia" w:ascii="宋体" w:hAnsi="宋体" w:cs="宋体"/>
          <w:bCs/>
          <w:sz w:val="24"/>
          <w:highlight w:val="none"/>
        </w:rPr>
        <w:t>《信息安全技术 云计算安全参考架构》（GB/T 35279—2017）</w:t>
      </w:r>
    </w:p>
    <w:p w14:paraId="7C3A2A72">
      <w:pPr>
        <w:numPr>
          <w:ilvl w:val="0"/>
          <w:numId w:val="2"/>
        </w:numPr>
        <w:snapToGrid w:val="0"/>
        <w:spacing w:line="360" w:lineRule="auto"/>
        <w:ind w:left="0" w:firstLine="425"/>
        <w:rPr>
          <w:rFonts w:hint="eastAsia" w:ascii="宋体" w:hAnsi="宋体" w:cs="宋体"/>
          <w:sz w:val="24"/>
          <w:highlight w:val="none"/>
        </w:rPr>
      </w:pPr>
      <w:r>
        <w:rPr>
          <w:rFonts w:hint="eastAsia" w:ascii="宋体" w:hAnsi="宋体" w:cs="宋体"/>
          <w:bCs/>
          <w:sz w:val="24"/>
          <w:highlight w:val="none"/>
        </w:rPr>
        <w:t>《信息安全技术 云计算服务安全能力评估方法》GB/T 34942—2017</w:t>
      </w:r>
    </w:p>
    <w:p w14:paraId="2E763DA1">
      <w:pPr>
        <w:numPr>
          <w:ilvl w:val="0"/>
          <w:numId w:val="2"/>
        </w:numPr>
        <w:snapToGrid w:val="0"/>
        <w:spacing w:line="360" w:lineRule="auto"/>
        <w:ind w:left="0" w:firstLine="425"/>
        <w:rPr>
          <w:rFonts w:hint="eastAsia" w:ascii="宋体" w:hAnsi="宋体" w:cs="宋体"/>
          <w:sz w:val="24"/>
          <w:highlight w:val="none"/>
        </w:rPr>
      </w:pPr>
      <w:r>
        <w:rPr>
          <w:rFonts w:hint="eastAsia" w:ascii="宋体" w:hAnsi="宋体" w:cs="宋体"/>
          <w:bCs/>
          <w:sz w:val="24"/>
          <w:highlight w:val="none"/>
        </w:rPr>
        <w:t>《信息安全技术 云计算服务运行监管框架》（GB/T 37972—2019）</w:t>
      </w:r>
    </w:p>
    <w:p w14:paraId="285CFEB6">
      <w:pPr>
        <w:numPr>
          <w:ilvl w:val="0"/>
          <w:numId w:val="2"/>
        </w:numPr>
        <w:snapToGrid w:val="0"/>
        <w:spacing w:line="360" w:lineRule="auto"/>
        <w:ind w:left="0" w:firstLine="425"/>
        <w:rPr>
          <w:rFonts w:hint="eastAsia" w:ascii="宋体" w:hAnsi="宋体" w:cs="宋体"/>
          <w:sz w:val="24"/>
          <w:highlight w:val="none"/>
        </w:rPr>
      </w:pPr>
      <w:r>
        <w:rPr>
          <w:rFonts w:hint="eastAsia" w:ascii="宋体" w:hAnsi="宋体" w:cs="宋体"/>
          <w:bCs/>
          <w:sz w:val="24"/>
          <w:highlight w:val="none"/>
        </w:rPr>
        <w:t>《信息技术 云资源监控指标体系》（GB/T 37938-2019）</w:t>
      </w:r>
    </w:p>
    <w:p w14:paraId="31B75760">
      <w:pPr>
        <w:numPr>
          <w:ilvl w:val="0"/>
          <w:numId w:val="2"/>
        </w:numPr>
        <w:snapToGrid w:val="0"/>
        <w:spacing w:line="360" w:lineRule="auto"/>
        <w:ind w:left="0" w:firstLine="425"/>
        <w:rPr>
          <w:rFonts w:hint="eastAsia" w:ascii="宋体" w:hAnsi="宋体" w:cs="宋体"/>
          <w:bCs/>
          <w:sz w:val="24"/>
          <w:highlight w:val="none"/>
        </w:rPr>
      </w:pPr>
      <w:r>
        <w:rPr>
          <w:rFonts w:hint="eastAsia" w:ascii="宋体" w:hAnsi="宋体" w:cs="宋体"/>
          <w:bCs/>
          <w:sz w:val="24"/>
          <w:highlight w:val="none"/>
        </w:rPr>
        <w:t>《电子信息系统机房设计规范》（GB50174-2017）</w:t>
      </w:r>
    </w:p>
    <w:p w14:paraId="71B6D016">
      <w:pPr>
        <w:numPr>
          <w:ilvl w:val="0"/>
          <w:numId w:val="2"/>
        </w:numPr>
        <w:snapToGrid w:val="0"/>
        <w:spacing w:line="360" w:lineRule="auto"/>
        <w:ind w:left="0" w:firstLine="425"/>
        <w:rPr>
          <w:rFonts w:hint="eastAsia" w:ascii="宋体" w:hAnsi="宋体" w:cs="宋体"/>
          <w:bCs/>
          <w:sz w:val="24"/>
          <w:highlight w:val="none"/>
        </w:rPr>
      </w:pPr>
      <w:r>
        <w:rPr>
          <w:rFonts w:hint="eastAsia" w:ascii="宋体" w:hAnsi="宋体" w:cs="宋体"/>
          <w:bCs/>
          <w:sz w:val="24"/>
          <w:highlight w:val="none"/>
        </w:rPr>
        <w:t>《数据中心电信基础设施标准》（ANSI/TIA-942）</w:t>
      </w:r>
    </w:p>
    <w:p w14:paraId="6FD318E1">
      <w:pPr>
        <w:numPr>
          <w:ilvl w:val="0"/>
          <w:numId w:val="2"/>
        </w:numPr>
        <w:snapToGrid w:val="0"/>
        <w:spacing w:line="360" w:lineRule="auto"/>
        <w:ind w:left="0" w:firstLine="425"/>
        <w:rPr>
          <w:rFonts w:hint="eastAsia" w:ascii="宋体" w:hAnsi="宋体" w:cs="宋体"/>
          <w:bCs/>
          <w:sz w:val="24"/>
          <w:highlight w:val="none"/>
        </w:rPr>
      </w:pPr>
      <w:r>
        <w:rPr>
          <w:rFonts w:hint="eastAsia" w:ascii="宋体" w:hAnsi="宋体" w:cs="宋体"/>
          <w:bCs/>
          <w:sz w:val="24"/>
          <w:highlight w:val="none"/>
        </w:rPr>
        <w:t>《综合布线系统工程设计规范》（GB 50311—2016）</w:t>
      </w:r>
    </w:p>
    <w:p w14:paraId="1DB66C3E">
      <w:pPr>
        <w:numPr>
          <w:ilvl w:val="0"/>
          <w:numId w:val="2"/>
        </w:numPr>
        <w:snapToGrid w:val="0"/>
        <w:spacing w:line="360" w:lineRule="auto"/>
        <w:ind w:left="0" w:firstLine="425"/>
        <w:rPr>
          <w:rFonts w:hint="eastAsia" w:ascii="宋体" w:hAnsi="宋体" w:cs="宋体"/>
          <w:sz w:val="24"/>
          <w:highlight w:val="none"/>
        </w:rPr>
      </w:pPr>
      <w:r>
        <w:rPr>
          <w:rFonts w:hint="eastAsia" w:ascii="宋体" w:hAnsi="宋体" w:cs="宋体"/>
          <w:bCs/>
          <w:sz w:val="24"/>
          <w:highlight w:val="none"/>
        </w:rPr>
        <w:t>《云计算关键领域安全指南V4.0》</w:t>
      </w:r>
    </w:p>
    <w:p w14:paraId="2A1069BF">
      <w:pPr>
        <w:rPr>
          <w:rFonts w:hint="eastAsia" w:ascii="宋体" w:hAnsi="宋体" w:cs="宋体"/>
          <w:sz w:val="24"/>
          <w:highlight w:val="none"/>
        </w:rPr>
      </w:pPr>
      <w:r>
        <w:rPr>
          <w:rFonts w:hint="eastAsia" w:ascii="宋体" w:hAnsi="宋体" w:cs="宋体"/>
          <w:sz w:val="24"/>
          <w:highlight w:val="none"/>
        </w:rPr>
        <w:t>……</w:t>
      </w:r>
    </w:p>
    <w:p w14:paraId="375AFA0D">
      <w:pPr>
        <w:pStyle w:val="4"/>
        <w:ind w:firstLine="241" w:firstLineChars="100"/>
        <w:jc w:val="left"/>
        <w:rPr>
          <w:rFonts w:hint="eastAsia" w:ascii="宋体" w:hAnsi="宋体" w:eastAsia="宋体" w:cs="宋体"/>
          <w:sz w:val="24"/>
          <w:szCs w:val="24"/>
          <w:highlight w:val="none"/>
        </w:rPr>
      </w:pPr>
      <w:bookmarkStart w:id="7" w:name="_Toc22759"/>
      <w:r>
        <w:rPr>
          <w:rFonts w:hint="eastAsia" w:ascii="宋体" w:hAnsi="宋体" w:eastAsia="宋体" w:cs="宋体"/>
          <w:sz w:val="24"/>
          <w:szCs w:val="24"/>
          <w:highlight w:val="none"/>
        </w:rPr>
        <w:t>（三）北京市相关标准</w:t>
      </w:r>
      <w:bookmarkEnd w:id="7"/>
    </w:p>
    <w:p w14:paraId="5B64E48C">
      <w:pPr>
        <w:pStyle w:val="6"/>
        <w:numPr>
          <w:ilvl w:val="0"/>
          <w:numId w:val="3"/>
        </w:numPr>
        <w:snapToGrid w:val="0"/>
        <w:ind w:left="0" w:firstLine="425"/>
        <w:rPr>
          <w:rFonts w:hint="eastAsia" w:hAnsi="宋体" w:cs="宋体"/>
          <w:bCs/>
          <w:highlight w:val="none"/>
        </w:rPr>
      </w:pPr>
      <w:r>
        <w:rPr>
          <w:rFonts w:hint="eastAsia" w:hAnsi="宋体" w:cs="宋体"/>
          <w:bCs/>
          <w:highlight w:val="none"/>
        </w:rPr>
        <w:t>《政务云平台建设技术要求》（DB11/T 2169-2023）</w:t>
      </w:r>
    </w:p>
    <w:p w14:paraId="1D5F4623">
      <w:pPr>
        <w:numPr>
          <w:ilvl w:val="0"/>
          <w:numId w:val="3"/>
        </w:numPr>
        <w:snapToGrid w:val="0"/>
        <w:spacing w:line="360" w:lineRule="auto"/>
        <w:ind w:left="0" w:firstLine="425"/>
        <w:rPr>
          <w:rFonts w:hint="eastAsia" w:ascii="宋体" w:hAnsi="宋体" w:cs="宋体"/>
          <w:bCs/>
          <w:sz w:val="24"/>
          <w:highlight w:val="none"/>
        </w:rPr>
      </w:pPr>
      <w:r>
        <w:rPr>
          <w:rFonts w:hint="eastAsia" w:ascii="宋体" w:hAnsi="宋体" w:cs="宋体"/>
          <w:bCs/>
          <w:sz w:val="24"/>
          <w:highlight w:val="none"/>
        </w:rPr>
        <w:t xml:space="preserve">《北京市政务云安全技术规范 </w:t>
      </w:r>
      <w:r>
        <w:rPr>
          <w:rFonts w:hint="eastAsia" w:ascii="宋体" w:hAnsi="宋体" w:cs="宋体"/>
          <w:sz w:val="24"/>
          <w:highlight w:val="none"/>
        </w:rPr>
        <w:t>IaaS云计算平台分册</w:t>
      </w:r>
      <w:r>
        <w:rPr>
          <w:rFonts w:hint="eastAsia" w:ascii="宋体" w:hAnsi="宋体" w:cs="宋体"/>
          <w:bCs/>
          <w:sz w:val="24"/>
          <w:highlight w:val="none"/>
        </w:rPr>
        <w:t>》</w:t>
      </w:r>
    </w:p>
    <w:p w14:paraId="3D91FDC1">
      <w:pPr>
        <w:numPr>
          <w:ilvl w:val="0"/>
          <w:numId w:val="3"/>
        </w:numPr>
        <w:snapToGrid w:val="0"/>
        <w:spacing w:line="360" w:lineRule="auto"/>
        <w:ind w:left="0" w:firstLine="425"/>
        <w:rPr>
          <w:rFonts w:hint="eastAsia" w:ascii="宋体" w:hAnsi="宋体" w:cs="宋体"/>
          <w:bCs/>
          <w:sz w:val="24"/>
          <w:highlight w:val="none"/>
        </w:rPr>
      </w:pPr>
      <w:r>
        <w:rPr>
          <w:rFonts w:hint="eastAsia" w:ascii="宋体" w:hAnsi="宋体" w:cs="宋体"/>
          <w:bCs/>
          <w:sz w:val="24"/>
          <w:highlight w:val="none"/>
        </w:rPr>
        <w:t xml:space="preserve">《北京市政务云安全技术规范 </w:t>
      </w:r>
      <w:r>
        <w:rPr>
          <w:rFonts w:hint="eastAsia" w:ascii="宋体" w:hAnsi="宋体" w:cs="宋体"/>
          <w:sz w:val="24"/>
          <w:highlight w:val="none"/>
        </w:rPr>
        <w:t>IaaS云计算平台安全监管接口分册</w:t>
      </w:r>
      <w:r>
        <w:rPr>
          <w:rFonts w:hint="eastAsia" w:ascii="宋体" w:hAnsi="宋体" w:cs="宋体"/>
          <w:bCs/>
          <w:sz w:val="24"/>
          <w:highlight w:val="none"/>
        </w:rPr>
        <w:t>》</w:t>
      </w:r>
    </w:p>
    <w:p w14:paraId="3FE69F5B">
      <w:pPr>
        <w:numPr>
          <w:ilvl w:val="0"/>
          <w:numId w:val="3"/>
        </w:numPr>
        <w:snapToGrid w:val="0"/>
        <w:spacing w:line="360" w:lineRule="auto"/>
        <w:ind w:left="0" w:firstLine="425"/>
        <w:rPr>
          <w:rFonts w:hint="eastAsia" w:ascii="宋体" w:hAnsi="宋体" w:cs="宋体"/>
          <w:bCs/>
          <w:sz w:val="24"/>
          <w:highlight w:val="none"/>
        </w:rPr>
      </w:pPr>
      <w:r>
        <w:rPr>
          <w:rFonts w:hint="eastAsia" w:ascii="宋体" w:hAnsi="宋体" w:cs="宋体"/>
          <w:bCs/>
          <w:sz w:val="24"/>
          <w:highlight w:val="none"/>
        </w:rPr>
        <w:t xml:space="preserve">《北京市政务云安全技术规范 </w:t>
      </w:r>
      <w:r>
        <w:rPr>
          <w:rFonts w:hint="eastAsia" w:ascii="宋体" w:hAnsi="宋体" w:cs="宋体"/>
          <w:sz w:val="24"/>
          <w:highlight w:val="none"/>
        </w:rPr>
        <w:t>信息安全服务接口分册</w:t>
      </w:r>
      <w:r>
        <w:rPr>
          <w:rFonts w:hint="eastAsia" w:ascii="宋体" w:hAnsi="宋体" w:cs="宋体"/>
          <w:bCs/>
          <w:sz w:val="24"/>
          <w:highlight w:val="none"/>
        </w:rPr>
        <w:t>》</w:t>
      </w:r>
    </w:p>
    <w:p w14:paraId="15BD98AE">
      <w:pPr>
        <w:rPr>
          <w:rFonts w:hint="eastAsia" w:ascii="宋体" w:hAnsi="宋体" w:cs="宋体"/>
          <w:sz w:val="24"/>
          <w:highlight w:val="none"/>
        </w:rPr>
      </w:pPr>
      <w:r>
        <w:rPr>
          <w:rFonts w:hint="eastAsia" w:ascii="宋体" w:hAnsi="宋体" w:cs="宋体"/>
          <w:sz w:val="24"/>
          <w:highlight w:val="none"/>
        </w:rPr>
        <w:t>……</w:t>
      </w:r>
    </w:p>
    <w:p w14:paraId="727F76EB">
      <w:pPr>
        <w:rPr>
          <w:rFonts w:hint="eastAsia" w:ascii="宋体" w:hAnsi="宋体" w:cs="宋体"/>
          <w:sz w:val="24"/>
          <w:highlight w:val="none"/>
        </w:rPr>
      </w:pPr>
    </w:p>
    <w:p w14:paraId="0E8AB346">
      <w:pPr>
        <w:pStyle w:val="3"/>
        <w:numPr>
          <w:ilvl w:val="0"/>
          <w:numId w:val="1"/>
        </w:numPr>
        <w:jc w:val="left"/>
        <w:rPr>
          <w:rFonts w:hint="eastAsia" w:hAnsi="宋体" w:cs="宋体"/>
          <w:sz w:val="24"/>
          <w:szCs w:val="24"/>
          <w:highlight w:val="none"/>
        </w:rPr>
      </w:pPr>
      <w:bookmarkStart w:id="8" w:name="_Toc27514"/>
      <w:r>
        <w:rPr>
          <w:rFonts w:hint="eastAsia" w:hAnsi="宋体" w:cs="宋体"/>
          <w:sz w:val="24"/>
          <w:szCs w:val="24"/>
          <w:highlight w:val="none"/>
        </w:rPr>
        <w:t>项目背景或概况</w:t>
      </w:r>
      <w:bookmarkEnd w:id="8"/>
    </w:p>
    <w:p w14:paraId="449957D3">
      <w:pPr>
        <w:ind w:firstLine="480"/>
        <w:rPr>
          <w:rFonts w:hint="eastAsia" w:ascii="宋体" w:hAnsi="宋体" w:cs="宋体"/>
          <w:sz w:val="24"/>
          <w:highlight w:val="none"/>
        </w:rPr>
      </w:pPr>
      <w:r>
        <w:rPr>
          <w:rFonts w:hint="eastAsia" w:ascii="宋体" w:hAnsi="宋体" w:cs="宋体"/>
          <w:sz w:val="24"/>
          <w:highlight w:val="none"/>
        </w:rPr>
        <w:t>按照北京市委、市政府的部署，2016年底北京市卫生健康委员会（原北京市卫生和计划生育委员会）制定《市属医疗卫生资源率先疏解促进协同发展工作方案》，并已经市常委会审议通过。根据疏解方案，北京市卫生健康委员会启动实施包括北京市疾控中心迁建在内的市属医疗卫生资源疏解项目。加快推进北京市疾病预防控制中心迁建项目前期选址论证工作，并于2018年1月向市政府上报《关于加快推进市疾控迁建的请示》，获得市领导批复同意。2021年11月，北京市发展和改革委员会出具《关于批准北京市疾病预防控制中心迁建项目建议书（代可行性研究报告）的函》，同意实施北京市疾病预防控制中心迁建项目。2023年1月，北京市疾控中心新址建设项目正式开工建设，预计将于2025年7月完工。</w:t>
      </w:r>
    </w:p>
    <w:p w14:paraId="5F6CA598">
      <w:pPr>
        <w:ind w:firstLine="480"/>
        <w:rPr>
          <w:rFonts w:hint="eastAsia" w:ascii="宋体" w:hAnsi="宋体" w:cs="宋体"/>
          <w:b/>
          <w:sz w:val="24"/>
          <w:highlight w:val="none"/>
        </w:rPr>
      </w:pPr>
      <w:r>
        <w:rPr>
          <w:rFonts w:hint="eastAsia" w:ascii="宋体" w:hAnsi="宋体" w:cs="宋体"/>
          <w:sz w:val="24"/>
          <w:highlight w:val="none"/>
        </w:rPr>
        <w:t>市疾控中心现址四个院区，总占地面积25104.76平方米，建筑面积51380平方米，迁建后新址占地面积80392平方米，建筑面积124500平方米。与原址相比，新址的实验用房面积将从26000平方米增加为46000平方米。新址建成后，实验室检测能力将从现有的1100项增加到1600项。新址还将建成独立的公共卫生突发事件紧急应对中心、健康教育体验中心、菌毒种保藏中心以及融合科研教学培训的全球健康中心。</w:t>
      </w:r>
      <w:r>
        <w:rPr>
          <w:rFonts w:hint="eastAsia" w:ascii="宋体" w:hAnsi="宋体" w:cs="宋体"/>
          <w:b/>
          <w:sz w:val="24"/>
          <w:highlight w:val="none"/>
        </w:rPr>
        <w:t>本项目为新址</w:t>
      </w:r>
      <w:r>
        <w:rPr>
          <w:rFonts w:hint="eastAsia" w:ascii="宋体" w:hAnsi="宋体" w:cs="宋体"/>
          <w:b/>
          <w:bCs/>
          <w:sz w:val="24"/>
          <w:highlight w:val="none"/>
        </w:rPr>
        <w:t>信息化配套建设项目</w:t>
      </w:r>
      <w:r>
        <w:rPr>
          <w:rFonts w:hint="eastAsia" w:ascii="宋体" w:hAnsi="宋体" w:cs="宋体"/>
          <w:b/>
          <w:sz w:val="24"/>
          <w:highlight w:val="none"/>
        </w:rPr>
        <w:t>。</w:t>
      </w:r>
    </w:p>
    <w:p w14:paraId="5BD0F882">
      <w:pPr>
        <w:ind w:firstLine="480"/>
        <w:rPr>
          <w:rFonts w:hint="eastAsia" w:ascii="宋体" w:hAnsi="宋体" w:cs="宋体"/>
          <w:b/>
          <w:bCs/>
          <w:sz w:val="24"/>
          <w:highlight w:val="none"/>
        </w:rPr>
      </w:pPr>
      <w:r>
        <w:rPr>
          <w:rFonts w:hint="eastAsia" w:ascii="宋体" w:hAnsi="宋体" w:cs="宋体"/>
          <w:b/>
          <w:bCs/>
          <w:sz w:val="24"/>
          <w:highlight w:val="none"/>
        </w:rPr>
        <w:t>（一）新建的信息系统情况如下：</w:t>
      </w:r>
    </w:p>
    <w:p w14:paraId="25021321">
      <w:pPr>
        <w:pStyle w:val="5"/>
        <w:numPr>
          <w:ilvl w:val="4"/>
          <w:numId w:val="0"/>
        </w:numPr>
        <w:spacing w:before="0" w:after="0" w:line="360" w:lineRule="auto"/>
        <w:rPr>
          <w:rFonts w:hint="eastAsia" w:ascii="宋体" w:hAnsi="宋体" w:cs="宋体"/>
          <w:sz w:val="24"/>
          <w:szCs w:val="24"/>
          <w:highlight w:val="none"/>
        </w:rPr>
      </w:pPr>
      <w:r>
        <w:rPr>
          <w:rFonts w:hint="eastAsia" w:ascii="宋体" w:hAnsi="宋体" w:cs="宋体"/>
          <w:sz w:val="24"/>
          <w:szCs w:val="24"/>
          <w:highlight w:val="none"/>
        </w:rPr>
        <w:t>1.实验室全周期管理系统</w:t>
      </w:r>
    </w:p>
    <w:p w14:paraId="1F8168FF">
      <w:pPr>
        <w:ind w:firstLine="480"/>
        <w:rPr>
          <w:rFonts w:hint="eastAsia" w:ascii="宋体" w:hAnsi="宋体" w:cs="宋体"/>
          <w:sz w:val="24"/>
          <w:highlight w:val="none"/>
        </w:rPr>
      </w:pPr>
      <w:r>
        <w:rPr>
          <w:rFonts w:hint="eastAsia" w:ascii="宋体" w:hAnsi="宋体" w:cs="宋体"/>
          <w:sz w:val="24"/>
          <w:highlight w:val="none"/>
        </w:rPr>
        <w:t>现有实验室流程中，仅有试剂耗材和仪器设备的申购、采购及发放依托北京市疾控中心办公自动化（OA）系统实现了信息化管理，其他环节如样品接收、任务分配、实验记录、检测报告编制与审核等仍依赖人工操作和纸质记录，存在效率低、追溯难、数据易丢失等问题。故依托本次新址迁建信息化建设项目，申报建设实验室全周期管理系统。</w:t>
      </w:r>
    </w:p>
    <w:p w14:paraId="44A0421F">
      <w:pPr>
        <w:rPr>
          <w:rFonts w:hint="eastAsia" w:ascii="宋体" w:hAnsi="宋体" w:cs="宋体"/>
          <w:sz w:val="24"/>
          <w:highlight w:val="none"/>
        </w:rPr>
      </w:pPr>
      <w:r>
        <w:rPr>
          <w:rFonts w:hint="eastAsia" w:ascii="宋体" w:hAnsi="宋体" w:cs="宋体"/>
          <w:sz w:val="24"/>
          <w:highlight w:val="none"/>
        </w:rPr>
        <w:t>根据业务需求分析，实验室全流程管理系统应支持基础配置管理、实验室全流程业务管理、数据统计分析展示、实验室环境管理功能。</w:t>
      </w:r>
    </w:p>
    <w:p w14:paraId="2A21966E">
      <w:pPr>
        <w:numPr>
          <w:ilvl w:val="0"/>
          <w:numId w:val="4"/>
        </w:numPr>
        <w:rPr>
          <w:rFonts w:hint="eastAsia" w:ascii="宋体" w:hAnsi="宋体" w:cs="宋体"/>
          <w:kern w:val="0"/>
          <w:sz w:val="24"/>
          <w:highlight w:val="none"/>
        </w:rPr>
      </w:pPr>
      <w:r>
        <w:rPr>
          <w:rFonts w:hint="eastAsia" w:ascii="宋体" w:hAnsi="宋体" w:cs="宋体"/>
          <w:kern w:val="0"/>
          <w:sz w:val="24"/>
          <w:highlight w:val="none"/>
        </w:rPr>
        <w:t>建筑能效管理系统</w:t>
      </w:r>
    </w:p>
    <w:p w14:paraId="224FCEE9">
      <w:pPr>
        <w:numPr>
          <w:ilvl w:val="0"/>
          <w:numId w:val="4"/>
        </w:numPr>
        <w:rPr>
          <w:rFonts w:hint="eastAsia" w:ascii="宋体" w:hAnsi="宋体" w:cs="宋体"/>
          <w:kern w:val="0"/>
          <w:sz w:val="24"/>
          <w:highlight w:val="none"/>
        </w:rPr>
      </w:pPr>
      <w:r>
        <w:rPr>
          <w:rFonts w:hint="eastAsia" w:ascii="宋体" w:hAnsi="宋体" w:cs="宋体"/>
          <w:kern w:val="0"/>
          <w:sz w:val="24"/>
          <w:highlight w:val="none"/>
        </w:rPr>
        <w:t>建筑设备监控系统</w:t>
      </w:r>
    </w:p>
    <w:p w14:paraId="03BE9404">
      <w:pPr>
        <w:numPr>
          <w:ilvl w:val="0"/>
          <w:numId w:val="4"/>
        </w:numPr>
        <w:rPr>
          <w:rFonts w:hint="eastAsia" w:ascii="宋体" w:hAnsi="宋体" w:cs="宋体"/>
          <w:kern w:val="0"/>
          <w:sz w:val="24"/>
          <w:highlight w:val="none"/>
        </w:rPr>
      </w:pPr>
      <w:r>
        <w:rPr>
          <w:rFonts w:hint="eastAsia" w:ascii="宋体" w:hAnsi="宋体" w:cs="宋体"/>
          <w:kern w:val="0"/>
          <w:sz w:val="24"/>
          <w:highlight w:val="none"/>
        </w:rPr>
        <w:t>后勤管理系统</w:t>
      </w:r>
    </w:p>
    <w:p w14:paraId="4FE2632D">
      <w:pPr>
        <w:pStyle w:val="5"/>
        <w:numPr>
          <w:ilvl w:val="4"/>
          <w:numId w:val="0"/>
        </w:numPr>
        <w:spacing w:before="0" w:after="0" w:line="360" w:lineRule="auto"/>
        <w:rPr>
          <w:rFonts w:hint="eastAsia" w:ascii="宋体" w:hAnsi="宋体" w:cs="宋体"/>
          <w:sz w:val="24"/>
          <w:szCs w:val="24"/>
          <w:highlight w:val="none"/>
        </w:rPr>
      </w:pPr>
      <w:r>
        <w:rPr>
          <w:rFonts w:hint="eastAsia" w:ascii="宋体" w:hAnsi="宋体" w:cs="宋体"/>
          <w:sz w:val="24"/>
          <w:szCs w:val="24"/>
          <w:highlight w:val="none"/>
        </w:rPr>
        <w:t>（二）现有的信息系统情况如下：</w:t>
      </w:r>
    </w:p>
    <w:p w14:paraId="7D6C2F1B">
      <w:pPr>
        <w:pStyle w:val="5"/>
        <w:spacing w:before="0" w:after="0" w:line="360" w:lineRule="auto"/>
        <w:rPr>
          <w:rFonts w:hint="eastAsia" w:ascii="宋体" w:hAnsi="宋体" w:cs="宋体"/>
          <w:sz w:val="24"/>
          <w:szCs w:val="24"/>
          <w:highlight w:val="none"/>
        </w:rPr>
      </w:pPr>
      <w:r>
        <w:rPr>
          <w:rFonts w:hint="eastAsia" w:ascii="宋体" w:hAnsi="宋体" w:cs="宋体"/>
          <w:sz w:val="24"/>
          <w:szCs w:val="24"/>
          <w:highlight w:val="none"/>
        </w:rPr>
        <w:t>1.办公自动化（OA）系统</w:t>
      </w:r>
    </w:p>
    <w:p w14:paraId="073E3257">
      <w:pPr>
        <w:ind w:firstLine="480"/>
        <w:rPr>
          <w:rFonts w:hint="eastAsia" w:ascii="宋体" w:hAnsi="宋体" w:cs="宋体"/>
          <w:sz w:val="24"/>
          <w:highlight w:val="none"/>
        </w:rPr>
      </w:pPr>
      <w:r>
        <w:rPr>
          <w:rFonts w:hint="eastAsia" w:ascii="宋体" w:hAnsi="宋体" w:cs="宋体"/>
          <w:sz w:val="24"/>
          <w:highlight w:val="none"/>
        </w:rPr>
        <w:t>办公自动化（OA）系统是中心内部运行的内网办公系统，于2010年建设上线。主要包括协同工作、流程表单管理、公文管理、会议室管理、日程管理等功能。该系统日常在线人数超过200个，可以通过疾控中心内网或“互联网+VPN”的方式登录该系统。该系统将依托本次迁建信息化建设迁移至政务云，其中与实验室全周期管理系统相关的管理流程（包括合同签署、申购、人员等）将复用。因此本次迁建信息化建设项目中涉及该系统利旧，同时由于该系统上云后需开展密码改造和IPV6改造，目前已申报迁云及系统改造的建设内容。</w:t>
      </w:r>
    </w:p>
    <w:p w14:paraId="789A0C9D">
      <w:pPr>
        <w:pStyle w:val="5"/>
        <w:spacing w:before="0" w:after="0" w:line="360" w:lineRule="auto"/>
        <w:rPr>
          <w:rFonts w:hint="eastAsia" w:ascii="宋体" w:hAnsi="宋体" w:cs="宋体"/>
          <w:sz w:val="24"/>
          <w:szCs w:val="24"/>
          <w:highlight w:val="none"/>
        </w:rPr>
      </w:pPr>
      <w:r>
        <w:rPr>
          <w:rFonts w:hint="eastAsia" w:ascii="宋体" w:hAnsi="宋体" w:cs="宋体"/>
          <w:sz w:val="24"/>
          <w:szCs w:val="24"/>
          <w:highlight w:val="none"/>
        </w:rPr>
        <w:t>2.北京疾控资源管理平台</w:t>
      </w:r>
    </w:p>
    <w:p w14:paraId="514D5372">
      <w:pPr>
        <w:ind w:firstLine="480"/>
        <w:rPr>
          <w:rFonts w:hint="eastAsia" w:ascii="宋体" w:hAnsi="宋体" w:cs="宋体"/>
          <w:sz w:val="24"/>
          <w:highlight w:val="none"/>
        </w:rPr>
      </w:pPr>
      <w:r>
        <w:rPr>
          <w:rFonts w:hint="eastAsia" w:ascii="宋体" w:hAnsi="宋体" w:cs="宋体"/>
          <w:sz w:val="24"/>
          <w:highlight w:val="none"/>
        </w:rPr>
        <w:t>北京疾控资源管理平台，是中心内部运行的内网系统，主要包括物资管理、耗材管理、固定资产管理，科研人员管理、带教老师、学生人员信息维护，应急值守，排班管理、电话工单。该系统将依托本次迁建信息化建设迁移至政务云，其中与实验室全周期管理系统相关的管理流程（包括物资管理、耗材管理、固定资产管理等）将复用。因此本次迁建信息化建设项目中涉及该系统利旧，同时由于该系统上云后需开展密码改造和IPV6改造，目前已申报迁云及系统改造的建设内容。</w:t>
      </w:r>
    </w:p>
    <w:p w14:paraId="274A7FAC">
      <w:pPr>
        <w:pStyle w:val="5"/>
        <w:numPr>
          <w:ilvl w:val="0"/>
          <w:numId w:val="5"/>
        </w:numPr>
        <w:spacing w:before="0" w:after="0" w:line="360" w:lineRule="auto"/>
        <w:rPr>
          <w:rFonts w:hint="eastAsia" w:ascii="宋体" w:hAnsi="宋体" w:cs="宋体"/>
          <w:sz w:val="24"/>
          <w:szCs w:val="24"/>
          <w:highlight w:val="none"/>
        </w:rPr>
      </w:pPr>
      <w:r>
        <w:rPr>
          <w:rFonts w:hint="eastAsia" w:ascii="宋体" w:hAnsi="宋体" w:cs="宋体"/>
          <w:sz w:val="24"/>
          <w:szCs w:val="24"/>
          <w:highlight w:val="none"/>
        </w:rPr>
        <w:t>科研管理系统</w:t>
      </w:r>
    </w:p>
    <w:p w14:paraId="59981F10">
      <w:pPr>
        <w:ind w:firstLine="480"/>
        <w:rPr>
          <w:rFonts w:hint="eastAsia" w:ascii="宋体" w:hAnsi="宋体" w:cs="宋体"/>
          <w:sz w:val="24"/>
          <w:highlight w:val="none"/>
        </w:rPr>
      </w:pPr>
      <w:r>
        <w:rPr>
          <w:rFonts w:hint="eastAsia" w:ascii="宋体" w:hAnsi="宋体" w:cs="宋体"/>
          <w:sz w:val="24"/>
          <w:highlight w:val="none"/>
        </w:rPr>
        <w:t>包括中心内部科研人员项目、论文著作等成果录入管理等功能。</w:t>
      </w:r>
    </w:p>
    <w:p w14:paraId="6181A331">
      <w:pPr>
        <w:pStyle w:val="5"/>
        <w:numPr>
          <w:ilvl w:val="4"/>
          <w:numId w:val="0"/>
        </w:numPr>
        <w:spacing w:before="0" w:after="0" w:line="360" w:lineRule="auto"/>
        <w:rPr>
          <w:rFonts w:hint="eastAsia" w:ascii="宋体" w:hAnsi="宋体" w:cs="宋体"/>
          <w:sz w:val="24"/>
          <w:szCs w:val="24"/>
          <w:highlight w:val="none"/>
        </w:rPr>
      </w:pPr>
      <w:r>
        <w:rPr>
          <w:rFonts w:hint="eastAsia" w:ascii="宋体" w:hAnsi="宋体" w:cs="宋体"/>
          <w:sz w:val="24"/>
          <w:szCs w:val="24"/>
          <w:highlight w:val="none"/>
        </w:rPr>
        <w:t>4.档案管理系统</w:t>
      </w:r>
    </w:p>
    <w:p w14:paraId="7C94B46E">
      <w:pPr>
        <w:ind w:firstLine="480"/>
        <w:rPr>
          <w:rFonts w:hint="eastAsia" w:ascii="宋体" w:hAnsi="宋体" w:cs="宋体"/>
          <w:sz w:val="24"/>
          <w:highlight w:val="none"/>
        </w:rPr>
      </w:pPr>
      <w:r>
        <w:rPr>
          <w:rFonts w:hint="eastAsia" w:ascii="宋体" w:hAnsi="宋体" w:cs="宋体"/>
          <w:sz w:val="24"/>
          <w:highlight w:val="none"/>
        </w:rPr>
        <w:t>该系统实现了电子文件在线归档、数据导入导出、档案整理、档案查询、档案利用、档案统计、年报统计、用户及角色管理、系统管理、日志管理等功能。根据实际工作情况以及档案利用需求，不同环节所涉及的人员不同，应用需求不同，管理要求不同，同时，从档案的安全性考虑，采用分权限、分模块、分角色的应用方式，针对不同用户赋予不同的角色权限。目前档案管理系统具备文书用户、部门领导、档案管理员、系统三员等角色，共计维护可使用登录档案管理系统用户共计150余人。</w:t>
      </w:r>
    </w:p>
    <w:p w14:paraId="2FE39E76">
      <w:pPr>
        <w:pStyle w:val="5"/>
        <w:numPr>
          <w:ilvl w:val="4"/>
          <w:numId w:val="0"/>
        </w:numPr>
        <w:spacing w:before="0" w:after="0" w:line="360" w:lineRule="auto"/>
        <w:rPr>
          <w:rFonts w:hint="eastAsia" w:ascii="宋体" w:hAnsi="宋体" w:cs="宋体"/>
          <w:sz w:val="24"/>
          <w:szCs w:val="24"/>
          <w:highlight w:val="none"/>
        </w:rPr>
      </w:pPr>
      <w:r>
        <w:rPr>
          <w:rFonts w:hint="eastAsia" w:ascii="宋体" w:hAnsi="宋体" w:cs="宋体"/>
          <w:sz w:val="24"/>
          <w:szCs w:val="24"/>
          <w:highlight w:val="none"/>
        </w:rPr>
        <w:t>5.北京市职业健康监护信息管理系统</w:t>
      </w:r>
    </w:p>
    <w:p w14:paraId="4CF5A676">
      <w:pPr>
        <w:pStyle w:val="6"/>
        <w:rPr>
          <w:rFonts w:hint="eastAsia" w:hAnsi="宋体" w:cs="宋体"/>
          <w:highlight w:val="none"/>
        </w:rPr>
      </w:pPr>
      <w:r>
        <w:rPr>
          <w:rFonts w:hint="eastAsia" w:hAnsi="宋体" w:cs="宋体"/>
          <w:highlight w:val="none"/>
        </w:rPr>
        <w:t>该系统包括职业健康检查机构管理、体检数据采集与上报、职业病报告管理、重点职业病监测与风险评估等功能。该系统服务于全市职业健康检查机构，实现了体检数据的标准化采集与实时上报，为职业卫生监管决策提供了数据支撑。目前该系统通过等保三级测评，使用CA证书登录，用户数150左右。</w:t>
      </w:r>
    </w:p>
    <w:p w14:paraId="063E0E2E">
      <w:pPr>
        <w:pStyle w:val="3"/>
        <w:numPr>
          <w:ilvl w:val="0"/>
          <w:numId w:val="1"/>
        </w:numPr>
        <w:jc w:val="left"/>
        <w:rPr>
          <w:rFonts w:hint="eastAsia" w:hAnsi="宋体" w:cs="宋体"/>
          <w:sz w:val="24"/>
          <w:szCs w:val="24"/>
          <w:highlight w:val="none"/>
        </w:rPr>
      </w:pPr>
      <w:bookmarkStart w:id="9" w:name="_Toc9754"/>
      <w:r>
        <w:rPr>
          <w:rFonts w:hint="eastAsia" w:hAnsi="宋体" w:cs="宋体"/>
          <w:sz w:val="24"/>
          <w:szCs w:val="24"/>
          <w:highlight w:val="none"/>
        </w:rPr>
        <w:t>技术参数要求</w:t>
      </w:r>
      <w:bookmarkEnd w:id="9"/>
    </w:p>
    <w:tbl>
      <w:tblPr>
        <w:tblStyle w:val="9"/>
        <w:tblW w:w="9430" w:type="dxa"/>
        <w:tblInd w:w="100" w:type="dxa"/>
        <w:tblLayout w:type="fixed"/>
        <w:tblCellMar>
          <w:top w:w="0" w:type="dxa"/>
          <w:left w:w="108" w:type="dxa"/>
          <w:bottom w:w="0" w:type="dxa"/>
          <w:right w:w="108" w:type="dxa"/>
        </w:tblCellMar>
      </w:tblPr>
      <w:tblGrid>
        <w:gridCol w:w="1279"/>
        <w:gridCol w:w="2675"/>
        <w:gridCol w:w="1020"/>
        <w:gridCol w:w="1020"/>
        <w:gridCol w:w="1020"/>
        <w:gridCol w:w="770"/>
        <w:gridCol w:w="1646"/>
      </w:tblGrid>
      <w:tr w14:paraId="7991E78D">
        <w:tblPrEx>
          <w:tblCellMar>
            <w:top w:w="0" w:type="dxa"/>
            <w:left w:w="108" w:type="dxa"/>
            <w:bottom w:w="0" w:type="dxa"/>
            <w:right w:w="108" w:type="dxa"/>
          </w:tblCellMar>
        </w:tblPrEx>
        <w:trPr>
          <w:trHeight w:val="270" w:hRule="atLeast"/>
        </w:trPr>
        <w:tc>
          <w:tcPr>
            <w:tcW w:w="1279" w:type="dxa"/>
            <w:tcBorders>
              <w:top w:val="single" w:color="000000" w:sz="4" w:space="0"/>
              <w:left w:val="single" w:color="000000" w:sz="4" w:space="0"/>
              <w:bottom w:val="single" w:color="000000" w:sz="4" w:space="0"/>
              <w:right w:val="single" w:color="000000" w:sz="4" w:space="0"/>
            </w:tcBorders>
            <w:noWrap/>
            <w:vAlign w:val="center"/>
          </w:tcPr>
          <w:p w14:paraId="30A81817">
            <w:pPr>
              <w:widowControl/>
              <w:jc w:val="left"/>
              <w:textAlignment w:val="center"/>
              <w:rPr>
                <w:rFonts w:hint="eastAsia" w:ascii="宋体" w:hAnsi="宋体" w:cs="宋体"/>
                <w:color w:val="000000"/>
                <w:sz w:val="24"/>
                <w:highlight w:val="none"/>
              </w:rPr>
            </w:pPr>
            <w:bookmarkStart w:id="10" w:name="_Toc12042"/>
            <w:r>
              <w:rPr>
                <w:rFonts w:hint="eastAsia" w:ascii="宋体" w:hAnsi="宋体" w:cs="宋体"/>
                <w:color w:val="000000"/>
                <w:kern w:val="0"/>
                <w:sz w:val="24"/>
                <w:highlight w:val="none"/>
                <w:lang w:bidi="ar"/>
              </w:rPr>
              <w:t>服务类别</w:t>
            </w:r>
          </w:p>
        </w:tc>
        <w:tc>
          <w:tcPr>
            <w:tcW w:w="2675" w:type="dxa"/>
            <w:tcBorders>
              <w:top w:val="single" w:color="000000" w:sz="4" w:space="0"/>
              <w:left w:val="single" w:color="000000" w:sz="4" w:space="0"/>
              <w:bottom w:val="single" w:color="000000" w:sz="4" w:space="0"/>
              <w:right w:val="single" w:color="000000" w:sz="4" w:space="0"/>
            </w:tcBorders>
            <w:vAlign w:val="center"/>
          </w:tcPr>
          <w:p w14:paraId="3E687FC0">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服务项</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7F4ACED7">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服务数量</w:t>
            </w:r>
          </w:p>
        </w:tc>
        <w:tc>
          <w:tcPr>
            <w:tcW w:w="1020" w:type="dxa"/>
            <w:tcBorders>
              <w:top w:val="single" w:color="000000" w:sz="4" w:space="0"/>
              <w:left w:val="single" w:color="000000" w:sz="4" w:space="0"/>
              <w:bottom w:val="single" w:color="000000" w:sz="4" w:space="0"/>
              <w:right w:val="single" w:color="000000" w:sz="4" w:space="0"/>
            </w:tcBorders>
            <w:vAlign w:val="center"/>
          </w:tcPr>
          <w:p w14:paraId="6911B5F4">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计价单位</w:t>
            </w:r>
          </w:p>
        </w:tc>
        <w:tc>
          <w:tcPr>
            <w:tcW w:w="1020" w:type="dxa"/>
            <w:tcBorders>
              <w:top w:val="single" w:color="000000" w:sz="4" w:space="0"/>
              <w:left w:val="single" w:color="000000" w:sz="4" w:space="0"/>
              <w:bottom w:val="single" w:color="000000" w:sz="4" w:space="0"/>
              <w:right w:val="single" w:color="000000" w:sz="4" w:space="0"/>
            </w:tcBorders>
            <w:vAlign w:val="center"/>
          </w:tcPr>
          <w:p w14:paraId="6EBFEEA9">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报价单位</w:t>
            </w:r>
          </w:p>
        </w:tc>
        <w:tc>
          <w:tcPr>
            <w:tcW w:w="770" w:type="dxa"/>
            <w:tcBorders>
              <w:top w:val="single" w:color="000000" w:sz="4" w:space="0"/>
              <w:left w:val="single" w:color="000000" w:sz="4" w:space="0"/>
              <w:bottom w:val="single" w:color="000000" w:sz="4" w:space="0"/>
              <w:right w:val="single" w:color="000000" w:sz="4" w:space="0"/>
            </w:tcBorders>
            <w:noWrap/>
            <w:vAlign w:val="center"/>
          </w:tcPr>
          <w:p w14:paraId="63C3C547">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服务期</w:t>
            </w:r>
          </w:p>
        </w:tc>
        <w:tc>
          <w:tcPr>
            <w:tcW w:w="1646" w:type="dxa"/>
            <w:tcBorders>
              <w:top w:val="single" w:color="000000" w:sz="4" w:space="0"/>
              <w:left w:val="single" w:color="000000" w:sz="4" w:space="0"/>
              <w:bottom w:val="single" w:color="000000" w:sz="4" w:space="0"/>
              <w:right w:val="single" w:color="000000" w:sz="4" w:space="0"/>
            </w:tcBorders>
            <w:noWrap/>
            <w:vAlign w:val="center"/>
          </w:tcPr>
          <w:p w14:paraId="4EA4E846">
            <w:pPr>
              <w:widowControl/>
              <w:jc w:val="left"/>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分项最高限价</w:t>
            </w:r>
          </w:p>
        </w:tc>
      </w:tr>
      <w:tr w14:paraId="550B2FFD">
        <w:tblPrEx>
          <w:tblCellMar>
            <w:top w:w="0" w:type="dxa"/>
            <w:left w:w="108" w:type="dxa"/>
            <w:bottom w:w="0" w:type="dxa"/>
            <w:right w:w="108" w:type="dxa"/>
          </w:tblCellMar>
        </w:tblPrEx>
        <w:trPr>
          <w:trHeight w:val="600" w:hRule="atLeast"/>
        </w:trPr>
        <w:tc>
          <w:tcPr>
            <w:tcW w:w="1279" w:type="dxa"/>
            <w:vMerge w:val="restart"/>
            <w:tcBorders>
              <w:top w:val="single" w:color="000000" w:sz="4" w:space="0"/>
              <w:left w:val="single" w:color="000000" w:sz="4" w:space="0"/>
              <w:bottom w:val="single" w:color="000000" w:sz="4" w:space="0"/>
              <w:right w:val="single" w:color="000000" w:sz="4" w:space="0"/>
            </w:tcBorders>
            <w:noWrap/>
            <w:vAlign w:val="center"/>
          </w:tcPr>
          <w:p w14:paraId="50BDD060">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计算服务</w:t>
            </w:r>
          </w:p>
        </w:tc>
        <w:tc>
          <w:tcPr>
            <w:tcW w:w="2675" w:type="dxa"/>
            <w:vMerge w:val="restart"/>
            <w:tcBorders>
              <w:top w:val="single" w:color="000000" w:sz="4" w:space="0"/>
              <w:left w:val="single" w:color="000000" w:sz="4" w:space="0"/>
              <w:bottom w:val="single" w:color="000000" w:sz="4" w:space="0"/>
              <w:right w:val="single" w:color="000000" w:sz="4" w:space="0"/>
            </w:tcBorders>
            <w:vAlign w:val="center"/>
          </w:tcPr>
          <w:p w14:paraId="71D8D6BE">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vCPU（vCPU ARM架构主频不低于2.4GHz，C86和x86主频不低于2.2GHz，平均虚拟化率，即物理CPU/虚拟CPU≥1/4，虚拟CPU利用率不低于物理CPU的25% ）</w:t>
            </w:r>
          </w:p>
        </w:tc>
        <w:tc>
          <w:tcPr>
            <w:tcW w:w="1020" w:type="dxa"/>
            <w:vMerge w:val="restart"/>
            <w:tcBorders>
              <w:top w:val="single" w:color="000000" w:sz="4" w:space="0"/>
              <w:left w:val="single" w:color="000000" w:sz="4" w:space="0"/>
              <w:bottom w:val="single" w:color="000000" w:sz="4" w:space="0"/>
              <w:right w:val="single" w:color="000000" w:sz="4" w:space="0"/>
            </w:tcBorders>
            <w:noWrap/>
            <w:vAlign w:val="center"/>
          </w:tcPr>
          <w:p w14:paraId="0F60261B">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656</w:t>
            </w:r>
          </w:p>
        </w:tc>
        <w:tc>
          <w:tcPr>
            <w:tcW w:w="1020" w:type="dxa"/>
            <w:vMerge w:val="restart"/>
            <w:tcBorders>
              <w:top w:val="single" w:color="000000" w:sz="4" w:space="0"/>
              <w:left w:val="single" w:color="000000" w:sz="4" w:space="0"/>
              <w:bottom w:val="single" w:color="000000" w:sz="4" w:space="0"/>
              <w:right w:val="single" w:color="000000" w:sz="4" w:space="0"/>
            </w:tcBorders>
            <w:noWrap/>
            <w:vAlign w:val="center"/>
          </w:tcPr>
          <w:p w14:paraId="67B02E2C">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1CPU</w:t>
            </w:r>
          </w:p>
        </w:tc>
        <w:tc>
          <w:tcPr>
            <w:tcW w:w="1020" w:type="dxa"/>
            <w:vMerge w:val="restart"/>
            <w:tcBorders>
              <w:top w:val="single" w:color="000000" w:sz="4" w:space="0"/>
              <w:left w:val="single" w:color="000000" w:sz="4" w:space="0"/>
              <w:bottom w:val="single" w:color="000000" w:sz="4" w:space="0"/>
              <w:right w:val="single" w:color="000000" w:sz="4" w:space="0"/>
            </w:tcBorders>
            <w:vAlign w:val="center"/>
          </w:tcPr>
          <w:p w14:paraId="35A0C448">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元/年</w:t>
            </w:r>
          </w:p>
        </w:tc>
        <w:tc>
          <w:tcPr>
            <w:tcW w:w="770" w:type="dxa"/>
            <w:vMerge w:val="restart"/>
            <w:tcBorders>
              <w:top w:val="single" w:color="000000" w:sz="4" w:space="0"/>
              <w:left w:val="single" w:color="000000" w:sz="4" w:space="0"/>
              <w:bottom w:val="single" w:color="000000" w:sz="4" w:space="0"/>
              <w:right w:val="single" w:color="000000" w:sz="4" w:space="0"/>
            </w:tcBorders>
            <w:noWrap/>
            <w:vAlign w:val="center"/>
          </w:tcPr>
          <w:p w14:paraId="1ACF5E52">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1年</w:t>
            </w:r>
          </w:p>
        </w:tc>
        <w:tc>
          <w:tcPr>
            <w:tcW w:w="1646" w:type="dxa"/>
            <w:vMerge w:val="restart"/>
            <w:tcBorders>
              <w:top w:val="single" w:color="000000" w:sz="4" w:space="0"/>
              <w:left w:val="single" w:color="000000" w:sz="4" w:space="0"/>
              <w:bottom w:val="single" w:color="000000" w:sz="4" w:space="0"/>
              <w:right w:val="single" w:color="000000" w:sz="4" w:space="0"/>
            </w:tcBorders>
            <w:noWrap/>
            <w:vAlign w:val="center"/>
          </w:tcPr>
          <w:p w14:paraId="64775427">
            <w:pPr>
              <w:widowControl/>
              <w:jc w:val="left"/>
              <w:textAlignment w:val="center"/>
              <w:rPr>
                <w:rFonts w:hint="eastAsia" w:ascii="宋体" w:hAnsi="宋体" w:cs="宋体"/>
                <w:b/>
                <w:bCs/>
                <w:color w:val="000000"/>
                <w:sz w:val="24"/>
                <w:highlight w:val="none"/>
              </w:rPr>
            </w:pPr>
            <w:r>
              <w:rPr>
                <w:rFonts w:hint="eastAsia" w:ascii="宋体" w:hAnsi="宋体" w:cs="宋体"/>
                <w:b/>
                <w:bCs/>
                <w:color w:val="000000"/>
                <w:sz w:val="24"/>
                <w:highlight w:val="none"/>
              </w:rPr>
              <w:t>1311895.68</w:t>
            </w:r>
          </w:p>
        </w:tc>
      </w:tr>
      <w:tr w14:paraId="73D2385F">
        <w:tblPrEx>
          <w:tblCellMar>
            <w:top w:w="0" w:type="dxa"/>
            <w:left w:w="108" w:type="dxa"/>
            <w:bottom w:w="0" w:type="dxa"/>
            <w:right w:w="108" w:type="dxa"/>
          </w:tblCellMar>
        </w:tblPrEx>
        <w:trPr>
          <w:trHeight w:val="600" w:hRule="atLeast"/>
        </w:trPr>
        <w:tc>
          <w:tcPr>
            <w:tcW w:w="1279" w:type="dxa"/>
            <w:vMerge w:val="continue"/>
            <w:tcBorders>
              <w:top w:val="single" w:color="000000" w:sz="4" w:space="0"/>
              <w:left w:val="single" w:color="000000" w:sz="4" w:space="0"/>
              <w:bottom w:val="single" w:color="000000" w:sz="4" w:space="0"/>
              <w:right w:val="single" w:color="000000" w:sz="4" w:space="0"/>
            </w:tcBorders>
            <w:noWrap/>
            <w:vAlign w:val="center"/>
          </w:tcPr>
          <w:p w14:paraId="14900166">
            <w:pPr>
              <w:jc w:val="left"/>
              <w:rPr>
                <w:rFonts w:hint="eastAsia" w:ascii="宋体" w:hAnsi="宋体" w:cs="宋体"/>
                <w:color w:val="000000"/>
                <w:sz w:val="24"/>
                <w:highlight w:val="none"/>
              </w:rPr>
            </w:pPr>
          </w:p>
        </w:tc>
        <w:tc>
          <w:tcPr>
            <w:tcW w:w="2675" w:type="dxa"/>
            <w:vMerge w:val="continue"/>
            <w:tcBorders>
              <w:top w:val="single" w:color="000000" w:sz="4" w:space="0"/>
              <w:left w:val="single" w:color="000000" w:sz="4" w:space="0"/>
              <w:bottom w:val="single" w:color="000000" w:sz="4" w:space="0"/>
              <w:right w:val="single" w:color="000000" w:sz="4" w:space="0"/>
            </w:tcBorders>
            <w:vAlign w:val="center"/>
          </w:tcPr>
          <w:p w14:paraId="187CA8DB">
            <w:pPr>
              <w:jc w:val="left"/>
              <w:rPr>
                <w:rFonts w:hint="eastAsia" w:ascii="宋体" w:hAnsi="宋体" w:cs="宋体"/>
                <w:color w:val="000000"/>
                <w:sz w:val="24"/>
                <w:highlight w:val="none"/>
              </w:rPr>
            </w:pPr>
          </w:p>
        </w:tc>
        <w:tc>
          <w:tcPr>
            <w:tcW w:w="1020" w:type="dxa"/>
            <w:vMerge w:val="continue"/>
            <w:tcBorders>
              <w:top w:val="single" w:color="000000" w:sz="4" w:space="0"/>
              <w:left w:val="single" w:color="000000" w:sz="4" w:space="0"/>
              <w:bottom w:val="single" w:color="000000" w:sz="4" w:space="0"/>
              <w:right w:val="single" w:color="000000" w:sz="4" w:space="0"/>
            </w:tcBorders>
            <w:noWrap/>
            <w:vAlign w:val="center"/>
          </w:tcPr>
          <w:p w14:paraId="5D80F314">
            <w:pPr>
              <w:jc w:val="left"/>
              <w:rPr>
                <w:rFonts w:hint="eastAsia" w:ascii="宋体" w:hAnsi="宋体" w:cs="宋体"/>
                <w:color w:val="000000"/>
                <w:sz w:val="24"/>
                <w:highlight w:val="none"/>
              </w:rPr>
            </w:pPr>
          </w:p>
        </w:tc>
        <w:tc>
          <w:tcPr>
            <w:tcW w:w="1020" w:type="dxa"/>
            <w:vMerge w:val="continue"/>
            <w:tcBorders>
              <w:top w:val="single" w:color="000000" w:sz="4" w:space="0"/>
              <w:left w:val="single" w:color="000000" w:sz="4" w:space="0"/>
              <w:bottom w:val="single" w:color="000000" w:sz="4" w:space="0"/>
              <w:right w:val="single" w:color="000000" w:sz="4" w:space="0"/>
            </w:tcBorders>
            <w:noWrap/>
            <w:vAlign w:val="center"/>
          </w:tcPr>
          <w:p w14:paraId="17F84D21">
            <w:pPr>
              <w:jc w:val="left"/>
              <w:rPr>
                <w:rFonts w:hint="eastAsia" w:ascii="宋体" w:hAnsi="宋体" w:cs="宋体"/>
                <w:color w:val="000000"/>
                <w:sz w:val="24"/>
                <w:highlight w:val="none"/>
              </w:rPr>
            </w:pPr>
          </w:p>
        </w:tc>
        <w:tc>
          <w:tcPr>
            <w:tcW w:w="1020" w:type="dxa"/>
            <w:vMerge w:val="continue"/>
            <w:tcBorders>
              <w:top w:val="single" w:color="000000" w:sz="4" w:space="0"/>
              <w:left w:val="single" w:color="000000" w:sz="4" w:space="0"/>
              <w:bottom w:val="single" w:color="000000" w:sz="4" w:space="0"/>
              <w:right w:val="single" w:color="000000" w:sz="4" w:space="0"/>
            </w:tcBorders>
            <w:vAlign w:val="center"/>
          </w:tcPr>
          <w:p w14:paraId="353D0D1E">
            <w:pPr>
              <w:jc w:val="left"/>
              <w:rPr>
                <w:rFonts w:hint="eastAsia" w:ascii="宋体" w:hAnsi="宋体" w:cs="宋体"/>
                <w:color w:val="000000"/>
                <w:sz w:val="24"/>
                <w:highlight w:val="none"/>
              </w:rPr>
            </w:pPr>
          </w:p>
        </w:tc>
        <w:tc>
          <w:tcPr>
            <w:tcW w:w="770" w:type="dxa"/>
            <w:vMerge w:val="continue"/>
            <w:tcBorders>
              <w:top w:val="single" w:color="000000" w:sz="4" w:space="0"/>
              <w:left w:val="single" w:color="000000" w:sz="4" w:space="0"/>
              <w:bottom w:val="single" w:color="000000" w:sz="4" w:space="0"/>
              <w:right w:val="single" w:color="000000" w:sz="4" w:space="0"/>
            </w:tcBorders>
            <w:noWrap/>
            <w:vAlign w:val="center"/>
          </w:tcPr>
          <w:p w14:paraId="335FF29F">
            <w:pPr>
              <w:jc w:val="left"/>
              <w:rPr>
                <w:rFonts w:hint="eastAsia" w:ascii="宋体" w:hAnsi="宋体" w:cs="宋体"/>
                <w:color w:val="000000"/>
                <w:sz w:val="24"/>
                <w:highlight w:val="none"/>
              </w:rPr>
            </w:pPr>
          </w:p>
        </w:tc>
        <w:tc>
          <w:tcPr>
            <w:tcW w:w="1646" w:type="dxa"/>
            <w:vMerge w:val="continue"/>
            <w:tcBorders>
              <w:top w:val="single" w:color="000000" w:sz="4" w:space="0"/>
              <w:left w:val="single" w:color="000000" w:sz="4" w:space="0"/>
              <w:bottom w:val="single" w:color="000000" w:sz="4" w:space="0"/>
              <w:right w:val="single" w:color="000000" w:sz="4" w:space="0"/>
            </w:tcBorders>
            <w:noWrap/>
            <w:vAlign w:val="center"/>
          </w:tcPr>
          <w:p w14:paraId="7FCB6B6D">
            <w:pPr>
              <w:jc w:val="left"/>
              <w:rPr>
                <w:rFonts w:hint="eastAsia" w:ascii="宋体" w:hAnsi="宋体" w:cs="宋体"/>
                <w:b/>
                <w:bCs/>
                <w:color w:val="000000"/>
                <w:sz w:val="24"/>
                <w:highlight w:val="none"/>
              </w:rPr>
            </w:pPr>
          </w:p>
        </w:tc>
      </w:tr>
      <w:tr w14:paraId="43F85653">
        <w:tblPrEx>
          <w:tblCellMar>
            <w:top w:w="0" w:type="dxa"/>
            <w:left w:w="108" w:type="dxa"/>
            <w:bottom w:w="0" w:type="dxa"/>
            <w:right w:w="108" w:type="dxa"/>
          </w:tblCellMar>
        </w:tblPrEx>
        <w:trPr>
          <w:trHeight w:val="270" w:hRule="atLeast"/>
        </w:trPr>
        <w:tc>
          <w:tcPr>
            <w:tcW w:w="1279" w:type="dxa"/>
            <w:vMerge w:val="continue"/>
            <w:tcBorders>
              <w:top w:val="single" w:color="000000" w:sz="4" w:space="0"/>
              <w:left w:val="single" w:color="000000" w:sz="4" w:space="0"/>
              <w:bottom w:val="single" w:color="000000" w:sz="4" w:space="0"/>
              <w:right w:val="single" w:color="000000" w:sz="4" w:space="0"/>
            </w:tcBorders>
            <w:noWrap/>
            <w:vAlign w:val="center"/>
          </w:tcPr>
          <w:p w14:paraId="6113EA1C">
            <w:pPr>
              <w:jc w:val="left"/>
              <w:rPr>
                <w:rFonts w:hint="eastAsia" w:ascii="宋体" w:hAnsi="宋体" w:cs="宋体"/>
                <w:color w:val="000000"/>
                <w:sz w:val="24"/>
                <w:highlight w:val="none"/>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0F880EE7">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内存</w:t>
            </w:r>
          </w:p>
        </w:tc>
        <w:tc>
          <w:tcPr>
            <w:tcW w:w="1020" w:type="dxa"/>
            <w:tcBorders>
              <w:top w:val="single" w:color="000000" w:sz="4" w:space="0"/>
              <w:left w:val="single" w:color="000000" w:sz="4" w:space="0"/>
              <w:bottom w:val="single" w:color="000000" w:sz="4" w:space="0"/>
              <w:right w:val="single" w:color="000000" w:sz="4" w:space="0"/>
            </w:tcBorders>
            <w:vAlign w:val="center"/>
          </w:tcPr>
          <w:p w14:paraId="38C3EE4B">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1392</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28554086">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1GB</w:t>
            </w:r>
          </w:p>
        </w:tc>
        <w:tc>
          <w:tcPr>
            <w:tcW w:w="1020" w:type="dxa"/>
            <w:tcBorders>
              <w:top w:val="single" w:color="000000" w:sz="4" w:space="0"/>
              <w:left w:val="single" w:color="000000" w:sz="4" w:space="0"/>
              <w:bottom w:val="single" w:color="000000" w:sz="4" w:space="0"/>
              <w:right w:val="single" w:color="000000" w:sz="4" w:space="0"/>
            </w:tcBorders>
            <w:vAlign w:val="center"/>
          </w:tcPr>
          <w:p w14:paraId="6B70BAC4">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元/年</w:t>
            </w:r>
          </w:p>
        </w:tc>
        <w:tc>
          <w:tcPr>
            <w:tcW w:w="770" w:type="dxa"/>
            <w:tcBorders>
              <w:top w:val="single" w:color="000000" w:sz="4" w:space="0"/>
              <w:left w:val="single" w:color="000000" w:sz="4" w:space="0"/>
              <w:bottom w:val="single" w:color="000000" w:sz="4" w:space="0"/>
              <w:right w:val="single" w:color="000000" w:sz="4" w:space="0"/>
            </w:tcBorders>
            <w:noWrap/>
            <w:vAlign w:val="center"/>
          </w:tcPr>
          <w:p w14:paraId="763E4263">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1年</w:t>
            </w:r>
          </w:p>
        </w:tc>
        <w:tc>
          <w:tcPr>
            <w:tcW w:w="1646" w:type="dxa"/>
            <w:vMerge w:val="continue"/>
            <w:tcBorders>
              <w:top w:val="single" w:color="000000" w:sz="4" w:space="0"/>
              <w:left w:val="single" w:color="000000" w:sz="4" w:space="0"/>
              <w:bottom w:val="single" w:color="000000" w:sz="4" w:space="0"/>
              <w:right w:val="single" w:color="000000" w:sz="4" w:space="0"/>
            </w:tcBorders>
            <w:noWrap/>
            <w:vAlign w:val="center"/>
          </w:tcPr>
          <w:p w14:paraId="564ECB5E">
            <w:pPr>
              <w:jc w:val="left"/>
              <w:rPr>
                <w:rFonts w:hint="eastAsia" w:ascii="宋体" w:hAnsi="宋体" w:cs="宋体"/>
                <w:b/>
                <w:bCs/>
                <w:color w:val="000000"/>
                <w:sz w:val="24"/>
                <w:highlight w:val="none"/>
              </w:rPr>
            </w:pPr>
          </w:p>
        </w:tc>
      </w:tr>
      <w:tr w14:paraId="227F089C">
        <w:tblPrEx>
          <w:tblCellMar>
            <w:top w:w="0" w:type="dxa"/>
            <w:left w:w="108" w:type="dxa"/>
            <w:bottom w:w="0" w:type="dxa"/>
            <w:right w:w="108" w:type="dxa"/>
          </w:tblCellMar>
        </w:tblPrEx>
        <w:trPr>
          <w:trHeight w:val="510" w:hRule="atLeast"/>
        </w:trPr>
        <w:tc>
          <w:tcPr>
            <w:tcW w:w="1279" w:type="dxa"/>
            <w:vMerge w:val="restart"/>
            <w:tcBorders>
              <w:top w:val="single" w:color="000000" w:sz="4" w:space="0"/>
              <w:left w:val="single" w:color="000000" w:sz="4" w:space="0"/>
              <w:bottom w:val="single" w:color="000000" w:sz="4" w:space="0"/>
              <w:right w:val="single" w:color="000000" w:sz="4" w:space="0"/>
            </w:tcBorders>
            <w:noWrap/>
            <w:vAlign w:val="center"/>
          </w:tcPr>
          <w:p w14:paraId="5BD5D9F9">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存储服务（兼容X86、ARM、C86）</w:t>
            </w:r>
          </w:p>
        </w:tc>
        <w:tc>
          <w:tcPr>
            <w:tcW w:w="2675" w:type="dxa"/>
            <w:tcBorders>
              <w:top w:val="single" w:color="000000" w:sz="4" w:space="0"/>
              <w:left w:val="single" w:color="000000" w:sz="4" w:space="0"/>
              <w:bottom w:val="single" w:color="000000" w:sz="4" w:space="0"/>
              <w:right w:val="single" w:color="000000" w:sz="4" w:space="0"/>
            </w:tcBorders>
            <w:vAlign w:val="center"/>
          </w:tcPr>
          <w:p w14:paraId="33F885F0">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普通存储（单盘技术指标:单盘IOPS2000-5000）</w:t>
            </w:r>
          </w:p>
        </w:tc>
        <w:tc>
          <w:tcPr>
            <w:tcW w:w="1020" w:type="dxa"/>
            <w:tcBorders>
              <w:top w:val="single" w:color="000000" w:sz="4" w:space="0"/>
              <w:left w:val="single" w:color="000000" w:sz="4" w:space="0"/>
              <w:bottom w:val="single" w:color="000000" w:sz="4" w:space="0"/>
              <w:right w:val="single" w:color="000000" w:sz="4" w:space="0"/>
            </w:tcBorders>
            <w:vAlign w:val="center"/>
          </w:tcPr>
          <w:p w14:paraId="5A96E044">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35700</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234CE93E">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1GB</w:t>
            </w:r>
          </w:p>
        </w:tc>
        <w:tc>
          <w:tcPr>
            <w:tcW w:w="1020" w:type="dxa"/>
            <w:tcBorders>
              <w:top w:val="single" w:color="000000" w:sz="4" w:space="0"/>
              <w:left w:val="single" w:color="000000" w:sz="4" w:space="0"/>
              <w:bottom w:val="single" w:color="000000" w:sz="4" w:space="0"/>
              <w:right w:val="single" w:color="000000" w:sz="4" w:space="0"/>
            </w:tcBorders>
            <w:vAlign w:val="center"/>
          </w:tcPr>
          <w:p w14:paraId="5DD1FAC3">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元/年</w:t>
            </w:r>
          </w:p>
        </w:tc>
        <w:tc>
          <w:tcPr>
            <w:tcW w:w="770" w:type="dxa"/>
            <w:tcBorders>
              <w:top w:val="single" w:color="000000" w:sz="4" w:space="0"/>
              <w:left w:val="single" w:color="000000" w:sz="4" w:space="0"/>
              <w:bottom w:val="single" w:color="000000" w:sz="4" w:space="0"/>
              <w:right w:val="single" w:color="000000" w:sz="4" w:space="0"/>
            </w:tcBorders>
            <w:noWrap/>
            <w:vAlign w:val="center"/>
          </w:tcPr>
          <w:p w14:paraId="6337A102">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1年</w:t>
            </w:r>
          </w:p>
        </w:tc>
        <w:tc>
          <w:tcPr>
            <w:tcW w:w="1646" w:type="dxa"/>
            <w:vMerge w:val="continue"/>
            <w:tcBorders>
              <w:top w:val="single" w:color="000000" w:sz="4" w:space="0"/>
              <w:left w:val="single" w:color="000000" w:sz="4" w:space="0"/>
              <w:bottom w:val="single" w:color="000000" w:sz="4" w:space="0"/>
              <w:right w:val="single" w:color="000000" w:sz="4" w:space="0"/>
            </w:tcBorders>
            <w:noWrap/>
            <w:vAlign w:val="center"/>
          </w:tcPr>
          <w:p w14:paraId="2A393D9F">
            <w:pPr>
              <w:jc w:val="left"/>
              <w:rPr>
                <w:rFonts w:hint="eastAsia" w:ascii="宋体" w:hAnsi="宋体" w:cs="宋体"/>
                <w:b/>
                <w:bCs/>
                <w:color w:val="000000"/>
                <w:sz w:val="24"/>
                <w:highlight w:val="none"/>
              </w:rPr>
            </w:pPr>
          </w:p>
        </w:tc>
      </w:tr>
      <w:tr w14:paraId="4AD5C178">
        <w:tblPrEx>
          <w:tblCellMar>
            <w:top w:w="0" w:type="dxa"/>
            <w:left w:w="108" w:type="dxa"/>
            <w:bottom w:w="0" w:type="dxa"/>
            <w:right w:w="108" w:type="dxa"/>
          </w:tblCellMar>
        </w:tblPrEx>
        <w:trPr>
          <w:trHeight w:val="510" w:hRule="atLeast"/>
        </w:trPr>
        <w:tc>
          <w:tcPr>
            <w:tcW w:w="1279" w:type="dxa"/>
            <w:vMerge w:val="continue"/>
            <w:tcBorders>
              <w:top w:val="single" w:color="000000" w:sz="4" w:space="0"/>
              <w:left w:val="single" w:color="000000" w:sz="4" w:space="0"/>
              <w:bottom w:val="single" w:color="000000" w:sz="4" w:space="0"/>
              <w:right w:val="single" w:color="000000" w:sz="4" w:space="0"/>
            </w:tcBorders>
            <w:noWrap/>
            <w:vAlign w:val="center"/>
          </w:tcPr>
          <w:p w14:paraId="507D98D5">
            <w:pPr>
              <w:jc w:val="left"/>
              <w:rPr>
                <w:rFonts w:hint="eastAsia" w:ascii="宋体" w:hAnsi="宋体" w:cs="宋体"/>
                <w:color w:val="000000"/>
                <w:sz w:val="24"/>
                <w:highlight w:val="none"/>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1755B1D8">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高性能存储（单盘技术指标：单盘IOPS10000-25000）</w:t>
            </w:r>
          </w:p>
        </w:tc>
        <w:tc>
          <w:tcPr>
            <w:tcW w:w="1020" w:type="dxa"/>
            <w:tcBorders>
              <w:top w:val="single" w:color="000000" w:sz="4" w:space="0"/>
              <w:left w:val="single" w:color="000000" w:sz="4" w:space="0"/>
              <w:bottom w:val="single" w:color="000000" w:sz="4" w:space="0"/>
              <w:right w:val="single" w:color="000000" w:sz="4" w:space="0"/>
            </w:tcBorders>
            <w:vAlign w:val="center"/>
          </w:tcPr>
          <w:p w14:paraId="6F65E9BD">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7000</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02995E71">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1GB</w:t>
            </w:r>
          </w:p>
        </w:tc>
        <w:tc>
          <w:tcPr>
            <w:tcW w:w="1020" w:type="dxa"/>
            <w:tcBorders>
              <w:top w:val="single" w:color="000000" w:sz="4" w:space="0"/>
              <w:left w:val="single" w:color="000000" w:sz="4" w:space="0"/>
              <w:bottom w:val="single" w:color="000000" w:sz="4" w:space="0"/>
              <w:right w:val="single" w:color="000000" w:sz="4" w:space="0"/>
            </w:tcBorders>
            <w:vAlign w:val="center"/>
          </w:tcPr>
          <w:p w14:paraId="2B4597D2">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元/年</w:t>
            </w:r>
          </w:p>
        </w:tc>
        <w:tc>
          <w:tcPr>
            <w:tcW w:w="770" w:type="dxa"/>
            <w:tcBorders>
              <w:top w:val="single" w:color="000000" w:sz="4" w:space="0"/>
              <w:left w:val="single" w:color="000000" w:sz="4" w:space="0"/>
              <w:bottom w:val="single" w:color="000000" w:sz="4" w:space="0"/>
              <w:right w:val="single" w:color="000000" w:sz="4" w:space="0"/>
            </w:tcBorders>
            <w:noWrap/>
            <w:vAlign w:val="center"/>
          </w:tcPr>
          <w:p w14:paraId="5725530B">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1年</w:t>
            </w:r>
          </w:p>
        </w:tc>
        <w:tc>
          <w:tcPr>
            <w:tcW w:w="1646" w:type="dxa"/>
            <w:vMerge w:val="continue"/>
            <w:tcBorders>
              <w:top w:val="single" w:color="000000" w:sz="4" w:space="0"/>
              <w:left w:val="single" w:color="000000" w:sz="4" w:space="0"/>
              <w:bottom w:val="single" w:color="000000" w:sz="4" w:space="0"/>
              <w:right w:val="single" w:color="000000" w:sz="4" w:space="0"/>
            </w:tcBorders>
            <w:noWrap/>
            <w:vAlign w:val="center"/>
          </w:tcPr>
          <w:p w14:paraId="48F54DE4">
            <w:pPr>
              <w:jc w:val="left"/>
              <w:rPr>
                <w:rFonts w:hint="eastAsia" w:ascii="宋体" w:hAnsi="宋体" w:cs="宋体"/>
                <w:b/>
                <w:bCs/>
                <w:color w:val="000000"/>
                <w:sz w:val="24"/>
                <w:highlight w:val="none"/>
              </w:rPr>
            </w:pPr>
          </w:p>
        </w:tc>
      </w:tr>
      <w:tr w14:paraId="3329364C">
        <w:tblPrEx>
          <w:tblCellMar>
            <w:top w:w="0" w:type="dxa"/>
            <w:left w:w="108" w:type="dxa"/>
            <w:bottom w:w="0" w:type="dxa"/>
            <w:right w:w="108" w:type="dxa"/>
          </w:tblCellMar>
        </w:tblPrEx>
        <w:trPr>
          <w:trHeight w:val="270" w:hRule="atLeast"/>
        </w:trPr>
        <w:tc>
          <w:tcPr>
            <w:tcW w:w="1279" w:type="dxa"/>
            <w:vMerge w:val="continue"/>
            <w:tcBorders>
              <w:top w:val="single" w:color="000000" w:sz="4" w:space="0"/>
              <w:left w:val="single" w:color="000000" w:sz="4" w:space="0"/>
              <w:bottom w:val="single" w:color="000000" w:sz="4" w:space="0"/>
              <w:right w:val="single" w:color="000000" w:sz="4" w:space="0"/>
            </w:tcBorders>
            <w:noWrap/>
            <w:vAlign w:val="center"/>
          </w:tcPr>
          <w:p w14:paraId="0D96486F">
            <w:pPr>
              <w:jc w:val="left"/>
              <w:rPr>
                <w:rFonts w:hint="eastAsia" w:ascii="宋体" w:hAnsi="宋体" w:cs="宋体"/>
                <w:color w:val="000000"/>
                <w:sz w:val="24"/>
                <w:highlight w:val="none"/>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26B8121A">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对象存储</w:t>
            </w:r>
          </w:p>
        </w:tc>
        <w:tc>
          <w:tcPr>
            <w:tcW w:w="1020" w:type="dxa"/>
            <w:tcBorders>
              <w:top w:val="single" w:color="000000" w:sz="4" w:space="0"/>
              <w:left w:val="single" w:color="000000" w:sz="4" w:space="0"/>
              <w:bottom w:val="single" w:color="000000" w:sz="4" w:space="0"/>
              <w:right w:val="single" w:color="000000" w:sz="4" w:space="0"/>
            </w:tcBorders>
            <w:vAlign w:val="center"/>
          </w:tcPr>
          <w:p w14:paraId="01E7D10A">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12.2</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7E5AA1DA">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TB</w:t>
            </w:r>
          </w:p>
        </w:tc>
        <w:tc>
          <w:tcPr>
            <w:tcW w:w="1020" w:type="dxa"/>
            <w:tcBorders>
              <w:top w:val="single" w:color="000000" w:sz="4" w:space="0"/>
              <w:left w:val="single" w:color="000000" w:sz="4" w:space="0"/>
              <w:bottom w:val="single" w:color="000000" w:sz="4" w:space="0"/>
              <w:right w:val="single" w:color="000000" w:sz="4" w:space="0"/>
            </w:tcBorders>
            <w:vAlign w:val="center"/>
          </w:tcPr>
          <w:p w14:paraId="216BAC5F">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元/年</w:t>
            </w:r>
          </w:p>
        </w:tc>
        <w:tc>
          <w:tcPr>
            <w:tcW w:w="770" w:type="dxa"/>
            <w:tcBorders>
              <w:top w:val="single" w:color="000000" w:sz="4" w:space="0"/>
              <w:left w:val="single" w:color="000000" w:sz="4" w:space="0"/>
              <w:bottom w:val="single" w:color="000000" w:sz="4" w:space="0"/>
              <w:right w:val="single" w:color="000000" w:sz="4" w:space="0"/>
            </w:tcBorders>
            <w:noWrap/>
            <w:vAlign w:val="center"/>
          </w:tcPr>
          <w:p w14:paraId="4D5A8715">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1年</w:t>
            </w:r>
          </w:p>
        </w:tc>
        <w:tc>
          <w:tcPr>
            <w:tcW w:w="1646" w:type="dxa"/>
            <w:vMerge w:val="continue"/>
            <w:tcBorders>
              <w:top w:val="single" w:color="000000" w:sz="4" w:space="0"/>
              <w:left w:val="single" w:color="000000" w:sz="4" w:space="0"/>
              <w:bottom w:val="single" w:color="000000" w:sz="4" w:space="0"/>
              <w:right w:val="single" w:color="000000" w:sz="4" w:space="0"/>
            </w:tcBorders>
            <w:noWrap/>
            <w:vAlign w:val="center"/>
          </w:tcPr>
          <w:p w14:paraId="1A40503E">
            <w:pPr>
              <w:jc w:val="left"/>
              <w:rPr>
                <w:rFonts w:hint="eastAsia" w:ascii="宋体" w:hAnsi="宋体" w:cs="宋体"/>
                <w:b/>
                <w:bCs/>
                <w:color w:val="000000"/>
                <w:sz w:val="24"/>
                <w:highlight w:val="none"/>
              </w:rPr>
            </w:pPr>
          </w:p>
        </w:tc>
      </w:tr>
      <w:tr w14:paraId="11146C36">
        <w:tblPrEx>
          <w:tblCellMar>
            <w:top w:w="0" w:type="dxa"/>
            <w:left w:w="108" w:type="dxa"/>
            <w:bottom w:w="0" w:type="dxa"/>
            <w:right w:w="108" w:type="dxa"/>
          </w:tblCellMar>
        </w:tblPrEx>
        <w:trPr>
          <w:trHeight w:val="510" w:hRule="atLeast"/>
        </w:trPr>
        <w:tc>
          <w:tcPr>
            <w:tcW w:w="1279" w:type="dxa"/>
            <w:vMerge w:val="restart"/>
            <w:tcBorders>
              <w:top w:val="single" w:color="000000" w:sz="4" w:space="0"/>
              <w:left w:val="single" w:color="000000" w:sz="4" w:space="0"/>
              <w:bottom w:val="single" w:color="000000" w:sz="4" w:space="0"/>
              <w:right w:val="single" w:color="000000" w:sz="4" w:space="0"/>
            </w:tcBorders>
            <w:noWrap/>
            <w:vAlign w:val="center"/>
          </w:tcPr>
          <w:p w14:paraId="3EADA99B">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网络服务（兼容X86、ARM、C86）</w:t>
            </w:r>
          </w:p>
        </w:tc>
        <w:tc>
          <w:tcPr>
            <w:tcW w:w="2675" w:type="dxa"/>
            <w:tcBorders>
              <w:top w:val="single" w:color="000000" w:sz="4" w:space="0"/>
              <w:left w:val="single" w:color="000000" w:sz="4" w:space="0"/>
              <w:bottom w:val="single" w:color="000000" w:sz="4" w:space="0"/>
              <w:right w:val="single" w:color="000000" w:sz="4" w:space="0"/>
            </w:tcBorders>
            <w:vAlign w:val="center"/>
          </w:tcPr>
          <w:p w14:paraId="5C7CBDE5">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互联网IP地址租用服务、并提供备案服务(1IP)</w:t>
            </w:r>
          </w:p>
        </w:tc>
        <w:tc>
          <w:tcPr>
            <w:tcW w:w="1020" w:type="dxa"/>
            <w:tcBorders>
              <w:top w:val="single" w:color="000000" w:sz="4" w:space="0"/>
              <w:left w:val="single" w:color="000000" w:sz="4" w:space="0"/>
              <w:bottom w:val="single" w:color="000000" w:sz="4" w:space="0"/>
              <w:right w:val="single" w:color="000000" w:sz="4" w:space="0"/>
            </w:tcBorders>
            <w:vAlign w:val="center"/>
          </w:tcPr>
          <w:p w14:paraId="31047843">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5</w:t>
            </w:r>
          </w:p>
        </w:tc>
        <w:tc>
          <w:tcPr>
            <w:tcW w:w="1020" w:type="dxa"/>
            <w:tcBorders>
              <w:top w:val="single" w:color="000000" w:sz="4" w:space="0"/>
              <w:left w:val="single" w:color="000000" w:sz="4" w:space="0"/>
              <w:bottom w:val="single" w:color="000000" w:sz="4" w:space="0"/>
              <w:right w:val="single" w:color="000000" w:sz="4" w:space="0"/>
            </w:tcBorders>
            <w:vAlign w:val="center"/>
          </w:tcPr>
          <w:p w14:paraId="5BE204BA">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1IP</w:t>
            </w:r>
          </w:p>
        </w:tc>
        <w:tc>
          <w:tcPr>
            <w:tcW w:w="1020" w:type="dxa"/>
            <w:tcBorders>
              <w:top w:val="single" w:color="000000" w:sz="4" w:space="0"/>
              <w:left w:val="single" w:color="000000" w:sz="4" w:space="0"/>
              <w:bottom w:val="single" w:color="000000" w:sz="4" w:space="0"/>
              <w:right w:val="single" w:color="000000" w:sz="4" w:space="0"/>
            </w:tcBorders>
            <w:vAlign w:val="center"/>
          </w:tcPr>
          <w:p w14:paraId="2362CAB9">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元/年</w:t>
            </w:r>
          </w:p>
        </w:tc>
        <w:tc>
          <w:tcPr>
            <w:tcW w:w="770" w:type="dxa"/>
            <w:tcBorders>
              <w:top w:val="single" w:color="000000" w:sz="4" w:space="0"/>
              <w:left w:val="single" w:color="000000" w:sz="4" w:space="0"/>
              <w:bottom w:val="single" w:color="000000" w:sz="4" w:space="0"/>
              <w:right w:val="single" w:color="000000" w:sz="4" w:space="0"/>
            </w:tcBorders>
            <w:noWrap/>
            <w:vAlign w:val="center"/>
          </w:tcPr>
          <w:p w14:paraId="05D0637A">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1年</w:t>
            </w:r>
          </w:p>
        </w:tc>
        <w:tc>
          <w:tcPr>
            <w:tcW w:w="1646" w:type="dxa"/>
            <w:vMerge w:val="continue"/>
            <w:tcBorders>
              <w:top w:val="single" w:color="000000" w:sz="4" w:space="0"/>
              <w:left w:val="single" w:color="000000" w:sz="4" w:space="0"/>
              <w:bottom w:val="single" w:color="000000" w:sz="4" w:space="0"/>
              <w:right w:val="single" w:color="000000" w:sz="4" w:space="0"/>
            </w:tcBorders>
            <w:noWrap/>
            <w:vAlign w:val="center"/>
          </w:tcPr>
          <w:p w14:paraId="46B446B4">
            <w:pPr>
              <w:jc w:val="left"/>
              <w:rPr>
                <w:rFonts w:hint="eastAsia" w:ascii="宋体" w:hAnsi="宋体" w:cs="宋体"/>
                <w:b/>
                <w:bCs/>
                <w:color w:val="000000"/>
                <w:sz w:val="24"/>
                <w:highlight w:val="none"/>
              </w:rPr>
            </w:pPr>
          </w:p>
        </w:tc>
      </w:tr>
      <w:tr w14:paraId="2CEBF6BC">
        <w:tblPrEx>
          <w:tblCellMar>
            <w:top w:w="0" w:type="dxa"/>
            <w:left w:w="108" w:type="dxa"/>
            <w:bottom w:w="0" w:type="dxa"/>
            <w:right w:w="108" w:type="dxa"/>
          </w:tblCellMar>
        </w:tblPrEx>
        <w:trPr>
          <w:trHeight w:val="270" w:hRule="atLeast"/>
        </w:trPr>
        <w:tc>
          <w:tcPr>
            <w:tcW w:w="1279" w:type="dxa"/>
            <w:vMerge w:val="continue"/>
            <w:tcBorders>
              <w:top w:val="single" w:color="000000" w:sz="4" w:space="0"/>
              <w:left w:val="single" w:color="000000" w:sz="4" w:space="0"/>
              <w:bottom w:val="single" w:color="000000" w:sz="4" w:space="0"/>
              <w:right w:val="single" w:color="000000" w:sz="4" w:space="0"/>
            </w:tcBorders>
            <w:noWrap/>
            <w:vAlign w:val="center"/>
          </w:tcPr>
          <w:p w14:paraId="072E8192">
            <w:pPr>
              <w:jc w:val="left"/>
              <w:rPr>
                <w:rFonts w:hint="eastAsia" w:ascii="宋体" w:hAnsi="宋体" w:cs="宋体"/>
                <w:color w:val="000000"/>
                <w:sz w:val="24"/>
                <w:highlight w:val="none"/>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033B6065">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互联网链路带宽(1Mbs)</w:t>
            </w:r>
          </w:p>
        </w:tc>
        <w:tc>
          <w:tcPr>
            <w:tcW w:w="1020" w:type="dxa"/>
            <w:tcBorders>
              <w:top w:val="single" w:color="000000" w:sz="4" w:space="0"/>
              <w:left w:val="single" w:color="000000" w:sz="4" w:space="0"/>
              <w:bottom w:val="single" w:color="000000" w:sz="4" w:space="0"/>
              <w:right w:val="single" w:color="000000" w:sz="4" w:space="0"/>
            </w:tcBorders>
            <w:vAlign w:val="center"/>
          </w:tcPr>
          <w:p w14:paraId="6CED9464">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240</w:t>
            </w:r>
          </w:p>
        </w:tc>
        <w:tc>
          <w:tcPr>
            <w:tcW w:w="1020" w:type="dxa"/>
            <w:tcBorders>
              <w:top w:val="single" w:color="000000" w:sz="4" w:space="0"/>
              <w:left w:val="single" w:color="000000" w:sz="4" w:space="0"/>
              <w:bottom w:val="single" w:color="000000" w:sz="4" w:space="0"/>
              <w:right w:val="single" w:color="000000" w:sz="4" w:space="0"/>
            </w:tcBorders>
            <w:vAlign w:val="center"/>
          </w:tcPr>
          <w:p w14:paraId="301A7E3D">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1Mbs</w:t>
            </w:r>
          </w:p>
        </w:tc>
        <w:tc>
          <w:tcPr>
            <w:tcW w:w="1020" w:type="dxa"/>
            <w:tcBorders>
              <w:top w:val="single" w:color="000000" w:sz="4" w:space="0"/>
              <w:left w:val="single" w:color="000000" w:sz="4" w:space="0"/>
              <w:bottom w:val="single" w:color="000000" w:sz="4" w:space="0"/>
              <w:right w:val="single" w:color="000000" w:sz="4" w:space="0"/>
            </w:tcBorders>
            <w:vAlign w:val="center"/>
          </w:tcPr>
          <w:p w14:paraId="73C5426F">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元/年</w:t>
            </w:r>
          </w:p>
        </w:tc>
        <w:tc>
          <w:tcPr>
            <w:tcW w:w="770" w:type="dxa"/>
            <w:tcBorders>
              <w:top w:val="single" w:color="000000" w:sz="4" w:space="0"/>
              <w:left w:val="single" w:color="000000" w:sz="4" w:space="0"/>
              <w:bottom w:val="single" w:color="000000" w:sz="4" w:space="0"/>
              <w:right w:val="single" w:color="000000" w:sz="4" w:space="0"/>
            </w:tcBorders>
            <w:noWrap/>
            <w:vAlign w:val="center"/>
          </w:tcPr>
          <w:p w14:paraId="080420CF">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1年</w:t>
            </w:r>
          </w:p>
        </w:tc>
        <w:tc>
          <w:tcPr>
            <w:tcW w:w="1646" w:type="dxa"/>
            <w:vMerge w:val="continue"/>
            <w:tcBorders>
              <w:top w:val="single" w:color="000000" w:sz="4" w:space="0"/>
              <w:left w:val="single" w:color="000000" w:sz="4" w:space="0"/>
              <w:bottom w:val="single" w:color="000000" w:sz="4" w:space="0"/>
              <w:right w:val="single" w:color="000000" w:sz="4" w:space="0"/>
            </w:tcBorders>
            <w:noWrap/>
            <w:vAlign w:val="center"/>
          </w:tcPr>
          <w:p w14:paraId="2E8F314E">
            <w:pPr>
              <w:jc w:val="left"/>
              <w:rPr>
                <w:rFonts w:hint="eastAsia" w:ascii="宋体" w:hAnsi="宋体" w:cs="宋体"/>
                <w:b/>
                <w:bCs/>
                <w:color w:val="000000"/>
                <w:sz w:val="24"/>
                <w:highlight w:val="none"/>
              </w:rPr>
            </w:pPr>
          </w:p>
        </w:tc>
      </w:tr>
      <w:tr w14:paraId="0CDCE7CF">
        <w:tblPrEx>
          <w:tblCellMar>
            <w:top w:w="0" w:type="dxa"/>
            <w:left w:w="108" w:type="dxa"/>
            <w:bottom w:w="0" w:type="dxa"/>
            <w:right w:w="108" w:type="dxa"/>
          </w:tblCellMar>
        </w:tblPrEx>
        <w:trPr>
          <w:trHeight w:val="270" w:hRule="atLeast"/>
        </w:trPr>
        <w:tc>
          <w:tcPr>
            <w:tcW w:w="1279" w:type="dxa"/>
            <w:vMerge w:val="continue"/>
            <w:tcBorders>
              <w:top w:val="single" w:color="000000" w:sz="4" w:space="0"/>
              <w:left w:val="single" w:color="000000" w:sz="4" w:space="0"/>
              <w:bottom w:val="single" w:color="000000" w:sz="4" w:space="0"/>
              <w:right w:val="single" w:color="000000" w:sz="4" w:space="0"/>
            </w:tcBorders>
            <w:noWrap/>
            <w:vAlign w:val="center"/>
          </w:tcPr>
          <w:p w14:paraId="7367D1C2">
            <w:pPr>
              <w:jc w:val="left"/>
              <w:rPr>
                <w:rFonts w:hint="eastAsia" w:ascii="宋体" w:hAnsi="宋体" w:cs="宋体"/>
                <w:color w:val="000000"/>
                <w:sz w:val="24"/>
                <w:highlight w:val="none"/>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48229534">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SSL VPN接入</w:t>
            </w:r>
          </w:p>
        </w:tc>
        <w:tc>
          <w:tcPr>
            <w:tcW w:w="1020" w:type="dxa"/>
            <w:tcBorders>
              <w:top w:val="single" w:color="000000" w:sz="4" w:space="0"/>
              <w:left w:val="single" w:color="000000" w:sz="4" w:space="0"/>
              <w:bottom w:val="single" w:color="000000" w:sz="4" w:space="0"/>
              <w:right w:val="single" w:color="000000" w:sz="4" w:space="0"/>
            </w:tcBorders>
            <w:vAlign w:val="center"/>
          </w:tcPr>
          <w:p w14:paraId="3CB7F9EB">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11</w:t>
            </w:r>
          </w:p>
        </w:tc>
        <w:tc>
          <w:tcPr>
            <w:tcW w:w="1020" w:type="dxa"/>
            <w:tcBorders>
              <w:top w:val="single" w:color="000000" w:sz="4" w:space="0"/>
              <w:left w:val="single" w:color="000000" w:sz="4" w:space="0"/>
              <w:bottom w:val="single" w:color="000000" w:sz="4" w:space="0"/>
              <w:right w:val="single" w:color="000000" w:sz="4" w:space="0"/>
            </w:tcBorders>
            <w:vAlign w:val="center"/>
          </w:tcPr>
          <w:p w14:paraId="295E6D65">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1个</w:t>
            </w:r>
          </w:p>
        </w:tc>
        <w:tc>
          <w:tcPr>
            <w:tcW w:w="1020" w:type="dxa"/>
            <w:tcBorders>
              <w:top w:val="single" w:color="000000" w:sz="4" w:space="0"/>
              <w:left w:val="single" w:color="000000" w:sz="4" w:space="0"/>
              <w:bottom w:val="single" w:color="000000" w:sz="4" w:space="0"/>
              <w:right w:val="single" w:color="000000" w:sz="4" w:space="0"/>
            </w:tcBorders>
            <w:vAlign w:val="center"/>
          </w:tcPr>
          <w:p w14:paraId="79B1C9F1">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元/年</w:t>
            </w:r>
          </w:p>
        </w:tc>
        <w:tc>
          <w:tcPr>
            <w:tcW w:w="770" w:type="dxa"/>
            <w:tcBorders>
              <w:top w:val="single" w:color="000000" w:sz="4" w:space="0"/>
              <w:left w:val="single" w:color="000000" w:sz="4" w:space="0"/>
              <w:bottom w:val="single" w:color="000000" w:sz="4" w:space="0"/>
              <w:right w:val="single" w:color="000000" w:sz="4" w:space="0"/>
            </w:tcBorders>
            <w:noWrap/>
            <w:vAlign w:val="center"/>
          </w:tcPr>
          <w:p w14:paraId="37881B46">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1年</w:t>
            </w:r>
          </w:p>
        </w:tc>
        <w:tc>
          <w:tcPr>
            <w:tcW w:w="1646" w:type="dxa"/>
            <w:vMerge w:val="continue"/>
            <w:tcBorders>
              <w:top w:val="single" w:color="000000" w:sz="4" w:space="0"/>
              <w:left w:val="single" w:color="000000" w:sz="4" w:space="0"/>
              <w:bottom w:val="single" w:color="000000" w:sz="4" w:space="0"/>
              <w:right w:val="single" w:color="000000" w:sz="4" w:space="0"/>
            </w:tcBorders>
            <w:noWrap/>
            <w:vAlign w:val="center"/>
          </w:tcPr>
          <w:p w14:paraId="23F14C2D">
            <w:pPr>
              <w:jc w:val="left"/>
              <w:rPr>
                <w:rFonts w:hint="eastAsia" w:ascii="宋体" w:hAnsi="宋体" w:cs="宋体"/>
                <w:b/>
                <w:bCs/>
                <w:color w:val="000000"/>
                <w:sz w:val="24"/>
                <w:highlight w:val="none"/>
              </w:rPr>
            </w:pPr>
          </w:p>
        </w:tc>
      </w:tr>
      <w:tr w14:paraId="76832926">
        <w:tblPrEx>
          <w:tblCellMar>
            <w:top w:w="0" w:type="dxa"/>
            <w:left w:w="108" w:type="dxa"/>
            <w:bottom w:w="0" w:type="dxa"/>
            <w:right w:w="108" w:type="dxa"/>
          </w:tblCellMar>
        </w:tblPrEx>
        <w:trPr>
          <w:trHeight w:val="270" w:hRule="atLeast"/>
        </w:trPr>
        <w:tc>
          <w:tcPr>
            <w:tcW w:w="1279" w:type="dxa"/>
            <w:vMerge w:val="continue"/>
            <w:tcBorders>
              <w:top w:val="single" w:color="000000" w:sz="4" w:space="0"/>
              <w:left w:val="single" w:color="000000" w:sz="4" w:space="0"/>
              <w:bottom w:val="single" w:color="000000" w:sz="4" w:space="0"/>
              <w:right w:val="single" w:color="000000" w:sz="4" w:space="0"/>
            </w:tcBorders>
            <w:noWrap/>
            <w:vAlign w:val="center"/>
          </w:tcPr>
          <w:p w14:paraId="5F5A8CF2">
            <w:pPr>
              <w:jc w:val="left"/>
              <w:rPr>
                <w:rFonts w:hint="eastAsia" w:ascii="宋体" w:hAnsi="宋体" w:cs="宋体"/>
                <w:color w:val="000000"/>
                <w:sz w:val="24"/>
                <w:highlight w:val="none"/>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39B67F4B">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远程接入运维(1账号）</w:t>
            </w:r>
          </w:p>
        </w:tc>
        <w:tc>
          <w:tcPr>
            <w:tcW w:w="1020" w:type="dxa"/>
            <w:tcBorders>
              <w:top w:val="single" w:color="000000" w:sz="4" w:space="0"/>
              <w:left w:val="single" w:color="000000" w:sz="4" w:space="0"/>
              <w:bottom w:val="single" w:color="000000" w:sz="4" w:space="0"/>
              <w:right w:val="single" w:color="000000" w:sz="4" w:space="0"/>
            </w:tcBorders>
            <w:vAlign w:val="center"/>
          </w:tcPr>
          <w:p w14:paraId="5E2D3C92">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11</w:t>
            </w:r>
          </w:p>
        </w:tc>
        <w:tc>
          <w:tcPr>
            <w:tcW w:w="1020" w:type="dxa"/>
            <w:tcBorders>
              <w:top w:val="single" w:color="000000" w:sz="4" w:space="0"/>
              <w:left w:val="single" w:color="000000" w:sz="4" w:space="0"/>
              <w:bottom w:val="single" w:color="000000" w:sz="4" w:space="0"/>
              <w:right w:val="single" w:color="000000" w:sz="4" w:space="0"/>
            </w:tcBorders>
            <w:vAlign w:val="center"/>
          </w:tcPr>
          <w:p w14:paraId="7D68ADC1">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1个</w:t>
            </w:r>
          </w:p>
        </w:tc>
        <w:tc>
          <w:tcPr>
            <w:tcW w:w="1020" w:type="dxa"/>
            <w:tcBorders>
              <w:top w:val="single" w:color="000000" w:sz="4" w:space="0"/>
              <w:left w:val="single" w:color="000000" w:sz="4" w:space="0"/>
              <w:bottom w:val="single" w:color="000000" w:sz="4" w:space="0"/>
              <w:right w:val="single" w:color="000000" w:sz="4" w:space="0"/>
            </w:tcBorders>
            <w:vAlign w:val="center"/>
          </w:tcPr>
          <w:p w14:paraId="647B4FB0">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元/年</w:t>
            </w:r>
          </w:p>
        </w:tc>
        <w:tc>
          <w:tcPr>
            <w:tcW w:w="770" w:type="dxa"/>
            <w:tcBorders>
              <w:top w:val="single" w:color="000000" w:sz="4" w:space="0"/>
              <w:left w:val="single" w:color="000000" w:sz="4" w:space="0"/>
              <w:bottom w:val="single" w:color="000000" w:sz="4" w:space="0"/>
              <w:right w:val="single" w:color="000000" w:sz="4" w:space="0"/>
            </w:tcBorders>
            <w:noWrap/>
            <w:vAlign w:val="center"/>
          </w:tcPr>
          <w:p w14:paraId="18F4C53E">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1年</w:t>
            </w:r>
          </w:p>
        </w:tc>
        <w:tc>
          <w:tcPr>
            <w:tcW w:w="1646" w:type="dxa"/>
            <w:vMerge w:val="continue"/>
            <w:tcBorders>
              <w:top w:val="single" w:color="000000" w:sz="4" w:space="0"/>
              <w:left w:val="single" w:color="000000" w:sz="4" w:space="0"/>
              <w:bottom w:val="single" w:color="000000" w:sz="4" w:space="0"/>
              <w:right w:val="single" w:color="000000" w:sz="4" w:space="0"/>
            </w:tcBorders>
            <w:noWrap/>
            <w:vAlign w:val="center"/>
          </w:tcPr>
          <w:p w14:paraId="2AB0F458">
            <w:pPr>
              <w:jc w:val="left"/>
              <w:rPr>
                <w:rFonts w:hint="eastAsia" w:ascii="宋体" w:hAnsi="宋体" w:cs="宋体"/>
                <w:b/>
                <w:bCs/>
                <w:color w:val="000000"/>
                <w:sz w:val="24"/>
                <w:highlight w:val="none"/>
              </w:rPr>
            </w:pPr>
          </w:p>
        </w:tc>
      </w:tr>
      <w:tr w14:paraId="3E1C3632">
        <w:tblPrEx>
          <w:tblCellMar>
            <w:top w:w="0" w:type="dxa"/>
            <w:left w:w="108" w:type="dxa"/>
            <w:bottom w:w="0" w:type="dxa"/>
            <w:right w:w="108" w:type="dxa"/>
          </w:tblCellMar>
        </w:tblPrEx>
        <w:trPr>
          <w:trHeight w:val="270" w:hRule="atLeast"/>
        </w:trPr>
        <w:tc>
          <w:tcPr>
            <w:tcW w:w="1279" w:type="dxa"/>
            <w:vMerge w:val="continue"/>
            <w:tcBorders>
              <w:top w:val="single" w:color="000000" w:sz="4" w:space="0"/>
              <w:left w:val="single" w:color="000000" w:sz="4" w:space="0"/>
              <w:bottom w:val="single" w:color="000000" w:sz="4" w:space="0"/>
              <w:right w:val="single" w:color="000000" w:sz="4" w:space="0"/>
            </w:tcBorders>
            <w:noWrap/>
            <w:vAlign w:val="center"/>
          </w:tcPr>
          <w:p w14:paraId="1D7FD2EA">
            <w:pPr>
              <w:jc w:val="left"/>
              <w:rPr>
                <w:rFonts w:hint="eastAsia" w:ascii="宋体" w:hAnsi="宋体" w:cs="宋体"/>
                <w:color w:val="000000"/>
                <w:sz w:val="24"/>
                <w:highlight w:val="none"/>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23583B46">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web应用防火墙服务</w:t>
            </w:r>
          </w:p>
        </w:tc>
        <w:tc>
          <w:tcPr>
            <w:tcW w:w="1020" w:type="dxa"/>
            <w:tcBorders>
              <w:top w:val="single" w:color="000000" w:sz="4" w:space="0"/>
              <w:left w:val="single" w:color="000000" w:sz="4" w:space="0"/>
              <w:bottom w:val="single" w:color="000000" w:sz="4" w:space="0"/>
              <w:right w:val="single" w:color="000000" w:sz="4" w:space="0"/>
            </w:tcBorders>
            <w:vAlign w:val="center"/>
          </w:tcPr>
          <w:p w14:paraId="0D69ED81">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6ADC1B2B">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1个</w:t>
            </w:r>
          </w:p>
        </w:tc>
        <w:tc>
          <w:tcPr>
            <w:tcW w:w="1020" w:type="dxa"/>
            <w:tcBorders>
              <w:top w:val="single" w:color="000000" w:sz="4" w:space="0"/>
              <w:left w:val="single" w:color="000000" w:sz="4" w:space="0"/>
              <w:bottom w:val="single" w:color="000000" w:sz="4" w:space="0"/>
              <w:right w:val="single" w:color="000000" w:sz="4" w:space="0"/>
            </w:tcBorders>
            <w:vAlign w:val="center"/>
          </w:tcPr>
          <w:p w14:paraId="5795CF1C">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元/年</w:t>
            </w:r>
          </w:p>
        </w:tc>
        <w:tc>
          <w:tcPr>
            <w:tcW w:w="770" w:type="dxa"/>
            <w:tcBorders>
              <w:top w:val="single" w:color="000000" w:sz="4" w:space="0"/>
              <w:left w:val="single" w:color="000000" w:sz="4" w:space="0"/>
              <w:bottom w:val="single" w:color="000000" w:sz="4" w:space="0"/>
              <w:right w:val="single" w:color="000000" w:sz="4" w:space="0"/>
            </w:tcBorders>
            <w:noWrap/>
            <w:vAlign w:val="center"/>
          </w:tcPr>
          <w:p w14:paraId="7FDCBC59">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1年</w:t>
            </w:r>
          </w:p>
        </w:tc>
        <w:tc>
          <w:tcPr>
            <w:tcW w:w="1646" w:type="dxa"/>
            <w:vMerge w:val="continue"/>
            <w:tcBorders>
              <w:top w:val="single" w:color="000000" w:sz="4" w:space="0"/>
              <w:left w:val="single" w:color="000000" w:sz="4" w:space="0"/>
              <w:bottom w:val="single" w:color="000000" w:sz="4" w:space="0"/>
              <w:right w:val="single" w:color="000000" w:sz="4" w:space="0"/>
            </w:tcBorders>
            <w:noWrap/>
            <w:vAlign w:val="center"/>
          </w:tcPr>
          <w:p w14:paraId="3702BBFA">
            <w:pPr>
              <w:jc w:val="left"/>
              <w:rPr>
                <w:rFonts w:hint="eastAsia" w:ascii="宋体" w:hAnsi="宋体" w:cs="宋体"/>
                <w:b/>
                <w:bCs/>
                <w:color w:val="000000"/>
                <w:sz w:val="24"/>
                <w:highlight w:val="none"/>
              </w:rPr>
            </w:pPr>
          </w:p>
        </w:tc>
      </w:tr>
      <w:tr w14:paraId="3F247508">
        <w:tblPrEx>
          <w:tblCellMar>
            <w:top w:w="0" w:type="dxa"/>
            <w:left w:w="108" w:type="dxa"/>
            <w:bottom w:w="0" w:type="dxa"/>
            <w:right w:w="108" w:type="dxa"/>
          </w:tblCellMar>
        </w:tblPrEx>
        <w:trPr>
          <w:trHeight w:val="270" w:hRule="atLeast"/>
        </w:trPr>
        <w:tc>
          <w:tcPr>
            <w:tcW w:w="1279" w:type="dxa"/>
            <w:tcBorders>
              <w:top w:val="single" w:color="000000" w:sz="4" w:space="0"/>
              <w:left w:val="single" w:color="000000" w:sz="4" w:space="0"/>
              <w:bottom w:val="single" w:color="000000" w:sz="4" w:space="0"/>
              <w:right w:val="single" w:color="000000" w:sz="4" w:space="0"/>
            </w:tcBorders>
            <w:vAlign w:val="center"/>
          </w:tcPr>
          <w:p w14:paraId="397631F2">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云主机深度监控服务</w:t>
            </w:r>
          </w:p>
        </w:tc>
        <w:tc>
          <w:tcPr>
            <w:tcW w:w="2675" w:type="dxa"/>
            <w:tcBorders>
              <w:top w:val="single" w:color="000000" w:sz="4" w:space="0"/>
              <w:left w:val="single" w:color="000000" w:sz="4" w:space="0"/>
              <w:bottom w:val="single" w:color="000000" w:sz="4" w:space="0"/>
              <w:right w:val="single" w:color="000000" w:sz="4" w:space="0"/>
            </w:tcBorders>
            <w:vAlign w:val="center"/>
          </w:tcPr>
          <w:p w14:paraId="289B0515">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云主机深度监控服务</w:t>
            </w:r>
          </w:p>
        </w:tc>
        <w:tc>
          <w:tcPr>
            <w:tcW w:w="1020" w:type="dxa"/>
            <w:tcBorders>
              <w:top w:val="single" w:color="000000" w:sz="4" w:space="0"/>
              <w:left w:val="single" w:color="000000" w:sz="4" w:space="0"/>
              <w:bottom w:val="single" w:color="000000" w:sz="4" w:space="0"/>
              <w:right w:val="single" w:color="000000" w:sz="4" w:space="0"/>
            </w:tcBorders>
            <w:vAlign w:val="center"/>
          </w:tcPr>
          <w:p w14:paraId="3C4599F1">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36</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2A32AE66">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1个</w:t>
            </w:r>
          </w:p>
        </w:tc>
        <w:tc>
          <w:tcPr>
            <w:tcW w:w="1020" w:type="dxa"/>
            <w:tcBorders>
              <w:top w:val="single" w:color="000000" w:sz="4" w:space="0"/>
              <w:left w:val="single" w:color="000000" w:sz="4" w:space="0"/>
              <w:bottom w:val="single" w:color="000000" w:sz="4" w:space="0"/>
              <w:right w:val="single" w:color="000000" w:sz="4" w:space="0"/>
            </w:tcBorders>
            <w:vAlign w:val="center"/>
          </w:tcPr>
          <w:p w14:paraId="2FDCAE2C">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元/年</w:t>
            </w:r>
          </w:p>
        </w:tc>
        <w:tc>
          <w:tcPr>
            <w:tcW w:w="770" w:type="dxa"/>
            <w:tcBorders>
              <w:top w:val="single" w:color="000000" w:sz="4" w:space="0"/>
              <w:left w:val="single" w:color="000000" w:sz="4" w:space="0"/>
              <w:bottom w:val="single" w:color="000000" w:sz="4" w:space="0"/>
              <w:right w:val="single" w:color="000000" w:sz="4" w:space="0"/>
            </w:tcBorders>
            <w:noWrap/>
            <w:vAlign w:val="center"/>
          </w:tcPr>
          <w:p w14:paraId="5C0DD9A7">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1年</w:t>
            </w:r>
          </w:p>
        </w:tc>
        <w:tc>
          <w:tcPr>
            <w:tcW w:w="1646" w:type="dxa"/>
            <w:vMerge w:val="continue"/>
            <w:tcBorders>
              <w:top w:val="single" w:color="000000" w:sz="4" w:space="0"/>
              <w:left w:val="single" w:color="000000" w:sz="4" w:space="0"/>
              <w:bottom w:val="single" w:color="000000" w:sz="4" w:space="0"/>
              <w:right w:val="single" w:color="000000" w:sz="4" w:space="0"/>
            </w:tcBorders>
            <w:noWrap/>
            <w:vAlign w:val="center"/>
          </w:tcPr>
          <w:p w14:paraId="594CBA7D">
            <w:pPr>
              <w:jc w:val="left"/>
              <w:rPr>
                <w:rFonts w:hint="eastAsia" w:ascii="宋体" w:hAnsi="宋体" w:cs="宋体"/>
                <w:b/>
                <w:bCs/>
                <w:color w:val="000000"/>
                <w:sz w:val="24"/>
                <w:highlight w:val="none"/>
              </w:rPr>
            </w:pPr>
          </w:p>
        </w:tc>
      </w:tr>
      <w:tr w14:paraId="7F712D99">
        <w:tblPrEx>
          <w:tblCellMar>
            <w:top w:w="0" w:type="dxa"/>
            <w:left w:w="108" w:type="dxa"/>
            <w:bottom w:w="0" w:type="dxa"/>
            <w:right w:w="108" w:type="dxa"/>
          </w:tblCellMar>
        </w:tblPrEx>
        <w:trPr>
          <w:trHeight w:val="510" w:hRule="atLeast"/>
        </w:trPr>
        <w:tc>
          <w:tcPr>
            <w:tcW w:w="1279" w:type="dxa"/>
            <w:tcBorders>
              <w:top w:val="single" w:color="000000" w:sz="4" w:space="0"/>
              <w:left w:val="single" w:color="000000" w:sz="4" w:space="0"/>
              <w:bottom w:val="single" w:color="000000" w:sz="4" w:space="0"/>
              <w:right w:val="single" w:color="000000" w:sz="4" w:space="0"/>
            </w:tcBorders>
            <w:noWrap/>
            <w:vAlign w:val="center"/>
          </w:tcPr>
          <w:p w14:paraId="0C126E14">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基础软件支撑服务</w:t>
            </w:r>
          </w:p>
        </w:tc>
        <w:tc>
          <w:tcPr>
            <w:tcW w:w="2675" w:type="dxa"/>
            <w:tcBorders>
              <w:top w:val="single" w:color="000000" w:sz="4" w:space="0"/>
              <w:left w:val="single" w:color="000000" w:sz="4" w:space="0"/>
              <w:bottom w:val="single" w:color="000000" w:sz="4" w:space="0"/>
              <w:right w:val="single" w:color="000000" w:sz="4" w:space="0"/>
            </w:tcBorders>
            <w:vAlign w:val="center"/>
          </w:tcPr>
          <w:p w14:paraId="31FFCD23">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国产Linux套餐，国产Linux操作系统服务租用、安装及维护</w:t>
            </w:r>
          </w:p>
        </w:tc>
        <w:tc>
          <w:tcPr>
            <w:tcW w:w="1020" w:type="dxa"/>
            <w:tcBorders>
              <w:top w:val="single" w:color="000000" w:sz="4" w:space="0"/>
              <w:left w:val="single" w:color="000000" w:sz="4" w:space="0"/>
              <w:bottom w:val="single" w:color="000000" w:sz="4" w:space="0"/>
              <w:right w:val="single" w:color="000000" w:sz="4" w:space="0"/>
            </w:tcBorders>
            <w:vAlign w:val="center"/>
          </w:tcPr>
          <w:p w14:paraId="5D57725C">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36</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030B8370">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1台</w:t>
            </w:r>
          </w:p>
        </w:tc>
        <w:tc>
          <w:tcPr>
            <w:tcW w:w="1020" w:type="dxa"/>
            <w:tcBorders>
              <w:top w:val="single" w:color="000000" w:sz="4" w:space="0"/>
              <w:left w:val="single" w:color="000000" w:sz="4" w:space="0"/>
              <w:bottom w:val="single" w:color="000000" w:sz="4" w:space="0"/>
              <w:right w:val="single" w:color="000000" w:sz="4" w:space="0"/>
            </w:tcBorders>
            <w:vAlign w:val="center"/>
          </w:tcPr>
          <w:p w14:paraId="7C83A26C">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元/台·年</w:t>
            </w:r>
          </w:p>
        </w:tc>
        <w:tc>
          <w:tcPr>
            <w:tcW w:w="770" w:type="dxa"/>
            <w:tcBorders>
              <w:top w:val="single" w:color="000000" w:sz="4" w:space="0"/>
              <w:left w:val="single" w:color="000000" w:sz="4" w:space="0"/>
              <w:bottom w:val="single" w:color="000000" w:sz="4" w:space="0"/>
              <w:right w:val="single" w:color="000000" w:sz="4" w:space="0"/>
            </w:tcBorders>
            <w:noWrap/>
            <w:vAlign w:val="center"/>
          </w:tcPr>
          <w:p w14:paraId="4FC08823">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1年</w:t>
            </w:r>
          </w:p>
        </w:tc>
        <w:tc>
          <w:tcPr>
            <w:tcW w:w="1646" w:type="dxa"/>
            <w:tcBorders>
              <w:top w:val="single" w:color="000000" w:sz="4" w:space="0"/>
              <w:left w:val="single" w:color="000000" w:sz="4" w:space="0"/>
              <w:bottom w:val="single" w:color="000000" w:sz="4" w:space="0"/>
              <w:right w:val="single" w:color="000000" w:sz="4" w:space="0"/>
            </w:tcBorders>
            <w:vAlign w:val="center"/>
          </w:tcPr>
          <w:p w14:paraId="2736AF54">
            <w:pPr>
              <w:widowControl/>
              <w:jc w:val="left"/>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 xml:space="preserve"> 7,920.00 </w:t>
            </w:r>
          </w:p>
        </w:tc>
      </w:tr>
      <w:tr w14:paraId="2BEE17D0">
        <w:tblPrEx>
          <w:tblCellMar>
            <w:top w:w="0" w:type="dxa"/>
            <w:left w:w="108" w:type="dxa"/>
            <w:bottom w:w="0" w:type="dxa"/>
            <w:right w:w="108" w:type="dxa"/>
          </w:tblCellMar>
        </w:tblPrEx>
        <w:trPr>
          <w:trHeight w:val="270" w:hRule="atLeast"/>
        </w:trPr>
        <w:tc>
          <w:tcPr>
            <w:tcW w:w="1279" w:type="dxa"/>
            <w:vMerge w:val="restart"/>
            <w:tcBorders>
              <w:top w:val="single" w:color="000000" w:sz="4" w:space="0"/>
              <w:left w:val="single" w:color="000000" w:sz="4" w:space="0"/>
              <w:bottom w:val="single" w:color="000000" w:sz="4" w:space="0"/>
              <w:right w:val="single" w:color="000000" w:sz="4" w:space="0"/>
            </w:tcBorders>
            <w:noWrap/>
            <w:vAlign w:val="center"/>
          </w:tcPr>
          <w:p w14:paraId="338BAD7F">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安全服务</w:t>
            </w:r>
          </w:p>
        </w:tc>
        <w:tc>
          <w:tcPr>
            <w:tcW w:w="2675" w:type="dxa"/>
            <w:tcBorders>
              <w:top w:val="single" w:color="000000" w:sz="4" w:space="0"/>
              <w:left w:val="single" w:color="000000" w:sz="4" w:space="0"/>
              <w:bottom w:val="single" w:color="000000" w:sz="4" w:space="0"/>
              <w:right w:val="single" w:color="000000" w:sz="4" w:space="0"/>
            </w:tcBorders>
            <w:vAlign w:val="center"/>
          </w:tcPr>
          <w:p w14:paraId="55495EB3">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主机杀毒服务</w:t>
            </w:r>
          </w:p>
        </w:tc>
        <w:tc>
          <w:tcPr>
            <w:tcW w:w="1020" w:type="dxa"/>
            <w:tcBorders>
              <w:top w:val="single" w:color="000000" w:sz="4" w:space="0"/>
              <w:left w:val="single" w:color="000000" w:sz="4" w:space="0"/>
              <w:bottom w:val="single" w:color="000000" w:sz="4" w:space="0"/>
              <w:right w:val="single" w:color="000000" w:sz="4" w:space="0"/>
            </w:tcBorders>
            <w:vAlign w:val="center"/>
          </w:tcPr>
          <w:p w14:paraId="356006A0">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36</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55304FFF">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1项</w:t>
            </w:r>
          </w:p>
        </w:tc>
        <w:tc>
          <w:tcPr>
            <w:tcW w:w="1020" w:type="dxa"/>
            <w:tcBorders>
              <w:top w:val="single" w:color="000000" w:sz="4" w:space="0"/>
              <w:left w:val="single" w:color="000000" w:sz="4" w:space="0"/>
              <w:bottom w:val="single" w:color="000000" w:sz="4" w:space="0"/>
              <w:right w:val="single" w:color="000000" w:sz="4" w:space="0"/>
            </w:tcBorders>
            <w:vAlign w:val="center"/>
          </w:tcPr>
          <w:p w14:paraId="70381D0D">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元/月</w:t>
            </w:r>
          </w:p>
        </w:tc>
        <w:tc>
          <w:tcPr>
            <w:tcW w:w="770" w:type="dxa"/>
            <w:tcBorders>
              <w:top w:val="single" w:color="000000" w:sz="4" w:space="0"/>
              <w:left w:val="single" w:color="000000" w:sz="4" w:space="0"/>
              <w:bottom w:val="single" w:color="000000" w:sz="4" w:space="0"/>
              <w:right w:val="single" w:color="000000" w:sz="4" w:space="0"/>
            </w:tcBorders>
            <w:noWrap/>
            <w:vAlign w:val="center"/>
          </w:tcPr>
          <w:p w14:paraId="78A8D452">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1年</w:t>
            </w:r>
          </w:p>
        </w:tc>
        <w:tc>
          <w:tcPr>
            <w:tcW w:w="1646" w:type="dxa"/>
            <w:tcBorders>
              <w:top w:val="single" w:color="000000" w:sz="4" w:space="0"/>
              <w:left w:val="single" w:color="000000" w:sz="4" w:space="0"/>
              <w:bottom w:val="single" w:color="000000" w:sz="4" w:space="0"/>
              <w:right w:val="single" w:color="000000" w:sz="4" w:space="0"/>
            </w:tcBorders>
            <w:vAlign w:val="center"/>
          </w:tcPr>
          <w:p w14:paraId="0C5C8307">
            <w:pPr>
              <w:widowControl/>
              <w:jc w:val="left"/>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 xml:space="preserve"> 4.32 </w:t>
            </w:r>
          </w:p>
        </w:tc>
      </w:tr>
      <w:tr w14:paraId="0857FE8A">
        <w:tblPrEx>
          <w:tblCellMar>
            <w:top w:w="0" w:type="dxa"/>
            <w:left w:w="108" w:type="dxa"/>
            <w:bottom w:w="0" w:type="dxa"/>
            <w:right w:w="108" w:type="dxa"/>
          </w:tblCellMar>
        </w:tblPrEx>
        <w:trPr>
          <w:trHeight w:val="270" w:hRule="atLeast"/>
        </w:trPr>
        <w:tc>
          <w:tcPr>
            <w:tcW w:w="1279" w:type="dxa"/>
            <w:vMerge w:val="continue"/>
            <w:tcBorders>
              <w:top w:val="single" w:color="000000" w:sz="4" w:space="0"/>
              <w:left w:val="single" w:color="000000" w:sz="4" w:space="0"/>
              <w:bottom w:val="single" w:color="000000" w:sz="4" w:space="0"/>
              <w:right w:val="single" w:color="000000" w:sz="4" w:space="0"/>
            </w:tcBorders>
            <w:noWrap/>
            <w:vAlign w:val="center"/>
          </w:tcPr>
          <w:p w14:paraId="18655163">
            <w:pPr>
              <w:jc w:val="left"/>
              <w:rPr>
                <w:rFonts w:hint="eastAsia" w:ascii="宋体" w:hAnsi="宋体" w:cs="宋体"/>
                <w:color w:val="000000"/>
                <w:sz w:val="24"/>
                <w:highlight w:val="none"/>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1465B71F">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主机防护</w:t>
            </w:r>
          </w:p>
        </w:tc>
        <w:tc>
          <w:tcPr>
            <w:tcW w:w="1020" w:type="dxa"/>
            <w:tcBorders>
              <w:top w:val="single" w:color="000000" w:sz="4" w:space="0"/>
              <w:left w:val="single" w:color="000000" w:sz="4" w:space="0"/>
              <w:bottom w:val="single" w:color="000000" w:sz="4" w:space="0"/>
              <w:right w:val="single" w:color="000000" w:sz="4" w:space="0"/>
            </w:tcBorders>
            <w:vAlign w:val="center"/>
          </w:tcPr>
          <w:p w14:paraId="7A6512C5">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36</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74C27BA4">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1台</w:t>
            </w:r>
          </w:p>
        </w:tc>
        <w:tc>
          <w:tcPr>
            <w:tcW w:w="1020" w:type="dxa"/>
            <w:tcBorders>
              <w:top w:val="single" w:color="000000" w:sz="4" w:space="0"/>
              <w:left w:val="single" w:color="000000" w:sz="4" w:space="0"/>
              <w:bottom w:val="single" w:color="000000" w:sz="4" w:space="0"/>
              <w:right w:val="single" w:color="000000" w:sz="4" w:space="0"/>
            </w:tcBorders>
            <w:vAlign w:val="center"/>
          </w:tcPr>
          <w:p w14:paraId="6FBCF9CF">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元/台·年</w:t>
            </w:r>
          </w:p>
        </w:tc>
        <w:tc>
          <w:tcPr>
            <w:tcW w:w="770" w:type="dxa"/>
            <w:tcBorders>
              <w:top w:val="single" w:color="000000" w:sz="4" w:space="0"/>
              <w:left w:val="single" w:color="000000" w:sz="4" w:space="0"/>
              <w:bottom w:val="single" w:color="000000" w:sz="4" w:space="0"/>
              <w:right w:val="single" w:color="000000" w:sz="4" w:space="0"/>
            </w:tcBorders>
            <w:noWrap/>
            <w:vAlign w:val="center"/>
          </w:tcPr>
          <w:p w14:paraId="38A267FF">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1年</w:t>
            </w:r>
          </w:p>
        </w:tc>
        <w:tc>
          <w:tcPr>
            <w:tcW w:w="1646" w:type="dxa"/>
            <w:tcBorders>
              <w:top w:val="single" w:color="000000" w:sz="4" w:space="0"/>
              <w:left w:val="single" w:color="000000" w:sz="4" w:space="0"/>
              <w:bottom w:val="single" w:color="000000" w:sz="4" w:space="0"/>
              <w:right w:val="single" w:color="000000" w:sz="4" w:space="0"/>
            </w:tcBorders>
            <w:vAlign w:val="center"/>
          </w:tcPr>
          <w:p w14:paraId="3B6681DE">
            <w:pPr>
              <w:widowControl/>
              <w:jc w:val="left"/>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 xml:space="preserve"> 24,480.00 </w:t>
            </w:r>
          </w:p>
        </w:tc>
      </w:tr>
      <w:tr w14:paraId="4831143A">
        <w:tblPrEx>
          <w:tblCellMar>
            <w:top w:w="0" w:type="dxa"/>
            <w:left w:w="108" w:type="dxa"/>
            <w:bottom w:w="0" w:type="dxa"/>
            <w:right w:w="108" w:type="dxa"/>
          </w:tblCellMar>
        </w:tblPrEx>
        <w:trPr>
          <w:trHeight w:val="270" w:hRule="atLeast"/>
        </w:trPr>
        <w:tc>
          <w:tcPr>
            <w:tcW w:w="1279" w:type="dxa"/>
            <w:vMerge w:val="continue"/>
            <w:tcBorders>
              <w:top w:val="single" w:color="000000" w:sz="4" w:space="0"/>
              <w:left w:val="single" w:color="000000" w:sz="4" w:space="0"/>
              <w:bottom w:val="single" w:color="000000" w:sz="4" w:space="0"/>
              <w:right w:val="single" w:color="000000" w:sz="4" w:space="0"/>
            </w:tcBorders>
            <w:noWrap/>
            <w:vAlign w:val="center"/>
          </w:tcPr>
          <w:p w14:paraId="44C903FE">
            <w:pPr>
              <w:jc w:val="left"/>
              <w:rPr>
                <w:rFonts w:hint="eastAsia" w:ascii="宋体" w:hAnsi="宋体" w:cs="宋体"/>
                <w:color w:val="000000"/>
                <w:sz w:val="24"/>
                <w:highlight w:val="none"/>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26B24AE7">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网页防篡改服务</w:t>
            </w:r>
          </w:p>
        </w:tc>
        <w:tc>
          <w:tcPr>
            <w:tcW w:w="1020" w:type="dxa"/>
            <w:tcBorders>
              <w:top w:val="single" w:color="000000" w:sz="4" w:space="0"/>
              <w:left w:val="single" w:color="000000" w:sz="4" w:space="0"/>
              <w:bottom w:val="single" w:color="000000" w:sz="4" w:space="0"/>
              <w:right w:val="single" w:color="000000" w:sz="4" w:space="0"/>
            </w:tcBorders>
            <w:vAlign w:val="center"/>
          </w:tcPr>
          <w:p w14:paraId="78FE4F13">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5</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05A27B09">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1项</w:t>
            </w:r>
          </w:p>
        </w:tc>
        <w:tc>
          <w:tcPr>
            <w:tcW w:w="1020" w:type="dxa"/>
            <w:tcBorders>
              <w:top w:val="single" w:color="000000" w:sz="4" w:space="0"/>
              <w:left w:val="single" w:color="000000" w:sz="4" w:space="0"/>
              <w:bottom w:val="single" w:color="000000" w:sz="4" w:space="0"/>
              <w:right w:val="single" w:color="000000" w:sz="4" w:space="0"/>
            </w:tcBorders>
            <w:vAlign w:val="center"/>
          </w:tcPr>
          <w:p w14:paraId="5CA7CD59">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元/月</w:t>
            </w:r>
          </w:p>
        </w:tc>
        <w:tc>
          <w:tcPr>
            <w:tcW w:w="770" w:type="dxa"/>
            <w:tcBorders>
              <w:top w:val="single" w:color="000000" w:sz="4" w:space="0"/>
              <w:left w:val="single" w:color="000000" w:sz="4" w:space="0"/>
              <w:bottom w:val="single" w:color="000000" w:sz="4" w:space="0"/>
              <w:right w:val="single" w:color="000000" w:sz="4" w:space="0"/>
            </w:tcBorders>
            <w:noWrap/>
            <w:vAlign w:val="center"/>
          </w:tcPr>
          <w:p w14:paraId="3DDFB2FC">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1年</w:t>
            </w:r>
          </w:p>
        </w:tc>
        <w:tc>
          <w:tcPr>
            <w:tcW w:w="1646" w:type="dxa"/>
            <w:tcBorders>
              <w:top w:val="single" w:color="000000" w:sz="4" w:space="0"/>
              <w:left w:val="single" w:color="000000" w:sz="4" w:space="0"/>
              <w:bottom w:val="single" w:color="000000" w:sz="4" w:space="0"/>
              <w:right w:val="single" w:color="000000" w:sz="4" w:space="0"/>
            </w:tcBorders>
            <w:vAlign w:val="center"/>
          </w:tcPr>
          <w:p w14:paraId="546B267D">
            <w:pPr>
              <w:widowControl/>
              <w:jc w:val="left"/>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 xml:space="preserve"> 18,000.00 </w:t>
            </w:r>
          </w:p>
        </w:tc>
      </w:tr>
      <w:tr w14:paraId="02B4EEC1">
        <w:tblPrEx>
          <w:tblCellMar>
            <w:top w:w="0" w:type="dxa"/>
            <w:left w:w="108" w:type="dxa"/>
            <w:bottom w:w="0" w:type="dxa"/>
            <w:right w:w="108" w:type="dxa"/>
          </w:tblCellMar>
        </w:tblPrEx>
        <w:trPr>
          <w:trHeight w:val="270" w:hRule="atLeast"/>
        </w:trPr>
        <w:tc>
          <w:tcPr>
            <w:tcW w:w="1279" w:type="dxa"/>
            <w:vMerge w:val="continue"/>
            <w:tcBorders>
              <w:top w:val="single" w:color="000000" w:sz="4" w:space="0"/>
              <w:left w:val="single" w:color="000000" w:sz="4" w:space="0"/>
              <w:bottom w:val="single" w:color="000000" w:sz="4" w:space="0"/>
              <w:right w:val="single" w:color="000000" w:sz="4" w:space="0"/>
            </w:tcBorders>
            <w:noWrap/>
            <w:vAlign w:val="center"/>
          </w:tcPr>
          <w:p w14:paraId="7F9C1BC7">
            <w:pPr>
              <w:jc w:val="left"/>
              <w:rPr>
                <w:rFonts w:hint="eastAsia" w:ascii="宋体" w:hAnsi="宋体" w:cs="宋体"/>
                <w:color w:val="000000"/>
                <w:sz w:val="24"/>
                <w:highlight w:val="none"/>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0631C91B">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主机漏扫</w:t>
            </w:r>
          </w:p>
        </w:tc>
        <w:tc>
          <w:tcPr>
            <w:tcW w:w="1020" w:type="dxa"/>
            <w:tcBorders>
              <w:top w:val="single" w:color="000000" w:sz="4" w:space="0"/>
              <w:left w:val="single" w:color="000000" w:sz="4" w:space="0"/>
              <w:bottom w:val="single" w:color="000000" w:sz="4" w:space="0"/>
              <w:right w:val="single" w:color="000000" w:sz="4" w:space="0"/>
            </w:tcBorders>
            <w:vAlign w:val="center"/>
          </w:tcPr>
          <w:p w14:paraId="411BFF88">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36</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495D3C74">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1次</w:t>
            </w:r>
          </w:p>
        </w:tc>
        <w:tc>
          <w:tcPr>
            <w:tcW w:w="1020" w:type="dxa"/>
            <w:tcBorders>
              <w:top w:val="single" w:color="000000" w:sz="4" w:space="0"/>
              <w:left w:val="single" w:color="000000" w:sz="4" w:space="0"/>
              <w:bottom w:val="single" w:color="000000" w:sz="4" w:space="0"/>
              <w:right w:val="single" w:color="000000" w:sz="4" w:space="0"/>
            </w:tcBorders>
            <w:vAlign w:val="center"/>
          </w:tcPr>
          <w:p w14:paraId="2D5C332A">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元/次</w:t>
            </w:r>
          </w:p>
        </w:tc>
        <w:tc>
          <w:tcPr>
            <w:tcW w:w="770" w:type="dxa"/>
            <w:tcBorders>
              <w:top w:val="single" w:color="000000" w:sz="4" w:space="0"/>
              <w:left w:val="single" w:color="000000" w:sz="4" w:space="0"/>
              <w:bottom w:val="single" w:color="000000" w:sz="4" w:space="0"/>
              <w:right w:val="single" w:color="000000" w:sz="4" w:space="0"/>
            </w:tcBorders>
            <w:vAlign w:val="center"/>
          </w:tcPr>
          <w:p w14:paraId="21C68584">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1次</w:t>
            </w:r>
          </w:p>
        </w:tc>
        <w:tc>
          <w:tcPr>
            <w:tcW w:w="1646" w:type="dxa"/>
            <w:tcBorders>
              <w:top w:val="single" w:color="000000" w:sz="4" w:space="0"/>
              <w:left w:val="single" w:color="000000" w:sz="4" w:space="0"/>
              <w:bottom w:val="single" w:color="000000" w:sz="4" w:space="0"/>
              <w:right w:val="single" w:color="000000" w:sz="4" w:space="0"/>
            </w:tcBorders>
            <w:vAlign w:val="center"/>
          </w:tcPr>
          <w:p w14:paraId="5E892C06">
            <w:pPr>
              <w:widowControl/>
              <w:jc w:val="left"/>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 xml:space="preserve"> 27,000.00 </w:t>
            </w:r>
          </w:p>
        </w:tc>
      </w:tr>
      <w:tr w14:paraId="030B0685">
        <w:tblPrEx>
          <w:tblCellMar>
            <w:top w:w="0" w:type="dxa"/>
            <w:left w:w="108" w:type="dxa"/>
            <w:bottom w:w="0" w:type="dxa"/>
            <w:right w:w="108" w:type="dxa"/>
          </w:tblCellMar>
        </w:tblPrEx>
        <w:trPr>
          <w:trHeight w:val="270" w:hRule="atLeast"/>
        </w:trPr>
        <w:tc>
          <w:tcPr>
            <w:tcW w:w="1279" w:type="dxa"/>
            <w:vMerge w:val="continue"/>
            <w:tcBorders>
              <w:top w:val="single" w:color="000000" w:sz="4" w:space="0"/>
              <w:left w:val="single" w:color="000000" w:sz="4" w:space="0"/>
              <w:bottom w:val="single" w:color="000000" w:sz="4" w:space="0"/>
              <w:right w:val="single" w:color="000000" w:sz="4" w:space="0"/>
            </w:tcBorders>
            <w:noWrap/>
            <w:vAlign w:val="center"/>
          </w:tcPr>
          <w:p w14:paraId="1EE1257C">
            <w:pPr>
              <w:jc w:val="left"/>
              <w:rPr>
                <w:rFonts w:hint="eastAsia" w:ascii="宋体" w:hAnsi="宋体" w:cs="宋体"/>
                <w:color w:val="000000"/>
                <w:sz w:val="24"/>
                <w:highlight w:val="none"/>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12D5192B">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日志分析</w:t>
            </w:r>
          </w:p>
        </w:tc>
        <w:tc>
          <w:tcPr>
            <w:tcW w:w="1020" w:type="dxa"/>
            <w:tcBorders>
              <w:top w:val="single" w:color="000000" w:sz="4" w:space="0"/>
              <w:left w:val="single" w:color="000000" w:sz="4" w:space="0"/>
              <w:bottom w:val="single" w:color="000000" w:sz="4" w:space="0"/>
              <w:right w:val="single" w:color="000000" w:sz="4" w:space="0"/>
            </w:tcBorders>
            <w:vAlign w:val="center"/>
          </w:tcPr>
          <w:p w14:paraId="7FB5F605">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36</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3805C7B8">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1次</w:t>
            </w:r>
          </w:p>
        </w:tc>
        <w:tc>
          <w:tcPr>
            <w:tcW w:w="1020" w:type="dxa"/>
            <w:tcBorders>
              <w:top w:val="single" w:color="000000" w:sz="4" w:space="0"/>
              <w:left w:val="single" w:color="000000" w:sz="4" w:space="0"/>
              <w:bottom w:val="single" w:color="000000" w:sz="4" w:space="0"/>
              <w:right w:val="single" w:color="000000" w:sz="4" w:space="0"/>
            </w:tcBorders>
            <w:vAlign w:val="center"/>
          </w:tcPr>
          <w:p w14:paraId="33048358">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元/次</w:t>
            </w:r>
          </w:p>
        </w:tc>
        <w:tc>
          <w:tcPr>
            <w:tcW w:w="770" w:type="dxa"/>
            <w:tcBorders>
              <w:top w:val="single" w:color="000000" w:sz="4" w:space="0"/>
              <w:left w:val="single" w:color="000000" w:sz="4" w:space="0"/>
              <w:bottom w:val="single" w:color="000000" w:sz="4" w:space="0"/>
              <w:right w:val="single" w:color="000000" w:sz="4" w:space="0"/>
            </w:tcBorders>
            <w:vAlign w:val="center"/>
          </w:tcPr>
          <w:p w14:paraId="6EE86AD9">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1次</w:t>
            </w:r>
          </w:p>
        </w:tc>
        <w:tc>
          <w:tcPr>
            <w:tcW w:w="1646" w:type="dxa"/>
            <w:tcBorders>
              <w:top w:val="single" w:color="000000" w:sz="4" w:space="0"/>
              <w:left w:val="single" w:color="000000" w:sz="4" w:space="0"/>
              <w:bottom w:val="single" w:color="000000" w:sz="4" w:space="0"/>
              <w:right w:val="single" w:color="000000" w:sz="4" w:space="0"/>
            </w:tcBorders>
            <w:vAlign w:val="center"/>
          </w:tcPr>
          <w:p w14:paraId="4D215344">
            <w:pPr>
              <w:widowControl/>
              <w:jc w:val="left"/>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 xml:space="preserve"> 900.00 </w:t>
            </w:r>
          </w:p>
        </w:tc>
      </w:tr>
      <w:tr w14:paraId="2A91A4E5">
        <w:tblPrEx>
          <w:tblCellMar>
            <w:top w:w="0" w:type="dxa"/>
            <w:left w:w="108" w:type="dxa"/>
            <w:bottom w:w="0" w:type="dxa"/>
            <w:right w:w="108" w:type="dxa"/>
          </w:tblCellMar>
        </w:tblPrEx>
        <w:trPr>
          <w:trHeight w:val="270" w:hRule="atLeast"/>
        </w:trPr>
        <w:tc>
          <w:tcPr>
            <w:tcW w:w="1279" w:type="dxa"/>
            <w:vMerge w:val="continue"/>
            <w:tcBorders>
              <w:top w:val="single" w:color="000000" w:sz="4" w:space="0"/>
              <w:left w:val="single" w:color="000000" w:sz="4" w:space="0"/>
              <w:bottom w:val="single" w:color="000000" w:sz="4" w:space="0"/>
              <w:right w:val="single" w:color="000000" w:sz="4" w:space="0"/>
            </w:tcBorders>
            <w:noWrap/>
            <w:vAlign w:val="center"/>
          </w:tcPr>
          <w:p w14:paraId="299A1A8F">
            <w:pPr>
              <w:jc w:val="left"/>
              <w:rPr>
                <w:rFonts w:hint="eastAsia" w:ascii="宋体" w:hAnsi="宋体" w:cs="宋体"/>
                <w:color w:val="000000"/>
                <w:sz w:val="24"/>
                <w:highlight w:val="none"/>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135CE6A6">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数据库审计服务</w:t>
            </w:r>
          </w:p>
        </w:tc>
        <w:tc>
          <w:tcPr>
            <w:tcW w:w="1020" w:type="dxa"/>
            <w:tcBorders>
              <w:top w:val="single" w:color="000000" w:sz="4" w:space="0"/>
              <w:left w:val="single" w:color="000000" w:sz="4" w:space="0"/>
              <w:bottom w:val="single" w:color="000000" w:sz="4" w:space="0"/>
              <w:right w:val="single" w:color="000000" w:sz="4" w:space="0"/>
            </w:tcBorders>
            <w:vAlign w:val="center"/>
          </w:tcPr>
          <w:p w14:paraId="2305338D">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3</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07510E1F">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1套</w:t>
            </w:r>
          </w:p>
        </w:tc>
        <w:tc>
          <w:tcPr>
            <w:tcW w:w="1020" w:type="dxa"/>
            <w:tcBorders>
              <w:top w:val="single" w:color="000000" w:sz="4" w:space="0"/>
              <w:left w:val="single" w:color="000000" w:sz="4" w:space="0"/>
              <w:bottom w:val="single" w:color="000000" w:sz="4" w:space="0"/>
              <w:right w:val="single" w:color="000000" w:sz="4" w:space="0"/>
            </w:tcBorders>
            <w:vAlign w:val="center"/>
          </w:tcPr>
          <w:p w14:paraId="309049AE">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元/套·年</w:t>
            </w:r>
          </w:p>
        </w:tc>
        <w:tc>
          <w:tcPr>
            <w:tcW w:w="770" w:type="dxa"/>
            <w:tcBorders>
              <w:top w:val="single" w:color="000000" w:sz="4" w:space="0"/>
              <w:left w:val="single" w:color="000000" w:sz="4" w:space="0"/>
              <w:bottom w:val="single" w:color="000000" w:sz="4" w:space="0"/>
              <w:right w:val="single" w:color="000000" w:sz="4" w:space="0"/>
            </w:tcBorders>
            <w:vAlign w:val="center"/>
          </w:tcPr>
          <w:p w14:paraId="5B76C6C8">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1年</w:t>
            </w:r>
          </w:p>
        </w:tc>
        <w:tc>
          <w:tcPr>
            <w:tcW w:w="1646" w:type="dxa"/>
            <w:tcBorders>
              <w:top w:val="single" w:color="000000" w:sz="4" w:space="0"/>
              <w:left w:val="single" w:color="000000" w:sz="4" w:space="0"/>
              <w:bottom w:val="single" w:color="000000" w:sz="4" w:space="0"/>
              <w:right w:val="single" w:color="000000" w:sz="4" w:space="0"/>
            </w:tcBorders>
            <w:vAlign w:val="center"/>
          </w:tcPr>
          <w:p w14:paraId="22E030CF">
            <w:pPr>
              <w:widowControl/>
              <w:jc w:val="left"/>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 xml:space="preserve"> 1,500.00 </w:t>
            </w:r>
          </w:p>
        </w:tc>
      </w:tr>
      <w:tr w14:paraId="4AB92F7A">
        <w:tblPrEx>
          <w:tblCellMar>
            <w:top w:w="0" w:type="dxa"/>
            <w:left w:w="108" w:type="dxa"/>
            <w:bottom w:w="0" w:type="dxa"/>
            <w:right w:w="108" w:type="dxa"/>
          </w:tblCellMar>
        </w:tblPrEx>
        <w:trPr>
          <w:trHeight w:val="270" w:hRule="atLeast"/>
        </w:trPr>
        <w:tc>
          <w:tcPr>
            <w:tcW w:w="1279" w:type="dxa"/>
            <w:vMerge w:val="restart"/>
            <w:tcBorders>
              <w:top w:val="single" w:color="000000" w:sz="4" w:space="0"/>
              <w:left w:val="single" w:color="000000" w:sz="4" w:space="0"/>
              <w:bottom w:val="single" w:color="000000" w:sz="4" w:space="0"/>
              <w:right w:val="single" w:color="000000" w:sz="4" w:space="0"/>
            </w:tcBorders>
            <w:vAlign w:val="center"/>
          </w:tcPr>
          <w:p w14:paraId="1ADE6F31">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其他服务</w:t>
            </w:r>
          </w:p>
        </w:tc>
        <w:tc>
          <w:tcPr>
            <w:tcW w:w="2675" w:type="dxa"/>
            <w:tcBorders>
              <w:top w:val="single" w:color="000000" w:sz="4" w:space="0"/>
              <w:left w:val="single" w:color="000000" w:sz="4" w:space="0"/>
              <w:bottom w:val="single" w:color="000000" w:sz="4" w:space="0"/>
              <w:right w:val="single" w:color="000000" w:sz="4" w:space="0"/>
            </w:tcBorders>
            <w:vAlign w:val="center"/>
          </w:tcPr>
          <w:p w14:paraId="49312E82">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国密签名验签服务</w:t>
            </w:r>
          </w:p>
        </w:tc>
        <w:tc>
          <w:tcPr>
            <w:tcW w:w="1020" w:type="dxa"/>
            <w:tcBorders>
              <w:top w:val="single" w:color="000000" w:sz="4" w:space="0"/>
              <w:left w:val="single" w:color="000000" w:sz="4" w:space="0"/>
              <w:bottom w:val="single" w:color="000000" w:sz="4" w:space="0"/>
              <w:right w:val="single" w:color="000000" w:sz="4" w:space="0"/>
            </w:tcBorders>
            <w:vAlign w:val="center"/>
          </w:tcPr>
          <w:p w14:paraId="6C812873">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6F4A8DD3">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1项</w:t>
            </w:r>
          </w:p>
        </w:tc>
        <w:tc>
          <w:tcPr>
            <w:tcW w:w="1020" w:type="dxa"/>
            <w:tcBorders>
              <w:top w:val="single" w:color="000000" w:sz="4" w:space="0"/>
              <w:left w:val="single" w:color="000000" w:sz="4" w:space="0"/>
              <w:bottom w:val="single" w:color="000000" w:sz="4" w:space="0"/>
              <w:right w:val="single" w:color="000000" w:sz="4" w:space="0"/>
            </w:tcBorders>
            <w:vAlign w:val="center"/>
          </w:tcPr>
          <w:p w14:paraId="08D15A16">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元/月</w:t>
            </w:r>
          </w:p>
        </w:tc>
        <w:tc>
          <w:tcPr>
            <w:tcW w:w="770" w:type="dxa"/>
            <w:tcBorders>
              <w:top w:val="single" w:color="000000" w:sz="4" w:space="0"/>
              <w:left w:val="single" w:color="000000" w:sz="4" w:space="0"/>
              <w:bottom w:val="single" w:color="000000" w:sz="4" w:space="0"/>
              <w:right w:val="single" w:color="000000" w:sz="4" w:space="0"/>
            </w:tcBorders>
            <w:vAlign w:val="center"/>
          </w:tcPr>
          <w:p w14:paraId="73B10786">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1年</w:t>
            </w:r>
          </w:p>
        </w:tc>
        <w:tc>
          <w:tcPr>
            <w:tcW w:w="1646" w:type="dxa"/>
            <w:tcBorders>
              <w:top w:val="single" w:color="000000" w:sz="4" w:space="0"/>
              <w:left w:val="single" w:color="000000" w:sz="4" w:space="0"/>
              <w:bottom w:val="single" w:color="000000" w:sz="4" w:space="0"/>
              <w:right w:val="single" w:color="000000" w:sz="4" w:space="0"/>
            </w:tcBorders>
            <w:vAlign w:val="center"/>
          </w:tcPr>
          <w:p w14:paraId="39AAB3C6">
            <w:pPr>
              <w:widowControl/>
              <w:jc w:val="left"/>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 xml:space="preserve"> 60,000.00 </w:t>
            </w:r>
          </w:p>
        </w:tc>
      </w:tr>
      <w:tr w14:paraId="3B603945">
        <w:tblPrEx>
          <w:tblCellMar>
            <w:top w:w="0" w:type="dxa"/>
            <w:left w:w="108" w:type="dxa"/>
            <w:bottom w:w="0" w:type="dxa"/>
            <w:right w:w="108" w:type="dxa"/>
          </w:tblCellMar>
        </w:tblPrEx>
        <w:trPr>
          <w:trHeight w:val="270" w:hRule="atLeast"/>
        </w:trPr>
        <w:tc>
          <w:tcPr>
            <w:tcW w:w="1279" w:type="dxa"/>
            <w:vMerge w:val="continue"/>
            <w:tcBorders>
              <w:top w:val="single" w:color="000000" w:sz="4" w:space="0"/>
              <w:left w:val="single" w:color="000000" w:sz="4" w:space="0"/>
              <w:bottom w:val="single" w:color="000000" w:sz="4" w:space="0"/>
              <w:right w:val="single" w:color="000000" w:sz="4" w:space="0"/>
            </w:tcBorders>
            <w:vAlign w:val="center"/>
          </w:tcPr>
          <w:p w14:paraId="30FB337C">
            <w:pPr>
              <w:jc w:val="left"/>
              <w:rPr>
                <w:rFonts w:hint="eastAsia" w:ascii="宋体" w:hAnsi="宋体" w:cs="宋体"/>
                <w:color w:val="000000"/>
                <w:sz w:val="24"/>
                <w:highlight w:val="none"/>
              </w:rPr>
            </w:pPr>
          </w:p>
        </w:tc>
        <w:tc>
          <w:tcPr>
            <w:tcW w:w="2675" w:type="dxa"/>
            <w:tcBorders>
              <w:top w:val="single" w:color="000000" w:sz="4" w:space="0"/>
              <w:left w:val="single" w:color="000000" w:sz="4" w:space="0"/>
              <w:bottom w:val="single" w:color="000000" w:sz="4" w:space="0"/>
              <w:right w:val="single" w:color="000000" w:sz="4" w:space="0"/>
            </w:tcBorders>
            <w:noWrap/>
            <w:vAlign w:val="center"/>
          </w:tcPr>
          <w:p w14:paraId="3F03855F">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国密SSL安全服务</w:t>
            </w:r>
          </w:p>
        </w:tc>
        <w:tc>
          <w:tcPr>
            <w:tcW w:w="1020" w:type="dxa"/>
            <w:tcBorders>
              <w:top w:val="single" w:color="000000" w:sz="4" w:space="0"/>
              <w:left w:val="single" w:color="000000" w:sz="4" w:space="0"/>
              <w:bottom w:val="single" w:color="000000" w:sz="4" w:space="0"/>
              <w:right w:val="single" w:color="000000" w:sz="4" w:space="0"/>
            </w:tcBorders>
            <w:vAlign w:val="center"/>
          </w:tcPr>
          <w:p w14:paraId="6F9C123A">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571597AC">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1项</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10D92A57">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元/月</w:t>
            </w:r>
          </w:p>
        </w:tc>
        <w:tc>
          <w:tcPr>
            <w:tcW w:w="770" w:type="dxa"/>
            <w:tcBorders>
              <w:top w:val="single" w:color="000000" w:sz="4" w:space="0"/>
              <w:left w:val="single" w:color="000000" w:sz="4" w:space="0"/>
              <w:bottom w:val="single" w:color="000000" w:sz="4" w:space="0"/>
              <w:right w:val="single" w:color="000000" w:sz="4" w:space="0"/>
            </w:tcBorders>
            <w:vAlign w:val="center"/>
          </w:tcPr>
          <w:p w14:paraId="20DB04F4">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1年</w:t>
            </w:r>
          </w:p>
        </w:tc>
        <w:tc>
          <w:tcPr>
            <w:tcW w:w="1646" w:type="dxa"/>
            <w:tcBorders>
              <w:top w:val="single" w:color="000000" w:sz="4" w:space="0"/>
              <w:left w:val="single" w:color="000000" w:sz="4" w:space="0"/>
              <w:bottom w:val="single" w:color="000000" w:sz="4" w:space="0"/>
              <w:right w:val="single" w:color="000000" w:sz="4" w:space="0"/>
            </w:tcBorders>
            <w:vAlign w:val="center"/>
          </w:tcPr>
          <w:p w14:paraId="5F9120D5">
            <w:pPr>
              <w:widowControl/>
              <w:jc w:val="left"/>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 xml:space="preserve"> 60,000.00 </w:t>
            </w:r>
          </w:p>
        </w:tc>
      </w:tr>
      <w:tr w14:paraId="61316A9F">
        <w:tblPrEx>
          <w:tblCellMar>
            <w:top w:w="0" w:type="dxa"/>
            <w:left w:w="108" w:type="dxa"/>
            <w:bottom w:w="0" w:type="dxa"/>
            <w:right w:w="108" w:type="dxa"/>
          </w:tblCellMar>
        </w:tblPrEx>
        <w:trPr>
          <w:trHeight w:val="270" w:hRule="atLeast"/>
        </w:trPr>
        <w:tc>
          <w:tcPr>
            <w:tcW w:w="1279" w:type="dxa"/>
            <w:vMerge w:val="continue"/>
            <w:tcBorders>
              <w:top w:val="single" w:color="000000" w:sz="4" w:space="0"/>
              <w:left w:val="single" w:color="000000" w:sz="4" w:space="0"/>
              <w:bottom w:val="single" w:color="000000" w:sz="4" w:space="0"/>
              <w:right w:val="single" w:color="000000" w:sz="4" w:space="0"/>
            </w:tcBorders>
            <w:vAlign w:val="center"/>
          </w:tcPr>
          <w:p w14:paraId="4EBB2D23">
            <w:pPr>
              <w:jc w:val="left"/>
              <w:rPr>
                <w:rFonts w:hint="eastAsia" w:ascii="宋体" w:hAnsi="宋体" w:cs="宋体"/>
                <w:color w:val="000000"/>
                <w:sz w:val="24"/>
                <w:highlight w:val="none"/>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650C90D4">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国密加解密服务</w:t>
            </w:r>
          </w:p>
        </w:tc>
        <w:tc>
          <w:tcPr>
            <w:tcW w:w="1020" w:type="dxa"/>
            <w:tcBorders>
              <w:top w:val="single" w:color="000000" w:sz="4" w:space="0"/>
              <w:left w:val="single" w:color="000000" w:sz="4" w:space="0"/>
              <w:bottom w:val="single" w:color="000000" w:sz="4" w:space="0"/>
              <w:right w:val="single" w:color="000000" w:sz="4" w:space="0"/>
            </w:tcBorders>
            <w:vAlign w:val="center"/>
          </w:tcPr>
          <w:p w14:paraId="1AA25B4A">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3950E357">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1项</w:t>
            </w:r>
          </w:p>
        </w:tc>
        <w:tc>
          <w:tcPr>
            <w:tcW w:w="1020" w:type="dxa"/>
            <w:tcBorders>
              <w:top w:val="single" w:color="000000" w:sz="4" w:space="0"/>
              <w:left w:val="single" w:color="000000" w:sz="4" w:space="0"/>
              <w:bottom w:val="single" w:color="000000" w:sz="4" w:space="0"/>
              <w:right w:val="single" w:color="000000" w:sz="4" w:space="0"/>
            </w:tcBorders>
            <w:vAlign w:val="center"/>
          </w:tcPr>
          <w:p w14:paraId="5173F7E0">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元/月</w:t>
            </w:r>
          </w:p>
        </w:tc>
        <w:tc>
          <w:tcPr>
            <w:tcW w:w="770" w:type="dxa"/>
            <w:tcBorders>
              <w:top w:val="single" w:color="000000" w:sz="4" w:space="0"/>
              <w:left w:val="single" w:color="000000" w:sz="4" w:space="0"/>
              <w:bottom w:val="single" w:color="000000" w:sz="4" w:space="0"/>
              <w:right w:val="single" w:color="000000" w:sz="4" w:space="0"/>
            </w:tcBorders>
            <w:vAlign w:val="center"/>
          </w:tcPr>
          <w:p w14:paraId="419C58D7">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1年</w:t>
            </w:r>
          </w:p>
        </w:tc>
        <w:tc>
          <w:tcPr>
            <w:tcW w:w="1646" w:type="dxa"/>
            <w:tcBorders>
              <w:top w:val="single" w:color="000000" w:sz="4" w:space="0"/>
              <w:left w:val="single" w:color="000000" w:sz="4" w:space="0"/>
              <w:bottom w:val="single" w:color="000000" w:sz="4" w:space="0"/>
              <w:right w:val="single" w:color="000000" w:sz="4" w:space="0"/>
            </w:tcBorders>
            <w:vAlign w:val="center"/>
          </w:tcPr>
          <w:p w14:paraId="3D70EC5E">
            <w:pPr>
              <w:widowControl/>
              <w:jc w:val="left"/>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 xml:space="preserve"> 60,000.00 </w:t>
            </w:r>
          </w:p>
        </w:tc>
      </w:tr>
      <w:tr w14:paraId="5A17D4DB">
        <w:tblPrEx>
          <w:tblCellMar>
            <w:top w:w="0" w:type="dxa"/>
            <w:left w:w="108" w:type="dxa"/>
            <w:bottom w:w="0" w:type="dxa"/>
            <w:right w:w="108" w:type="dxa"/>
          </w:tblCellMar>
        </w:tblPrEx>
        <w:trPr>
          <w:trHeight w:val="270" w:hRule="atLeast"/>
        </w:trPr>
        <w:tc>
          <w:tcPr>
            <w:tcW w:w="1279" w:type="dxa"/>
            <w:vMerge w:val="continue"/>
            <w:tcBorders>
              <w:top w:val="single" w:color="000000" w:sz="4" w:space="0"/>
              <w:left w:val="single" w:color="000000" w:sz="4" w:space="0"/>
              <w:bottom w:val="single" w:color="000000" w:sz="4" w:space="0"/>
              <w:right w:val="single" w:color="000000" w:sz="4" w:space="0"/>
            </w:tcBorders>
            <w:vAlign w:val="center"/>
          </w:tcPr>
          <w:p w14:paraId="33409116">
            <w:pPr>
              <w:jc w:val="left"/>
              <w:rPr>
                <w:rFonts w:hint="eastAsia" w:ascii="宋体" w:hAnsi="宋体" w:cs="宋体"/>
                <w:color w:val="000000"/>
                <w:sz w:val="24"/>
                <w:highlight w:val="none"/>
              </w:rPr>
            </w:pPr>
          </w:p>
        </w:tc>
        <w:tc>
          <w:tcPr>
            <w:tcW w:w="2675" w:type="dxa"/>
            <w:tcBorders>
              <w:top w:val="single" w:color="000000" w:sz="4" w:space="0"/>
              <w:left w:val="single" w:color="000000" w:sz="4" w:space="0"/>
              <w:bottom w:val="single" w:color="000000" w:sz="4" w:space="0"/>
              <w:right w:val="single" w:color="000000" w:sz="4" w:space="0"/>
            </w:tcBorders>
            <w:noWrap/>
            <w:vAlign w:val="center"/>
          </w:tcPr>
          <w:p w14:paraId="10E13FBB">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强身份认证服务</w:t>
            </w:r>
          </w:p>
        </w:tc>
        <w:tc>
          <w:tcPr>
            <w:tcW w:w="1020" w:type="dxa"/>
            <w:tcBorders>
              <w:top w:val="single" w:color="000000" w:sz="4" w:space="0"/>
              <w:left w:val="single" w:color="000000" w:sz="4" w:space="0"/>
              <w:bottom w:val="single" w:color="000000" w:sz="4" w:space="0"/>
              <w:right w:val="single" w:color="000000" w:sz="4" w:space="0"/>
            </w:tcBorders>
            <w:vAlign w:val="center"/>
          </w:tcPr>
          <w:p w14:paraId="778330B0">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0736DF81">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1项</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4ED5BDC8">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元/月</w:t>
            </w:r>
          </w:p>
        </w:tc>
        <w:tc>
          <w:tcPr>
            <w:tcW w:w="770" w:type="dxa"/>
            <w:tcBorders>
              <w:top w:val="single" w:color="000000" w:sz="4" w:space="0"/>
              <w:left w:val="single" w:color="000000" w:sz="4" w:space="0"/>
              <w:bottom w:val="single" w:color="000000" w:sz="4" w:space="0"/>
              <w:right w:val="single" w:color="000000" w:sz="4" w:space="0"/>
            </w:tcBorders>
            <w:vAlign w:val="center"/>
          </w:tcPr>
          <w:p w14:paraId="1678129B">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1年</w:t>
            </w:r>
          </w:p>
        </w:tc>
        <w:tc>
          <w:tcPr>
            <w:tcW w:w="1646" w:type="dxa"/>
            <w:tcBorders>
              <w:top w:val="single" w:color="000000" w:sz="4" w:space="0"/>
              <w:left w:val="single" w:color="000000" w:sz="4" w:space="0"/>
              <w:bottom w:val="single" w:color="000000" w:sz="4" w:space="0"/>
              <w:right w:val="single" w:color="000000" w:sz="4" w:space="0"/>
            </w:tcBorders>
            <w:vAlign w:val="center"/>
          </w:tcPr>
          <w:p w14:paraId="740C276C">
            <w:pPr>
              <w:widowControl/>
              <w:jc w:val="left"/>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 xml:space="preserve"> 60,000.00 </w:t>
            </w:r>
          </w:p>
        </w:tc>
      </w:tr>
      <w:tr w14:paraId="70D17DD1">
        <w:tblPrEx>
          <w:tblCellMar>
            <w:top w:w="0" w:type="dxa"/>
            <w:left w:w="108" w:type="dxa"/>
            <w:bottom w:w="0" w:type="dxa"/>
            <w:right w:w="108" w:type="dxa"/>
          </w:tblCellMar>
        </w:tblPrEx>
        <w:trPr>
          <w:trHeight w:val="270" w:hRule="atLeast"/>
        </w:trPr>
        <w:tc>
          <w:tcPr>
            <w:tcW w:w="1279" w:type="dxa"/>
            <w:vMerge w:val="continue"/>
            <w:tcBorders>
              <w:top w:val="single" w:color="000000" w:sz="4" w:space="0"/>
              <w:left w:val="single" w:color="000000" w:sz="4" w:space="0"/>
              <w:bottom w:val="single" w:color="000000" w:sz="4" w:space="0"/>
              <w:right w:val="single" w:color="000000" w:sz="4" w:space="0"/>
            </w:tcBorders>
            <w:vAlign w:val="center"/>
          </w:tcPr>
          <w:p w14:paraId="46238C4E">
            <w:pPr>
              <w:jc w:val="left"/>
              <w:rPr>
                <w:rFonts w:hint="eastAsia" w:ascii="宋体" w:hAnsi="宋体" w:cs="宋体"/>
                <w:color w:val="000000"/>
                <w:sz w:val="24"/>
                <w:highlight w:val="none"/>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3919D5CB">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密码云前置网关</w:t>
            </w:r>
          </w:p>
        </w:tc>
        <w:tc>
          <w:tcPr>
            <w:tcW w:w="1020" w:type="dxa"/>
            <w:tcBorders>
              <w:top w:val="single" w:color="000000" w:sz="4" w:space="0"/>
              <w:left w:val="single" w:color="000000" w:sz="4" w:space="0"/>
              <w:bottom w:val="single" w:color="000000" w:sz="4" w:space="0"/>
              <w:right w:val="single" w:color="000000" w:sz="4" w:space="0"/>
            </w:tcBorders>
            <w:vAlign w:val="center"/>
          </w:tcPr>
          <w:p w14:paraId="0FB93E13">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6750104F">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1套</w:t>
            </w:r>
          </w:p>
        </w:tc>
        <w:tc>
          <w:tcPr>
            <w:tcW w:w="1020" w:type="dxa"/>
            <w:tcBorders>
              <w:top w:val="single" w:color="000000" w:sz="4" w:space="0"/>
              <w:left w:val="single" w:color="000000" w:sz="4" w:space="0"/>
              <w:bottom w:val="single" w:color="000000" w:sz="4" w:space="0"/>
              <w:right w:val="single" w:color="000000" w:sz="4" w:space="0"/>
            </w:tcBorders>
            <w:vAlign w:val="center"/>
          </w:tcPr>
          <w:p w14:paraId="7B4EDE89">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元/套</w:t>
            </w:r>
          </w:p>
        </w:tc>
        <w:tc>
          <w:tcPr>
            <w:tcW w:w="770" w:type="dxa"/>
            <w:tcBorders>
              <w:top w:val="single" w:color="000000" w:sz="4" w:space="0"/>
              <w:left w:val="single" w:color="000000" w:sz="4" w:space="0"/>
              <w:bottom w:val="single" w:color="000000" w:sz="4" w:space="0"/>
              <w:right w:val="single" w:color="000000" w:sz="4" w:space="0"/>
            </w:tcBorders>
            <w:vAlign w:val="center"/>
          </w:tcPr>
          <w:p w14:paraId="2C2D55DC">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1套</w:t>
            </w:r>
          </w:p>
        </w:tc>
        <w:tc>
          <w:tcPr>
            <w:tcW w:w="1646" w:type="dxa"/>
            <w:tcBorders>
              <w:top w:val="single" w:color="000000" w:sz="4" w:space="0"/>
              <w:left w:val="single" w:color="000000" w:sz="4" w:space="0"/>
              <w:bottom w:val="single" w:color="000000" w:sz="4" w:space="0"/>
              <w:right w:val="single" w:color="000000" w:sz="4" w:space="0"/>
            </w:tcBorders>
            <w:vAlign w:val="center"/>
          </w:tcPr>
          <w:p w14:paraId="3862A2DF">
            <w:pPr>
              <w:widowControl/>
              <w:jc w:val="left"/>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 xml:space="preserve"> 52,000.00 </w:t>
            </w:r>
          </w:p>
        </w:tc>
      </w:tr>
      <w:tr w14:paraId="2CA3767A">
        <w:tblPrEx>
          <w:tblCellMar>
            <w:top w:w="0" w:type="dxa"/>
            <w:left w:w="108" w:type="dxa"/>
            <w:bottom w:w="0" w:type="dxa"/>
            <w:right w:w="108" w:type="dxa"/>
          </w:tblCellMar>
        </w:tblPrEx>
        <w:trPr>
          <w:trHeight w:val="270" w:hRule="atLeast"/>
        </w:trPr>
        <w:tc>
          <w:tcPr>
            <w:tcW w:w="1279" w:type="dxa"/>
            <w:vMerge w:val="continue"/>
            <w:tcBorders>
              <w:top w:val="single" w:color="000000" w:sz="4" w:space="0"/>
              <w:left w:val="single" w:color="000000" w:sz="4" w:space="0"/>
              <w:bottom w:val="single" w:color="000000" w:sz="4" w:space="0"/>
              <w:right w:val="single" w:color="000000" w:sz="4" w:space="0"/>
            </w:tcBorders>
            <w:vAlign w:val="center"/>
          </w:tcPr>
          <w:p w14:paraId="0D4FEE66">
            <w:pPr>
              <w:jc w:val="left"/>
              <w:rPr>
                <w:rFonts w:hint="eastAsia" w:ascii="宋体" w:hAnsi="宋体" w:cs="宋体"/>
                <w:color w:val="000000"/>
                <w:sz w:val="24"/>
                <w:highlight w:val="none"/>
              </w:rPr>
            </w:pPr>
          </w:p>
        </w:tc>
        <w:tc>
          <w:tcPr>
            <w:tcW w:w="2675" w:type="dxa"/>
            <w:tcBorders>
              <w:top w:val="single" w:color="000000" w:sz="4" w:space="0"/>
              <w:left w:val="single" w:color="000000" w:sz="4" w:space="0"/>
              <w:bottom w:val="single" w:color="000000" w:sz="4" w:space="0"/>
              <w:right w:val="single" w:color="000000" w:sz="4" w:space="0"/>
            </w:tcBorders>
            <w:noWrap/>
            <w:vAlign w:val="center"/>
          </w:tcPr>
          <w:p w14:paraId="6D312FEF">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国密SSL证书服务</w:t>
            </w:r>
          </w:p>
        </w:tc>
        <w:tc>
          <w:tcPr>
            <w:tcW w:w="1020" w:type="dxa"/>
            <w:tcBorders>
              <w:top w:val="single" w:color="000000" w:sz="4" w:space="0"/>
              <w:left w:val="single" w:color="000000" w:sz="4" w:space="0"/>
              <w:bottom w:val="single" w:color="000000" w:sz="4" w:space="0"/>
              <w:right w:val="single" w:color="000000" w:sz="4" w:space="0"/>
            </w:tcBorders>
            <w:vAlign w:val="center"/>
          </w:tcPr>
          <w:p w14:paraId="00136BEF">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74D7A800">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1项</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5382927B">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元/月</w:t>
            </w:r>
          </w:p>
        </w:tc>
        <w:tc>
          <w:tcPr>
            <w:tcW w:w="770" w:type="dxa"/>
            <w:tcBorders>
              <w:top w:val="single" w:color="000000" w:sz="4" w:space="0"/>
              <w:left w:val="single" w:color="000000" w:sz="4" w:space="0"/>
              <w:bottom w:val="single" w:color="000000" w:sz="4" w:space="0"/>
              <w:right w:val="single" w:color="000000" w:sz="4" w:space="0"/>
            </w:tcBorders>
            <w:vAlign w:val="center"/>
          </w:tcPr>
          <w:p w14:paraId="2ED16C03">
            <w:pPr>
              <w:widowControl/>
              <w:jc w:val="left"/>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1年</w:t>
            </w:r>
          </w:p>
        </w:tc>
        <w:tc>
          <w:tcPr>
            <w:tcW w:w="1646" w:type="dxa"/>
            <w:tcBorders>
              <w:top w:val="single" w:color="000000" w:sz="4" w:space="0"/>
              <w:left w:val="single" w:color="000000" w:sz="4" w:space="0"/>
              <w:bottom w:val="single" w:color="000000" w:sz="4" w:space="0"/>
              <w:right w:val="single" w:color="000000" w:sz="4" w:space="0"/>
            </w:tcBorders>
            <w:vAlign w:val="center"/>
          </w:tcPr>
          <w:p w14:paraId="34326A15">
            <w:pPr>
              <w:widowControl/>
              <w:jc w:val="left"/>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 xml:space="preserve"> 16,800.00 </w:t>
            </w:r>
          </w:p>
        </w:tc>
      </w:tr>
    </w:tbl>
    <w:p w14:paraId="57C0E552">
      <w:pPr>
        <w:pStyle w:val="3"/>
        <w:rPr>
          <w:rFonts w:hint="eastAsia" w:hAnsi="宋体" w:cs="宋体"/>
          <w:sz w:val="24"/>
          <w:szCs w:val="24"/>
          <w:highlight w:val="none"/>
        </w:rPr>
      </w:pPr>
    </w:p>
    <w:p w14:paraId="07A025F6">
      <w:pPr>
        <w:pStyle w:val="3"/>
        <w:numPr>
          <w:ilvl w:val="0"/>
          <w:numId w:val="1"/>
        </w:numPr>
        <w:jc w:val="left"/>
        <w:rPr>
          <w:rFonts w:hint="eastAsia" w:hAnsi="宋体" w:cs="宋体"/>
          <w:sz w:val="24"/>
          <w:szCs w:val="24"/>
          <w:highlight w:val="none"/>
        </w:rPr>
      </w:pPr>
      <w:r>
        <w:rPr>
          <w:rFonts w:hint="eastAsia" w:hAnsi="宋体" w:cs="宋体"/>
          <w:sz w:val="24"/>
          <w:szCs w:val="24"/>
          <w:highlight w:val="none"/>
        </w:rPr>
        <w:t>采购目标</w:t>
      </w:r>
      <w:bookmarkEnd w:id="10"/>
    </w:p>
    <w:p w14:paraId="21EBDE83">
      <w:pPr>
        <w:snapToGrid w:val="0"/>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本项目的总体目标是通过租用政务云平台基础服务，对云上系统的运行环境进行持续优化，提供可靠、稳定、安全的政务云基础服务，具体包括：</w:t>
      </w:r>
    </w:p>
    <w:p w14:paraId="4FBA0228">
      <w:pPr>
        <w:numPr>
          <w:ilvl w:val="0"/>
          <w:numId w:val="6"/>
        </w:numPr>
        <w:snapToGrid w:val="0"/>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提供政务云基础服务，包括</w:t>
      </w:r>
      <w:r>
        <w:rPr>
          <w:rFonts w:hint="eastAsia" w:ascii="宋体" w:hAnsi="宋体" w:cs="宋体"/>
          <w:sz w:val="24"/>
          <w:highlight w:val="none"/>
        </w:rPr>
        <w:t>计算服务、存储服务和网络服务等基础环境日常维护、应急响应等工作。</w:t>
      </w:r>
    </w:p>
    <w:p w14:paraId="7E2224C8">
      <w:pPr>
        <w:numPr>
          <w:ilvl w:val="0"/>
          <w:numId w:val="6"/>
        </w:numPr>
        <w:snapToGrid w:val="0"/>
        <w:spacing w:line="360" w:lineRule="auto"/>
        <w:ind w:firstLine="480" w:firstLineChars="200"/>
        <w:rPr>
          <w:rFonts w:hint="eastAsia" w:ascii="宋体" w:hAnsi="宋体" w:cs="宋体"/>
          <w:sz w:val="24"/>
          <w:highlight w:val="none"/>
        </w:rPr>
      </w:pPr>
      <w:r>
        <w:rPr>
          <w:rFonts w:hint="eastAsia" w:ascii="宋体" w:hAnsi="宋体" w:cs="宋体"/>
          <w:bCs/>
          <w:sz w:val="24"/>
          <w:highlight w:val="none"/>
        </w:rPr>
        <w:t>提供7*24运维保障，</w:t>
      </w:r>
      <w:r>
        <w:rPr>
          <w:rFonts w:hint="eastAsia" w:ascii="宋体" w:hAnsi="宋体" w:cs="宋体"/>
          <w:sz w:val="24"/>
          <w:highlight w:val="none"/>
        </w:rPr>
        <w:t>做好重大活动和节假日应急值守保障服务，确保各系统在政务云环境中可靠稳定运行。</w:t>
      </w:r>
    </w:p>
    <w:p w14:paraId="635F49CC">
      <w:pPr>
        <w:numPr>
          <w:ilvl w:val="0"/>
          <w:numId w:val="6"/>
        </w:numPr>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服务期内，投标人须完成信息系统的日常运维和安全运维服务工作（包括但不限于：云平台服务、日常技术支持、系统日常维护、服务规范、安全及保密要求、响应的及时性），确保入云系统安全、稳定的运行。</w:t>
      </w:r>
    </w:p>
    <w:p w14:paraId="32ABD3D2">
      <w:pPr>
        <w:pStyle w:val="3"/>
        <w:numPr>
          <w:ilvl w:val="0"/>
          <w:numId w:val="1"/>
        </w:numPr>
        <w:jc w:val="left"/>
        <w:rPr>
          <w:rFonts w:hint="eastAsia" w:hAnsi="宋体" w:cs="宋体"/>
          <w:sz w:val="24"/>
          <w:szCs w:val="24"/>
          <w:highlight w:val="none"/>
        </w:rPr>
      </w:pPr>
      <w:r>
        <w:rPr>
          <w:rFonts w:hint="eastAsia" w:hAnsi="宋体" w:cs="宋体"/>
          <w:sz w:val="24"/>
          <w:szCs w:val="24"/>
          <w:highlight w:val="none"/>
        </w:rPr>
        <w:t>技术要求</w:t>
      </w:r>
    </w:p>
    <w:p w14:paraId="28B01FCA">
      <w:pPr>
        <w:widowControl/>
        <w:spacing w:line="360" w:lineRule="auto"/>
        <w:ind w:firstLine="480" w:firstLineChars="200"/>
        <w:contextualSpacing/>
        <w:rPr>
          <w:rFonts w:hint="eastAsia" w:ascii="宋体" w:hAnsi="宋体" w:cs="宋体"/>
          <w:sz w:val="24"/>
          <w:highlight w:val="none"/>
        </w:rPr>
      </w:pPr>
      <w:bookmarkStart w:id="11" w:name="_Toc14505"/>
      <w:r>
        <w:rPr>
          <w:rFonts w:hint="eastAsia" w:ascii="宋体" w:hAnsi="宋体" w:cs="宋体"/>
          <w:sz w:val="24"/>
          <w:highlight w:val="none"/>
        </w:rPr>
        <w:t>（一）云主机服务</w:t>
      </w:r>
    </w:p>
    <w:p w14:paraId="11ADF5F1">
      <w:pPr>
        <w:ind w:firstLine="482" w:firstLineChars="200"/>
        <w:rPr>
          <w:rFonts w:hint="eastAsia" w:ascii="宋体" w:hAnsi="宋体" w:cs="宋体"/>
          <w:b/>
          <w:bCs/>
          <w:sz w:val="24"/>
          <w:highlight w:val="none"/>
        </w:rPr>
      </w:pPr>
      <w:r>
        <w:rPr>
          <w:rFonts w:hint="eastAsia" w:ascii="宋体" w:hAnsi="宋体" w:cs="宋体"/>
          <w:b/>
          <w:bCs/>
          <w:sz w:val="24"/>
          <w:highlight w:val="none"/>
        </w:rPr>
        <w:t>1.1服务内容</w:t>
      </w:r>
    </w:p>
    <w:p w14:paraId="0520ADE8">
      <w:pPr>
        <w:snapToGrid w:val="0"/>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按照采购人的具体需求，提供主机服务，包括：x86平台云主机和x86物理服务器服务，按需求对CPU及内存进行动态调整，实现合理的计算资源配置。在提供政务云主机的服务过程中做好与采购人和对应项目应用开发厂商的协调沟通工作。</w:t>
      </w:r>
    </w:p>
    <w:p w14:paraId="3A9CEE0E">
      <w:pPr>
        <w:ind w:firstLine="482" w:firstLineChars="200"/>
        <w:rPr>
          <w:rFonts w:hint="eastAsia" w:ascii="宋体" w:hAnsi="宋体" w:cs="宋体"/>
          <w:b/>
          <w:bCs/>
          <w:sz w:val="24"/>
          <w:highlight w:val="none"/>
        </w:rPr>
      </w:pPr>
      <w:r>
        <w:rPr>
          <w:rFonts w:hint="eastAsia" w:ascii="宋体" w:hAnsi="宋体" w:cs="宋体"/>
          <w:b/>
          <w:bCs/>
          <w:sz w:val="24"/>
          <w:highlight w:val="none"/>
        </w:rPr>
        <w:t>1.2服务标准</w:t>
      </w:r>
    </w:p>
    <w:p w14:paraId="5BA5A0E6">
      <w:pPr>
        <w:pStyle w:val="6"/>
        <w:tabs>
          <w:tab w:val="left" w:pos="0"/>
        </w:tabs>
        <w:snapToGrid w:val="0"/>
        <w:ind w:firstLine="0"/>
        <w:rPr>
          <w:rFonts w:hint="eastAsia" w:hAnsi="宋体" w:cs="宋体"/>
          <w:highlight w:val="none"/>
        </w:rPr>
      </w:pPr>
      <w:r>
        <w:rPr>
          <w:rFonts w:hint="eastAsia" w:hAnsi="宋体" w:cs="宋体"/>
          <w:highlight w:val="none"/>
        </w:rPr>
        <w:t>1.2.1云主机应实现物理机的全部功能，如具有CPU、存储、内存、网卡等资源，可以指定单独的IP地址等；</w:t>
      </w:r>
    </w:p>
    <w:p w14:paraId="054C1D3A">
      <w:pPr>
        <w:pStyle w:val="6"/>
        <w:tabs>
          <w:tab w:val="left" w:pos="0"/>
        </w:tabs>
        <w:snapToGrid w:val="0"/>
        <w:ind w:firstLine="0"/>
        <w:rPr>
          <w:rFonts w:hint="eastAsia" w:hAnsi="宋体" w:cs="宋体"/>
          <w:highlight w:val="none"/>
        </w:rPr>
      </w:pPr>
      <w:r>
        <w:rPr>
          <w:rFonts w:hint="eastAsia" w:hAnsi="宋体" w:cs="宋体"/>
          <w:highlight w:val="none"/>
        </w:rPr>
        <w:t>1.2.2支持存储裸设备映射（RDM），可以将存储设备上的LUN直接映射给虚拟机使用，并且支持SCSI指令使用透传模式或者非透传模式；</w:t>
      </w:r>
    </w:p>
    <w:p w14:paraId="0C9247D7">
      <w:pPr>
        <w:pStyle w:val="6"/>
        <w:tabs>
          <w:tab w:val="left" w:pos="0"/>
        </w:tabs>
        <w:snapToGrid w:val="0"/>
        <w:ind w:firstLine="0"/>
        <w:rPr>
          <w:rFonts w:hint="eastAsia" w:hAnsi="宋体" w:cs="宋体"/>
          <w:highlight w:val="none"/>
        </w:rPr>
      </w:pPr>
      <w:r>
        <w:rPr>
          <w:rFonts w:hint="eastAsia" w:hAnsi="宋体" w:cs="宋体"/>
          <w:highlight w:val="none"/>
        </w:rPr>
        <w:t>1.2.3应满足云主机之间、CPU之间隔离保护要求；</w:t>
      </w:r>
    </w:p>
    <w:p w14:paraId="2BE617A6">
      <w:pPr>
        <w:pStyle w:val="6"/>
        <w:tabs>
          <w:tab w:val="left" w:pos="0"/>
        </w:tabs>
        <w:snapToGrid w:val="0"/>
        <w:ind w:firstLine="0"/>
        <w:rPr>
          <w:rFonts w:hint="eastAsia" w:hAnsi="宋体" w:cs="宋体"/>
          <w:highlight w:val="none"/>
        </w:rPr>
      </w:pPr>
      <w:r>
        <w:rPr>
          <w:rFonts w:hint="eastAsia" w:hAnsi="宋体" w:cs="宋体"/>
          <w:highlight w:val="none"/>
        </w:rPr>
        <w:t>1.2.4支持资源的动态调整，根据业务的负载情况实现业务系统虚拟机的动态扩展和回收；</w:t>
      </w:r>
    </w:p>
    <w:p w14:paraId="5B3A1B03">
      <w:pPr>
        <w:pStyle w:val="6"/>
        <w:tabs>
          <w:tab w:val="left" w:pos="0"/>
        </w:tabs>
        <w:snapToGrid w:val="0"/>
        <w:ind w:firstLine="0"/>
        <w:rPr>
          <w:rFonts w:hint="eastAsia" w:hAnsi="宋体" w:cs="宋体"/>
          <w:highlight w:val="none"/>
        </w:rPr>
      </w:pPr>
      <w:r>
        <w:rPr>
          <w:rFonts w:hint="eastAsia" w:hAnsi="宋体" w:cs="宋体"/>
          <w:highlight w:val="none"/>
        </w:rPr>
        <w:t>1.2.5支持异构虚拟化能力，如KVM多种虚拟化技术；</w:t>
      </w:r>
    </w:p>
    <w:p w14:paraId="7A065BA6">
      <w:pPr>
        <w:pStyle w:val="6"/>
        <w:tabs>
          <w:tab w:val="left" w:pos="0"/>
        </w:tabs>
        <w:snapToGrid w:val="0"/>
        <w:ind w:firstLine="0"/>
        <w:rPr>
          <w:rFonts w:hint="eastAsia" w:hAnsi="宋体" w:cs="宋体"/>
          <w:highlight w:val="none"/>
        </w:rPr>
      </w:pPr>
      <w:r>
        <w:rPr>
          <w:rFonts w:hint="eastAsia" w:hAnsi="宋体" w:cs="宋体"/>
          <w:highlight w:val="none"/>
        </w:rPr>
        <w:t>1.2.6云主机出现故障时，支持自动重启或者迁移，保障业务连续性；</w:t>
      </w:r>
    </w:p>
    <w:p w14:paraId="04373E26">
      <w:pPr>
        <w:pStyle w:val="6"/>
        <w:tabs>
          <w:tab w:val="left" w:pos="0"/>
        </w:tabs>
        <w:snapToGrid w:val="0"/>
        <w:ind w:firstLine="0"/>
        <w:rPr>
          <w:rFonts w:hint="eastAsia" w:hAnsi="宋体" w:cs="宋体"/>
          <w:highlight w:val="none"/>
        </w:rPr>
      </w:pPr>
      <w:r>
        <w:rPr>
          <w:rFonts w:hint="eastAsia" w:hAnsi="宋体" w:cs="宋体"/>
          <w:highlight w:val="none"/>
        </w:rPr>
        <w:t>1.2.7支持虚拟机热迁移，可在不同代CPU资源池中进行虚拟机热迁移；</w:t>
      </w:r>
    </w:p>
    <w:p w14:paraId="70EBC76A">
      <w:pPr>
        <w:pStyle w:val="6"/>
        <w:tabs>
          <w:tab w:val="left" w:pos="0"/>
        </w:tabs>
        <w:snapToGrid w:val="0"/>
        <w:ind w:firstLine="0"/>
        <w:rPr>
          <w:rFonts w:hint="eastAsia" w:hAnsi="宋体" w:cs="宋体"/>
          <w:highlight w:val="none"/>
        </w:rPr>
      </w:pPr>
      <w:r>
        <w:rPr>
          <w:rFonts w:hint="eastAsia" w:hAnsi="宋体" w:cs="宋体"/>
          <w:highlight w:val="none"/>
        </w:rPr>
        <w:t>1.2.8云计算资源性能要求包括但不限于如下：</w:t>
      </w:r>
    </w:p>
    <w:p w14:paraId="4F2E458A">
      <w:pPr>
        <w:pStyle w:val="6"/>
        <w:tabs>
          <w:tab w:val="left" w:pos="0"/>
        </w:tabs>
        <w:snapToGrid w:val="0"/>
        <w:ind w:firstLine="0"/>
        <w:rPr>
          <w:rFonts w:hint="eastAsia" w:hAnsi="宋体" w:cs="宋体"/>
          <w:highlight w:val="none"/>
        </w:rPr>
      </w:pPr>
      <w:r>
        <w:rPr>
          <w:rFonts w:hint="eastAsia" w:hAnsi="宋体" w:cs="宋体"/>
          <w:highlight w:val="none"/>
        </w:rPr>
        <w:t>1.2.8.1物理服务器 CPU 主频应不低于2.40GHz；</w:t>
      </w:r>
    </w:p>
    <w:p w14:paraId="37982D3D">
      <w:pPr>
        <w:pStyle w:val="6"/>
        <w:tabs>
          <w:tab w:val="left" w:pos="0"/>
        </w:tabs>
        <w:snapToGrid w:val="0"/>
        <w:ind w:firstLine="0"/>
        <w:rPr>
          <w:rFonts w:hint="eastAsia" w:hAnsi="宋体" w:cs="宋体"/>
          <w:highlight w:val="none"/>
        </w:rPr>
      </w:pPr>
      <w:r>
        <w:rPr>
          <w:rFonts w:hint="eastAsia" w:hAnsi="宋体" w:cs="宋体"/>
          <w:highlight w:val="none"/>
        </w:rPr>
        <w:t>1.2.8.2主机内存硬件配置不低于DDR4-2400MHz；</w:t>
      </w:r>
    </w:p>
    <w:p w14:paraId="1DA315B8">
      <w:pPr>
        <w:pStyle w:val="6"/>
        <w:tabs>
          <w:tab w:val="left" w:pos="0"/>
        </w:tabs>
        <w:snapToGrid w:val="0"/>
        <w:ind w:firstLine="0"/>
        <w:rPr>
          <w:rFonts w:hint="eastAsia" w:hAnsi="宋体" w:cs="宋体"/>
          <w:highlight w:val="none"/>
        </w:rPr>
      </w:pPr>
      <w:r>
        <w:rPr>
          <w:rFonts w:hint="eastAsia" w:hAnsi="宋体" w:cs="宋体"/>
          <w:highlight w:val="none"/>
        </w:rPr>
        <w:t>1.2.8.3可用性不低于99.99%。</w:t>
      </w:r>
    </w:p>
    <w:p w14:paraId="2BD66E51">
      <w:pPr>
        <w:widowControl/>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（二）存储服务</w:t>
      </w:r>
    </w:p>
    <w:p w14:paraId="0389B396">
      <w:pPr>
        <w:ind w:firstLine="482" w:firstLineChars="200"/>
        <w:rPr>
          <w:rFonts w:hint="eastAsia" w:ascii="宋体" w:hAnsi="宋体" w:cs="宋体"/>
          <w:b/>
          <w:bCs/>
          <w:sz w:val="24"/>
          <w:highlight w:val="none"/>
        </w:rPr>
      </w:pPr>
      <w:r>
        <w:rPr>
          <w:rFonts w:hint="eastAsia" w:ascii="宋体" w:hAnsi="宋体" w:cs="宋体"/>
          <w:b/>
          <w:bCs/>
          <w:sz w:val="24"/>
          <w:highlight w:val="none"/>
        </w:rPr>
        <w:t>1.1服务内容</w:t>
      </w:r>
    </w:p>
    <w:p w14:paraId="1335AFC4">
      <w:pPr>
        <w:pStyle w:val="6"/>
        <w:snapToGrid w:val="0"/>
        <w:ind w:firstLine="480"/>
        <w:rPr>
          <w:rFonts w:hint="eastAsia" w:hAnsi="宋体" w:cs="宋体"/>
          <w:highlight w:val="none"/>
        </w:rPr>
      </w:pPr>
      <w:r>
        <w:rPr>
          <w:rFonts w:hint="eastAsia" w:hAnsi="宋体" w:cs="宋体"/>
          <w:highlight w:val="none"/>
        </w:rPr>
        <w:t>按照采购人的具体需求，提供存储服务，包括：普通性能存储、高性能存储、本地备份服务和异地备份服务，实现合理的存储资源配置。在提供政务云存储的服务过程中需做好采购人和对应项目应用开发厂商的协调沟通工作。</w:t>
      </w:r>
    </w:p>
    <w:p w14:paraId="14D678E2">
      <w:pPr>
        <w:ind w:firstLine="482" w:firstLineChars="200"/>
        <w:rPr>
          <w:rFonts w:hint="eastAsia" w:ascii="宋体" w:hAnsi="宋体" w:cs="宋体"/>
          <w:b/>
          <w:bCs/>
          <w:sz w:val="24"/>
          <w:highlight w:val="none"/>
        </w:rPr>
      </w:pPr>
      <w:r>
        <w:rPr>
          <w:rFonts w:hint="eastAsia" w:ascii="宋体" w:hAnsi="宋体" w:cs="宋体"/>
          <w:b/>
          <w:bCs/>
          <w:sz w:val="24"/>
          <w:highlight w:val="none"/>
        </w:rPr>
        <w:t>1.2服务标准</w:t>
      </w:r>
    </w:p>
    <w:p w14:paraId="6CCF0CD6">
      <w:pPr>
        <w:pStyle w:val="6"/>
        <w:numPr>
          <w:ilvl w:val="0"/>
          <w:numId w:val="7"/>
        </w:numPr>
        <w:snapToGrid w:val="0"/>
        <w:rPr>
          <w:rFonts w:hint="eastAsia" w:hAnsi="宋体" w:cs="宋体"/>
          <w:highlight w:val="none"/>
        </w:rPr>
      </w:pPr>
      <w:r>
        <w:rPr>
          <w:rFonts w:hint="eastAsia" w:hAnsi="宋体" w:cs="宋体"/>
          <w:highlight w:val="none"/>
        </w:rPr>
        <w:t>支持结构化数据、半结构化数据和非结构化数据等多种数据类型存储；</w:t>
      </w:r>
    </w:p>
    <w:p w14:paraId="40BC60B9">
      <w:pPr>
        <w:pStyle w:val="6"/>
        <w:numPr>
          <w:ilvl w:val="0"/>
          <w:numId w:val="7"/>
        </w:numPr>
        <w:snapToGrid w:val="0"/>
        <w:rPr>
          <w:rFonts w:hint="eastAsia" w:hAnsi="宋体" w:cs="宋体"/>
          <w:highlight w:val="none"/>
        </w:rPr>
      </w:pPr>
      <w:r>
        <w:rPr>
          <w:rFonts w:hint="eastAsia" w:hAnsi="宋体" w:cs="宋体"/>
          <w:highlight w:val="none"/>
        </w:rPr>
        <w:t>支持块存储、对象存储、文件存储等多种存储方法，满足数据备份、视频存储等不同应用场景使用要求；</w:t>
      </w:r>
    </w:p>
    <w:p w14:paraId="0E3FC3DD">
      <w:pPr>
        <w:pStyle w:val="6"/>
        <w:numPr>
          <w:ilvl w:val="0"/>
          <w:numId w:val="7"/>
        </w:numPr>
        <w:snapToGrid w:val="0"/>
        <w:rPr>
          <w:rFonts w:hint="eastAsia" w:hAnsi="宋体" w:cs="宋体"/>
          <w:highlight w:val="none"/>
        </w:rPr>
      </w:pPr>
      <w:r>
        <w:rPr>
          <w:rFonts w:hint="eastAsia" w:hAnsi="宋体" w:cs="宋体"/>
          <w:highlight w:val="none"/>
        </w:rPr>
        <w:t>支持存储资源扩展能力，例如：PB级扩展；</w:t>
      </w:r>
    </w:p>
    <w:p w14:paraId="02D40DB4">
      <w:pPr>
        <w:pStyle w:val="6"/>
        <w:numPr>
          <w:ilvl w:val="0"/>
          <w:numId w:val="7"/>
        </w:numPr>
        <w:snapToGrid w:val="0"/>
        <w:rPr>
          <w:rFonts w:hint="eastAsia" w:hAnsi="宋体" w:cs="宋体"/>
          <w:highlight w:val="none"/>
        </w:rPr>
      </w:pPr>
      <w:r>
        <w:rPr>
          <w:rFonts w:hint="eastAsia" w:hAnsi="宋体" w:cs="宋体"/>
          <w:highlight w:val="none"/>
        </w:rPr>
        <w:t>支持磁盘容错技术，如磁盘故障后节点的自动平衡和重构、硬盘故障检测和处理、集群节点出现单盘故障时不影响业务运行等；</w:t>
      </w:r>
    </w:p>
    <w:p w14:paraId="3C4DD234">
      <w:pPr>
        <w:pStyle w:val="6"/>
        <w:numPr>
          <w:ilvl w:val="0"/>
          <w:numId w:val="7"/>
        </w:numPr>
        <w:snapToGrid w:val="0"/>
        <w:rPr>
          <w:rFonts w:hint="eastAsia" w:hAnsi="宋体" w:cs="宋体"/>
          <w:highlight w:val="none"/>
        </w:rPr>
      </w:pPr>
      <w:r>
        <w:rPr>
          <w:rFonts w:hint="eastAsia" w:hAnsi="宋体" w:cs="宋体"/>
          <w:highlight w:val="none"/>
        </w:rPr>
        <w:t>存储资源性能要求包括但不限于如下：</w:t>
      </w:r>
    </w:p>
    <w:p w14:paraId="7868F82D">
      <w:pPr>
        <w:pStyle w:val="6"/>
        <w:tabs>
          <w:tab w:val="left" w:pos="0"/>
        </w:tabs>
        <w:snapToGrid w:val="0"/>
        <w:ind w:firstLine="0"/>
        <w:rPr>
          <w:rFonts w:hint="eastAsia" w:hAnsi="宋体" w:cs="宋体"/>
          <w:highlight w:val="none"/>
        </w:rPr>
      </w:pPr>
      <w:r>
        <w:rPr>
          <w:rFonts w:hint="eastAsia" w:hAnsi="宋体" w:cs="宋体"/>
          <w:highlight w:val="none"/>
        </w:rPr>
        <w:t>1.2.5.1吞吐量：高性能存储系统的读写带宽应不低于1000MB/s,IOPS不低于20000;普通性能存储系统的读写带宽应不低于200MB/s，IOPS不低于1000。</w:t>
      </w:r>
    </w:p>
    <w:p w14:paraId="25327969">
      <w:pPr>
        <w:pStyle w:val="6"/>
        <w:tabs>
          <w:tab w:val="left" w:pos="0"/>
        </w:tabs>
        <w:snapToGrid w:val="0"/>
        <w:ind w:firstLine="0"/>
        <w:rPr>
          <w:rFonts w:hint="eastAsia" w:hAnsi="宋体" w:cs="宋体"/>
          <w:highlight w:val="none"/>
        </w:rPr>
      </w:pPr>
      <w:r>
        <w:rPr>
          <w:rFonts w:hint="eastAsia" w:hAnsi="宋体" w:cs="宋体"/>
          <w:highlight w:val="none"/>
        </w:rPr>
        <w:t>1.2.5.2支持高可靠性，可靠性不低于99.9999%；</w:t>
      </w:r>
    </w:p>
    <w:p w14:paraId="3EB03E9F">
      <w:pPr>
        <w:pStyle w:val="6"/>
        <w:snapToGrid w:val="0"/>
        <w:ind w:firstLine="480"/>
        <w:rPr>
          <w:rFonts w:hint="eastAsia" w:hAnsi="宋体" w:cs="宋体"/>
          <w:highlight w:val="none"/>
        </w:rPr>
      </w:pPr>
      <w:r>
        <w:rPr>
          <w:rFonts w:hint="eastAsia" w:hAnsi="宋体" w:cs="宋体"/>
          <w:highlight w:val="none"/>
        </w:rPr>
        <w:t>（三）网络服务</w:t>
      </w:r>
    </w:p>
    <w:p w14:paraId="163C9744">
      <w:pPr>
        <w:ind w:firstLine="482" w:firstLineChars="200"/>
        <w:rPr>
          <w:rFonts w:hint="eastAsia" w:ascii="宋体" w:hAnsi="宋体" w:cs="宋体"/>
          <w:b/>
          <w:bCs/>
          <w:sz w:val="24"/>
          <w:highlight w:val="none"/>
        </w:rPr>
      </w:pPr>
      <w:r>
        <w:rPr>
          <w:rFonts w:hint="eastAsia" w:ascii="宋体" w:hAnsi="宋体" w:cs="宋体"/>
          <w:b/>
          <w:bCs/>
          <w:sz w:val="24"/>
          <w:highlight w:val="none"/>
        </w:rPr>
        <w:t>1.1服务内容</w:t>
      </w:r>
    </w:p>
    <w:p w14:paraId="41CFF920">
      <w:pPr>
        <w:pStyle w:val="6"/>
        <w:tabs>
          <w:tab w:val="left" w:pos="0"/>
        </w:tabs>
        <w:snapToGrid w:val="0"/>
        <w:ind w:firstLine="0"/>
        <w:rPr>
          <w:rFonts w:hint="eastAsia" w:hAnsi="宋体" w:cs="宋体"/>
          <w:highlight w:val="none"/>
        </w:rPr>
      </w:pPr>
      <w:r>
        <w:rPr>
          <w:rFonts w:hint="eastAsia" w:hAnsi="宋体" w:cs="宋体"/>
          <w:highlight w:val="none"/>
        </w:rPr>
        <w:t>1.1.1提供互联网链路带宽服务、互联网IP地址租用服务，并提供相应的网络域名备案服务，配合应用开发厂商提供网络策略配置服务。</w:t>
      </w:r>
    </w:p>
    <w:p w14:paraId="4A30710C">
      <w:pPr>
        <w:pStyle w:val="6"/>
        <w:tabs>
          <w:tab w:val="left" w:pos="0"/>
        </w:tabs>
        <w:snapToGrid w:val="0"/>
        <w:ind w:firstLine="0"/>
        <w:rPr>
          <w:rFonts w:hint="eastAsia" w:hAnsi="宋体" w:cs="宋体"/>
          <w:highlight w:val="none"/>
        </w:rPr>
      </w:pPr>
      <w:r>
        <w:rPr>
          <w:rFonts w:hint="eastAsia" w:hAnsi="宋体" w:cs="宋体"/>
          <w:highlight w:val="none"/>
        </w:rPr>
        <w:t>1.1.2主机负载均衡服务，通过云管理平台实现针每租户按需自动分配负载均衡服务的能力。</w:t>
      </w:r>
    </w:p>
    <w:p w14:paraId="76430B1B">
      <w:pPr>
        <w:pStyle w:val="6"/>
        <w:tabs>
          <w:tab w:val="left" w:pos="0"/>
        </w:tabs>
        <w:snapToGrid w:val="0"/>
        <w:ind w:firstLine="0"/>
        <w:rPr>
          <w:rFonts w:hint="eastAsia" w:hAnsi="宋体" w:cs="宋体"/>
          <w:highlight w:val="none"/>
        </w:rPr>
      </w:pPr>
      <w:r>
        <w:rPr>
          <w:rFonts w:hint="eastAsia" w:hAnsi="宋体" w:cs="宋体"/>
          <w:highlight w:val="none"/>
        </w:rPr>
        <w:t>1.1.3远程接入服务，提供互联网远程接入服务，每个账号结合身份验证接入堡垒机维护应用系统。</w:t>
      </w:r>
    </w:p>
    <w:p w14:paraId="1D51DCD6">
      <w:pPr>
        <w:pStyle w:val="6"/>
        <w:tabs>
          <w:tab w:val="left" w:pos="0"/>
        </w:tabs>
        <w:snapToGrid w:val="0"/>
        <w:ind w:firstLine="0"/>
        <w:rPr>
          <w:rFonts w:hint="eastAsia" w:hAnsi="宋体" w:cs="宋体"/>
          <w:highlight w:val="none"/>
        </w:rPr>
      </w:pPr>
      <w:r>
        <w:rPr>
          <w:rFonts w:hint="eastAsia" w:hAnsi="宋体" w:cs="宋体"/>
          <w:highlight w:val="none"/>
        </w:rPr>
        <w:t>1.1.4VPN服务，用户通过SSL VPN访问业务系统。</w:t>
      </w:r>
    </w:p>
    <w:p w14:paraId="420FB231">
      <w:pPr>
        <w:ind w:firstLine="482" w:firstLineChars="200"/>
        <w:rPr>
          <w:rFonts w:hint="eastAsia" w:ascii="宋体" w:hAnsi="宋体" w:cs="宋体"/>
          <w:b/>
          <w:bCs/>
          <w:sz w:val="24"/>
          <w:highlight w:val="none"/>
        </w:rPr>
      </w:pPr>
      <w:r>
        <w:rPr>
          <w:rFonts w:hint="eastAsia" w:ascii="宋体" w:hAnsi="宋体" w:cs="宋体"/>
          <w:b/>
          <w:bCs/>
          <w:sz w:val="24"/>
          <w:highlight w:val="none"/>
        </w:rPr>
        <w:t>1.2服务标准</w:t>
      </w:r>
    </w:p>
    <w:p w14:paraId="1C540882">
      <w:pPr>
        <w:pStyle w:val="6"/>
        <w:snapToGrid w:val="0"/>
        <w:ind w:firstLine="480"/>
        <w:rPr>
          <w:rFonts w:hint="eastAsia" w:hAnsi="宋体" w:cs="宋体"/>
          <w:highlight w:val="none"/>
        </w:rPr>
      </w:pPr>
      <w:r>
        <w:rPr>
          <w:rFonts w:hint="eastAsia" w:hAnsi="宋体" w:cs="宋体"/>
          <w:highlight w:val="none"/>
        </w:rPr>
        <w:t>网络系统提供稳定的数据传输能力，一般要求如下：</w:t>
      </w:r>
    </w:p>
    <w:p w14:paraId="071AF69C">
      <w:pPr>
        <w:pStyle w:val="6"/>
        <w:numPr>
          <w:ilvl w:val="0"/>
          <w:numId w:val="8"/>
        </w:numPr>
        <w:snapToGrid w:val="0"/>
        <w:rPr>
          <w:rFonts w:hint="eastAsia" w:hAnsi="宋体" w:cs="宋体"/>
          <w:highlight w:val="none"/>
        </w:rPr>
      </w:pPr>
      <w:r>
        <w:rPr>
          <w:rFonts w:hint="eastAsia" w:hAnsi="宋体" w:cs="宋体"/>
          <w:highlight w:val="none"/>
        </w:rPr>
        <w:t>具备多运营商网络接入服务的能力；</w:t>
      </w:r>
    </w:p>
    <w:p w14:paraId="1F0B5DE9">
      <w:pPr>
        <w:pStyle w:val="6"/>
        <w:numPr>
          <w:ilvl w:val="0"/>
          <w:numId w:val="8"/>
        </w:numPr>
        <w:snapToGrid w:val="0"/>
        <w:rPr>
          <w:rFonts w:hint="eastAsia" w:hAnsi="宋体" w:cs="宋体"/>
          <w:highlight w:val="none"/>
        </w:rPr>
      </w:pPr>
      <w:r>
        <w:rPr>
          <w:rFonts w:hint="eastAsia" w:hAnsi="宋体" w:cs="宋体"/>
          <w:highlight w:val="none"/>
        </w:rPr>
        <w:t>数据中心组网架构设计可采用大二层网络架构，支持云主机无障碍动态迁移；</w:t>
      </w:r>
    </w:p>
    <w:p w14:paraId="6195477A">
      <w:pPr>
        <w:pStyle w:val="6"/>
        <w:numPr>
          <w:ilvl w:val="0"/>
          <w:numId w:val="8"/>
        </w:numPr>
        <w:snapToGrid w:val="0"/>
        <w:rPr>
          <w:rFonts w:hint="eastAsia" w:hAnsi="宋体" w:cs="宋体"/>
          <w:highlight w:val="none"/>
        </w:rPr>
      </w:pPr>
      <w:r>
        <w:rPr>
          <w:rFonts w:hint="eastAsia" w:hAnsi="宋体" w:cs="宋体"/>
          <w:highlight w:val="none"/>
        </w:rPr>
        <w:t>应采用集群部署网络控制，以保障升级时业务不中断；</w:t>
      </w:r>
    </w:p>
    <w:p w14:paraId="182E131C">
      <w:pPr>
        <w:pStyle w:val="6"/>
        <w:numPr>
          <w:ilvl w:val="0"/>
          <w:numId w:val="8"/>
        </w:numPr>
        <w:snapToGrid w:val="0"/>
        <w:rPr>
          <w:rFonts w:hint="eastAsia" w:hAnsi="宋体" w:cs="宋体"/>
          <w:highlight w:val="none"/>
        </w:rPr>
      </w:pPr>
      <w:r>
        <w:rPr>
          <w:rFonts w:hint="eastAsia" w:hAnsi="宋体" w:cs="宋体"/>
          <w:highlight w:val="none"/>
        </w:rPr>
        <w:t>应实现自动化动态网络资源调配和隔离，支持与互联网、电子政务外网及行业部门专网的连接；</w:t>
      </w:r>
    </w:p>
    <w:p w14:paraId="72ED56FA">
      <w:pPr>
        <w:pStyle w:val="6"/>
        <w:numPr>
          <w:ilvl w:val="0"/>
          <w:numId w:val="8"/>
        </w:numPr>
        <w:snapToGrid w:val="0"/>
        <w:rPr>
          <w:rFonts w:hint="eastAsia" w:hAnsi="宋体" w:cs="宋体"/>
          <w:highlight w:val="none"/>
        </w:rPr>
      </w:pPr>
      <w:r>
        <w:rPr>
          <w:rFonts w:hint="eastAsia" w:hAnsi="宋体" w:cs="宋体"/>
          <w:highlight w:val="none"/>
        </w:rPr>
        <w:t>可支持IPv6地址分配，满足业务系统IPv6要求；</w:t>
      </w:r>
    </w:p>
    <w:p w14:paraId="23081349">
      <w:pPr>
        <w:pStyle w:val="6"/>
        <w:numPr>
          <w:ilvl w:val="0"/>
          <w:numId w:val="8"/>
        </w:numPr>
        <w:snapToGrid w:val="0"/>
        <w:rPr>
          <w:rFonts w:hint="eastAsia" w:hAnsi="宋体" w:cs="宋体"/>
          <w:highlight w:val="none"/>
        </w:rPr>
      </w:pPr>
      <w:r>
        <w:rPr>
          <w:rFonts w:hint="eastAsia" w:hAnsi="宋体" w:cs="宋体"/>
          <w:highlight w:val="none"/>
        </w:rPr>
        <w:t>具备边界防火墙和VPC防火墙隔离能力，分别针对不同的流量进行安全策略防护与配置；</w:t>
      </w:r>
    </w:p>
    <w:p w14:paraId="5888D2F0">
      <w:pPr>
        <w:pStyle w:val="6"/>
        <w:numPr>
          <w:ilvl w:val="0"/>
          <w:numId w:val="8"/>
        </w:numPr>
        <w:snapToGrid w:val="0"/>
        <w:rPr>
          <w:rFonts w:hint="eastAsia" w:hAnsi="宋体" w:cs="宋体"/>
          <w:highlight w:val="none"/>
        </w:rPr>
      </w:pPr>
      <w:r>
        <w:rPr>
          <w:rFonts w:hint="eastAsia" w:hAnsi="宋体" w:cs="宋体"/>
          <w:highlight w:val="none"/>
        </w:rPr>
        <w:t>具备高可用虚拟IP能力，在集群或主备场景下，云主机可绑定高可用虚拟IP，达到高可用访问效果；</w:t>
      </w:r>
    </w:p>
    <w:p w14:paraId="36A4DC95">
      <w:pPr>
        <w:pStyle w:val="6"/>
        <w:numPr>
          <w:ilvl w:val="0"/>
          <w:numId w:val="8"/>
        </w:numPr>
        <w:snapToGrid w:val="0"/>
        <w:rPr>
          <w:rFonts w:hint="eastAsia" w:hAnsi="宋体" w:cs="宋体"/>
          <w:highlight w:val="none"/>
        </w:rPr>
      </w:pPr>
      <w:r>
        <w:rPr>
          <w:rFonts w:hint="eastAsia" w:hAnsi="宋体" w:cs="宋体"/>
          <w:highlight w:val="none"/>
        </w:rPr>
        <w:t>采用双活网络架构，降低单点故障带来的稳定风险；为入云系统划分安全区域，合理制定访问规则。</w:t>
      </w:r>
    </w:p>
    <w:p w14:paraId="332F1EA0">
      <w:pPr>
        <w:pStyle w:val="6"/>
        <w:numPr>
          <w:ilvl w:val="0"/>
          <w:numId w:val="8"/>
        </w:numPr>
        <w:snapToGrid w:val="0"/>
        <w:rPr>
          <w:rFonts w:hint="eastAsia" w:hAnsi="宋体" w:cs="宋体"/>
          <w:highlight w:val="none"/>
        </w:rPr>
      </w:pPr>
      <w:r>
        <w:rPr>
          <w:rFonts w:hint="eastAsia" w:hAnsi="宋体" w:cs="宋体"/>
          <w:highlight w:val="none"/>
        </w:rPr>
        <w:t>网络系统性能要求包括但不限于如下：</w:t>
      </w:r>
    </w:p>
    <w:p w14:paraId="685577C4">
      <w:pPr>
        <w:tabs>
          <w:tab w:val="left" w:pos="0"/>
        </w:tabs>
        <w:spacing w:line="360" w:lineRule="auto"/>
        <w:rPr>
          <w:rFonts w:hint="eastAsia" w:ascii="宋体" w:hAnsi="宋体" w:cs="宋体"/>
          <w:sz w:val="24"/>
          <w:highlight w:val="none"/>
        </w:rPr>
      </w:pPr>
      <w:r>
        <w:rPr>
          <w:rFonts w:hint="eastAsia" w:ascii="宋体" w:hAnsi="宋体" w:cs="宋体"/>
          <w:sz w:val="24"/>
          <w:highlight w:val="none"/>
        </w:rPr>
        <w:t>1.2.9.1云内骨干线路带宽不低于10Gb/s；</w:t>
      </w:r>
    </w:p>
    <w:p w14:paraId="79DA37F4">
      <w:pPr>
        <w:tabs>
          <w:tab w:val="left" w:pos="0"/>
        </w:tabs>
        <w:spacing w:line="360" w:lineRule="auto"/>
        <w:rPr>
          <w:rFonts w:hint="eastAsia" w:ascii="宋体" w:hAnsi="宋体" w:cs="宋体"/>
          <w:sz w:val="24"/>
          <w:highlight w:val="none"/>
        </w:rPr>
      </w:pPr>
      <w:r>
        <w:rPr>
          <w:rFonts w:hint="eastAsia" w:ascii="宋体" w:hAnsi="宋体" w:cs="宋体"/>
          <w:sz w:val="24"/>
          <w:highlight w:val="none"/>
        </w:rPr>
        <w:t>1.2.9.2服务器业务带宽不低于1Gb/s；</w:t>
      </w:r>
    </w:p>
    <w:p w14:paraId="65567B5D">
      <w:pPr>
        <w:tabs>
          <w:tab w:val="left" w:pos="0"/>
        </w:tabs>
        <w:spacing w:line="360" w:lineRule="auto"/>
        <w:rPr>
          <w:rFonts w:hint="eastAsia" w:ascii="宋体" w:hAnsi="宋体" w:cs="宋体"/>
          <w:sz w:val="24"/>
          <w:highlight w:val="none"/>
        </w:rPr>
      </w:pPr>
      <w:r>
        <w:rPr>
          <w:rFonts w:hint="eastAsia" w:ascii="宋体" w:hAnsi="宋体" w:cs="宋体"/>
          <w:sz w:val="24"/>
          <w:highlight w:val="none"/>
        </w:rPr>
        <w:t>1.2.9.3平均可用性不低于99.9%。</w:t>
      </w:r>
    </w:p>
    <w:p w14:paraId="2B6C5F04">
      <w:pPr>
        <w:pStyle w:val="6"/>
        <w:numPr>
          <w:ilvl w:val="0"/>
          <w:numId w:val="8"/>
        </w:numPr>
        <w:snapToGrid w:val="0"/>
        <w:rPr>
          <w:rFonts w:hint="eastAsia" w:hAnsi="宋体" w:cs="宋体"/>
          <w:highlight w:val="none"/>
        </w:rPr>
      </w:pPr>
      <w:r>
        <w:rPr>
          <w:rFonts w:hint="eastAsia" w:hAnsi="宋体" w:cs="宋体"/>
          <w:highlight w:val="none"/>
        </w:rPr>
        <w:t>远程接入服务支持基于IP/IP段、用户/用户组、资产/资产组、协议、危险级别等组合策略进行访问控制，对于不合法的行为予以阻断；可基于运维账号的登陆时间和资产登陆时间进行访问控制；可基于运维操作命令进行访问控制；可基于主机、用户、IP地址控制审计日志的访问权限；</w:t>
      </w:r>
    </w:p>
    <w:p w14:paraId="2E45BFB4">
      <w:pPr>
        <w:pStyle w:val="6"/>
        <w:numPr>
          <w:ilvl w:val="0"/>
          <w:numId w:val="8"/>
        </w:numPr>
        <w:snapToGrid w:val="0"/>
        <w:rPr>
          <w:rFonts w:hint="eastAsia" w:hAnsi="宋体" w:cs="宋体"/>
          <w:highlight w:val="none"/>
        </w:rPr>
      </w:pPr>
      <w:r>
        <w:rPr>
          <w:rFonts w:hint="eastAsia" w:hAnsi="宋体" w:cs="宋体"/>
          <w:highlight w:val="none"/>
        </w:rPr>
        <w:t>供应商应强化远程运维管理，因业务确需通过互联网远程运维的，应当采取安全管控措施，向采购提供安全管控方案。重要保障时期可以做到远程接入账号禁用操作，根据需求随时执行远程接入账号管控操作，并根据需求导出运维录屏操作记录。</w:t>
      </w:r>
    </w:p>
    <w:p w14:paraId="43BE7823">
      <w:pPr>
        <w:pStyle w:val="6"/>
        <w:snapToGrid w:val="0"/>
        <w:ind w:firstLine="720" w:firstLineChars="300"/>
        <w:rPr>
          <w:rFonts w:hint="eastAsia" w:hAnsi="宋体" w:cs="宋体"/>
          <w:highlight w:val="none"/>
        </w:rPr>
      </w:pPr>
      <w:r>
        <w:rPr>
          <w:rFonts w:hint="eastAsia" w:hAnsi="宋体" w:cs="宋体"/>
          <w:highlight w:val="none"/>
        </w:rPr>
        <w:t>（四）基础软件支撑服务</w:t>
      </w:r>
    </w:p>
    <w:p w14:paraId="5B571E65">
      <w:pPr>
        <w:ind w:firstLine="482" w:firstLineChars="200"/>
        <w:rPr>
          <w:rFonts w:hint="eastAsia" w:ascii="宋体" w:hAnsi="宋体" w:cs="宋体"/>
          <w:b/>
          <w:bCs/>
          <w:sz w:val="24"/>
          <w:highlight w:val="none"/>
        </w:rPr>
      </w:pPr>
      <w:r>
        <w:rPr>
          <w:rFonts w:hint="eastAsia" w:ascii="宋体" w:hAnsi="宋体" w:cs="宋体"/>
          <w:b/>
          <w:bCs/>
          <w:sz w:val="24"/>
          <w:highlight w:val="none"/>
        </w:rPr>
        <w:t>1.1服务内容</w:t>
      </w:r>
    </w:p>
    <w:p w14:paraId="0FBEF65A">
      <w:pPr>
        <w:pStyle w:val="6"/>
        <w:snapToGrid w:val="0"/>
        <w:ind w:firstLine="720" w:firstLineChars="300"/>
        <w:rPr>
          <w:rFonts w:hint="eastAsia" w:hAnsi="宋体" w:cs="宋体"/>
          <w:highlight w:val="none"/>
        </w:rPr>
      </w:pPr>
      <w:r>
        <w:rPr>
          <w:rFonts w:hint="eastAsia" w:hAnsi="宋体" w:cs="宋体"/>
          <w:highlight w:val="none"/>
        </w:rPr>
        <w:t>按照采购人的有关管理规定及具体需求，提供商用操作系统、商用应用中间件、商用数据库等软件支撑服务。</w:t>
      </w:r>
    </w:p>
    <w:p w14:paraId="74908CBD">
      <w:pPr>
        <w:ind w:firstLine="482" w:firstLineChars="200"/>
        <w:rPr>
          <w:rFonts w:hint="eastAsia" w:ascii="宋体" w:hAnsi="宋体" w:cs="宋体"/>
          <w:b/>
          <w:bCs/>
          <w:sz w:val="24"/>
          <w:highlight w:val="none"/>
        </w:rPr>
      </w:pPr>
      <w:r>
        <w:rPr>
          <w:rFonts w:hint="eastAsia" w:ascii="宋体" w:hAnsi="宋体" w:cs="宋体"/>
          <w:b/>
          <w:bCs/>
          <w:sz w:val="24"/>
          <w:highlight w:val="none"/>
        </w:rPr>
        <w:t>1.2服务标准</w:t>
      </w:r>
    </w:p>
    <w:p w14:paraId="77064B4D">
      <w:pPr>
        <w:pStyle w:val="6"/>
        <w:numPr>
          <w:ilvl w:val="0"/>
          <w:numId w:val="9"/>
        </w:numPr>
        <w:snapToGrid w:val="0"/>
        <w:rPr>
          <w:rFonts w:hint="eastAsia" w:hAnsi="宋体" w:cs="宋体"/>
          <w:highlight w:val="none"/>
        </w:rPr>
      </w:pPr>
      <w:r>
        <w:rPr>
          <w:rFonts w:hint="eastAsia" w:hAnsi="宋体" w:cs="宋体"/>
          <w:highlight w:val="none"/>
        </w:rPr>
        <w:t>商用操作系统套餐</w:t>
      </w:r>
    </w:p>
    <w:p w14:paraId="66327B32">
      <w:pPr>
        <w:pStyle w:val="6"/>
        <w:tabs>
          <w:tab w:val="left" w:pos="0"/>
        </w:tabs>
        <w:snapToGrid w:val="0"/>
        <w:ind w:firstLine="0"/>
        <w:rPr>
          <w:rFonts w:hint="eastAsia" w:hAnsi="宋体" w:cs="宋体"/>
          <w:highlight w:val="none"/>
        </w:rPr>
      </w:pPr>
      <w:r>
        <w:rPr>
          <w:rFonts w:hint="eastAsia" w:hAnsi="宋体" w:cs="宋体"/>
          <w:highlight w:val="none"/>
        </w:rPr>
        <w:t>提供主流商业操作系统服务，支持Windows Server、Linux操作系统的各种主流版本，并提供操作系统的安装部署和各种故障处理。</w:t>
      </w:r>
    </w:p>
    <w:p w14:paraId="64DAFD44">
      <w:pPr>
        <w:pStyle w:val="6"/>
        <w:numPr>
          <w:ilvl w:val="0"/>
          <w:numId w:val="9"/>
        </w:numPr>
        <w:snapToGrid w:val="0"/>
        <w:rPr>
          <w:rFonts w:hint="eastAsia" w:hAnsi="宋体" w:cs="宋体"/>
          <w:highlight w:val="none"/>
        </w:rPr>
      </w:pPr>
      <w:r>
        <w:rPr>
          <w:rFonts w:hint="eastAsia" w:hAnsi="宋体" w:cs="宋体"/>
          <w:highlight w:val="none"/>
        </w:rPr>
        <w:t>商用应用中间件套餐</w:t>
      </w:r>
    </w:p>
    <w:p w14:paraId="5C70551D">
      <w:pPr>
        <w:pStyle w:val="6"/>
        <w:tabs>
          <w:tab w:val="left" w:pos="0"/>
        </w:tabs>
        <w:snapToGrid w:val="0"/>
        <w:ind w:firstLine="0"/>
        <w:rPr>
          <w:rFonts w:hint="eastAsia" w:hAnsi="宋体" w:cs="宋体"/>
          <w:highlight w:val="none"/>
        </w:rPr>
      </w:pPr>
      <w:r>
        <w:rPr>
          <w:rFonts w:hint="eastAsia" w:hAnsi="宋体" w:cs="宋体"/>
          <w:highlight w:val="none"/>
        </w:rPr>
        <w:t>提供主流商用中间件服务，并提供中间件的安装部署以及各种故障处理和日常维护。</w:t>
      </w:r>
    </w:p>
    <w:p w14:paraId="29DF4BFA">
      <w:pPr>
        <w:pStyle w:val="6"/>
        <w:numPr>
          <w:ilvl w:val="0"/>
          <w:numId w:val="9"/>
        </w:numPr>
        <w:snapToGrid w:val="0"/>
        <w:rPr>
          <w:rFonts w:hint="eastAsia" w:hAnsi="宋体" w:cs="宋体"/>
          <w:highlight w:val="none"/>
        </w:rPr>
      </w:pPr>
      <w:r>
        <w:rPr>
          <w:rFonts w:hint="eastAsia" w:hAnsi="宋体" w:cs="宋体"/>
          <w:highlight w:val="none"/>
        </w:rPr>
        <w:t>商用数据库套餐,</w:t>
      </w:r>
    </w:p>
    <w:p w14:paraId="7D042188">
      <w:pPr>
        <w:pStyle w:val="6"/>
        <w:tabs>
          <w:tab w:val="left" w:pos="0"/>
        </w:tabs>
        <w:snapToGrid w:val="0"/>
        <w:ind w:firstLine="0"/>
        <w:rPr>
          <w:rFonts w:hint="eastAsia" w:hAnsi="宋体" w:cs="宋体"/>
          <w:highlight w:val="none"/>
        </w:rPr>
      </w:pPr>
      <w:r>
        <w:rPr>
          <w:rFonts w:hint="eastAsia" w:hAnsi="宋体" w:cs="宋体"/>
          <w:highlight w:val="none"/>
        </w:rPr>
        <w:t>提供商用数据库服务，提供数据库的安装部署和各种故障处理及日常维护。</w:t>
      </w:r>
    </w:p>
    <w:p w14:paraId="5EE72BA9">
      <w:pPr>
        <w:pStyle w:val="6"/>
        <w:snapToGrid w:val="0"/>
        <w:ind w:firstLine="720" w:firstLineChars="300"/>
        <w:rPr>
          <w:rFonts w:hint="eastAsia" w:hAnsi="宋体" w:cs="宋体"/>
          <w:highlight w:val="none"/>
        </w:rPr>
      </w:pPr>
      <w:r>
        <w:rPr>
          <w:rFonts w:hint="eastAsia" w:hAnsi="宋体" w:cs="宋体"/>
          <w:highlight w:val="none"/>
        </w:rPr>
        <w:t>（五）安全服务</w:t>
      </w:r>
    </w:p>
    <w:p w14:paraId="5BF0ED75">
      <w:pPr>
        <w:ind w:firstLine="482" w:firstLineChars="200"/>
        <w:rPr>
          <w:rFonts w:hint="eastAsia" w:ascii="宋体" w:hAnsi="宋体" w:cs="宋体"/>
          <w:b/>
          <w:bCs/>
          <w:sz w:val="24"/>
          <w:highlight w:val="none"/>
        </w:rPr>
      </w:pPr>
      <w:r>
        <w:rPr>
          <w:rFonts w:hint="eastAsia" w:ascii="宋体" w:hAnsi="宋体" w:cs="宋体"/>
          <w:b/>
          <w:bCs/>
          <w:sz w:val="24"/>
          <w:highlight w:val="none"/>
        </w:rPr>
        <w:t>1.1服务内容</w:t>
      </w:r>
    </w:p>
    <w:p w14:paraId="54468BD7">
      <w:pPr>
        <w:pStyle w:val="6"/>
        <w:snapToGrid w:val="0"/>
        <w:ind w:firstLine="480"/>
        <w:rPr>
          <w:rFonts w:hint="eastAsia" w:hAnsi="宋体" w:cs="宋体"/>
          <w:highlight w:val="none"/>
        </w:rPr>
      </w:pPr>
      <w:r>
        <w:rPr>
          <w:rFonts w:hint="eastAsia" w:hAnsi="宋体" w:cs="宋体"/>
          <w:highlight w:val="none"/>
        </w:rPr>
        <w:t>安全是政务云的红线，应按照网络安全等级保护要求建设安全技术防护体系和安全管理体系，加强数据的安全管理，防止重要或敏感数据泄露或被滥用，并建立应急处置体系。安全服务主要内容包含：</w:t>
      </w:r>
    </w:p>
    <w:p w14:paraId="5FE37685">
      <w:pPr>
        <w:pStyle w:val="6"/>
        <w:tabs>
          <w:tab w:val="left" w:pos="0"/>
        </w:tabs>
        <w:snapToGrid w:val="0"/>
        <w:ind w:firstLine="0"/>
        <w:rPr>
          <w:rFonts w:hint="eastAsia" w:hAnsi="宋体" w:cs="宋体"/>
          <w:highlight w:val="none"/>
        </w:rPr>
      </w:pPr>
      <w:r>
        <w:rPr>
          <w:rFonts w:hint="eastAsia" w:hAnsi="宋体" w:cs="宋体"/>
          <w:highlight w:val="none"/>
        </w:rPr>
        <w:t>1.1.1WAF防护服务</w:t>
      </w:r>
    </w:p>
    <w:p w14:paraId="06131E84">
      <w:pPr>
        <w:pStyle w:val="6"/>
        <w:tabs>
          <w:tab w:val="left" w:pos="0"/>
        </w:tabs>
        <w:snapToGrid w:val="0"/>
        <w:ind w:firstLine="0"/>
        <w:rPr>
          <w:rFonts w:hint="eastAsia" w:hAnsi="宋体" w:cs="宋体"/>
          <w:highlight w:val="none"/>
        </w:rPr>
      </w:pPr>
      <w:r>
        <w:rPr>
          <w:rFonts w:hint="eastAsia" w:hAnsi="宋体" w:cs="宋体"/>
          <w:highlight w:val="none"/>
        </w:rPr>
        <w:t>按照采购人的具体需求，提供互联网WAF防护服务，保证用户对已知安全隐患进行防护，实时升级漏洞补丁，配置防护策略，起到前端防护作用。</w:t>
      </w:r>
    </w:p>
    <w:p w14:paraId="4DF04F37">
      <w:pPr>
        <w:pStyle w:val="6"/>
        <w:tabs>
          <w:tab w:val="left" w:pos="0"/>
        </w:tabs>
        <w:snapToGrid w:val="0"/>
        <w:ind w:firstLine="0"/>
        <w:rPr>
          <w:rFonts w:hint="eastAsia" w:hAnsi="宋体" w:cs="宋体"/>
          <w:highlight w:val="none"/>
        </w:rPr>
      </w:pPr>
      <w:r>
        <w:rPr>
          <w:rFonts w:hint="eastAsia" w:hAnsi="宋体" w:cs="宋体"/>
          <w:highlight w:val="none"/>
        </w:rPr>
        <w:t>1.1.2云端抗DDOS服务</w:t>
      </w:r>
    </w:p>
    <w:p w14:paraId="1147E844">
      <w:pPr>
        <w:pStyle w:val="6"/>
        <w:tabs>
          <w:tab w:val="left" w:pos="0"/>
        </w:tabs>
        <w:snapToGrid w:val="0"/>
        <w:ind w:firstLine="0"/>
        <w:rPr>
          <w:rFonts w:hint="eastAsia" w:hAnsi="宋体" w:cs="宋体"/>
          <w:highlight w:val="none"/>
        </w:rPr>
      </w:pPr>
      <w:r>
        <w:rPr>
          <w:rFonts w:hint="eastAsia" w:hAnsi="宋体" w:cs="宋体"/>
          <w:highlight w:val="none"/>
        </w:rPr>
        <w:t>按照采购人的具体需求，根据流量提供云端抗DDOS服务，为云内应用系统抵御大流量分布式拒绝服务攻击。在提供服务的过程中需做好与采购人和对应项目的应用开发厂商的协调沟通工作。</w:t>
      </w:r>
    </w:p>
    <w:p w14:paraId="173FB599">
      <w:pPr>
        <w:pStyle w:val="6"/>
        <w:tabs>
          <w:tab w:val="left" w:pos="0"/>
        </w:tabs>
        <w:snapToGrid w:val="0"/>
        <w:ind w:firstLine="0"/>
        <w:rPr>
          <w:rFonts w:hint="eastAsia" w:hAnsi="宋体" w:cs="宋体"/>
          <w:highlight w:val="none"/>
        </w:rPr>
      </w:pPr>
      <w:r>
        <w:rPr>
          <w:rFonts w:hint="eastAsia" w:hAnsi="宋体" w:cs="宋体"/>
          <w:highlight w:val="none"/>
        </w:rPr>
        <w:t>1.1.3主机杀毒服务</w:t>
      </w:r>
    </w:p>
    <w:p w14:paraId="00FE84E8">
      <w:pPr>
        <w:pStyle w:val="6"/>
        <w:tabs>
          <w:tab w:val="left" w:pos="0"/>
        </w:tabs>
        <w:snapToGrid w:val="0"/>
        <w:ind w:firstLine="0"/>
        <w:rPr>
          <w:rFonts w:hint="eastAsia" w:hAnsi="宋体" w:cs="宋体"/>
          <w:highlight w:val="none"/>
        </w:rPr>
      </w:pPr>
      <w:r>
        <w:rPr>
          <w:rFonts w:hint="eastAsia" w:hAnsi="宋体" w:cs="宋体"/>
          <w:highlight w:val="none"/>
        </w:rPr>
        <w:t>提供主机杀毒服务，对云主机进行定期的病毒查杀，实施杀毒软件集中控制。</w:t>
      </w:r>
    </w:p>
    <w:p w14:paraId="010466E0">
      <w:pPr>
        <w:pStyle w:val="6"/>
        <w:tabs>
          <w:tab w:val="left" w:pos="0"/>
        </w:tabs>
        <w:snapToGrid w:val="0"/>
        <w:ind w:firstLine="0"/>
        <w:rPr>
          <w:rFonts w:hint="eastAsia" w:hAnsi="宋体" w:cs="宋体"/>
          <w:highlight w:val="none"/>
        </w:rPr>
      </w:pPr>
      <w:r>
        <w:rPr>
          <w:rFonts w:hint="eastAsia" w:hAnsi="宋体" w:cs="宋体"/>
          <w:highlight w:val="none"/>
        </w:rPr>
        <w:t>1.1.4主机安全加固</w:t>
      </w:r>
    </w:p>
    <w:p w14:paraId="3772E9F2">
      <w:pPr>
        <w:pStyle w:val="6"/>
        <w:tabs>
          <w:tab w:val="left" w:pos="0"/>
        </w:tabs>
        <w:snapToGrid w:val="0"/>
        <w:ind w:firstLine="0"/>
        <w:rPr>
          <w:rFonts w:hint="eastAsia" w:hAnsi="宋体" w:cs="宋体"/>
          <w:highlight w:val="none"/>
        </w:rPr>
      </w:pPr>
      <w:r>
        <w:rPr>
          <w:rFonts w:hint="eastAsia" w:hAnsi="宋体" w:cs="宋体"/>
          <w:highlight w:val="none"/>
        </w:rPr>
        <w:t>提供主机安全加固服务，针对预警自查、漏洞扫描或等级测评结果对操作系统进行安全加固，用以解决等级测评结果中所显示的漏洞。</w:t>
      </w:r>
    </w:p>
    <w:p w14:paraId="326488C0">
      <w:pPr>
        <w:pStyle w:val="6"/>
        <w:tabs>
          <w:tab w:val="left" w:pos="0"/>
        </w:tabs>
        <w:snapToGrid w:val="0"/>
        <w:ind w:firstLine="0"/>
        <w:rPr>
          <w:rFonts w:hint="eastAsia" w:hAnsi="宋体" w:cs="宋体"/>
          <w:highlight w:val="none"/>
        </w:rPr>
      </w:pPr>
      <w:r>
        <w:rPr>
          <w:rFonts w:hint="eastAsia" w:hAnsi="宋体" w:cs="宋体"/>
          <w:highlight w:val="none"/>
        </w:rPr>
        <w:t>1.1.5网页防篡改服务</w:t>
      </w:r>
    </w:p>
    <w:p w14:paraId="54B38104">
      <w:pPr>
        <w:pStyle w:val="6"/>
        <w:tabs>
          <w:tab w:val="left" w:pos="0"/>
        </w:tabs>
        <w:snapToGrid w:val="0"/>
        <w:ind w:firstLine="0"/>
        <w:rPr>
          <w:rFonts w:hint="eastAsia" w:hAnsi="宋体" w:cs="宋体"/>
          <w:highlight w:val="none"/>
        </w:rPr>
      </w:pPr>
      <w:r>
        <w:rPr>
          <w:rFonts w:hint="eastAsia" w:hAnsi="宋体" w:cs="宋体"/>
          <w:highlight w:val="none"/>
        </w:rPr>
        <w:t>按照采购人的具体需求，提供网页防篡改服务。通过防篡改软件对用户页面进行实时防护，减少用户页面被恶意篡改的可能性。</w:t>
      </w:r>
    </w:p>
    <w:p w14:paraId="04952E44">
      <w:pPr>
        <w:pStyle w:val="6"/>
        <w:tabs>
          <w:tab w:val="left" w:pos="0"/>
        </w:tabs>
        <w:snapToGrid w:val="0"/>
        <w:ind w:firstLine="0"/>
        <w:rPr>
          <w:rFonts w:hint="eastAsia" w:hAnsi="宋体" w:cs="宋体"/>
          <w:highlight w:val="none"/>
        </w:rPr>
      </w:pPr>
      <w:r>
        <w:rPr>
          <w:rFonts w:hint="eastAsia" w:hAnsi="宋体" w:cs="宋体"/>
          <w:highlight w:val="none"/>
        </w:rPr>
        <w:t>1.1.6主机防护服务</w:t>
      </w:r>
    </w:p>
    <w:p w14:paraId="52F0CF22">
      <w:pPr>
        <w:pStyle w:val="6"/>
        <w:tabs>
          <w:tab w:val="left" w:pos="0"/>
        </w:tabs>
        <w:snapToGrid w:val="0"/>
        <w:ind w:firstLine="0"/>
        <w:rPr>
          <w:rFonts w:hint="eastAsia" w:hAnsi="宋体" w:cs="宋体"/>
          <w:highlight w:val="none"/>
        </w:rPr>
      </w:pPr>
      <w:r>
        <w:rPr>
          <w:rFonts w:hint="eastAsia" w:hAnsi="宋体" w:cs="宋体"/>
          <w:highlight w:val="none"/>
        </w:rPr>
        <w:t>提供符合等保三级要求的主机权限管理及安全防护。可对主机系统安全涉及的控制点形成立体防护。</w:t>
      </w:r>
    </w:p>
    <w:p w14:paraId="30D2F780">
      <w:pPr>
        <w:pStyle w:val="6"/>
        <w:tabs>
          <w:tab w:val="left" w:pos="0"/>
        </w:tabs>
        <w:snapToGrid w:val="0"/>
        <w:ind w:firstLine="0"/>
        <w:rPr>
          <w:rFonts w:hint="eastAsia" w:hAnsi="宋体" w:cs="宋体"/>
          <w:highlight w:val="none"/>
        </w:rPr>
      </w:pPr>
      <w:r>
        <w:rPr>
          <w:rFonts w:hint="eastAsia" w:hAnsi="宋体" w:cs="宋体"/>
          <w:highlight w:val="none"/>
        </w:rPr>
        <w:t>1.1.7主机漏洞扫描</w:t>
      </w:r>
    </w:p>
    <w:p w14:paraId="0EB7F9ED">
      <w:pPr>
        <w:pStyle w:val="6"/>
        <w:snapToGrid w:val="0"/>
        <w:ind w:firstLine="0"/>
        <w:rPr>
          <w:rFonts w:hint="eastAsia" w:hAnsi="宋体" w:cs="宋体"/>
          <w:highlight w:val="none"/>
        </w:rPr>
      </w:pPr>
      <w:r>
        <w:rPr>
          <w:rFonts w:hint="eastAsia" w:hAnsi="宋体" w:cs="宋体"/>
          <w:highlight w:val="none"/>
        </w:rPr>
        <w:t>基于漏洞数据库，通过扫描等手段对主机安全脆弱性进行检测。</w:t>
      </w:r>
    </w:p>
    <w:p w14:paraId="112EC752">
      <w:pPr>
        <w:ind w:firstLine="482" w:firstLineChars="200"/>
        <w:rPr>
          <w:rFonts w:hint="eastAsia" w:ascii="宋体" w:hAnsi="宋体" w:cs="宋体"/>
          <w:b/>
          <w:bCs/>
          <w:sz w:val="24"/>
          <w:highlight w:val="none"/>
        </w:rPr>
      </w:pPr>
      <w:r>
        <w:rPr>
          <w:rFonts w:hint="eastAsia" w:ascii="宋体" w:hAnsi="宋体" w:cs="宋体"/>
          <w:b/>
          <w:bCs/>
          <w:sz w:val="24"/>
          <w:highlight w:val="none"/>
        </w:rPr>
        <w:t>1.2服务标准</w:t>
      </w:r>
    </w:p>
    <w:p w14:paraId="18AA7975">
      <w:pPr>
        <w:pStyle w:val="6"/>
        <w:numPr>
          <w:ilvl w:val="0"/>
          <w:numId w:val="10"/>
        </w:numPr>
        <w:snapToGrid w:val="0"/>
        <w:rPr>
          <w:rFonts w:hint="eastAsia" w:hAnsi="宋体" w:cs="宋体"/>
          <w:highlight w:val="none"/>
        </w:rPr>
      </w:pPr>
      <w:r>
        <w:rPr>
          <w:rFonts w:hint="eastAsia" w:hAnsi="宋体" w:cs="宋体"/>
          <w:highlight w:val="none"/>
        </w:rPr>
        <w:t>投标人所投云平台具备完备的安全防护体系和安全防护设备，具有成熟的安全运维方案，应保证各业务应用系统的支撑环境，包括但不限于服务器、网络、存储以及相关物理环境，应能满足不低于网络安全等级保护（GB/T22239-2019）第三级要求，并积极配合采购人根据各业务系统具体等保需求，开展相应等保评估、检查、整改等工作。</w:t>
      </w:r>
    </w:p>
    <w:p w14:paraId="6546A960">
      <w:pPr>
        <w:pStyle w:val="6"/>
        <w:numPr>
          <w:ilvl w:val="0"/>
          <w:numId w:val="10"/>
        </w:numPr>
        <w:snapToGrid w:val="0"/>
        <w:rPr>
          <w:rFonts w:hint="eastAsia" w:hAnsi="宋体" w:cs="宋体"/>
          <w:highlight w:val="none"/>
        </w:rPr>
      </w:pPr>
      <w:r>
        <w:rPr>
          <w:rFonts w:hint="eastAsia" w:hAnsi="宋体" w:cs="宋体"/>
          <w:highlight w:val="none"/>
        </w:rPr>
        <w:t>投标人需利用监控系统或人工对机房环境、硬件设备及应用系统的运行情况进行7*24小时的不间断巡检监控，及时发现安全隐患，通知相关人员及时处理，并形成监控报告。</w:t>
      </w:r>
    </w:p>
    <w:p w14:paraId="2572DA81">
      <w:pPr>
        <w:pStyle w:val="6"/>
        <w:numPr>
          <w:ilvl w:val="0"/>
          <w:numId w:val="10"/>
        </w:numPr>
        <w:snapToGrid w:val="0"/>
        <w:rPr>
          <w:rFonts w:hint="eastAsia" w:hAnsi="宋体" w:cs="宋体"/>
          <w:highlight w:val="none"/>
        </w:rPr>
      </w:pPr>
      <w:r>
        <w:rPr>
          <w:rFonts w:hint="eastAsia" w:hAnsi="宋体" w:cs="宋体"/>
          <w:highlight w:val="none"/>
        </w:rPr>
        <w:t>投标人需纳入行业监管部门网络安全保障整体工作体系，在涉及重保、安全事件、威胁情报等方面，配合安全服务商开展研判、处置、分析等工作。</w:t>
      </w:r>
    </w:p>
    <w:p w14:paraId="597151B9">
      <w:pPr>
        <w:pStyle w:val="6"/>
        <w:numPr>
          <w:ilvl w:val="0"/>
          <w:numId w:val="10"/>
        </w:numPr>
        <w:snapToGrid w:val="0"/>
        <w:rPr>
          <w:rFonts w:hint="eastAsia" w:hAnsi="宋体" w:cs="宋体"/>
          <w:highlight w:val="none"/>
        </w:rPr>
      </w:pPr>
      <w:r>
        <w:rPr>
          <w:rFonts w:hint="eastAsia" w:hAnsi="宋体" w:cs="宋体"/>
          <w:highlight w:val="none"/>
        </w:rPr>
        <w:t>投标人承担云平台数据防篡改、防丢失的安全责任。业务数据未经采购人同意，不得离开云机房。投标人未经允许不得对云平台上的任何数据进行非法截取、加工、分析处理或提供给第三方机构。投标人在未经过用户邮件、书面材料确认前提下，不能查看、修改、拷贝用户业务系统文件和数据；各业务系统、数据归属于采购人，投标人无权支配。</w:t>
      </w:r>
    </w:p>
    <w:p w14:paraId="30A0121E">
      <w:pPr>
        <w:pStyle w:val="6"/>
        <w:numPr>
          <w:ilvl w:val="0"/>
          <w:numId w:val="10"/>
        </w:numPr>
        <w:snapToGrid w:val="0"/>
        <w:rPr>
          <w:rFonts w:hint="eastAsia" w:hAnsi="宋体" w:cs="宋体"/>
          <w:highlight w:val="none"/>
        </w:rPr>
      </w:pPr>
      <w:r>
        <w:rPr>
          <w:rFonts w:hint="eastAsia" w:hAnsi="宋体" w:cs="宋体"/>
          <w:highlight w:val="none"/>
        </w:rPr>
        <w:t>投标人需保证安全技术服务能力不低于所承载的信息系统的最高级别，并通过GB/T 22239相应等级的测评；符合GB/T 34080.1，GB/T 34080.2，GB/T 34080.3，GB/T 34080.4中的规定；通过商用密码应用安全性评估，商用密码应用安全性评估参考GB/T 39786-2021中相应等级规定；</w:t>
      </w:r>
    </w:p>
    <w:p w14:paraId="6A3F53A8">
      <w:pPr>
        <w:pStyle w:val="6"/>
        <w:numPr>
          <w:ilvl w:val="0"/>
          <w:numId w:val="10"/>
        </w:numPr>
        <w:snapToGrid w:val="0"/>
        <w:rPr>
          <w:rFonts w:hint="eastAsia" w:hAnsi="宋体" w:cs="宋体"/>
          <w:highlight w:val="none"/>
        </w:rPr>
      </w:pPr>
      <w:r>
        <w:rPr>
          <w:rFonts w:hint="eastAsia" w:hAnsi="宋体" w:cs="宋体"/>
          <w:highlight w:val="none"/>
        </w:rPr>
        <w:t>投标人应坚持制度和技术并重，建立健全网络和数据安全管理制度，落实网络和数据安全管理要求。采取相应技术措施，保障网络免受干扰、破坏或者未经授权的访问。</w:t>
      </w:r>
    </w:p>
    <w:p w14:paraId="529427DC">
      <w:pPr>
        <w:pStyle w:val="6"/>
        <w:snapToGrid w:val="0"/>
        <w:ind w:firstLine="720" w:firstLineChars="300"/>
        <w:rPr>
          <w:rFonts w:hint="eastAsia" w:hAnsi="宋体" w:cs="宋体"/>
          <w:highlight w:val="none"/>
        </w:rPr>
      </w:pPr>
      <w:r>
        <w:rPr>
          <w:rFonts w:hint="eastAsia" w:hAnsi="宋体" w:cs="宋体"/>
          <w:highlight w:val="none"/>
        </w:rPr>
        <w:t>（六）运维服务</w:t>
      </w:r>
    </w:p>
    <w:p w14:paraId="648428C7">
      <w:pPr>
        <w:ind w:firstLine="482" w:firstLineChars="200"/>
        <w:rPr>
          <w:rFonts w:hint="eastAsia" w:ascii="宋体" w:hAnsi="宋体" w:cs="宋体"/>
          <w:b/>
          <w:bCs/>
          <w:sz w:val="24"/>
          <w:highlight w:val="none"/>
        </w:rPr>
      </w:pPr>
      <w:r>
        <w:rPr>
          <w:rFonts w:hint="eastAsia" w:ascii="宋体" w:hAnsi="宋体" w:cs="宋体"/>
          <w:b/>
          <w:bCs/>
          <w:sz w:val="24"/>
          <w:highlight w:val="none"/>
        </w:rPr>
        <w:t>1.1服务内容</w:t>
      </w:r>
    </w:p>
    <w:p w14:paraId="640619C5">
      <w:pPr>
        <w:pStyle w:val="6"/>
        <w:tabs>
          <w:tab w:val="left" w:pos="0"/>
        </w:tabs>
        <w:snapToGrid w:val="0"/>
        <w:ind w:firstLine="0"/>
        <w:rPr>
          <w:rFonts w:hint="eastAsia" w:hAnsi="宋体" w:cs="宋体"/>
          <w:highlight w:val="none"/>
        </w:rPr>
      </w:pPr>
      <w:r>
        <w:rPr>
          <w:rFonts w:hint="eastAsia" w:hAnsi="宋体" w:cs="宋体"/>
          <w:highlight w:val="none"/>
        </w:rPr>
        <w:t>1.1.1负责机房环境资源、云平台硬件资产、虚拟化资产的管理工作；</w:t>
      </w:r>
    </w:p>
    <w:p w14:paraId="5273A05F">
      <w:pPr>
        <w:pStyle w:val="6"/>
        <w:tabs>
          <w:tab w:val="left" w:pos="0"/>
        </w:tabs>
        <w:snapToGrid w:val="0"/>
        <w:ind w:firstLine="0"/>
        <w:rPr>
          <w:rFonts w:hint="eastAsia" w:hAnsi="宋体" w:cs="宋体"/>
          <w:highlight w:val="none"/>
        </w:rPr>
      </w:pPr>
      <w:r>
        <w:rPr>
          <w:rFonts w:hint="eastAsia" w:hAnsi="宋体" w:cs="宋体"/>
          <w:highlight w:val="none"/>
        </w:rPr>
        <w:t>1.1.2信息系统入云、上线、变更、退出等各阶段的备案与信息变更等工作；</w:t>
      </w:r>
    </w:p>
    <w:p w14:paraId="6C60EBAD">
      <w:pPr>
        <w:pStyle w:val="6"/>
        <w:tabs>
          <w:tab w:val="left" w:pos="0"/>
        </w:tabs>
        <w:snapToGrid w:val="0"/>
        <w:ind w:firstLine="0"/>
        <w:rPr>
          <w:rFonts w:hint="eastAsia" w:hAnsi="宋体" w:cs="宋体"/>
          <w:highlight w:val="none"/>
        </w:rPr>
      </w:pPr>
      <w:r>
        <w:rPr>
          <w:rFonts w:hint="eastAsia" w:hAnsi="宋体" w:cs="宋体"/>
          <w:highlight w:val="none"/>
        </w:rPr>
        <w:t>1.1.3执行云平台变更申请、审批流程；</w:t>
      </w:r>
    </w:p>
    <w:p w14:paraId="2C9A3F2B">
      <w:pPr>
        <w:pStyle w:val="6"/>
        <w:tabs>
          <w:tab w:val="left" w:pos="0"/>
        </w:tabs>
        <w:snapToGrid w:val="0"/>
        <w:ind w:firstLine="0"/>
        <w:rPr>
          <w:rFonts w:hint="eastAsia" w:hAnsi="宋体" w:cs="宋体"/>
          <w:highlight w:val="none"/>
        </w:rPr>
      </w:pPr>
      <w:r>
        <w:rPr>
          <w:rFonts w:hint="eastAsia" w:hAnsi="宋体" w:cs="宋体"/>
          <w:highlight w:val="none"/>
        </w:rPr>
        <w:t>1.1.4云平台网络资源管理，针对内部地址使用情况、云平台专线接入情况、政务外网资源使用情况等做好统计工作；</w:t>
      </w:r>
    </w:p>
    <w:p w14:paraId="310FC025">
      <w:pPr>
        <w:pStyle w:val="6"/>
        <w:tabs>
          <w:tab w:val="left" w:pos="0"/>
        </w:tabs>
        <w:snapToGrid w:val="0"/>
        <w:ind w:firstLine="0"/>
        <w:rPr>
          <w:rFonts w:hint="eastAsia" w:hAnsi="宋体" w:cs="宋体"/>
          <w:highlight w:val="none"/>
        </w:rPr>
      </w:pPr>
      <w:r>
        <w:rPr>
          <w:rFonts w:hint="eastAsia" w:hAnsi="宋体" w:cs="宋体"/>
          <w:highlight w:val="none"/>
        </w:rPr>
        <w:t>1.1.5服务期内，投标人须配备运维团队，提供可靠的售后服务保障。投标人针对采购人要求的云平台运维服务相关内容，需指定专业技术能力较强的工程师，根据采购人要求配合开展相关维护服务。</w:t>
      </w:r>
    </w:p>
    <w:p w14:paraId="62E58E94">
      <w:pPr>
        <w:ind w:firstLine="482" w:firstLineChars="200"/>
        <w:rPr>
          <w:rFonts w:hint="eastAsia" w:ascii="宋体" w:hAnsi="宋体" w:cs="宋体"/>
          <w:b/>
          <w:bCs/>
          <w:sz w:val="24"/>
          <w:highlight w:val="none"/>
        </w:rPr>
      </w:pPr>
      <w:r>
        <w:rPr>
          <w:rFonts w:hint="eastAsia" w:ascii="宋体" w:hAnsi="宋体" w:cs="宋体"/>
          <w:b/>
          <w:bCs/>
          <w:sz w:val="24"/>
          <w:highlight w:val="none"/>
        </w:rPr>
        <w:t>1.2服务标准</w:t>
      </w:r>
    </w:p>
    <w:p w14:paraId="087FE9F4">
      <w:pPr>
        <w:pStyle w:val="6"/>
        <w:numPr>
          <w:ilvl w:val="0"/>
          <w:numId w:val="11"/>
        </w:numPr>
        <w:snapToGrid w:val="0"/>
        <w:rPr>
          <w:rFonts w:hint="eastAsia" w:hAnsi="宋体" w:cs="宋体"/>
          <w:highlight w:val="none"/>
        </w:rPr>
      </w:pPr>
      <w:r>
        <w:rPr>
          <w:rFonts w:hint="eastAsia" w:hAnsi="宋体" w:cs="宋体"/>
          <w:highlight w:val="none"/>
        </w:rPr>
        <w:t>依据《北京市市级政务云管理办法》，投标人应当提供高效的系统维护服务，有效防范系统风险，系统对应负责人7*24小时电话畅通，能够在系统发生除宕机外的其他故障问题时，能够协调人力资源在1小时内到达政务云机房现场提供服务。系统发生宕机问题时，投标人应在5分钟内响应，能够协调人力资源在1小时内到达运维现场定位、排除故障，在3个小时之内使系统恢复正常，故障处理完毕后提供相关系统宕机报告。</w:t>
      </w:r>
    </w:p>
    <w:p w14:paraId="0FE86485">
      <w:pPr>
        <w:pStyle w:val="6"/>
        <w:numPr>
          <w:ilvl w:val="0"/>
          <w:numId w:val="11"/>
        </w:numPr>
        <w:snapToGrid w:val="0"/>
        <w:rPr>
          <w:rFonts w:hint="eastAsia" w:hAnsi="宋体" w:cs="宋体"/>
          <w:highlight w:val="none"/>
        </w:rPr>
      </w:pPr>
      <w:r>
        <w:rPr>
          <w:rFonts w:hint="eastAsia" w:hAnsi="宋体" w:cs="宋体"/>
          <w:highlight w:val="none"/>
        </w:rPr>
        <w:t>为保障业务高峰期内系统平稳运行，缓解系统高峰期内因业务发生量增大而带来系统压力风险，要求投标人根据业务周期性特点，加大运维保障力度，保证在业务高峰期内系统平稳运行。</w:t>
      </w:r>
    </w:p>
    <w:p w14:paraId="50539F21">
      <w:pPr>
        <w:pStyle w:val="6"/>
        <w:numPr>
          <w:ilvl w:val="0"/>
          <w:numId w:val="11"/>
        </w:numPr>
        <w:snapToGrid w:val="0"/>
        <w:rPr>
          <w:rFonts w:hint="eastAsia" w:hAnsi="宋体" w:cs="宋体"/>
          <w:highlight w:val="none"/>
        </w:rPr>
      </w:pPr>
      <w:r>
        <w:rPr>
          <w:rFonts w:hint="eastAsia" w:hAnsi="宋体" w:cs="宋体"/>
          <w:highlight w:val="none"/>
        </w:rPr>
        <w:t>重点保障时期重要信息系统云主机资源调整时间不超过1小时，针对重点保障时期的重要信息系统重要云主机，投标人应按采购人要求进行实时监控，超过预警阈值时主动上调云资源，并第一时间通知采购人进行相应操作，确保系统平稳运行。</w:t>
      </w:r>
    </w:p>
    <w:p w14:paraId="284D7D64">
      <w:pPr>
        <w:pStyle w:val="6"/>
        <w:numPr>
          <w:ilvl w:val="0"/>
          <w:numId w:val="11"/>
        </w:numPr>
        <w:snapToGrid w:val="0"/>
        <w:rPr>
          <w:rFonts w:hint="eastAsia" w:hAnsi="宋体" w:cs="宋体"/>
          <w:highlight w:val="none"/>
        </w:rPr>
      </w:pPr>
      <w:r>
        <w:rPr>
          <w:rFonts w:hint="eastAsia" w:hAnsi="宋体" w:cs="宋体"/>
          <w:highlight w:val="none"/>
        </w:rPr>
        <w:t>按照国家、北京市相关规定和信息安全技术标准及规范要求, 落实安全保障措施, 通过信息安全测评机构的测评和政务云安全审查 。</w:t>
      </w:r>
    </w:p>
    <w:p w14:paraId="1C81A7FA">
      <w:pPr>
        <w:pStyle w:val="6"/>
        <w:numPr>
          <w:ilvl w:val="0"/>
          <w:numId w:val="11"/>
        </w:numPr>
        <w:snapToGrid w:val="0"/>
        <w:rPr>
          <w:rFonts w:hint="eastAsia" w:hAnsi="宋体" w:cs="宋体"/>
          <w:highlight w:val="none"/>
        </w:rPr>
      </w:pPr>
      <w:r>
        <w:rPr>
          <w:rFonts w:hint="eastAsia" w:hAnsi="宋体" w:cs="宋体"/>
          <w:highlight w:val="none"/>
        </w:rPr>
        <w:t>投标人应明确运维操作规范和工作流程。定期开展文档查阅、漏洞扫描、渗透测试等多种形式的安全自查，排查政务网络和信息系统可能存在的安全漏洞，以及木马、后门、病毒等隐患风险，及时进行整改加固，切实防范安全风险。</w:t>
      </w:r>
    </w:p>
    <w:p w14:paraId="1309A653">
      <w:pPr>
        <w:pStyle w:val="6"/>
        <w:numPr>
          <w:ilvl w:val="0"/>
          <w:numId w:val="11"/>
        </w:numPr>
        <w:snapToGrid w:val="0"/>
        <w:rPr>
          <w:rFonts w:hint="eastAsia" w:hAnsi="宋体" w:cs="宋体"/>
          <w:highlight w:val="none"/>
        </w:rPr>
      </w:pPr>
      <w:r>
        <w:rPr>
          <w:rFonts w:hint="eastAsia" w:hAnsi="宋体" w:cs="宋体"/>
          <w:highlight w:val="none"/>
        </w:rPr>
        <w:t>投标人应建立政务网络和数据安全监测通报机制，加强网络和数据安全监测，及时发布预警信息，开展政务网络和数据安全应急保障工作。发现其网络产品或服务存在安全漏洞等隐患风险时，应当立即采取补救措施，按照规定及时告知采购人并向有关监管部门报告。</w:t>
      </w:r>
    </w:p>
    <w:p w14:paraId="388F8EB3">
      <w:pPr>
        <w:pStyle w:val="6"/>
        <w:numPr>
          <w:ilvl w:val="0"/>
          <w:numId w:val="11"/>
        </w:numPr>
        <w:snapToGrid w:val="0"/>
        <w:rPr>
          <w:rFonts w:hint="eastAsia" w:hAnsi="宋体" w:cs="宋体"/>
          <w:highlight w:val="none"/>
        </w:rPr>
      </w:pPr>
      <w:r>
        <w:rPr>
          <w:rFonts w:hint="eastAsia" w:hAnsi="宋体" w:cs="宋体"/>
          <w:highlight w:val="none"/>
        </w:rPr>
        <w:t>投标人应保障政务云规范运行。入云系统应开展网络安全测评及备案。应对数据进行分类分级管理，根据数据分级保护要求采取相应级别的安全防护措施。</w:t>
      </w:r>
    </w:p>
    <w:p w14:paraId="32D8D3DF">
      <w:pPr>
        <w:pStyle w:val="6"/>
        <w:numPr>
          <w:ilvl w:val="0"/>
          <w:numId w:val="11"/>
        </w:numPr>
        <w:snapToGrid w:val="0"/>
        <w:rPr>
          <w:rFonts w:hint="eastAsia" w:hAnsi="宋体" w:cs="宋体"/>
          <w:highlight w:val="none"/>
        </w:rPr>
      </w:pPr>
      <w:r>
        <w:rPr>
          <w:rFonts w:hint="eastAsia" w:hAnsi="宋体" w:cs="宋体"/>
          <w:highlight w:val="none"/>
        </w:rPr>
        <w:t>除不可抗力或计划内维护作业造成的政务云服务中断外,政务云实行24小时不间断运行。</w:t>
      </w:r>
    </w:p>
    <w:p w14:paraId="0390698D">
      <w:pPr>
        <w:pStyle w:val="6"/>
        <w:snapToGrid w:val="0"/>
        <w:ind w:firstLine="720" w:firstLineChars="300"/>
        <w:rPr>
          <w:rFonts w:hint="eastAsia" w:hAnsi="宋体" w:cs="宋体"/>
          <w:highlight w:val="none"/>
        </w:rPr>
      </w:pPr>
      <w:r>
        <w:rPr>
          <w:rFonts w:hint="eastAsia" w:hAnsi="宋体" w:cs="宋体"/>
          <w:highlight w:val="none"/>
        </w:rPr>
        <w:t>（七）备份服务</w:t>
      </w:r>
    </w:p>
    <w:p w14:paraId="20AE22C4">
      <w:pPr>
        <w:ind w:firstLine="482" w:firstLineChars="200"/>
        <w:rPr>
          <w:rFonts w:hint="eastAsia" w:ascii="宋体" w:hAnsi="宋体" w:cs="宋体"/>
          <w:b/>
          <w:bCs/>
          <w:sz w:val="24"/>
          <w:highlight w:val="none"/>
        </w:rPr>
      </w:pPr>
      <w:r>
        <w:rPr>
          <w:rFonts w:hint="eastAsia" w:ascii="宋体" w:hAnsi="宋体" w:cs="宋体"/>
          <w:b/>
          <w:bCs/>
          <w:sz w:val="24"/>
          <w:highlight w:val="none"/>
        </w:rPr>
        <w:t>1.1服务内容</w:t>
      </w:r>
    </w:p>
    <w:p w14:paraId="0BD59D86">
      <w:pPr>
        <w:pStyle w:val="6"/>
        <w:snapToGrid w:val="0"/>
        <w:ind w:firstLine="480"/>
        <w:rPr>
          <w:rFonts w:hint="eastAsia" w:hAnsi="宋体" w:cs="宋体"/>
          <w:highlight w:val="none"/>
        </w:rPr>
      </w:pPr>
      <w:r>
        <w:rPr>
          <w:rFonts w:hint="eastAsia" w:hAnsi="宋体" w:cs="宋体"/>
          <w:highlight w:val="none"/>
        </w:rPr>
        <w:t>投标人需具有本地和同城异地数据级备份能力，并配合采购人完成数据级容灾演练及恢复等工作。</w:t>
      </w:r>
    </w:p>
    <w:p w14:paraId="31F2D5C8">
      <w:pPr>
        <w:ind w:firstLine="482" w:firstLineChars="200"/>
        <w:rPr>
          <w:rFonts w:hint="eastAsia" w:ascii="宋体" w:hAnsi="宋体" w:cs="宋体"/>
          <w:b/>
          <w:bCs/>
          <w:sz w:val="24"/>
          <w:highlight w:val="none"/>
        </w:rPr>
      </w:pPr>
      <w:r>
        <w:rPr>
          <w:rFonts w:hint="eastAsia" w:ascii="宋体" w:hAnsi="宋体" w:cs="宋体"/>
          <w:b/>
          <w:bCs/>
          <w:sz w:val="24"/>
          <w:highlight w:val="none"/>
        </w:rPr>
        <w:t>1.2服务标准</w:t>
      </w:r>
    </w:p>
    <w:p w14:paraId="7C9F3C13">
      <w:pPr>
        <w:pStyle w:val="6"/>
        <w:snapToGrid w:val="0"/>
        <w:ind w:firstLine="480"/>
        <w:rPr>
          <w:rFonts w:hint="eastAsia" w:hAnsi="宋体" w:cs="宋体"/>
          <w:highlight w:val="none"/>
        </w:rPr>
      </w:pPr>
      <w:r>
        <w:rPr>
          <w:rFonts w:hint="eastAsia" w:hAnsi="宋体" w:cs="宋体"/>
          <w:highlight w:val="none"/>
        </w:rPr>
        <w:t>按照采购人的各个应用系统对资源的备份需求通过备份策略实现对用户数据（文件、操作系统、数据库）的本地备份（不包含备份存储空间费用），默认提供非结构化数据保护与文件备份保护。备份应满足如下要求:</w:t>
      </w:r>
    </w:p>
    <w:p w14:paraId="2A9056F3">
      <w:pPr>
        <w:pStyle w:val="6"/>
        <w:numPr>
          <w:ilvl w:val="0"/>
          <w:numId w:val="12"/>
        </w:numPr>
        <w:snapToGrid w:val="0"/>
        <w:rPr>
          <w:rFonts w:hint="eastAsia" w:hAnsi="宋体" w:cs="宋体"/>
          <w:highlight w:val="none"/>
        </w:rPr>
      </w:pPr>
      <w:r>
        <w:rPr>
          <w:rFonts w:hint="eastAsia" w:hAnsi="宋体" w:cs="宋体"/>
          <w:highlight w:val="none"/>
        </w:rPr>
        <w:t>备份介质本身具备高可用性和冗余性。</w:t>
      </w:r>
    </w:p>
    <w:p w14:paraId="59E16ADF">
      <w:pPr>
        <w:pStyle w:val="6"/>
        <w:numPr>
          <w:ilvl w:val="0"/>
          <w:numId w:val="12"/>
        </w:numPr>
        <w:snapToGrid w:val="0"/>
        <w:rPr>
          <w:rFonts w:hint="eastAsia" w:hAnsi="宋体" w:cs="宋体"/>
          <w:highlight w:val="none"/>
        </w:rPr>
      </w:pPr>
      <w:r>
        <w:rPr>
          <w:rFonts w:hint="eastAsia" w:hAnsi="宋体" w:cs="宋体"/>
          <w:highlight w:val="none"/>
        </w:rPr>
        <w:t>备份方式包括完整备份、差异备份和增量备份。</w:t>
      </w:r>
    </w:p>
    <w:p w14:paraId="259BACF0">
      <w:pPr>
        <w:pStyle w:val="6"/>
        <w:numPr>
          <w:ilvl w:val="0"/>
          <w:numId w:val="12"/>
        </w:numPr>
        <w:snapToGrid w:val="0"/>
        <w:rPr>
          <w:rFonts w:hint="eastAsia" w:hAnsi="宋体" w:cs="宋体"/>
          <w:highlight w:val="none"/>
        </w:rPr>
      </w:pPr>
      <w:r>
        <w:rPr>
          <w:rFonts w:hint="eastAsia" w:hAnsi="宋体" w:cs="宋体"/>
          <w:highlight w:val="none"/>
        </w:rPr>
        <w:t>支持Windows系列操作系统、Linux主流系统操作系统、主流数据库软件、主流中间件软件、结构化数据以及非结构化数据等备份对象。</w:t>
      </w:r>
    </w:p>
    <w:p w14:paraId="58A61D18">
      <w:pPr>
        <w:pStyle w:val="6"/>
        <w:numPr>
          <w:ilvl w:val="0"/>
          <w:numId w:val="12"/>
        </w:numPr>
        <w:snapToGrid w:val="0"/>
        <w:rPr>
          <w:rFonts w:hint="eastAsia" w:hAnsi="宋体" w:cs="宋体"/>
          <w:highlight w:val="none"/>
        </w:rPr>
      </w:pPr>
      <w:r>
        <w:rPr>
          <w:rFonts w:hint="eastAsia" w:hAnsi="宋体" w:cs="宋体"/>
          <w:highlight w:val="none"/>
        </w:rPr>
        <w:t>支持建立统一的备份管理系统，用来管理本地备份。</w:t>
      </w:r>
    </w:p>
    <w:p w14:paraId="3E6B5E88">
      <w:pPr>
        <w:pStyle w:val="6"/>
        <w:numPr>
          <w:ilvl w:val="0"/>
          <w:numId w:val="12"/>
        </w:numPr>
        <w:snapToGrid w:val="0"/>
        <w:rPr>
          <w:rFonts w:hint="eastAsia" w:hAnsi="宋体" w:cs="宋体"/>
          <w:highlight w:val="none"/>
        </w:rPr>
      </w:pPr>
      <w:r>
        <w:rPr>
          <w:rFonts w:hint="eastAsia" w:hAnsi="宋体" w:cs="宋体"/>
          <w:highlight w:val="none"/>
        </w:rPr>
        <w:t>投标人应提供对备份过程状态、备份结果提供运维监控保障服务，确保备份任务执行成功以及备份的数据完整性。</w:t>
      </w:r>
    </w:p>
    <w:p w14:paraId="5131FBDD">
      <w:pPr>
        <w:pStyle w:val="6"/>
        <w:snapToGrid w:val="0"/>
        <w:ind w:firstLine="720" w:firstLineChars="300"/>
        <w:rPr>
          <w:rFonts w:hint="eastAsia" w:hAnsi="宋体" w:cs="宋体"/>
          <w:highlight w:val="none"/>
        </w:rPr>
      </w:pPr>
      <w:r>
        <w:rPr>
          <w:rFonts w:hint="eastAsia" w:hAnsi="宋体" w:cs="宋体"/>
          <w:highlight w:val="none"/>
        </w:rPr>
        <w:t>（八）日志服务</w:t>
      </w:r>
    </w:p>
    <w:p w14:paraId="2C7C26FF">
      <w:pPr>
        <w:ind w:firstLine="482" w:firstLineChars="200"/>
        <w:rPr>
          <w:rFonts w:hint="eastAsia" w:ascii="宋体" w:hAnsi="宋体" w:cs="宋体"/>
          <w:b/>
          <w:bCs/>
          <w:sz w:val="24"/>
          <w:highlight w:val="none"/>
        </w:rPr>
      </w:pPr>
      <w:r>
        <w:rPr>
          <w:rFonts w:hint="eastAsia" w:ascii="宋体" w:hAnsi="宋体" w:cs="宋体"/>
          <w:b/>
          <w:bCs/>
          <w:sz w:val="24"/>
          <w:highlight w:val="none"/>
        </w:rPr>
        <w:t>1.1服务内容</w:t>
      </w:r>
    </w:p>
    <w:p w14:paraId="59F4D032">
      <w:pPr>
        <w:pStyle w:val="6"/>
        <w:snapToGrid w:val="0"/>
        <w:ind w:firstLine="480"/>
        <w:rPr>
          <w:rFonts w:hint="eastAsia" w:hAnsi="宋体" w:cs="宋体"/>
          <w:highlight w:val="none"/>
        </w:rPr>
      </w:pPr>
      <w:r>
        <w:rPr>
          <w:rFonts w:hint="eastAsia" w:hAnsi="宋体" w:cs="宋体"/>
          <w:highlight w:val="none"/>
        </w:rPr>
        <w:t>日志是发现问题、定位问题的重要信息，投标人提供统一的日志平台服务，针对操作系统进行日志收集，用于了解主机安全情况及资源使用情况，具体内容如下：</w:t>
      </w:r>
    </w:p>
    <w:p w14:paraId="22CC1EE0">
      <w:pPr>
        <w:pStyle w:val="6"/>
        <w:tabs>
          <w:tab w:val="left" w:pos="0"/>
        </w:tabs>
        <w:snapToGrid w:val="0"/>
        <w:ind w:firstLine="0"/>
        <w:rPr>
          <w:rFonts w:hint="eastAsia" w:hAnsi="宋体" w:cs="宋体"/>
          <w:highlight w:val="none"/>
        </w:rPr>
      </w:pPr>
      <w:r>
        <w:rPr>
          <w:rFonts w:hint="eastAsia" w:hAnsi="宋体" w:cs="宋体"/>
          <w:highlight w:val="none"/>
        </w:rPr>
        <w:t>1.1.1提供收集面向主机的日志服务；</w:t>
      </w:r>
    </w:p>
    <w:p w14:paraId="458F4C6D">
      <w:pPr>
        <w:pStyle w:val="6"/>
        <w:tabs>
          <w:tab w:val="left" w:pos="0"/>
        </w:tabs>
        <w:snapToGrid w:val="0"/>
        <w:ind w:firstLine="0"/>
        <w:rPr>
          <w:rFonts w:hint="eastAsia" w:hAnsi="宋体" w:cs="宋体"/>
          <w:highlight w:val="none"/>
        </w:rPr>
      </w:pPr>
      <w:r>
        <w:rPr>
          <w:rFonts w:hint="eastAsia" w:hAnsi="宋体" w:cs="宋体"/>
          <w:highlight w:val="none"/>
        </w:rPr>
        <w:t>1.1.2提供对日志的可视化管理、组合过滤查询的能力；</w:t>
      </w:r>
    </w:p>
    <w:p w14:paraId="54E747EB">
      <w:pPr>
        <w:pStyle w:val="6"/>
        <w:tabs>
          <w:tab w:val="left" w:pos="0"/>
        </w:tabs>
        <w:snapToGrid w:val="0"/>
        <w:ind w:firstLine="0"/>
        <w:rPr>
          <w:rFonts w:hint="eastAsia" w:hAnsi="宋体" w:cs="宋体"/>
          <w:highlight w:val="none"/>
        </w:rPr>
      </w:pPr>
      <w:r>
        <w:rPr>
          <w:rFonts w:hint="eastAsia" w:hAnsi="宋体" w:cs="宋体"/>
          <w:highlight w:val="none"/>
        </w:rPr>
        <w:t>1.1.3支持用户自定义解析规则和解析规则组，并预制多种解析规则实现日志数据解析。</w:t>
      </w:r>
    </w:p>
    <w:p w14:paraId="0DD929C5">
      <w:pPr>
        <w:ind w:firstLine="482" w:firstLineChars="200"/>
        <w:rPr>
          <w:rFonts w:hint="eastAsia" w:ascii="宋体" w:hAnsi="宋体" w:cs="宋体"/>
          <w:b/>
          <w:bCs/>
          <w:sz w:val="24"/>
          <w:highlight w:val="none"/>
        </w:rPr>
      </w:pPr>
      <w:r>
        <w:rPr>
          <w:rFonts w:hint="eastAsia" w:ascii="宋体" w:hAnsi="宋体" w:cs="宋体"/>
          <w:b/>
          <w:bCs/>
          <w:sz w:val="24"/>
          <w:highlight w:val="none"/>
        </w:rPr>
        <w:t>1.2服务标准</w:t>
      </w:r>
    </w:p>
    <w:p w14:paraId="6D71B61F">
      <w:pPr>
        <w:pStyle w:val="6"/>
        <w:snapToGrid w:val="0"/>
        <w:ind w:firstLine="480"/>
        <w:rPr>
          <w:rFonts w:hint="eastAsia" w:hAnsi="宋体" w:cs="宋体"/>
          <w:highlight w:val="none"/>
        </w:rPr>
      </w:pPr>
      <w:r>
        <w:rPr>
          <w:rFonts w:hint="eastAsia" w:hAnsi="宋体" w:cs="宋体"/>
          <w:highlight w:val="none"/>
        </w:rPr>
        <w:t>对主机系统日志进行采集分析处理，用于发现各种安全威胁、异常行为事件。主机系统日志应集中存储，且日志存储时间不低于6个月。</w:t>
      </w:r>
    </w:p>
    <w:p w14:paraId="2A38B1F7">
      <w:pPr>
        <w:pStyle w:val="6"/>
        <w:snapToGrid w:val="0"/>
        <w:ind w:firstLine="720" w:firstLineChars="300"/>
        <w:rPr>
          <w:rFonts w:hint="eastAsia" w:hAnsi="宋体" w:cs="宋体"/>
          <w:highlight w:val="none"/>
        </w:rPr>
      </w:pPr>
      <w:bookmarkStart w:id="12" w:name="OLE_LINK8"/>
      <w:r>
        <w:rPr>
          <w:rFonts w:hint="eastAsia" w:hAnsi="宋体" w:cs="宋体"/>
          <w:highlight w:val="none"/>
        </w:rPr>
        <w:t>（九）迁移服务</w:t>
      </w:r>
    </w:p>
    <w:bookmarkEnd w:id="12"/>
    <w:p w14:paraId="05C1FCA2">
      <w:pPr>
        <w:ind w:firstLine="482" w:firstLineChars="200"/>
        <w:rPr>
          <w:rFonts w:hint="eastAsia" w:ascii="宋体" w:hAnsi="宋体" w:cs="宋体"/>
          <w:b/>
          <w:bCs/>
          <w:sz w:val="24"/>
          <w:highlight w:val="none"/>
        </w:rPr>
      </w:pPr>
      <w:r>
        <w:rPr>
          <w:rFonts w:hint="eastAsia" w:ascii="宋体" w:hAnsi="宋体" w:cs="宋体"/>
          <w:b/>
          <w:bCs/>
          <w:sz w:val="24"/>
          <w:highlight w:val="none"/>
        </w:rPr>
        <w:t>1.1服务内容</w:t>
      </w:r>
    </w:p>
    <w:p w14:paraId="72B984AC">
      <w:pPr>
        <w:pStyle w:val="6"/>
        <w:snapToGrid w:val="0"/>
        <w:ind w:firstLine="480"/>
        <w:rPr>
          <w:rFonts w:hint="eastAsia" w:hAnsi="宋体" w:cs="宋体"/>
          <w:highlight w:val="none"/>
        </w:rPr>
      </w:pPr>
      <w:r>
        <w:rPr>
          <w:rFonts w:hint="eastAsia" w:hAnsi="宋体" w:cs="宋体"/>
          <w:highlight w:val="none"/>
        </w:rPr>
        <w:t>投标人需提供整体的业务上云迁移服务，应支持X86云主机迁移、X86物理主机迁移、单机数据库迁移、高可用数据库迁移等迁移场景。负责需求调研、架构规划设计、应用迁移部署等工作。</w:t>
      </w:r>
    </w:p>
    <w:p w14:paraId="696E46B2">
      <w:pPr>
        <w:ind w:firstLine="482" w:firstLineChars="200"/>
        <w:rPr>
          <w:rFonts w:hint="eastAsia" w:ascii="宋体" w:hAnsi="宋体" w:cs="宋体"/>
          <w:bCs/>
          <w:color w:val="000000"/>
          <w:sz w:val="24"/>
          <w:highlight w:val="none"/>
          <w:lang w:bidi="ar"/>
        </w:rPr>
      </w:pPr>
      <w:r>
        <w:rPr>
          <w:rFonts w:hint="eastAsia" w:ascii="宋体" w:hAnsi="宋体" w:cs="宋体"/>
          <w:b/>
          <w:bCs/>
          <w:sz w:val="24"/>
          <w:highlight w:val="none"/>
        </w:rPr>
        <w:t>1.2服务标准</w:t>
      </w:r>
    </w:p>
    <w:p w14:paraId="6BACD6ED">
      <w:pPr>
        <w:pStyle w:val="6"/>
        <w:snapToGrid w:val="0"/>
        <w:ind w:firstLine="480"/>
        <w:rPr>
          <w:rFonts w:hint="eastAsia" w:hAnsi="宋体" w:cs="宋体"/>
          <w:highlight w:val="none"/>
        </w:rPr>
      </w:pPr>
      <w:r>
        <w:rPr>
          <w:rFonts w:hint="eastAsia" w:hAnsi="宋体" w:cs="宋体"/>
          <w:highlight w:val="none"/>
        </w:rPr>
        <w:t>本项目涉及的业务系统为采购人在用的生产系统，目前在政务云上平稳运行，因此保障业务连续性是重要的保障需求。迁移服务具体要求如下：</w:t>
      </w:r>
    </w:p>
    <w:p w14:paraId="7622096F">
      <w:pPr>
        <w:pStyle w:val="6"/>
        <w:numPr>
          <w:ilvl w:val="0"/>
          <w:numId w:val="13"/>
        </w:numPr>
        <w:snapToGrid w:val="0"/>
        <w:rPr>
          <w:rFonts w:hint="eastAsia" w:hAnsi="宋体" w:cs="宋体"/>
          <w:highlight w:val="none"/>
        </w:rPr>
      </w:pPr>
      <w:r>
        <w:rPr>
          <w:rFonts w:hint="eastAsia" w:hAnsi="宋体" w:cs="宋体"/>
          <w:highlight w:val="none"/>
        </w:rPr>
        <w:t>投标人需编制业务连续性服务方案。</w:t>
      </w:r>
    </w:p>
    <w:p w14:paraId="5FD1B382">
      <w:pPr>
        <w:pStyle w:val="6"/>
        <w:numPr>
          <w:ilvl w:val="0"/>
          <w:numId w:val="13"/>
        </w:numPr>
        <w:snapToGrid w:val="0"/>
        <w:rPr>
          <w:rFonts w:hint="eastAsia" w:hAnsi="宋体" w:cs="宋体"/>
          <w:highlight w:val="none"/>
        </w:rPr>
      </w:pPr>
      <w:r>
        <w:rPr>
          <w:rFonts w:hint="eastAsia" w:hAnsi="宋体" w:cs="宋体"/>
          <w:highlight w:val="none"/>
        </w:rPr>
        <w:t>本项目如涉及系统迁移，在连续性服务方案中需提供确实可行的迁移部署服务子方案，迁移部署服务子方案应包括（但不限于）迁移部署流程（包含但不限于应用、虚拟机和数据类迁移）、业务系统部署迁移方案。迁移部署服务子方案应明确需要采购人配合的具体工作内容及时长，针对系统迁移过程中容易造成业务系统中断的环节，包含但不限于互联网及政务外网IP变更割接、业务数据同步及切换上线、应急回退方案等，进行风险评估，提出详细解决方案。</w:t>
      </w:r>
    </w:p>
    <w:p w14:paraId="6AA2161C">
      <w:pPr>
        <w:pStyle w:val="6"/>
        <w:numPr>
          <w:ilvl w:val="0"/>
          <w:numId w:val="13"/>
        </w:numPr>
        <w:snapToGrid w:val="0"/>
        <w:rPr>
          <w:rFonts w:hint="eastAsia" w:hAnsi="宋体" w:cs="宋体"/>
          <w:highlight w:val="none"/>
        </w:rPr>
      </w:pPr>
      <w:r>
        <w:rPr>
          <w:rFonts w:hint="eastAsia" w:hAnsi="宋体" w:cs="宋体"/>
          <w:highlight w:val="none"/>
        </w:rPr>
        <w:t>本项目如涉及系统迁移，为保障业务系统的连续性，投标人应承诺自中标之日起，积极与原服务商对接，在1个工作日内，完成系统迁移平滑过渡，且因此产生的各项费用（包括但不限于测试阶段的云资源费用，系统开发商对业务系统的部署、调试费用等），应包含在投标人的报价中，提供“承诺函”并加盖投标人公章。</w:t>
      </w:r>
    </w:p>
    <w:p w14:paraId="2067D59A">
      <w:pPr>
        <w:pStyle w:val="8"/>
        <w:snapToGrid w:val="0"/>
        <w:spacing w:beforeAutospacing="0" w:afterAutospacing="0" w:line="360" w:lineRule="auto"/>
        <w:ind w:firstLine="480" w:firstLineChars="200"/>
        <w:jc w:val="both"/>
        <w:rPr>
          <w:rFonts w:hint="eastAsia"/>
          <w:kern w:val="2"/>
          <w:highlight w:val="none"/>
          <w:lang w:bidi="ar"/>
        </w:rPr>
      </w:pPr>
      <w:r>
        <w:rPr>
          <w:rFonts w:hint="eastAsia"/>
          <w:kern w:val="2"/>
          <w:highlight w:val="none"/>
          <w:lang w:bidi="ar"/>
        </w:rPr>
        <w:t>（十）培训服务</w:t>
      </w:r>
    </w:p>
    <w:p w14:paraId="70EAC9C6">
      <w:pPr>
        <w:pStyle w:val="8"/>
        <w:snapToGrid w:val="0"/>
        <w:spacing w:beforeAutospacing="0" w:afterAutospacing="0" w:line="360" w:lineRule="auto"/>
        <w:ind w:firstLine="480" w:firstLineChars="200"/>
        <w:jc w:val="both"/>
        <w:rPr>
          <w:rFonts w:hint="eastAsia"/>
          <w:kern w:val="2"/>
          <w:highlight w:val="none"/>
          <w:lang w:bidi="ar"/>
        </w:rPr>
      </w:pPr>
      <w:r>
        <w:rPr>
          <w:rFonts w:hint="eastAsia"/>
          <w:kern w:val="2"/>
          <w:highlight w:val="none"/>
          <w:lang w:bidi="ar"/>
        </w:rPr>
        <w:t>投标人提供云服务操作手册，并为采购人提供必要的使用培训，至少提供以下内容：</w:t>
      </w:r>
    </w:p>
    <w:p w14:paraId="07D6EAE1">
      <w:pPr>
        <w:pStyle w:val="8"/>
        <w:snapToGrid w:val="0"/>
        <w:spacing w:beforeAutospacing="0" w:afterAutospacing="0" w:line="360" w:lineRule="auto"/>
        <w:ind w:firstLine="480" w:firstLineChars="200"/>
        <w:jc w:val="both"/>
        <w:rPr>
          <w:rFonts w:hint="eastAsia"/>
          <w:highlight w:val="none"/>
        </w:rPr>
      </w:pPr>
      <w:r>
        <w:rPr>
          <w:rFonts w:hint="eastAsia"/>
          <w:highlight w:val="none"/>
        </w:rPr>
        <w:t>面向项目管理人员、系统管理人员的培训，确保此类人员能清晰地了解云平台的设计理念和设计方法，掌握云平台的整体结构，以及各类云资源的申请、审核、开通、回收等管理流程。</w:t>
      </w:r>
    </w:p>
    <w:p w14:paraId="7F11ADB5">
      <w:pPr>
        <w:pStyle w:val="8"/>
        <w:snapToGrid w:val="0"/>
        <w:spacing w:beforeAutospacing="0" w:afterAutospacing="0" w:line="360" w:lineRule="auto"/>
        <w:ind w:firstLine="480" w:firstLineChars="200"/>
        <w:jc w:val="both"/>
        <w:rPr>
          <w:rFonts w:hint="eastAsia"/>
          <w:highlight w:val="none"/>
        </w:rPr>
      </w:pPr>
      <w:r>
        <w:rPr>
          <w:rFonts w:hint="eastAsia"/>
          <w:highlight w:val="none"/>
        </w:rPr>
        <w:t>面向系统维护人员的培训，确保此类人员能理解和掌握云平台的相关技术知识，能够熟练地维护云平台，快速定位和解决系统出现的问题，保证云平台服务期间正常运转，并持续提高运维服务质量。</w:t>
      </w:r>
    </w:p>
    <w:p w14:paraId="0C421F26">
      <w:pPr>
        <w:pStyle w:val="8"/>
        <w:snapToGrid w:val="0"/>
        <w:spacing w:beforeAutospacing="0" w:afterAutospacing="0" w:line="360" w:lineRule="auto"/>
        <w:ind w:firstLine="480" w:firstLineChars="200"/>
        <w:jc w:val="both"/>
        <w:rPr>
          <w:rFonts w:hint="eastAsia"/>
          <w:highlight w:val="none"/>
        </w:rPr>
      </w:pPr>
      <w:r>
        <w:rPr>
          <w:rFonts w:hint="eastAsia"/>
          <w:highlight w:val="none"/>
        </w:rPr>
        <w:t>本单位人员的安全培训教育，确保工作人员符合岗位要求。</w:t>
      </w:r>
    </w:p>
    <w:p w14:paraId="4F05B338">
      <w:pPr>
        <w:pStyle w:val="8"/>
        <w:snapToGrid w:val="0"/>
        <w:spacing w:beforeAutospacing="0" w:afterAutospacing="0" w:line="360" w:lineRule="auto"/>
        <w:ind w:firstLine="480" w:firstLineChars="200"/>
        <w:jc w:val="both"/>
        <w:rPr>
          <w:rFonts w:hint="eastAsia"/>
          <w:highlight w:val="none"/>
        </w:rPr>
      </w:pPr>
      <w:r>
        <w:rPr>
          <w:rFonts w:hint="eastAsia"/>
          <w:highlight w:val="none"/>
        </w:rPr>
        <w:t>云平台维护人员的定期业务培训和保密培训，重保前的业务培训和应急保障培训等。</w:t>
      </w:r>
    </w:p>
    <w:p w14:paraId="38FE74F3">
      <w:pPr>
        <w:pStyle w:val="8"/>
        <w:snapToGrid w:val="0"/>
        <w:spacing w:beforeAutospacing="0" w:afterAutospacing="0" w:line="360" w:lineRule="auto"/>
        <w:ind w:firstLine="480" w:firstLineChars="200"/>
        <w:jc w:val="both"/>
        <w:rPr>
          <w:rFonts w:hint="eastAsia"/>
          <w:highlight w:val="none"/>
        </w:rPr>
      </w:pPr>
      <w:r>
        <w:rPr>
          <w:rFonts w:hint="eastAsia"/>
          <w:highlight w:val="none"/>
        </w:rPr>
        <w:t>面向管理单位的培训，确保此类人员充分了解云平台的技术架构、服务水平等。</w:t>
      </w:r>
      <w:bookmarkEnd w:id="11"/>
    </w:p>
    <w:p w14:paraId="5FF34A6A">
      <w:pPr>
        <w:pStyle w:val="8"/>
        <w:numPr>
          <w:ilvl w:val="0"/>
          <w:numId w:val="14"/>
        </w:numPr>
        <w:snapToGrid w:val="0"/>
        <w:spacing w:beforeAutospacing="0" w:afterAutospacing="0" w:line="360" w:lineRule="auto"/>
        <w:ind w:firstLine="480" w:firstLineChars="200"/>
        <w:jc w:val="both"/>
        <w:rPr>
          <w:rFonts w:hint="eastAsia"/>
          <w:highlight w:val="none"/>
        </w:rPr>
      </w:pPr>
      <w:r>
        <w:rPr>
          <w:rFonts w:hint="eastAsia"/>
          <w:highlight w:val="none"/>
        </w:rPr>
        <w:t>其他服务</w:t>
      </w:r>
    </w:p>
    <w:p w14:paraId="72139F33">
      <w:pPr>
        <w:pStyle w:val="6"/>
        <w:snapToGrid w:val="0"/>
        <w:ind w:firstLine="480"/>
        <w:rPr>
          <w:rFonts w:hint="eastAsia" w:hAnsi="宋体" w:cs="宋体"/>
          <w:highlight w:val="none"/>
        </w:rPr>
      </w:pPr>
      <w:r>
        <w:rPr>
          <w:rFonts w:hint="eastAsia" w:hAnsi="宋体" w:cs="宋体"/>
          <w:highlight w:val="none"/>
        </w:rPr>
        <w:t>按照采购人的有关管理规定及具体需求提供个性化服务，包括数据库租用服务、数据库安全加固服务、网站安全管理服务、网站监测服务-网站页面访问性能监控、等保测评。</w:t>
      </w:r>
    </w:p>
    <w:p w14:paraId="2415C959">
      <w:pPr>
        <w:pStyle w:val="6"/>
        <w:snapToGrid w:val="0"/>
        <w:ind w:firstLine="482"/>
        <w:rPr>
          <w:rFonts w:hint="eastAsia" w:hAnsi="宋体" w:cs="宋体"/>
          <w:b/>
          <w:bCs/>
          <w:highlight w:val="none"/>
        </w:rPr>
      </w:pPr>
      <w:r>
        <w:rPr>
          <w:rFonts w:hint="eastAsia" w:hAnsi="宋体" w:cs="宋体"/>
          <w:b/>
          <w:bCs/>
          <w:highlight w:val="none"/>
        </w:rPr>
        <w:t>11.1服务规范</w:t>
      </w:r>
    </w:p>
    <w:p w14:paraId="3433E172">
      <w:pPr>
        <w:pStyle w:val="6"/>
        <w:snapToGrid w:val="0"/>
        <w:ind w:firstLine="480"/>
        <w:rPr>
          <w:rFonts w:hint="eastAsia" w:hAnsi="宋体" w:cs="宋体"/>
          <w:highlight w:val="none"/>
        </w:rPr>
      </w:pPr>
      <w:r>
        <w:rPr>
          <w:rFonts w:hint="eastAsia" w:hAnsi="宋体" w:cs="宋体"/>
          <w:highlight w:val="none"/>
        </w:rPr>
        <w:t>投标人须严格按照采购人制定的管理办法、流程及其他汇报制度、应急制度、文档管理、资产管理、基线管理、人员管理、培训与考试、知识库管理、安全管理等相关制度，开展标准化运维工作。</w:t>
      </w:r>
    </w:p>
    <w:p w14:paraId="4ED9585C">
      <w:pPr>
        <w:pStyle w:val="6"/>
        <w:snapToGrid w:val="0"/>
        <w:ind w:firstLine="480"/>
        <w:rPr>
          <w:rFonts w:hint="eastAsia" w:hAnsi="宋体" w:cs="宋体"/>
          <w:highlight w:val="none"/>
        </w:rPr>
      </w:pPr>
      <w:r>
        <w:rPr>
          <w:rFonts w:hint="eastAsia" w:hAnsi="宋体" w:cs="宋体"/>
          <w:highlight w:val="none"/>
        </w:rPr>
        <w:t>投标人应遵从政务云管理单位的日常管理要求，包括但不限于应使用政务云管理单位指定的安全通信工具，确保通信和协调信息处于可控范围.</w:t>
      </w:r>
    </w:p>
    <w:p w14:paraId="47A9841D">
      <w:pPr>
        <w:pStyle w:val="6"/>
        <w:snapToGrid w:val="0"/>
        <w:ind w:firstLine="480"/>
        <w:rPr>
          <w:rFonts w:hint="eastAsia" w:hAnsi="宋体" w:cs="宋体"/>
          <w:b/>
          <w:bCs/>
          <w:highlight w:val="none"/>
        </w:rPr>
      </w:pPr>
      <w:r>
        <w:rPr>
          <w:rFonts w:hint="eastAsia" w:hAnsi="宋体" w:cs="宋体"/>
          <w:highlight w:val="none"/>
        </w:rPr>
        <w:t>11.2</w:t>
      </w:r>
      <w:r>
        <w:rPr>
          <w:rFonts w:hint="eastAsia" w:hAnsi="宋体" w:cs="宋体"/>
          <w:b/>
          <w:bCs/>
          <w:highlight w:val="none"/>
        </w:rPr>
        <w:t>支撑保障服务</w:t>
      </w:r>
    </w:p>
    <w:p w14:paraId="7E04B32A">
      <w:pPr>
        <w:pStyle w:val="6"/>
        <w:snapToGrid w:val="0"/>
        <w:ind w:firstLine="480"/>
        <w:rPr>
          <w:rFonts w:hint="eastAsia" w:hAnsi="宋体" w:cs="宋体"/>
          <w:highlight w:val="none"/>
        </w:rPr>
      </w:pPr>
      <w:r>
        <w:rPr>
          <w:rFonts w:hint="eastAsia" w:hAnsi="宋体" w:cs="宋体"/>
          <w:highlight w:val="none"/>
        </w:rPr>
        <w:t>按照采购人有关国产数据库改造、国产密码应用改造等相关需求，提供咨询、评估、论证、使用等支撑保障服务.</w:t>
      </w:r>
    </w:p>
    <w:p w14:paraId="63674C3E">
      <w:pPr>
        <w:pStyle w:val="6"/>
        <w:snapToGrid w:val="0"/>
        <w:ind w:firstLine="480"/>
        <w:rPr>
          <w:rFonts w:hint="eastAsia" w:hAnsi="宋体" w:cs="宋体"/>
          <w:b/>
          <w:bCs/>
          <w:highlight w:val="none"/>
        </w:rPr>
      </w:pPr>
      <w:r>
        <w:rPr>
          <w:rFonts w:hint="eastAsia" w:hAnsi="宋体" w:cs="宋体"/>
          <w:highlight w:val="none"/>
        </w:rPr>
        <w:t>11.3</w:t>
      </w:r>
      <w:r>
        <w:rPr>
          <w:rFonts w:hint="eastAsia" w:hAnsi="宋体" w:cs="宋体"/>
          <w:b/>
          <w:bCs/>
          <w:highlight w:val="none"/>
        </w:rPr>
        <w:t>其他技术服务</w:t>
      </w:r>
    </w:p>
    <w:p w14:paraId="45D5B54B">
      <w:pPr>
        <w:pStyle w:val="6"/>
        <w:snapToGrid w:val="0"/>
        <w:ind w:firstLine="480"/>
        <w:rPr>
          <w:rFonts w:hint="eastAsia" w:hAnsi="宋体" w:cs="宋体"/>
          <w:highlight w:val="none"/>
        </w:rPr>
      </w:pPr>
      <w:r>
        <w:rPr>
          <w:rFonts w:hint="eastAsia" w:hAnsi="宋体" w:cs="宋体"/>
          <w:highlight w:val="none"/>
        </w:rPr>
        <w:t>提供性能测试、性能调优、深度巡检、重保护航、全链路压测、专项咨询等服务。</w:t>
      </w:r>
    </w:p>
    <w:p w14:paraId="7ACDAB97">
      <w:pPr>
        <w:pStyle w:val="3"/>
        <w:numPr>
          <w:ilvl w:val="0"/>
          <w:numId w:val="1"/>
        </w:numPr>
        <w:ind w:left="420" w:hanging="420"/>
        <w:jc w:val="left"/>
        <w:rPr>
          <w:rFonts w:hint="eastAsia" w:hAnsi="宋体" w:cs="宋体"/>
          <w:sz w:val="24"/>
          <w:szCs w:val="24"/>
          <w:highlight w:val="none"/>
        </w:rPr>
      </w:pPr>
      <w:bookmarkStart w:id="13" w:name="_Toc6880"/>
      <w:r>
        <w:rPr>
          <w:rFonts w:hint="eastAsia" w:hAnsi="宋体" w:cs="宋体"/>
          <w:sz w:val="24"/>
          <w:szCs w:val="24"/>
          <w:highlight w:val="none"/>
        </w:rPr>
        <w:t>运维团队要求</w:t>
      </w:r>
      <w:bookmarkEnd w:id="13"/>
    </w:p>
    <w:p w14:paraId="5EA18053">
      <w:pPr>
        <w:pStyle w:val="6"/>
        <w:snapToGrid w:val="0"/>
        <w:ind w:firstLine="480"/>
        <w:rPr>
          <w:rFonts w:hint="eastAsia" w:hAnsi="宋体" w:cs="宋体"/>
          <w:highlight w:val="none"/>
        </w:rPr>
      </w:pPr>
      <w:r>
        <w:rPr>
          <w:rFonts w:hint="eastAsia" w:hAnsi="宋体" w:cs="宋体"/>
          <w:highlight w:val="none"/>
        </w:rPr>
        <w:t>1.服务期内，投标人须设有7×24小时电话响应服务、具备运维团队，提供售后服务保障。团队成员应明确职责，架构清晰，岗位设置合理，且具备与本项目相关的项目经验。</w:t>
      </w:r>
    </w:p>
    <w:p w14:paraId="1EC76893">
      <w:pPr>
        <w:pStyle w:val="6"/>
        <w:snapToGrid w:val="0"/>
        <w:ind w:firstLine="480"/>
        <w:rPr>
          <w:rFonts w:hint="eastAsia" w:hAnsi="宋体" w:cs="宋体"/>
          <w:highlight w:val="none"/>
        </w:rPr>
      </w:pPr>
      <w:r>
        <w:rPr>
          <w:rFonts w:hint="eastAsia" w:hAnsi="宋体" w:cs="宋体"/>
          <w:highlight w:val="none"/>
        </w:rPr>
        <w:t>2.投标人须为本项目提供1名驻场项目经理及7名项目团队专职人员，为本项目提供服务。驻场项目经理需按照采购人要求，承担云资源服务保障具体工作，技术支持人员要求如下：</w:t>
      </w:r>
    </w:p>
    <w:p w14:paraId="4ACD2F23">
      <w:pPr>
        <w:spacing w:after="197" w:afterLines="50"/>
        <w:jc w:val="center"/>
        <w:rPr>
          <w:rFonts w:hint="eastAsia" w:ascii="宋体" w:hAnsi="宋体" w:cs="宋体"/>
          <w:b/>
          <w:sz w:val="24"/>
          <w:highlight w:val="none"/>
        </w:rPr>
      </w:pPr>
      <w:r>
        <w:rPr>
          <w:rFonts w:hint="eastAsia" w:ascii="宋体" w:hAnsi="宋体" w:cs="宋体"/>
          <w:b/>
          <w:sz w:val="24"/>
          <w:highlight w:val="none"/>
        </w:rPr>
        <w:t>服务团队人员要求</w:t>
      </w:r>
    </w:p>
    <w:tbl>
      <w:tblPr>
        <w:tblStyle w:val="9"/>
        <w:tblW w:w="9281" w:type="dxa"/>
        <w:tblInd w:w="0" w:type="dxa"/>
        <w:tblLayout w:type="fixed"/>
        <w:tblCellMar>
          <w:top w:w="0" w:type="dxa"/>
          <w:left w:w="108" w:type="dxa"/>
          <w:bottom w:w="0" w:type="dxa"/>
          <w:right w:w="108" w:type="dxa"/>
        </w:tblCellMar>
      </w:tblPr>
      <w:tblGrid>
        <w:gridCol w:w="1043"/>
        <w:gridCol w:w="778"/>
        <w:gridCol w:w="1472"/>
        <w:gridCol w:w="2136"/>
        <w:gridCol w:w="3852"/>
      </w:tblGrid>
      <w:tr w14:paraId="4AAD052E">
        <w:tblPrEx>
          <w:tblCellMar>
            <w:top w:w="0" w:type="dxa"/>
            <w:left w:w="108" w:type="dxa"/>
            <w:bottom w:w="0" w:type="dxa"/>
            <w:right w:w="108" w:type="dxa"/>
          </w:tblCellMar>
        </w:tblPrEx>
        <w:trPr>
          <w:trHeight w:val="700" w:hRule="atLeast"/>
        </w:trPr>
        <w:tc>
          <w:tcPr>
            <w:tcW w:w="1043" w:type="dxa"/>
            <w:tcBorders>
              <w:top w:val="single" w:color="auto" w:sz="4" w:space="0"/>
              <w:left w:val="single" w:color="auto" w:sz="4" w:space="0"/>
              <w:bottom w:val="single" w:color="auto" w:sz="4" w:space="0"/>
              <w:right w:val="single" w:color="auto" w:sz="4" w:space="0"/>
            </w:tcBorders>
            <w:vAlign w:val="center"/>
          </w:tcPr>
          <w:p w14:paraId="761B8F3F">
            <w:pPr>
              <w:adjustRightInd w:val="0"/>
              <w:spacing w:line="440" w:lineRule="exact"/>
              <w:jc w:val="center"/>
              <w:textAlignment w:val="baseline"/>
              <w:rPr>
                <w:rFonts w:hint="eastAsia" w:ascii="宋体" w:hAnsi="宋体" w:cs="宋体"/>
                <w:bCs/>
                <w:color w:val="000000"/>
                <w:sz w:val="24"/>
                <w:highlight w:val="none"/>
              </w:rPr>
            </w:pPr>
            <w:r>
              <w:rPr>
                <w:rFonts w:hint="eastAsia" w:ascii="宋体" w:hAnsi="宋体" w:cs="宋体"/>
                <w:bCs/>
                <w:color w:val="000000"/>
                <w:sz w:val="24"/>
                <w:highlight w:val="none"/>
              </w:rPr>
              <w:t>岗位</w:t>
            </w:r>
          </w:p>
        </w:tc>
        <w:tc>
          <w:tcPr>
            <w:tcW w:w="778" w:type="dxa"/>
            <w:tcBorders>
              <w:top w:val="single" w:color="auto" w:sz="4" w:space="0"/>
              <w:left w:val="single" w:color="auto" w:sz="4" w:space="0"/>
              <w:bottom w:val="single" w:color="auto" w:sz="4" w:space="0"/>
              <w:right w:val="single" w:color="auto" w:sz="4" w:space="0"/>
            </w:tcBorders>
            <w:vAlign w:val="center"/>
          </w:tcPr>
          <w:p w14:paraId="547F5663">
            <w:pPr>
              <w:adjustRightInd w:val="0"/>
              <w:spacing w:line="440" w:lineRule="exact"/>
              <w:jc w:val="center"/>
              <w:textAlignment w:val="baseline"/>
              <w:rPr>
                <w:rFonts w:hint="eastAsia" w:ascii="宋体" w:hAnsi="宋体" w:cs="宋体"/>
                <w:bCs/>
                <w:color w:val="000000"/>
                <w:sz w:val="24"/>
                <w:highlight w:val="none"/>
              </w:rPr>
            </w:pPr>
            <w:r>
              <w:rPr>
                <w:rFonts w:hint="eastAsia" w:ascii="宋体" w:hAnsi="宋体" w:cs="宋体"/>
                <w:bCs/>
                <w:color w:val="000000"/>
                <w:sz w:val="24"/>
                <w:highlight w:val="none"/>
              </w:rPr>
              <w:t>数量</w:t>
            </w:r>
          </w:p>
        </w:tc>
        <w:tc>
          <w:tcPr>
            <w:tcW w:w="1472" w:type="dxa"/>
            <w:tcBorders>
              <w:top w:val="single" w:color="auto" w:sz="4" w:space="0"/>
              <w:left w:val="single" w:color="auto" w:sz="4" w:space="0"/>
              <w:bottom w:val="single" w:color="auto" w:sz="4" w:space="0"/>
              <w:right w:val="single" w:color="auto" w:sz="4" w:space="0"/>
            </w:tcBorders>
            <w:vAlign w:val="center"/>
          </w:tcPr>
          <w:p w14:paraId="251A83D2">
            <w:pPr>
              <w:adjustRightInd w:val="0"/>
              <w:spacing w:line="440" w:lineRule="exact"/>
              <w:jc w:val="center"/>
              <w:textAlignment w:val="baseline"/>
              <w:rPr>
                <w:rFonts w:hint="eastAsia" w:ascii="宋体" w:hAnsi="宋体" w:cs="宋体"/>
                <w:bCs/>
                <w:color w:val="000000"/>
                <w:sz w:val="24"/>
                <w:highlight w:val="none"/>
              </w:rPr>
            </w:pPr>
            <w:r>
              <w:rPr>
                <w:rFonts w:hint="eastAsia" w:ascii="宋体" w:hAnsi="宋体" w:cs="宋体"/>
                <w:bCs/>
                <w:color w:val="000000"/>
                <w:sz w:val="24"/>
                <w:highlight w:val="none"/>
              </w:rPr>
              <w:t>学历</w:t>
            </w:r>
          </w:p>
        </w:tc>
        <w:tc>
          <w:tcPr>
            <w:tcW w:w="2136" w:type="dxa"/>
            <w:tcBorders>
              <w:top w:val="single" w:color="auto" w:sz="6" w:space="0"/>
              <w:left w:val="single" w:color="auto" w:sz="4" w:space="0"/>
              <w:bottom w:val="single" w:color="auto" w:sz="6" w:space="0"/>
              <w:right w:val="single" w:color="auto" w:sz="6" w:space="0"/>
            </w:tcBorders>
            <w:vAlign w:val="center"/>
          </w:tcPr>
          <w:p w14:paraId="1687B406">
            <w:pPr>
              <w:adjustRightInd w:val="0"/>
              <w:spacing w:line="440" w:lineRule="exact"/>
              <w:jc w:val="center"/>
              <w:textAlignment w:val="baseline"/>
              <w:rPr>
                <w:rFonts w:hint="eastAsia" w:ascii="宋体" w:hAnsi="宋体" w:cs="宋体"/>
                <w:bCs/>
                <w:color w:val="000000"/>
                <w:sz w:val="24"/>
                <w:highlight w:val="none"/>
              </w:rPr>
            </w:pPr>
            <w:r>
              <w:rPr>
                <w:rFonts w:hint="eastAsia" w:ascii="宋体" w:hAnsi="宋体" w:cs="宋体"/>
                <w:bCs/>
                <w:color w:val="000000"/>
                <w:sz w:val="24"/>
                <w:highlight w:val="none"/>
              </w:rPr>
              <w:t>工作经验</w:t>
            </w:r>
          </w:p>
        </w:tc>
        <w:tc>
          <w:tcPr>
            <w:tcW w:w="3852" w:type="dxa"/>
            <w:tcBorders>
              <w:top w:val="single" w:color="auto" w:sz="6" w:space="0"/>
              <w:left w:val="single" w:color="auto" w:sz="6" w:space="0"/>
              <w:bottom w:val="single" w:color="auto" w:sz="6" w:space="0"/>
              <w:right w:val="single" w:color="auto" w:sz="6" w:space="0"/>
            </w:tcBorders>
            <w:vAlign w:val="center"/>
          </w:tcPr>
          <w:p w14:paraId="7EEF080A">
            <w:pPr>
              <w:adjustRightInd w:val="0"/>
              <w:spacing w:line="440" w:lineRule="exact"/>
              <w:jc w:val="center"/>
              <w:textAlignment w:val="baseline"/>
              <w:rPr>
                <w:rFonts w:hint="eastAsia" w:ascii="宋体" w:hAnsi="宋体" w:cs="宋体"/>
                <w:bCs/>
                <w:color w:val="000000"/>
                <w:sz w:val="24"/>
                <w:highlight w:val="none"/>
              </w:rPr>
            </w:pPr>
            <w:r>
              <w:rPr>
                <w:rFonts w:hint="eastAsia" w:ascii="宋体" w:hAnsi="宋体" w:cs="宋体"/>
                <w:sz w:val="24"/>
                <w:highlight w:val="none"/>
              </w:rPr>
              <w:t>岗位需具备的上岗资格证等要求</w:t>
            </w:r>
          </w:p>
        </w:tc>
      </w:tr>
    </w:tbl>
    <w:p w14:paraId="2063E021">
      <w:pPr>
        <w:rPr>
          <w:rFonts w:hint="eastAsia" w:ascii="宋体" w:hAnsi="宋体" w:cs="宋体"/>
          <w:sz w:val="24"/>
          <w:highlight w:val="none"/>
        </w:rPr>
      </w:pPr>
    </w:p>
    <w:tbl>
      <w:tblPr>
        <w:tblStyle w:val="9"/>
        <w:tblW w:w="92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778"/>
        <w:gridCol w:w="1472"/>
        <w:gridCol w:w="2136"/>
        <w:gridCol w:w="3852"/>
      </w:tblGrid>
      <w:tr w14:paraId="0D17B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1043" w:type="dxa"/>
            <w:vAlign w:val="center"/>
          </w:tcPr>
          <w:p w14:paraId="6FDB278B">
            <w:pPr>
              <w:adjustRightInd w:val="0"/>
              <w:spacing w:line="440" w:lineRule="exact"/>
              <w:jc w:val="center"/>
              <w:textAlignment w:val="baseline"/>
              <w:rPr>
                <w:rFonts w:hint="eastAsia" w:ascii="宋体" w:hAnsi="宋体" w:cs="宋体"/>
                <w:bCs/>
                <w:color w:val="000000"/>
                <w:sz w:val="24"/>
                <w:highlight w:val="none"/>
              </w:rPr>
            </w:pPr>
            <w:r>
              <w:rPr>
                <w:rFonts w:hint="eastAsia" w:ascii="宋体" w:hAnsi="宋体" w:cs="宋体"/>
                <w:bCs/>
                <w:color w:val="000000"/>
                <w:sz w:val="24"/>
                <w:highlight w:val="none"/>
              </w:rPr>
              <w:t>项目</w:t>
            </w:r>
          </w:p>
          <w:p w14:paraId="76627C10">
            <w:pPr>
              <w:adjustRightInd w:val="0"/>
              <w:spacing w:line="440" w:lineRule="exact"/>
              <w:jc w:val="center"/>
              <w:textAlignment w:val="baseline"/>
              <w:rPr>
                <w:rFonts w:hint="eastAsia" w:ascii="宋体" w:hAnsi="宋体" w:cs="宋体"/>
                <w:bCs/>
                <w:color w:val="000000"/>
                <w:sz w:val="24"/>
                <w:highlight w:val="none"/>
              </w:rPr>
            </w:pPr>
            <w:r>
              <w:rPr>
                <w:rFonts w:hint="eastAsia" w:ascii="宋体" w:hAnsi="宋体" w:cs="宋体"/>
                <w:bCs/>
                <w:color w:val="000000"/>
                <w:sz w:val="24"/>
                <w:highlight w:val="none"/>
              </w:rPr>
              <w:t>经理</w:t>
            </w:r>
          </w:p>
        </w:tc>
        <w:tc>
          <w:tcPr>
            <w:tcW w:w="778" w:type="dxa"/>
            <w:vAlign w:val="center"/>
          </w:tcPr>
          <w:p w14:paraId="21BFFA23">
            <w:pPr>
              <w:adjustRightInd w:val="0"/>
              <w:spacing w:line="440" w:lineRule="exact"/>
              <w:jc w:val="center"/>
              <w:textAlignment w:val="baseline"/>
              <w:rPr>
                <w:rFonts w:hint="eastAsia" w:ascii="宋体" w:hAnsi="宋体" w:cs="宋体"/>
                <w:bCs/>
                <w:color w:val="000000"/>
                <w:sz w:val="24"/>
                <w:highlight w:val="none"/>
              </w:rPr>
            </w:pPr>
            <w:r>
              <w:rPr>
                <w:rFonts w:hint="eastAsia" w:ascii="宋体" w:hAnsi="宋体" w:cs="宋体"/>
                <w:bCs/>
                <w:color w:val="000000"/>
                <w:sz w:val="24"/>
                <w:highlight w:val="none"/>
              </w:rPr>
              <w:t>1</w:t>
            </w:r>
          </w:p>
        </w:tc>
        <w:tc>
          <w:tcPr>
            <w:tcW w:w="1472" w:type="dxa"/>
            <w:vAlign w:val="center"/>
          </w:tcPr>
          <w:p w14:paraId="06EF8019">
            <w:pPr>
              <w:adjustRightInd w:val="0"/>
              <w:spacing w:line="440" w:lineRule="exact"/>
              <w:jc w:val="center"/>
              <w:textAlignment w:val="baseline"/>
              <w:rPr>
                <w:rFonts w:hint="eastAsia" w:ascii="宋体" w:hAnsi="宋体" w:cs="宋体"/>
                <w:bCs/>
                <w:color w:val="000000"/>
                <w:sz w:val="24"/>
                <w:highlight w:val="none"/>
              </w:rPr>
            </w:pPr>
            <w:r>
              <w:rPr>
                <w:rFonts w:hint="eastAsia" w:ascii="宋体" w:hAnsi="宋体" w:cs="宋体"/>
                <w:bCs/>
                <w:color w:val="000000"/>
                <w:sz w:val="24"/>
                <w:highlight w:val="none"/>
              </w:rPr>
              <w:t>博士及以上</w:t>
            </w:r>
          </w:p>
        </w:tc>
        <w:tc>
          <w:tcPr>
            <w:tcW w:w="2136" w:type="dxa"/>
            <w:vAlign w:val="center"/>
          </w:tcPr>
          <w:p w14:paraId="5F8E0549">
            <w:pPr>
              <w:adjustRightInd w:val="0"/>
              <w:spacing w:line="440" w:lineRule="exact"/>
              <w:jc w:val="center"/>
              <w:textAlignment w:val="baseline"/>
              <w:rPr>
                <w:rFonts w:hint="eastAsia" w:ascii="宋体" w:hAnsi="宋体" w:cs="宋体"/>
                <w:bCs/>
                <w:color w:val="000000"/>
                <w:sz w:val="24"/>
                <w:highlight w:val="none"/>
              </w:rPr>
            </w:pPr>
            <w:r>
              <w:rPr>
                <w:rFonts w:hint="eastAsia" w:ascii="宋体" w:hAnsi="宋体" w:cs="宋体"/>
                <w:bCs/>
                <w:color w:val="000000"/>
                <w:sz w:val="24"/>
                <w:highlight w:val="none"/>
              </w:rPr>
              <w:t>从事5年及以上类似工作</w:t>
            </w:r>
          </w:p>
        </w:tc>
        <w:tc>
          <w:tcPr>
            <w:tcW w:w="3852" w:type="dxa"/>
            <w:vAlign w:val="center"/>
          </w:tcPr>
          <w:p w14:paraId="1F5A523A">
            <w:pPr>
              <w:rPr>
                <w:rFonts w:hint="eastAsia" w:ascii="宋体" w:hAnsi="宋体" w:cs="宋体"/>
                <w:sz w:val="24"/>
                <w:highlight w:val="none"/>
              </w:rPr>
            </w:pPr>
            <w:bookmarkStart w:id="14" w:name="OLE_LINK9"/>
            <w:r>
              <w:rPr>
                <w:rFonts w:hint="eastAsia" w:ascii="宋体" w:hAnsi="宋体" w:cs="宋体"/>
                <w:spacing w:val="-3"/>
                <w:sz w:val="24"/>
                <w:highlight w:val="none"/>
              </w:rPr>
              <w:t>具有高级工程师资格</w:t>
            </w:r>
            <w:bookmarkEnd w:id="14"/>
            <w:r>
              <w:rPr>
                <w:rFonts w:hint="eastAsia" w:ascii="宋体" w:hAnsi="宋体" w:cs="宋体"/>
                <w:spacing w:val="-3"/>
                <w:sz w:val="24"/>
                <w:highlight w:val="none"/>
              </w:rPr>
              <w:t>和云计算高级工程师</w:t>
            </w:r>
          </w:p>
        </w:tc>
      </w:tr>
      <w:tr w14:paraId="7A47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1043" w:type="dxa"/>
            <w:vAlign w:val="center"/>
          </w:tcPr>
          <w:p w14:paraId="308895AF">
            <w:pPr>
              <w:adjustRightInd w:val="0"/>
              <w:spacing w:line="440" w:lineRule="exact"/>
              <w:jc w:val="center"/>
              <w:textAlignment w:val="baseline"/>
              <w:rPr>
                <w:rFonts w:hint="eastAsia" w:ascii="宋体" w:hAnsi="宋体" w:cs="宋体"/>
                <w:bCs/>
                <w:color w:val="000000"/>
                <w:sz w:val="24"/>
                <w:highlight w:val="none"/>
              </w:rPr>
            </w:pPr>
            <w:r>
              <w:rPr>
                <w:rFonts w:hint="eastAsia" w:ascii="宋体" w:hAnsi="宋体" w:cs="宋体"/>
                <w:bCs/>
                <w:color w:val="000000"/>
                <w:sz w:val="24"/>
                <w:highlight w:val="none"/>
              </w:rPr>
              <w:t>技术负责人</w:t>
            </w:r>
          </w:p>
        </w:tc>
        <w:tc>
          <w:tcPr>
            <w:tcW w:w="778" w:type="dxa"/>
            <w:vAlign w:val="center"/>
          </w:tcPr>
          <w:p w14:paraId="30022468">
            <w:pPr>
              <w:adjustRightInd w:val="0"/>
              <w:spacing w:line="440" w:lineRule="exact"/>
              <w:jc w:val="center"/>
              <w:textAlignment w:val="baseline"/>
              <w:rPr>
                <w:rFonts w:hint="eastAsia" w:ascii="宋体" w:hAnsi="宋体" w:cs="宋体"/>
                <w:bCs/>
                <w:color w:val="000000"/>
                <w:sz w:val="24"/>
                <w:highlight w:val="none"/>
              </w:rPr>
            </w:pPr>
            <w:r>
              <w:rPr>
                <w:rFonts w:hint="eastAsia" w:ascii="宋体" w:hAnsi="宋体" w:cs="宋体"/>
                <w:bCs/>
                <w:color w:val="000000"/>
                <w:sz w:val="24"/>
                <w:highlight w:val="none"/>
              </w:rPr>
              <w:t>1</w:t>
            </w:r>
          </w:p>
        </w:tc>
        <w:tc>
          <w:tcPr>
            <w:tcW w:w="1472" w:type="dxa"/>
            <w:vAlign w:val="center"/>
          </w:tcPr>
          <w:p w14:paraId="2E2194C7">
            <w:pPr>
              <w:adjustRightInd w:val="0"/>
              <w:spacing w:line="440" w:lineRule="exact"/>
              <w:jc w:val="center"/>
              <w:textAlignment w:val="baseline"/>
              <w:rPr>
                <w:rFonts w:hint="eastAsia" w:ascii="宋体" w:hAnsi="宋体" w:cs="宋体"/>
                <w:bCs/>
                <w:color w:val="000000"/>
                <w:sz w:val="24"/>
                <w:highlight w:val="none"/>
              </w:rPr>
            </w:pPr>
            <w:r>
              <w:rPr>
                <w:rFonts w:hint="eastAsia" w:ascii="宋体" w:hAnsi="宋体" w:cs="宋体"/>
                <w:bCs/>
                <w:color w:val="000000"/>
                <w:sz w:val="24"/>
                <w:highlight w:val="none"/>
              </w:rPr>
              <w:t>本科及以上</w:t>
            </w:r>
          </w:p>
        </w:tc>
        <w:tc>
          <w:tcPr>
            <w:tcW w:w="2136" w:type="dxa"/>
            <w:vAlign w:val="center"/>
          </w:tcPr>
          <w:p w14:paraId="5B604F0E">
            <w:pPr>
              <w:adjustRightInd w:val="0"/>
              <w:spacing w:line="440" w:lineRule="exact"/>
              <w:jc w:val="center"/>
              <w:textAlignment w:val="baseline"/>
              <w:rPr>
                <w:rFonts w:hint="eastAsia" w:ascii="宋体" w:hAnsi="宋体" w:cs="宋体"/>
                <w:bCs/>
                <w:color w:val="000000"/>
                <w:sz w:val="24"/>
                <w:highlight w:val="none"/>
              </w:rPr>
            </w:pPr>
            <w:r>
              <w:rPr>
                <w:rFonts w:hint="eastAsia" w:ascii="宋体" w:hAnsi="宋体" w:cs="宋体"/>
                <w:bCs/>
                <w:color w:val="000000"/>
                <w:sz w:val="24"/>
                <w:highlight w:val="none"/>
              </w:rPr>
              <w:t>从事云工程师工作3年以上</w:t>
            </w:r>
          </w:p>
        </w:tc>
        <w:tc>
          <w:tcPr>
            <w:tcW w:w="3852" w:type="dxa"/>
            <w:vAlign w:val="center"/>
          </w:tcPr>
          <w:p w14:paraId="5E45B7B2">
            <w:pPr>
              <w:adjustRightInd w:val="0"/>
              <w:spacing w:line="440" w:lineRule="exact"/>
              <w:jc w:val="left"/>
              <w:textAlignment w:val="baseline"/>
              <w:rPr>
                <w:rFonts w:hint="eastAsia" w:ascii="宋体" w:hAnsi="宋体" w:cs="宋体"/>
                <w:bCs/>
                <w:color w:val="000000"/>
                <w:sz w:val="24"/>
                <w:highlight w:val="none"/>
              </w:rPr>
            </w:pPr>
            <w:r>
              <w:rPr>
                <w:rFonts w:hint="eastAsia" w:ascii="宋体" w:hAnsi="宋体" w:cs="宋体"/>
                <w:spacing w:val="-3"/>
                <w:sz w:val="24"/>
                <w:highlight w:val="none"/>
              </w:rPr>
              <w:t>云计算高级工程师证书、CISP注册信息安全专业人员</w:t>
            </w:r>
          </w:p>
        </w:tc>
      </w:tr>
      <w:tr w14:paraId="4CDF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5" w:hRule="atLeast"/>
        </w:trPr>
        <w:tc>
          <w:tcPr>
            <w:tcW w:w="1043" w:type="dxa"/>
            <w:vAlign w:val="center"/>
          </w:tcPr>
          <w:p w14:paraId="02E26DC0">
            <w:pPr>
              <w:adjustRightInd w:val="0"/>
              <w:spacing w:line="440" w:lineRule="exact"/>
              <w:jc w:val="center"/>
              <w:textAlignment w:val="baseline"/>
              <w:rPr>
                <w:rFonts w:hint="eastAsia" w:ascii="宋体" w:hAnsi="宋体" w:cs="宋体"/>
                <w:bCs/>
                <w:color w:val="000000"/>
                <w:sz w:val="24"/>
                <w:highlight w:val="none"/>
              </w:rPr>
            </w:pPr>
            <w:r>
              <w:rPr>
                <w:rFonts w:hint="eastAsia" w:ascii="宋体" w:hAnsi="宋体" w:cs="宋体"/>
                <w:bCs/>
                <w:color w:val="000000"/>
                <w:sz w:val="24"/>
                <w:highlight w:val="none"/>
              </w:rPr>
              <w:t>项目</w:t>
            </w:r>
          </w:p>
          <w:p w14:paraId="1A820E5D">
            <w:pPr>
              <w:adjustRightInd w:val="0"/>
              <w:spacing w:line="440" w:lineRule="exact"/>
              <w:jc w:val="center"/>
              <w:textAlignment w:val="baseline"/>
              <w:rPr>
                <w:rFonts w:hint="eastAsia" w:ascii="宋体" w:hAnsi="宋体" w:cs="宋体"/>
                <w:bCs/>
                <w:color w:val="000000"/>
                <w:sz w:val="24"/>
                <w:highlight w:val="none"/>
              </w:rPr>
            </w:pPr>
            <w:r>
              <w:rPr>
                <w:rFonts w:hint="eastAsia" w:ascii="宋体" w:hAnsi="宋体" w:cs="宋体"/>
                <w:bCs/>
                <w:color w:val="000000"/>
                <w:sz w:val="24"/>
                <w:highlight w:val="none"/>
              </w:rPr>
              <w:t>人员</w:t>
            </w:r>
          </w:p>
        </w:tc>
        <w:tc>
          <w:tcPr>
            <w:tcW w:w="778" w:type="dxa"/>
            <w:vAlign w:val="center"/>
          </w:tcPr>
          <w:p w14:paraId="2ADAC7C4">
            <w:pPr>
              <w:adjustRightInd w:val="0"/>
              <w:spacing w:line="440" w:lineRule="exact"/>
              <w:jc w:val="center"/>
              <w:textAlignment w:val="baseline"/>
              <w:rPr>
                <w:rFonts w:hint="eastAsia" w:ascii="宋体" w:hAnsi="宋体" w:cs="宋体"/>
                <w:bCs/>
                <w:color w:val="000000"/>
                <w:sz w:val="24"/>
                <w:highlight w:val="none"/>
              </w:rPr>
            </w:pPr>
            <w:r>
              <w:rPr>
                <w:rFonts w:hint="eastAsia" w:ascii="宋体" w:hAnsi="宋体" w:cs="宋体"/>
                <w:bCs/>
                <w:color w:val="000000"/>
                <w:sz w:val="24"/>
                <w:highlight w:val="none"/>
              </w:rPr>
              <w:t>6</w:t>
            </w:r>
          </w:p>
        </w:tc>
        <w:tc>
          <w:tcPr>
            <w:tcW w:w="1472" w:type="dxa"/>
            <w:vAlign w:val="center"/>
          </w:tcPr>
          <w:p w14:paraId="1A9DE91C">
            <w:pPr>
              <w:adjustRightInd w:val="0"/>
              <w:spacing w:line="440" w:lineRule="exact"/>
              <w:jc w:val="center"/>
              <w:textAlignment w:val="baseline"/>
              <w:rPr>
                <w:rFonts w:hint="eastAsia" w:ascii="宋体" w:hAnsi="宋体" w:cs="宋体"/>
                <w:bCs/>
                <w:color w:val="000000"/>
                <w:sz w:val="24"/>
                <w:highlight w:val="none"/>
              </w:rPr>
            </w:pPr>
            <w:r>
              <w:rPr>
                <w:rFonts w:hint="eastAsia" w:ascii="宋体" w:hAnsi="宋体" w:cs="宋体"/>
                <w:bCs/>
                <w:color w:val="000000"/>
                <w:sz w:val="24"/>
                <w:highlight w:val="none"/>
              </w:rPr>
              <w:t>本科及以上</w:t>
            </w:r>
          </w:p>
        </w:tc>
        <w:tc>
          <w:tcPr>
            <w:tcW w:w="2136" w:type="dxa"/>
            <w:vAlign w:val="center"/>
          </w:tcPr>
          <w:p w14:paraId="20652AB3">
            <w:pPr>
              <w:adjustRightInd w:val="0"/>
              <w:spacing w:line="440" w:lineRule="exact"/>
              <w:jc w:val="center"/>
              <w:textAlignment w:val="baseline"/>
              <w:rPr>
                <w:rFonts w:hint="eastAsia" w:ascii="宋体" w:hAnsi="宋体" w:cs="宋体"/>
                <w:bCs/>
                <w:sz w:val="24"/>
                <w:highlight w:val="none"/>
              </w:rPr>
            </w:pPr>
            <w:r>
              <w:rPr>
                <w:rFonts w:hint="eastAsia" w:ascii="宋体" w:hAnsi="宋体" w:cs="宋体"/>
                <w:bCs/>
                <w:sz w:val="24"/>
                <w:highlight w:val="none"/>
              </w:rPr>
              <w:t>从事类似工作1年以上</w:t>
            </w:r>
          </w:p>
        </w:tc>
        <w:tc>
          <w:tcPr>
            <w:tcW w:w="3852" w:type="dxa"/>
            <w:vAlign w:val="center"/>
          </w:tcPr>
          <w:p w14:paraId="0A6A9E1B">
            <w:pPr>
              <w:adjustRightInd w:val="0"/>
              <w:spacing w:line="440" w:lineRule="exact"/>
              <w:jc w:val="left"/>
              <w:textAlignment w:val="baseline"/>
              <w:rPr>
                <w:rFonts w:hint="eastAsia" w:ascii="宋体" w:hAnsi="宋体" w:cs="宋体"/>
                <w:bCs/>
                <w:color w:val="000000"/>
                <w:sz w:val="24"/>
                <w:highlight w:val="none"/>
              </w:rPr>
            </w:pPr>
            <w:r>
              <w:rPr>
                <w:rFonts w:hint="eastAsia" w:ascii="宋体" w:hAnsi="宋体" w:cs="宋体"/>
                <w:spacing w:val="-3"/>
                <w:sz w:val="24"/>
                <w:highlight w:val="none"/>
              </w:rPr>
              <w:t>持有注册信息安全专业人员（CISP）或网络工程师证书</w:t>
            </w:r>
          </w:p>
        </w:tc>
      </w:tr>
    </w:tbl>
    <w:p w14:paraId="690B0318">
      <w:pPr>
        <w:pStyle w:val="6"/>
        <w:numPr>
          <w:ilvl w:val="0"/>
          <w:numId w:val="15"/>
        </w:numPr>
        <w:ind w:left="0" w:firstLine="425"/>
        <w:rPr>
          <w:rFonts w:hint="eastAsia" w:hAnsi="宋体" w:cs="宋体"/>
          <w:highlight w:val="none"/>
        </w:rPr>
        <w:sectPr>
          <w:footerReference r:id="rId3" w:type="default"/>
          <w:pgSz w:w="11906" w:h="16838"/>
          <w:pgMar w:top="1701" w:right="1417" w:bottom="1701" w:left="1417" w:header="851" w:footer="992" w:gutter="0"/>
          <w:cols w:space="720" w:num="1"/>
          <w:docGrid w:type="lines" w:linePitch="395" w:charSpace="0"/>
        </w:sectPr>
      </w:pPr>
    </w:p>
    <w:p w14:paraId="0D4796E7">
      <w:pPr>
        <w:pStyle w:val="3"/>
        <w:numPr>
          <w:ilvl w:val="0"/>
          <w:numId w:val="1"/>
        </w:numPr>
        <w:jc w:val="left"/>
        <w:rPr>
          <w:rFonts w:hint="eastAsia" w:hAnsi="宋体" w:cs="宋体"/>
          <w:sz w:val="24"/>
          <w:szCs w:val="24"/>
          <w:highlight w:val="none"/>
        </w:rPr>
      </w:pPr>
      <w:bookmarkStart w:id="15" w:name="_Toc15656"/>
      <w:r>
        <w:rPr>
          <w:rFonts w:hint="eastAsia" w:hAnsi="宋体" w:cs="宋体"/>
          <w:sz w:val="24"/>
          <w:szCs w:val="24"/>
          <w:highlight w:val="none"/>
        </w:rPr>
        <w:t>保密要求</w:t>
      </w:r>
      <w:bookmarkEnd w:id="15"/>
    </w:p>
    <w:p w14:paraId="00EA2717">
      <w:pPr>
        <w:pStyle w:val="6"/>
        <w:snapToGrid w:val="0"/>
        <w:ind w:firstLine="480"/>
        <w:rPr>
          <w:rFonts w:hint="eastAsia" w:hAnsi="宋体" w:cs="宋体"/>
          <w:highlight w:val="none"/>
        </w:rPr>
      </w:pPr>
      <w:r>
        <w:rPr>
          <w:rFonts w:hint="eastAsia" w:hAnsi="宋体" w:cs="宋体"/>
          <w:highlight w:val="none"/>
        </w:rPr>
        <w:t>1.投标人因承接本合同约定项目所知悉的该项目信息或采购人信息，以及在项目实施过程中所产生的与该项目有关的全部信息均为采购人的保密信息，投标人应按照采购人关于保密工作的相关要求，对上述保密信息承担保密义务。投标人须严格遵守信息安全规定，不得利用系统维护服务时的便利对采购人数据及其他信息擅自修改或透漏给第三方。</w:t>
      </w:r>
    </w:p>
    <w:p w14:paraId="611158DA">
      <w:pPr>
        <w:pStyle w:val="6"/>
        <w:snapToGrid w:val="0"/>
        <w:ind w:firstLine="480"/>
        <w:rPr>
          <w:rFonts w:hint="eastAsia" w:hAnsi="宋体" w:cs="宋体"/>
          <w:highlight w:val="none"/>
        </w:rPr>
      </w:pPr>
      <w:r>
        <w:rPr>
          <w:rFonts w:hint="eastAsia" w:hAnsi="宋体" w:cs="宋体"/>
          <w:highlight w:val="none"/>
        </w:rPr>
        <w:t>2.投标人应对上述保密信息予以妥善保存，并保证仅将其用于与完成本合同项下约定项目实施有关的用途或目的。在缺少相关保密条款约定时，对上述保密信息,投标人应至少采取适用于对自己商业秘密进行保护的同等保护措施和审慎程度进行保密。</w:t>
      </w:r>
    </w:p>
    <w:p w14:paraId="5BCF88D8">
      <w:pPr>
        <w:pStyle w:val="6"/>
        <w:snapToGrid w:val="0"/>
        <w:ind w:firstLine="480"/>
        <w:rPr>
          <w:rFonts w:hint="eastAsia" w:hAnsi="宋体" w:cs="宋体"/>
          <w:highlight w:val="none"/>
        </w:rPr>
      </w:pPr>
      <w:r>
        <w:rPr>
          <w:rFonts w:hint="eastAsia" w:hAnsi="宋体" w:cs="宋体"/>
          <w:highlight w:val="none"/>
        </w:rPr>
        <w:t>3.投标人保证将保密信息的披露范围严格控制在直接从事该项目工作且因工作需要有必要知悉保密信息的工作人员范围内,对投标人非从事该项目的人员一律严格保密。</w:t>
      </w:r>
    </w:p>
    <w:p w14:paraId="11D99FB7">
      <w:pPr>
        <w:pStyle w:val="6"/>
        <w:snapToGrid w:val="0"/>
        <w:ind w:firstLine="480"/>
        <w:rPr>
          <w:rFonts w:hint="eastAsia" w:hAnsi="宋体" w:cs="宋体"/>
          <w:highlight w:val="none"/>
        </w:rPr>
      </w:pPr>
      <w:r>
        <w:rPr>
          <w:rFonts w:hint="eastAsia" w:hAnsi="宋体" w:cs="宋体"/>
          <w:highlight w:val="none"/>
        </w:rPr>
        <w:t>4.投标人应保证在向其工作人员披露采购人的保密信息前，认真做好员工的保密教育工作，明确告知其将知悉的为采购人的保密信息，并明确告知其需承担的保密义务及泄密所应承担的法律责任，并要求全体参与该项目的人员签署书面《保密协议》。</w:t>
      </w:r>
    </w:p>
    <w:p w14:paraId="4517DA72">
      <w:pPr>
        <w:pStyle w:val="6"/>
        <w:snapToGrid w:val="0"/>
        <w:ind w:firstLine="480"/>
        <w:rPr>
          <w:rFonts w:hint="eastAsia" w:hAnsi="宋体" w:cs="宋体"/>
          <w:highlight w:val="none"/>
        </w:rPr>
      </w:pPr>
      <w:r>
        <w:rPr>
          <w:rFonts w:hint="eastAsia" w:hAnsi="宋体" w:cs="宋体"/>
          <w:highlight w:val="none"/>
        </w:rPr>
        <w:t>5.任何时间内，一经采购人提出要求，投标人应按照采购人指示在收到采购人书面通知后 5 日内将含有保密信息的所有文件或其他资料归还采购人，且不得擅自复制留存。</w:t>
      </w:r>
    </w:p>
    <w:p w14:paraId="4B0C966F">
      <w:pPr>
        <w:pStyle w:val="6"/>
        <w:snapToGrid w:val="0"/>
        <w:ind w:firstLine="480"/>
        <w:rPr>
          <w:rFonts w:hint="eastAsia" w:hAnsi="宋体" w:cs="宋体"/>
          <w:highlight w:val="none"/>
        </w:rPr>
      </w:pPr>
      <w:r>
        <w:rPr>
          <w:rFonts w:hint="eastAsia" w:hAnsi="宋体" w:cs="宋体"/>
          <w:highlight w:val="none"/>
        </w:rPr>
        <w:t>6.非经采购人特别授权，采购人向投标人提供的任何保密信息并不包括授予投标人该保密信息包含的任何专利权、商标权、著作权、商业秘密或其它类型的知识产权。</w:t>
      </w:r>
    </w:p>
    <w:p w14:paraId="6303CE0A">
      <w:pPr>
        <w:pStyle w:val="6"/>
        <w:snapToGrid w:val="0"/>
        <w:ind w:firstLine="480"/>
        <w:rPr>
          <w:rFonts w:hint="eastAsia" w:hAnsi="宋体" w:cs="宋体"/>
          <w:highlight w:val="none"/>
        </w:rPr>
      </w:pPr>
      <w:r>
        <w:rPr>
          <w:rFonts w:hint="eastAsia" w:hAnsi="宋体" w:cs="宋体"/>
          <w:highlight w:val="none"/>
        </w:rPr>
        <w:t>7.投标人承担上述保密义务的期限为合同有效期间及合同终止后2年，承担上述保密义务的责任主体为投标人（含投标人服务人员）。</w:t>
      </w:r>
    </w:p>
    <w:p w14:paraId="4728DF66">
      <w:pPr>
        <w:pStyle w:val="6"/>
        <w:snapToGrid w:val="0"/>
        <w:ind w:firstLine="480"/>
        <w:rPr>
          <w:rFonts w:hint="eastAsia" w:hAnsi="宋体" w:cs="宋体"/>
          <w:highlight w:val="none"/>
        </w:rPr>
      </w:pPr>
      <w:r>
        <w:rPr>
          <w:rFonts w:hint="eastAsia" w:hAnsi="宋体" w:cs="宋体"/>
          <w:highlight w:val="none"/>
        </w:rPr>
        <w:t>8.在签订和履行合同过程中从采购人处获知的技术和商业秘密，无论在合同期限内亦或是合同终止后，均应遵守国家有关版权、专利、商标等知识产权方面的法律规定，尊重需求方的知识产权，对所知悉的采购人的技术秘密和商业秘密负有保密责任。</w:t>
      </w:r>
    </w:p>
    <w:p w14:paraId="4C84CA21">
      <w:pPr>
        <w:pStyle w:val="6"/>
        <w:snapToGrid w:val="0"/>
        <w:ind w:firstLine="480"/>
        <w:rPr>
          <w:rFonts w:hint="eastAsia" w:hAnsi="宋体" w:cs="宋体"/>
          <w:highlight w:val="none"/>
        </w:rPr>
      </w:pPr>
      <w:r>
        <w:rPr>
          <w:rFonts w:hint="eastAsia" w:hAnsi="宋体" w:cs="宋体"/>
          <w:highlight w:val="none"/>
        </w:rPr>
        <w:t>9.投标人应当对获悉的政务数据、个人信息等予以保密，不得用于其他用途，不得泄露、出售或者非法向他人提供。</w:t>
      </w:r>
    </w:p>
    <w:p w14:paraId="278F6046">
      <w:pPr>
        <w:pStyle w:val="3"/>
        <w:numPr>
          <w:ilvl w:val="0"/>
          <w:numId w:val="1"/>
        </w:numPr>
        <w:jc w:val="left"/>
        <w:rPr>
          <w:rFonts w:hint="eastAsia" w:hAnsi="宋体" w:cs="宋体"/>
          <w:sz w:val="24"/>
          <w:szCs w:val="24"/>
          <w:highlight w:val="none"/>
        </w:rPr>
      </w:pPr>
      <w:bookmarkStart w:id="16" w:name="_Toc25035"/>
      <w:r>
        <w:rPr>
          <w:rFonts w:hint="eastAsia" w:hAnsi="宋体" w:cs="宋体"/>
          <w:sz w:val="24"/>
          <w:szCs w:val="24"/>
          <w:highlight w:val="none"/>
        </w:rPr>
        <w:t>其他相关要求</w:t>
      </w:r>
      <w:bookmarkEnd w:id="16"/>
    </w:p>
    <w:p w14:paraId="4A0E439D">
      <w:pPr>
        <w:snapToGrid w:val="0"/>
        <w:spacing w:line="360" w:lineRule="auto"/>
        <w:ind w:firstLine="480" w:firstLineChars="200"/>
        <w:jc w:val="left"/>
        <w:rPr>
          <w:rFonts w:hint="eastAsia" w:ascii="宋体" w:hAnsi="宋体" w:cs="宋体"/>
          <w:sz w:val="24"/>
          <w:highlight w:val="none"/>
        </w:rPr>
      </w:pPr>
      <w:bookmarkStart w:id="17" w:name="_Toc3033"/>
      <w:r>
        <w:rPr>
          <w:rFonts w:hint="eastAsia" w:ascii="宋体" w:hAnsi="宋体" w:eastAsia="宋体" w:cs="宋体"/>
          <w:sz w:val="24"/>
          <w:szCs w:val="24"/>
          <w:highlight w:val="none"/>
        </w:rPr>
        <w:t>（一）</w:t>
      </w:r>
      <w:bookmarkEnd w:id="17"/>
      <w:bookmarkStart w:id="18" w:name="_Toc7712"/>
      <w:r>
        <w:rPr>
          <w:rFonts w:hint="eastAsia" w:ascii="宋体" w:hAnsi="宋体" w:cs="宋体"/>
          <w:sz w:val="24"/>
          <w:highlight w:val="none"/>
        </w:rPr>
        <w:t>知识产权要求</w:t>
      </w:r>
      <w:bookmarkEnd w:id="18"/>
    </w:p>
    <w:p w14:paraId="03182A17">
      <w:pPr>
        <w:pStyle w:val="2"/>
        <w:snapToGrid w:val="0"/>
        <w:ind w:firstLine="480"/>
        <w:rPr>
          <w:rFonts w:hint="eastAsia" w:cs="宋体"/>
          <w:highlight w:val="none"/>
        </w:rPr>
      </w:pPr>
      <w:r>
        <w:rPr>
          <w:rFonts w:hint="eastAsia" w:cs="宋体"/>
          <w:highlight w:val="none"/>
        </w:rPr>
        <w:t>1.投标人应确保本项目所提交成果无知识产权纠纷，项目成果的知识产权属于项目委托方。须在响应文件中对此项作出专项承诺，格式自拟。</w:t>
      </w:r>
    </w:p>
    <w:p w14:paraId="4917AF59">
      <w:pPr>
        <w:pStyle w:val="2"/>
        <w:snapToGrid w:val="0"/>
        <w:ind w:firstLine="480"/>
        <w:rPr>
          <w:rFonts w:hint="eastAsia" w:cs="宋体"/>
          <w:highlight w:val="none"/>
        </w:rPr>
      </w:pPr>
      <w:r>
        <w:rPr>
          <w:rFonts w:hint="eastAsia" w:cs="宋体"/>
          <w:highlight w:val="none"/>
        </w:rPr>
        <w:t>2.投标人保证向采购人提供的服务成果是其独立实施完成，不存在任何侵犯第三方专利权、商标权、著作权等合法权益。如因投标人提供的服务成果侵犯任何第三方的合法权益，导致该第三方追究采购人责任的，投标人应负责解决并赔偿因此给采购人造成的全部损失。</w:t>
      </w:r>
    </w:p>
    <w:p w14:paraId="130D2F41">
      <w:pPr>
        <w:pStyle w:val="2"/>
        <w:rPr>
          <w:rFonts w:hint="eastAsia"/>
          <w:highlight w:val="none"/>
        </w:rPr>
      </w:pPr>
    </w:p>
    <w:p w14:paraId="67946357">
      <w:bookmarkStart w:id="19" w:name="_GoBack"/>
      <w:bookmarkEnd w:id="19"/>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Bold">
    <w:altName w:val="Times New Roman"/>
    <w:panose1 w:val="02020803070505020304"/>
    <w:charset w:val="00"/>
    <w:family w:val="auto"/>
    <w:pitch w:val="default"/>
    <w:sig w:usb0="00000000" w:usb1="00000000"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130DB">
    <w:pPr>
      <w:pStyle w:val="7"/>
      <w:jc w:val="center"/>
    </w:pPr>
    <w:r>
      <w:fldChar w:fldCharType="begin"/>
    </w:r>
    <w:r>
      <w:instrText xml:space="preserve">PAGE   \* MERGEFORMAT</w:instrText>
    </w:r>
    <w:r>
      <w:fldChar w:fldCharType="separate"/>
    </w:r>
    <w:r>
      <w:rPr>
        <w:lang w:val="zh-CN"/>
      </w:rPr>
      <w:t>17</w:t>
    </w:r>
    <w:r>
      <w:fldChar w:fldCharType="end"/>
    </w:r>
  </w:p>
  <w:p w14:paraId="65B88FA0">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93E76">
    <w:pPr>
      <w:pStyle w:val="7"/>
      <w:jc w:val="center"/>
    </w:pPr>
    <w:r>
      <w:fldChar w:fldCharType="begin"/>
    </w:r>
    <w:r>
      <w:instrText xml:space="preserve">PAGE   \* MERGEFORMAT</w:instrText>
    </w:r>
    <w:r>
      <w:fldChar w:fldCharType="separate"/>
    </w:r>
    <w:r>
      <w:rPr>
        <w:lang w:val="zh-CN"/>
      </w:rPr>
      <w:t>17</w:t>
    </w:r>
    <w:r>
      <w:fldChar w:fldCharType="end"/>
    </w:r>
  </w:p>
  <w:p w14:paraId="0791071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77404"/>
    <w:multiLevelType w:val="multilevel"/>
    <w:tmpl w:val="80D77404"/>
    <w:lvl w:ilvl="0" w:tentative="0">
      <w:start w:val="1"/>
      <w:numFmt w:val="decimal"/>
      <w:suff w:val="space"/>
      <w:lvlText w:val="1.2.%1"/>
      <w:lvlJc w:val="left"/>
      <w:pPr>
        <w:tabs>
          <w:tab w:val="left" w:pos="0"/>
        </w:tabs>
        <w:ind w:left="0" w:firstLine="0"/>
      </w:pPr>
      <w:rPr>
        <w:rFonts w:hint="default" w:ascii="仿宋_GB2312" w:hAnsi="仿宋_GB2312" w:eastAsia="仿宋_GB2312" w:cs="仿宋_GB2312"/>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A222C61D"/>
    <w:multiLevelType w:val="singleLevel"/>
    <w:tmpl w:val="A222C61D"/>
    <w:lvl w:ilvl="0" w:tentative="0">
      <w:start w:val="11"/>
      <w:numFmt w:val="chineseCounting"/>
      <w:suff w:val="nothing"/>
      <w:lvlText w:val="（%1）"/>
      <w:lvlJc w:val="left"/>
      <w:rPr>
        <w:rFonts w:hint="eastAsia"/>
      </w:rPr>
    </w:lvl>
  </w:abstractNum>
  <w:abstractNum w:abstractNumId="2">
    <w:nsid w:val="B6DF2EB3"/>
    <w:multiLevelType w:val="multilevel"/>
    <w:tmpl w:val="B6DF2EB3"/>
    <w:lvl w:ilvl="0" w:tentative="0">
      <w:start w:val="1"/>
      <w:numFmt w:val="decimal"/>
      <w:suff w:val="nothing"/>
      <w:lvlText w:val="%1、"/>
      <w:lvlJc w:val="left"/>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3">
    <w:nsid w:val="CE1A6DC5"/>
    <w:multiLevelType w:val="multilevel"/>
    <w:tmpl w:val="CE1A6DC5"/>
    <w:lvl w:ilvl="0" w:tentative="0">
      <w:start w:val="1"/>
      <w:numFmt w:val="decimal"/>
      <w:suff w:val="space"/>
      <w:lvlText w:val="1.2.%1"/>
      <w:lvlJc w:val="left"/>
      <w:pPr>
        <w:tabs>
          <w:tab w:val="left" w:pos="0"/>
        </w:tabs>
        <w:ind w:left="0" w:firstLine="0"/>
      </w:pPr>
      <w:rPr>
        <w:rFonts w:hint="default" w:ascii="仿宋_GB2312" w:hAnsi="仿宋_GB2312" w:eastAsia="仿宋_GB2312" w:cs="仿宋_GB2312"/>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4">
    <w:nsid w:val="EB99F2BF"/>
    <w:multiLevelType w:val="multilevel"/>
    <w:tmpl w:val="EB99F2BF"/>
    <w:lvl w:ilvl="0" w:tentative="0">
      <w:start w:val="1"/>
      <w:numFmt w:val="decimal"/>
      <w:suff w:val="space"/>
      <w:lvlText w:val="1.2.%1"/>
      <w:lvlJc w:val="left"/>
      <w:pPr>
        <w:tabs>
          <w:tab w:val="left" w:pos="0"/>
        </w:tabs>
        <w:ind w:left="0" w:firstLine="0"/>
      </w:pPr>
      <w:rPr>
        <w:rFonts w:hint="default" w:ascii="仿宋_GB2312" w:hAnsi="仿宋_GB2312" w:eastAsia="仿宋_GB2312" w:cs="仿宋_GB2312"/>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5">
    <w:nsid w:val="F059BC0F"/>
    <w:multiLevelType w:val="multilevel"/>
    <w:tmpl w:val="F059BC0F"/>
    <w:lvl w:ilvl="0" w:tentative="0">
      <w:start w:val="1"/>
      <w:numFmt w:val="decimal"/>
      <w:suff w:val="space"/>
      <w:lvlText w:val="1.2.%1"/>
      <w:lvlJc w:val="left"/>
      <w:pPr>
        <w:tabs>
          <w:tab w:val="left" w:pos="0"/>
        </w:tabs>
        <w:ind w:left="0" w:firstLine="0"/>
      </w:pPr>
      <w:rPr>
        <w:rFonts w:hint="default" w:ascii="仿宋_GB2312" w:hAnsi="仿宋_GB2312" w:eastAsia="仿宋_GB2312" w:cs="仿宋_GB2312"/>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6">
    <w:nsid w:val="FFF832BE"/>
    <w:multiLevelType w:val="singleLevel"/>
    <w:tmpl w:val="FFF832BE"/>
    <w:lvl w:ilvl="0" w:tentative="0">
      <w:start w:val="3"/>
      <w:numFmt w:val="decimal"/>
      <w:lvlText w:val="%1."/>
      <w:lvlJc w:val="left"/>
      <w:pPr>
        <w:tabs>
          <w:tab w:val="left" w:pos="312"/>
        </w:tabs>
      </w:pPr>
    </w:lvl>
  </w:abstractNum>
  <w:abstractNum w:abstractNumId="7">
    <w:nsid w:val="12A04574"/>
    <w:multiLevelType w:val="singleLevel"/>
    <w:tmpl w:val="12A04574"/>
    <w:lvl w:ilvl="0" w:tentative="0">
      <w:start w:val="1"/>
      <w:numFmt w:val="decimal"/>
      <w:lvlText w:val="%1."/>
      <w:lvlJc w:val="left"/>
      <w:pPr>
        <w:ind w:left="425" w:hanging="425"/>
      </w:pPr>
      <w:rPr>
        <w:rFonts w:hint="default"/>
      </w:rPr>
    </w:lvl>
  </w:abstractNum>
  <w:abstractNum w:abstractNumId="8">
    <w:nsid w:val="1FCD4497"/>
    <w:multiLevelType w:val="multilevel"/>
    <w:tmpl w:val="1FCD4497"/>
    <w:lvl w:ilvl="0" w:tentative="0">
      <w:start w:val="1"/>
      <w:numFmt w:val="chineseCountingThousand"/>
      <w:lvlText w:val="%1、"/>
      <w:lvlJc w:val="left"/>
      <w:pPr>
        <w:ind w:left="420" w:hanging="420"/>
      </w:pPr>
      <w:rPr>
        <w:rFonts w:hint="eastAsia" w:ascii="Times New Roman Bold" w:hAnsi="Times New Roman Bold" w:cs="Times New Roman Bold"/>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E6E3E09"/>
    <w:multiLevelType w:val="multilevel"/>
    <w:tmpl w:val="2E6E3E09"/>
    <w:lvl w:ilvl="0" w:tentative="0">
      <w:start w:val="1"/>
      <w:numFmt w:val="decimal"/>
      <w:suff w:val="space"/>
      <w:lvlText w:val="1.2.%1"/>
      <w:lvlJc w:val="left"/>
      <w:pPr>
        <w:tabs>
          <w:tab w:val="left" w:pos="0"/>
        </w:tabs>
        <w:ind w:left="0" w:firstLine="0"/>
      </w:pPr>
      <w:rPr>
        <w:rFonts w:hint="default" w:ascii="仿宋_GB2312" w:hAnsi="仿宋_GB2312" w:eastAsia="仿宋_GB2312" w:cs="仿宋_GB2312"/>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0">
    <w:nsid w:val="2E900A9B"/>
    <w:multiLevelType w:val="singleLevel"/>
    <w:tmpl w:val="2E900A9B"/>
    <w:lvl w:ilvl="0" w:tentative="0">
      <w:start w:val="1"/>
      <w:numFmt w:val="decimal"/>
      <w:lvlText w:val="%1."/>
      <w:lvlJc w:val="left"/>
      <w:pPr>
        <w:ind w:left="425" w:hanging="425"/>
      </w:pPr>
      <w:rPr>
        <w:rFonts w:hint="default"/>
      </w:rPr>
    </w:lvl>
  </w:abstractNum>
  <w:abstractNum w:abstractNumId="11">
    <w:nsid w:val="5D2F4321"/>
    <w:multiLevelType w:val="singleLevel"/>
    <w:tmpl w:val="5D2F4321"/>
    <w:lvl w:ilvl="0" w:tentative="0">
      <w:start w:val="2"/>
      <w:numFmt w:val="decimal"/>
      <w:lvlText w:val="%1."/>
      <w:lvlJc w:val="left"/>
      <w:pPr>
        <w:tabs>
          <w:tab w:val="left" w:pos="312"/>
        </w:tabs>
      </w:pPr>
    </w:lvl>
  </w:abstractNum>
  <w:abstractNum w:abstractNumId="12">
    <w:nsid w:val="6EB0F54D"/>
    <w:multiLevelType w:val="multilevel"/>
    <w:tmpl w:val="6EB0F54D"/>
    <w:lvl w:ilvl="0" w:tentative="0">
      <w:start w:val="1"/>
      <w:numFmt w:val="decimal"/>
      <w:suff w:val="space"/>
      <w:lvlText w:val="1.2.%1"/>
      <w:lvlJc w:val="left"/>
      <w:pPr>
        <w:tabs>
          <w:tab w:val="left" w:pos="0"/>
        </w:tabs>
        <w:ind w:left="0" w:firstLine="0"/>
      </w:pPr>
      <w:rPr>
        <w:rFonts w:hint="default" w:ascii="仿宋_GB2312" w:hAnsi="仿宋_GB2312" w:eastAsia="仿宋_GB2312" w:cs="仿宋_GB2312"/>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3">
    <w:nsid w:val="778C9981"/>
    <w:multiLevelType w:val="multilevel"/>
    <w:tmpl w:val="778C9981"/>
    <w:lvl w:ilvl="0" w:tentative="0">
      <w:start w:val="1"/>
      <w:numFmt w:val="decimal"/>
      <w:suff w:val="space"/>
      <w:lvlText w:val="1.2.%1"/>
      <w:lvlJc w:val="left"/>
      <w:pPr>
        <w:tabs>
          <w:tab w:val="left" w:pos="0"/>
        </w:tabs>
        <w:ind w:left="0" w:firstLine="0"/>
      </w:pPr>
      <w:rPr>
        <w:rFonts w:hint="default" w:ascii="仿宋_GB2312" w:hAnsi="仿宋_GB2312" w:eastAsia="仿宋_GB2312" w:cs="仿宋_GB2312"/>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4">
    <w:nsid w:val="78940FC7"/>
    <w:multiLevelType w:val="singleLevel"/>
    <w:tmpl w:val="78940FC7"/>
    <w:lvl w:ilvl="0" w:tentative="0">
      <w:start w:val="1"/>
      <w:numFmt w:val="decimal"/>
      <w:lvlText w:val="%1."/>
      <w:lvlJc w:val="left"/>
      <w:pPr>
        <w:ind w:left="425" w:hanging="425"/>
      </w:pPr>
      <w:rPr>
        <w:rFonts w:hint="default"/>
      </w:rPr>
    </w:lvl>
  </w:abstractNum>
  <w:num w:numId="1">
    <w:abstractNumId w:val="8"/>
  </w:num>
  <w:num w:numId="2">
    <w:abstractNumId w:val="7"/>
  </w:num>
  <w:num w:numId="3">
    <w:abstractNumId w:val="10"/>
  </w:num>
  <w:num w:numId="4">
    <w:abstractNumId w:val="11"/>
  </w:num>
  <w:num w:numId="5">
    <w:abstractNumId w:val="6"/>
  </w:num>
  <w:num w:numId="6">
    <w:abstractNumId w:val="2"/>
  </w:num>
  <w:num w:numId="7">
    <w:abstractNumId w:val="13"/>
  </w:num>
  <w:num w:numId="8">
    <w:abstractNumId w:val="4"/>
  </w:num>
  <w:num w:numId="9">
    <w:abstractNumId w:val="12"/>
  </w:num>
  <w:num w:numId="10">
    <w:abstractNumId w:val="5"/>
  </w:num>
  <w:num w:numId="11">
    <w:abstractNumId w:val="3"/>
  </w:num>
  <w:num w:numId="12">
    <w:abstractNumId w:val="0"/>
  </w:num>
  <w:num w:numId="13">
    <w:abstractNumId w:val="9"/>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4F3AA8"/>
    <w:rsid w:val="66646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4">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5"/>
    <w:basedOn w:val="1"/>
    <w:next w:val="1"/>
    <w:qFormat/>
    <w:uiPriority w:val="0"/>
    <w:pPr>
      <w:keepNext/>
      <w:keepLines/>
      <w:adjustRightInd w:val="0"/>
      <w:spacing w:before="280" w:after="290" w:line="376" w:lineRule="atLeast"/>
      <w:textAlignment w:val="baseline"/>
      <w:outlineLvl w:val="4"/>
    </w:pPr>
    <w:rPr>
      <w:b/>
      <w:kern w:val="0"/>
      <w:sz w:val="28"/>
      <w:szCs w:val="20"/>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tabs>
        <w:tab w:val="left" w:pos="567"/>
      </w:tabs>
      <w:spacing w:before="120" w:line="22" w:lineRule="atLeast"/>
    </w:pPr>
    <w:rPr>
      <w:rFonts w:ascii="宋体" w:hAnsi="宋体"/>
      <w:sz w:val="24"/>
    </w:rPr>
  </w:style>
  <w:style w:type="paragraph" w:styleId="6">
    <w:name w:val="Normal Indent"/>
    <w:basedOn w:val="1"/>
    <w:qFormat/>
    <w:uiPriority w:val="0"/>
    <w:pPr>
      <w:autoSpaceDE w:val="0"/>
      <w:autoSpaceDN w:val="0"/>
      <w:adjustRightInd w:val="0"/>
      <w:ind w:firstLine="420"/>
      <w:jc w:val="left"/>
    </w:pPr>
    <w:rPr>
      <w:rFonts w:ascii="宋体"/>
      <w:sz w:val="24"/>
    </w:rPr>
  </w:style>
  <w:style w:type="paragraph" w:styleId="7">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11491</Words>
  <Characters>12672</Characters>
  <Lines>0</Lines>
  <Paragraphs>0</Paragraphs>
  <TotalTime>0</TotalTime>
  <ScaleCrop>false</ScaleCrop>
  <LinksUpToDate>false</LinksUpToDate>
  <CharactersWithSpaces>12752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2026-08-11T02:20:00Z</dcterms:created>
  <dc:creator>zhhx</dc:creator>
  <cp:lastModifiedBy>高</cp:lastModifiedBy>
  <dcterms:modified xsi:type="dcterms:W3CDTF">2026-08-11T03:01:05Z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eyJoZGlkIjoiOTEwNzllZDM2ZTdkZjM5ZWQ4N2U5NWIyN2UyZWUyZGYiLCJ1c2VySWQiOiI0NjYwNDMyMDYifQ==</vt:lpwstr>
  </property>
  <property fmtid="{D5CDD505-2E9C-101B-9397-08002B2CF9AE}" pid="4" name="ICV">
    <vt:lpwstr>8F883DB652424E6FBBC0E0EE19DA15A4_12</vt:lpwstr>
  </property>
</Properties>
</file>