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F8101">
      <w:pPr>
        <w:spacing w:line="360" w:lineRule="auto"/>
        <w:jc w:val="center"/>
        <w:outlineLvl w:val="0"/>
        <w:rPr>
          <w:b/>
          <w:sz w:val="36"/>
          <w:szCs w:val="36"/>
        </w:rPr>
      </w:pPr>
      <w:r>
        <w:rPr>
          <w:b/>
          <w:sz w:val="36"/>
          <w:szCs w:val="36"/>
        </w:rPr>
        <w:t>采购需求</w:t>
      </w:r>
    </w:p>
    <w:p w14:paraId="3C5FAC77">
      <w:pPr>
        <w:pStyle w:val="6"/>
        <w:tabs>
          <w:tab w:val="right" w:leader="dot" w:pos="8937"/>
        </w:tabs>
      </w:pPr>
    </w:p>
    <w:p w14:paraId="77221365">
      <w:pPr>
        <w:pStyle w:val="12"/>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8"/>
        <w:tblW w:w="9950" w:type="dxa"/>
        <w:tblInd w:w="-800" w:type="dxa"/>
        <w:tblLayout w:type="fixed"/>
        <w:tblCellMar>
          <w:top w:w="0" w:type="dxa"/>
          <w:left w:w="108" w:type="dxa"/>
          <w:bottom w:w="0" w:type="dxa"/>
          <w:right w:w="108" w:type="dxa"/>
        </w:tblCellMar>
      </w:tblPr>
      <w:tblGrid>
        <w:gridCol w:w="833"/>
        <w:gridCol w:w="2467"/>
        <w:gridCol w:w="2617"/>
        <w:gridCol w:w="1033"/>
        <w:gridCol w:w="867"/>
        <w:gridCol w:w="1133"/>
        <w:gridCol w:w="1000"/>
      </w:tblGrid>
      <w:tr w14:paraId="25A16B15">
        <w:tblPrEx>
          <w:tblCellMar>
            <w:top w:w="0" w:type="dxa"/>
            <w:left w:w="108" w:type="dxa"/>
            <w:bottom w:w="0" w:type="dxa"/>
            <w:right w:w="108" w:type="dxa"/>
          </w:tblCellMar>
        </w:tblPrEx>
        <w:trPr>
          <w:trHeight w:val="445" w:hRule="atLeast"/>
        </w:trPr>
        <w:tc>
          <w:tcPr>
            <w:tcW w:w="833" w:type="dxa"/>
            <w:tcBorders>
              <w:top w:val="single" w:color="auto" w:sz="4" w:space="0"/>
              <w:left w:val="single" w:color="auto" w:sz="4" w:space="0"/>
              <w:bottom w:val="single" w:color="auto" w:sz="4" w:space="0"/>
              <w:right w:val="single" w:color="auto" w:sz="4" w:space="0"/>
            </w:tcBorders>
            <w:vAlign w:val="center"/>
          </w:tcPr>
          <w:p w14:paraId="6F0DF35F">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包号</w:t>
            </w:r>
          </w:p>
        </w:tc>
        <w:tc>
          <w:tcPr>
            <w:tcW w:w="2467" w:type="dxa"/>
            <w:tcBorders>
              <w:top w:val="single" w:color="auto" w:sz="4" w:space="0"/>
              <w:left w:val="nil"/>
              <w:bottom w:val="single" w:color="auto" w:sz="4" w:space="0"/>
              <w:right w:val="single" w:color="auto" w:sz="4" w:space="0"/>
            </w:tcBorders>
            <w:vAlign w:val="center"/>
          </w:tcPr>
          <w:p w14:paraId="6D2C0FB8">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包名称</w:t>
            </w:r>
          </w:p>
        </w:tc>
        <w:tc>
          <w:tcPr>
            <w:tcW w:w="2617" w:type="dxa"/>
            <w:tcBorders>
              <w:top w:val="single" w:color="auto" w:sz="4" w:space="0"/>
              <w:left w:val="nil"/>
              <w:bottom w:val="single" w:color="auto" w:sz="4" w:space="0"/>
              <w:right w:val="single" w:color="auto" w:sz="4" w:space="0"/>
            </w:tcBorders>
            <w:vAlign w:val="center"/>
          </w:tcPr>
          <w:p w14:paraId="1E4E9E8B">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标的名称</w:t>
            </w:r>
          </w:p>
        </w:tc>
        <w:tc>
          <w:tcPr>
            <w:tcW w:w="1033" w:type="dxa"/>
            <w:tcBorders>
              <w:top w:val="single" w:color="auto" w:sz="4" w:space="0"/>
              <w:left w:val="nil"/>
              <w:bottom w:val="single" w:color="auto" w:sz="4" w:space="0"/>
              <w:right w:val="single" w:color="auto" w:sz="4" w:space="0"/>
            </w:tcBorders>
            <w:vAlign w:val="center"/>
          </w:tcPr>
          <w:p w14:paraId="79CFEE04">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分包预算金额（万元）</w:t>
            </w:r>
          </w:p>
        </w:tc>
        <w:tc>
          <w:tcPr>
            <w:tcW w:w="867" w:type="dxa"/>
            <w:tcBorders>
              <w:top w:val="single" w:color="auto" w:sz="4" w:space="0"/>
              <w:left w:val="nil"/>
              <w:bottom w:val="single" w:color="auto" w:sz="4" w:space="0"/>
              <w:right w:val="single" w:color="auto" w:sz="4" w:space="0"/>
            </w:tcBorders>
            <w:vAlign w:val="center"/>
          </w:tcPr>
          <w:p w14:paraId="21E7DB3D">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数量</w:t>
            </w:r>
          </w:p>
          <w:p w14:paraId="550B33DA">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（台/套）</w:t>
            </w:r>
          </w:p>
        </w:tc>
        <w:tc>
          <w:tcPr>
            <w:tcW w:w="1133" w:type="dxa"/>
            <w:tcBorders>
              <w:top w:val="single" w:color="auto" w:sz="4" w:space="0"/>
              <w:left w:val="nil"/>
              <w:bottom w:val="single" w:color="auto" w:sz="4" w:space="0"/>
              <w:right w:val="single" w:color="auto" w:sz="4" w:space="0"/>
            </w:tcBorders>
            <w:vAlign w:val="center"/>
          </w:tcPr>
          <w:p w14:paraId="0FCB955B">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单价最高限价（万元）</w:t>
            </w:r>
          </w:p>
        </w:tc>
        <w:tc>
          <w:tcPr>
            <w:tcW w:w="1000" w:type="dxa"/>
            <w:tcBorders>
              <w:top w:val="single" w:color="auto" w:sz="4" w:space="0"/>
              <w:left w:val="nil"/>
              <w:bottom w:val="single" w:color="auto" w:sz="4" w:space="0"/>
              <w:right w:val="single" w:color="auto" w:sz="4" w:space="0"/>
            </w:tcBorders>
            <w:vAlign w:val="center"/>
          </w:tcPr>
          <w:p w14:paraId="5F965191">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是否为核心产品</w:t>
            </w:r>
          </w:p>
        </w:tc>
      </w:tr>
      <w:tr w14:paraId="3AE79376">
        <w:tblPrEx>
          <w:tblCellMar>
            <w:top w:w="0" w:type="dxa"/>
            <w:left w:w="108" w:type="dxa"/>
            <w:bottom w:w="0" w:type="dxa"/>
            <w:right w:w="108" w:type="dxa"/>
          </w:tblCellMar>
        </w:tblPrEx>
        <w:trPr>
          <w:trHeight w:val="445" w:hRule="atLeast"/>
        </w:trPr>
        <w:tc>
          <w:tcPr>
            <w:tcW w:w="833" w:type="dxa"/>
            <w:tcBorders>
              <w:top w:val="single" w:color="auto" w:sz="4" w:space="0"/>
              <w:left w:val="single" w:color="auto" w:sz="4" w:space="0"/>
              <w:bottom w:val="single" w:color="auto" w:sz="4" w:space="0"/>
              <w:right w:val="single" w:color="auto" w:sz="4" w:space="0"/>
            </w:tcBorders>
            <w:vAlign w:val="center"/>
          </w:tcPr>
          <w:p w14:paraId="6AA0D063">
            <w:pPr>
              <w:widowControl/>
              <w:jc w:val="center"/>
              <w:rPr>
                <w:rFonts w:hint="eastAsia" w:ascii="宋体" w:hAnsi="宋体" w:cs="宋体"/>
                <w:color w:val="000000"/>
                <w:kern w:val="0"/>
                <w:sz w:val="24"/>
                <w:lang w:eastAsia="zh-CN"/>
              </w:rPr>
            </w:pPr>
            <w:r>
              <w:rPr>
                <w:rFonts w:hint="eastAsia" w:ascii="宋体" w:hAnsi="宋体" w:cs="宋体"/>
                <w:color w:val="000000"/>
                <w:kern w:val="0"/>
                <w:sz w:val="24"/>
              </w:rPr>
              <w:t>0</w:t>
            </w:r>
            <w:r>
              <w:rPr>
                <w:rFonts w:hint="eastAsia" w:ascii="宋体" w:hAnsi="宋体" w:cs="宋体"/>
                <w:color w:val="000000"/>
                <w:kern w:val="0"/>
                <w:sz w:val="24"/>
                <w:lang w:val="en-US" w:eastAsia="zh-CN"/>
              </w:rPr>
              <w:t>3</w:t>
            </w:r>
          </w:p>
        </w:tc>
        <w:tc>
          <w:tcPr>
            <w:tcW w:w="2467" w:type="dxa"/>
            <w:tcBorders>
              <w:top w:val="single" w:color="auto" w:sz="4" w:space="0"/>
              <w:left w:val="single" w:color="auto" w:sz="4" w:space="0"/>
              <w:bottom w:val="single" w:color="auto" w:sz="4" w:space="0"/>
              <w:right w:val="single" w:color="auto" w:sz="4" w:space="0"/>
            </w:tcBorders>
            <w:vAlign w:val="center"/>
          </w:tcPr>
          <w:p w14:paraId="07BBB32F">
            <w:pPr>
              <w:widowControl/>
              <w:jc w:val="center"/>
              <w:rPr>
                <w:rFonts w:hint="eastAsia" w:ascii="宋体" w:hAnsi="宋体" w:cs="宋体"/>
                <w:color w:val="000000"/>
                <w:kern w:val="0"/>
                <w:sz w:val="24"/>
              </w:rPr>
            </w:pPr>
            <w:r>
              <w:rPr>
                <w:rFonts w:hint="eastAsia" w:ascii="宋体" w:hAnsi="宋体" w:cs="宋体"/>
                <w:color w:val="000000"/>
                <w:kern w:val="0"/>
                <w:sz w:val="24"/>
              </w:rPr>
              <w:t>全自动玻片处理系统</w:t>
            </w:r>
          </w:p>
        </w:tc>
        <w:tc>
          <w:tcPr>
            <w:tcW w:w="2617" w:type="dxa"/>
            <w:tcBorders>
              <w:top w:val="single" w:color="auto" w:sz="4" w:space="0"/>
              <w:left w:val="single" w:color="auto" w:sz="4" w:space="0"/>
              <w:bottom w:val="single" w:color="auto" w:sz="4" w:space="0"/>
              <w:right w:val="single" w:color="auto" w:sz="4" w:space="0"/>
            </w:tcBorders>
            <w:vAlign w:val="center"/>
          </w:tcPr>
          <w:p w14:paraId="451D7C63">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lang w:bidi="ar"/>
              </w:rPr>
              <w:t>全自动玻片处理系统</w:t>
            </w:r>
          </w:p>
        </w:tc>
        <w:tc>
          <w:tcPr>
            <w:tcW w:w="1033" w:type="dxa"/>
            <w:tcBorders>
              <w:top w:val="single" w:color="auto" w:sz="4" w:space="0"/>
              <w:left w:val="single" w:color="auto" w:sz="4" w:space="0"/>
              <w:bottom w:val="single" w:color="auto" w:sz="4" w:space="0"/>
              <w:right w:val="single" w:color="auto" w:sz="4" w:space="0"/>
            </w:tcBorders>
            <w:vAlign w:val="center"/>
          </w:tcPr>
          <w:p w14:paraId="48904B42">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lang w:bidi="ar"/>
              </w:rPr>
              <w:t>5.80</w:t>
            </w:r>
          </w:p>
        </w:tc>
        <w:tc>
          <w:tcPr>
            <w:tcW w:w="867" w:type="dxa"/>
            <w:tcBorders>
              <w:top w:val="single" w:color="auto" w:sz="4" w:space="0"/>
              <w:left w:val="nil"/>
              <w:bottom w:val="single" w:color="auto" w:sz="4" w:space="0"/>
              <w:right w:val="single" w:color="auto" w:sz="4" w:space="0"/>
            </w:tcBorders>
            <w:vAlign w:val="center"/>
          </w:tcPr>
          <w:p w14:paraId="2A274DC7">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1133" w:type="dxa"/>
            <w:tcBorders>
              <w:top w:val="single" w:color="auto" w:sz="4" w:space="0"/>
              <w:left w:val="nil"/>
              <w:bottom w:val="single" w:color="auto" w:sz="4" w:space="0"/>
              <w:right w:val="single" w:color="auto" w:sz="4" w:space="0"/>
            </w:tcBorders>
            <w:vAlign w:val="center"/>
          </w:tcPr>
          <w:p w14:paraId="5B298161">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lang w:bidi="ar"/>
              </w:rPr>
              <w:t>5.80</w:t>
            </w:r>
          </w:p>
        </w:tc>
        <w:tc>
          <w:tcPr>
            <w:tcW w:w="1000" w:type="dxa"/>
            <w:tcBorders>
              <w:top w:val="single" w:color="auto" w:sz="4" w:space="0"/>
              <w:left w:val="nil"/>
              <w:bottom w:val="single" w:color="auto" w:sz="4" w:space="0"/>
              <w:right w:val="single" w:color="auto" w:sz="4" w:space="0"/>
            </w:tcBorders>
            <w:vAlign w:val="center"/>
          </w:tcPr>
          <w:p w14:paraId="787873BA">
            <w:pPr>
              <w:widowControl/>
              <w:jc w:val="center"/>
              <w:rPr>
                <w:rFonts w:hint="eastAsia" w:ascii="宋体" w:hAnsi="宋体" w:cs="宋体"/>
                <w:color w:val="000000"/>
                <w:kern w:val="0"/>
                <w:sz w:val="24"/>
              </w:rPr>
            </w:pPr>
            <w:r>
              <w:rPr>
                <w:rFonts w:hint="eastAsia" w:ascii="宋体" w:hAnsi="宋体" w:cs="宋体"/>
                <w:sz w:val="24"/>
              </w:rPr>
              <w:t>单一产品采购包</w:t>
            </w:r>
          </w:p>
        </w:tc>
      </w:tr>
    </w:tbl>
    <w:p w14:paraId="0F77CB4D">
      <w:pPr>
        <w:pStyle w:val="7"/>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560BBDCC">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65744E42">
      <w:pPr>
        <w:pStyle w:val="4"/>
        <w:spacing w:line="360" w:lineRule="auto"/>
        <w:ind w:firstLine="480" w:firstLineChars="200"/>
        <w:rPr>
          <w:rFonts w:hint="eastAsia" w:hAnsi="宋体" w:cs="宋体"/>
          <w:bCs/>
          <w:highlight w:val="none"/>
        </w:rPr>
      </w:pPr>
      <w:r>
        <w:rPr>
          <w:rFonts w:hint="eastAsia" w:hAnsi="宋体" w:cs="宋体"/>
          <w:bCs/>
          <w:highlight w:val="none"/>
        </w:rPr>
        <w:t>1.交货时间：自合同签订之日起30日内交货并完成安装、调试。</w:t>
      </w:r>
    </w:p>
    <w:p w14:paraId="1CDDC28F">
      <w:pPr>
        <w:pStyle w:val="4"/>
        <w:spacing w:line="360" w:lineRule="auto"/>
        <w:ind w:firstLine="480" w:firstLineChars="200"/>
        <w:rPr>
          <w:rFonts w:hint="eastAsia" w:hAnsi="宋体" w:cs="宋体"/>
          <w:bCs/>
        </w:rPr>
      </w:pPr>
      <w:r>
        <w:rPr>
          <w:rFonts w:hint="eastAsia" w:hAnsi="宋体" w:cs="宋体"/>
          <w:bCs/>
        </w:rPr>
        <w:t>2.交货地点：采购人指定地点</w:t>
      </w:r>
    </w:p>
    <w:p w14:paraId="519AE374">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1B4E5C20">
      <w:pPr>
        <w:pStyle w:val="6"/>
        <w:tabs>
          <w:tab w:val="right" w:leader="dot" w:pos="8937"/>
        </w:tabs>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527412A4">
      <w:pPr>
        <w:pStyle w:val="6"/>
        <w:tabs>
          <w:tab w:val="right" w:leader="dot" w:pos="8937"/>
        </w:tabs>
        <w:spacing w:line="360" w:lineRule="auto"/>
        <w:ind w:left="0" w:leftChars="0" w:firstLine="482" w:firstLineChars="200"/>
        <w:rPr>
          <w:rFonts w:hint="eastAsia" w:ascii="宋体" w:hAnsi="宋体" w:cs="宋体"/>
          <w:b/>
          <w:bCs/>
          <w:sz w:val="24"/>
        </w:rPr>
      </w:pPr>
      <w:r>
        <w:rPr>
          <w:rFonts w:hint="eastAsia" w:ascii="宋体" w:hAnsi="宋体" w:cs="宋体"/>
          <w:b/>
          <w:bCs/>
          <w:sz w:val="24"/>
        </w:rPr>
        <w:t>（四）售后服务</w:t>
      </w:r>
    </w:p>
    <w:p w14:paraId="56E84C25">
      <w:pPr>
        <w:pStyle w:val="6"/>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★1.质量保证期（保修期）及服务要求：</w:t>
      </w:r>
    </w:p>
    <w:p w14:paraId="62F74ABB">
      <w:pPr>
        <w:pStyle w:val="6"/>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★1.1整机质保3年。保证8年配件供应，提供主要配件价格清单。（如技术要求中规定的质保年限大于3年 则以技术要求中规定的质保年限为准），投标人须提供原厂或代理商售后服务承诺函并加盖公章。</w:t>
      </w:r>
    </w:p>
    <w:p w14:paraId="187A3619">
      <w:pPr>
        <w:pStyle w:val="6"/>
        <w:tabs>
          <w:tab w:val="right" w:leader="dot" w:pos="8937"/>
        </w:tabs>
        <w:spacing w:line="360" w:lineRule="auto"/>
        <w:ind w:left="0" w:leftChars="0" w:firstLine="480" w:firstLineChars="200"/>
        <w:rPr>
          <w:rFonts w:hint="eastAsia" w:ascii="宋体" w:hAnsi="宋体" w:cs="宋体"/>
          <w:sz w:val="24"/>
          <w:highlight w:val="none"/>
        </w:rPr>
      </w:pPr>
      <w:r>
        <w:rPr>
          <w:rFonts w:hint="eastAsia" w:ascii="宋体" w:hAnsi="宋体" w:cs="宋体"/>
          <w:sz w:val="24"/>
        </w:rPr>
        <w:t>★1.2售后服务应符合以下要求；①每季度巡检1次，进行全面检修，并提供检修检测记录。②负责医院使用、维修人员培训工作。提供中文使用、维修手册。③提供一次免费移机及移机后安装调试服务。④接到设备报修电话，24小时内技术人员到场维修。维修周期超过72小时，须提供备用机（件）。⑤如包内技术要求中有其它需求的，按包内要求</w:t>
      </w:r>
      <w:r>
        <w:rPr>
          <w:rFonts w:hint="eastAsia" w:ascii="宋体" w:hAnsi="宋体" w:cs="宋体"/>
          <w:sz w:val="24"/>
          <w:highlight w:val="none"/>
        </w:rPr>
        <w:t>执行。</w:t>
      </w:r>
    </w:p>
    <w:p w14:paraId="181C613B">
      <w:pPr>
        <w:pStyle w:val="6"/>
        <w:tabs>
          <w:tab w:val="right" w:leader="dot" w:pos="8937"/>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★1.3依据医院需求，配合完成设备管理工作。需计量检验，质量检验等强检设备，安装使用前需要到指定部门进行检验并取得证书。首次检验费用由</w:t>
      </w:r>
      <w:r>
        <w:rPr>
          <w:rFonts w:hint="eastAsia" w:ascii="宋体" w:hAnsi="宋体" w:cs="宋体"/>
          <w:sz w:val="24"/>
          <w:highlight w:val="none"/>
          <w:lang w:val="en-US" w:eastAsia="zh-CN"/>
        </w:rPr>
        <w:t>供应商</w:t>
      </w:r>
      <w:r>
        <w:rPr>
          <w:rFonts w:hint="eastAsia" w:ascii="宋体" w:hAnsi="宋体" w:cs="宋体"/>
          <w:sz w:val="24"/>
          <w:highlight w:val="none"/>
        </w:rPr>
        <w:t>承担。</w:t>
      </w:r>
    </w:p>
    <w:p w14:paraId="751E9C6C">
      <w:pPr>
        <w:pStyle w:val="6"/>
        <w:tabs>
          <w:tab w:val="right" w:leader="dot" w:pos="8937"/>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 xml:space="preserve">★1.4采购标的的设计使用年限不得低于六年。 </w:t>
      </w:r>
    </w:p>
    <w:p w14:paraId="317AC31E">
      <w:pPr>
        <w:pStyle w:val="6"/>
        <w:tabs>
          <w:tab w:val="right" w:leader="dot" w:pos="8937"/>
        </w:tabs>
        <w:spacing w:line="360" w:lineRule="auto"/>
        <w:ind w:left="0" w:leftChars="0" w:firstLine="482" w:firstLineChars="200"/>
        <w:rPr>
          <w:rFonts w:hint="eastAsia" w:ascii="宋体" w:hAnsi="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五</w:t>
      </w:r>
      <w:r>
        <w:rPr>
          <w:rFonts w:hint="eastAsia" w:ascii="宋体" w:hAnsi="宋体" w:cs="宋体"/>
          <w:b/>
          <w:bCs/>
          <w:sz w:val="24"/>
          <w:lang w:eastAsia="zh-CN"/>
        </w:rPr>
        <w:t>）</w:t>
      </w:r>
      <w:r>
        <w:rPr>
          <w:rFonts w:hint="eastAsia" w:ascii="宋体" w:hAnsi="宋体" w:cs="宋体"/>
          <w:b/>
          <w:bCs/>
          <w:sz w:val="24"/>
        </w:rPr>
        <w:t>采购标的物验收标准</w:t>
      </w:r>
    </w:p>
    <w:p w14:paraId="76977F59">
      <w:pPr>
        <w:pStyle w:val="6"/>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69A02316">
      <w:pPr>
        <w:pStyle w:val="6"/>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2.货物运抵采购项目（标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w:t>
      </w:r>
    </w:p>
    <w:p w14:paraId="629D7C63">
      <w:pPr>
        <w:pStyle w:val="6"/>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3.投标人应负责使所供计量仪器通过计量部门的验收，并承担相关费用（包括运费）。若需要，应在检测期间提供备用仪器，以便不影响采购人的使用。</w:t>
      </w:r>
    </w:p>
    <w:p w14:paraId="61EC8EDB">
      <w:pPr>
        <w:pStyle w:val="4"/>
        <w:spacing w:line="360" w:lineRule="auto"/>
        <w:ind w:firstLine="482" w:firstLineChars="200"/>
        <w:rPr>
          <w:rFonts w:hint="eastAsia" w:hAnsi="宋体" w:cs="宋体"/>
          <w:bCs/>
          <w:u w:val="single"/>
        </w:rPr>
      </w:pPr>
      <w:r>
        <w:rPr>
          <w:rFonts w:hint="eastAsia" w:hAnsi="宋体" w:cs="宋体"/>
          <w:b/>
          <w:bCs/>
        </w:rPr>
        <w:t>（六）保险：</w:t>
      </w:r>
      <w:r>
        <w:rPr>
          <w:rFonts w:hint="eastAsia" w:hAnsi="宋体" w:cs="宋体"/>
        </w:rPr>
        <w:t>如果货物是按现场交货方式或工厂交货方式报价的，由卖方办理保险，按照发票金额的110％办理“一切险”，保险范围包括卖方承诺装运的货物；如果货物是按买方自提货物方式报价的，其保险由买方办理。</w:t>
      </w:r>
    </w:p>
    <w:p w14:paraId="28370222">
      <w:pPr>
        <w:spacing w:line="360" w:lineRule="auto"/>
        <w:ind w:firstLine="482" w:firstLineChars="200"/>
        <w:rPr>
          <w:rFonts w:hint="eastAsia" w:ascii="宋体" w:hAnsi="宋体" w:cs="宋体"/>
          <w:b/>
          <w:bCs/>
          <w:sz w:val="24"/>
        </w:rPr>
      </w:pPr>
      <w:r>
        <w:rPr>
          <w:rFonts w:hint="eastAsia" w:ascii="宋体" w:hAnsi="宋体" w:cs="宋体"/>
          <w:b/>
          <w:bCs/>
          <w:sz w:val="24"/>
        </w:rPr>
        <w:t>三、技术要求</w:t>
      </w:r>
    </w:p>
    <w:p w14:paraId="2EE8071A">
      <w:pPr>
        <w:spacing w:line="360" w:lineRule="auto"/>
        <w:ind w:firstLine="482" w:firstLineChars="200"/>
        <w:contextualSpacing/>
        <w:rPr>
          <w:rFonts w:hint="eastAsia" w:ascii="宋体" w:hAnsi="宋体" w:cs="宋体"/>
          <w:b/>
          <w:bCs/>
          <w:sz w:val="24"/>
        </w:rPr>
      </w:pPr>
      <w:r>
        <w:rPr>
          <w:rFonts w:hint="eastAsia" w:ascii="宋体" w:hAnsi="宋体" w:cs="宋体"/>
          <w:b/>
          <w:bCs/>
          <w:sz w:val="24"/>
        </w:rPr>
        <w:t>（一）基本要求</w:t>
      </w:r>
    </w:p>
    <w:p w14:paraId="1C7EFB4A">
      <w:pPr>
        <w:spacing w:line="360" w:lineRule="auto"/>
        <w:ind w:firstLine="480" w:firstLineChars="200"/>
        <w:contextualSpacing/>
        <w:rPr>
          <w:rFonts w:hint="eastAsia" w:ascii="宋体" w:hAnsi="宋体"/>
          <w:sz w:val="24"/>
        </w:rPr>
      </w:pPr>
      <w:r>
        <w:rPr>
          <w:rFonts w:hint="eastAsia" w:ascii="宋体" w:hAnsi="宋体"/>
          <w:sz w:val="24"/>
        </w:rPr>
        <w:t>1.采购标的需实现的功能或者目标</w:t>
      </w:r>
    </w:p>
    <w:p w14:paraId="2F752C87">
      <w:pPr>
        <w:spacing w:line="360" w:lineRule="auto"/>
        <w:ind w:firstLine="480" w:firstLineChars="200"/>
        <w:contextualSpacing/>
        <w:rPr>
          <w:rFonts w:hint="eastAsia" w:ascii="宋体" w:hAnsi="宋体"/>
          <w:sz w:val="24"/>
        </w:rPr>
      </w:pPr>
      <w:r>
        <w:rPr>
          <w:rFonts w:hint="eastAsia" w:ascii="宋体" w:hAnsi="宋体"/>
          <w:sz w:val="24"/>
        </w:rPr>
        <w:t>本次采购是“2026医用设备购置项目（第一批）”，供应商应根据招标文件所提出的设备技术规格和服务要求，以满足招标文件要求的产品、优良的货物和优惠的价格，充分显示自己的竞争实力。</w:t>
      </w:r>
    </w:p>
    <w:p w14:paraId="10248FCF">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2.需满足国家相关标准、行业标准、地方标准或者其他标准、规范：</w:t>
      </w:r>
    </w:p>
    <w:p w14:paraId="52E39FE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★2.1投标产品属于医疗器械的，应按原国家食品药品监督管理总局颁发的《医疗器械注册管理办法》，办理医疗器械注册证或者办理备案，投标人须提供医疗器械注册证复印件或备案凭证加盖单位公章。</w:t>
      </w:r>
    </w:p>
    <w:p w14:paraId="3552485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★2.2如投标人为代理商，所投投标产品为国产医疗器械的，应按原国家食品药品监督管理总局颁发的《医疗器械生产监督管理办法》，还应提供制造厂商有效的医疗器械生产资格证明文件复印件加盖单位公章。</w:t>
      </w:r>
    </w:p>
    <w:p w14:paraId="2F625C8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71BBD816">
      <w:pPr>
        <w:spacing w:line="360" w:lineRule="auto"/>
        <w:ind w:firstLine="482" w:firstLineChars="200"/>
        <w:jc w:val="left"/>
        <w:rPr>
          <w:rFonts w:hint="eastAsia" w:ascii="宋体" w:hAnsi="宋体" w:cs="宋体"/>
          <w:b/>
          <w:bCs/>
          <w:sz w:val="24"/>
        </w:rPr>
      </w:pPr>
      <w:r>
        <w:rPr>
          <w:rFonts w:hint="eastAsia" w:ascii="宋体" w:hAnsi="宋体" w:cs="宋体"/>
          <w:b/>
          <w:bCs/>
          <w:sz w:val="24"/>
        </w:rPr>
        <w:t>（二）具体要求</w:t>
      </w:r>
    </w:p>
    <w:p w14:paraId="7DED651B">
      <w:pPr>
        <w:pStyle w:val="3"/>
        <w:spacing w:before="0" w:after="0" w:line="360" w:lineRule="auto"/>
        <w:ind w:firstLine="482" w:firstLineChars="200"/>
        <w:rPr>
          <w:rFonts w:hint="eastAsia"/>
        </w:rPr>
      </w:pPr>
      <w:bookmarkStart w:id="0" w:name="OLE_LINK7"/>
      <w:bookmarkStart w:id="1" w:name="OLE_LINK8"/>
      <w:r>
        <w:rPr>
          <w:rFonts w:hint="eastAsia"/>
        </w:rPr>
        <w:t>0</w:t>
      </w:r>
      <w:r>
        <w:rPr>
          <w:rFonts w:hint="eastAsia"/>
          <w:lang w:val="en-US" w:eastAsia="zh-CN"/>
        </w:rPr>
        <w:t>3</w:t>
      </w:r>
      <w:r>
        <w:rPr>
          <w:rFonts w:hint="eastAsia"/>
        </w:rPr>
        <w:t>包：</w:t>
      </w:r>
    </w:p>
    <w:p w14:paraId="0EEA67C5">
      <w:pPr>
        <w:pStyle w:val="3"/>
        <w:spacing w:before="0" w:after="0" w:line="360" w:lineRule="auto"/>
        <w:ind w:firstLine="482" w:firstLineChars="200"/>
        <w:rPr>
          <w:rFonts w:hint="eastAsia"/>
        </w:rPr>
      </w:pPr>
      <w:r>
        <w:rPr>
          <w:rFonts w:hint="eastAsia"/>
        </w:rPr>
        <w:t>标的名称：全自动玻片处理系统</w:t>
      </w:r>
    </w:p>
    <w:p w14:paraId="44BF04EC">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1.样本片放入样本槽后，可设定或用户自定义运行参数（包括时间、温度、步骤），自动完成样本的预处理（包括烤片、脱蜡、煮片、消化、脱水）及变性/杂交、杂交后的洗涤过程，实现FISH实验流程的自动化和标准化。</w:t>
      </w:r>
    </w:p>
    <w:p w14:paraId="369726A2">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2.适用于细胞学样本（如尿液、宫颈脱落细胞、冲洗液、羊水等）、组织学样本（如穿刺、大体石蜡包埋样本、胎儿组织等）和血液样本（如外周血、骨髓样本等）。</w:t>
      </w:r>
    </w:p>
    <w:p w14:paraId="4F9C86BE">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3.具备自动预热功能。</w:t>
      </w:r>
    </w:p>
    <w:p w14:paraId="7D5C027C">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4.具备高精度温、湿度控制技术。</w:t>
      </w:r>
    </w:p>
    <w:p w14:paraId="4383F3D5">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5.温度与湿度不受玻片数量影响。</w:t>
      </w:r>
    </w:p>
    <w:p w14:paraId="32DF74DD">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6.温控范围：室温+5℃-100℃。</w:t>
      </w:r>
    </w:p>
    <w:p w14:paraId="569901D6">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7.温度设置范围：35-99℃。</w:t>
      </w:r>
    </w:p>
    <w:p w14:paraId="47F0F192">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8.最大样本量：≥12片。</w:t>
      </w:r>
    </w:p>
    <w:p w14:paraId="2E9BFCA1">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9.温控精度：≤1℃。升温时间≤2分钟，降温时间≤6分钟。</w:t>
      </w:r>
    </w:p>
    <w:p w14:paraId="51FF8A18">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10.自动化：除加探针盖片复染外其余全部自动化完成。</w:t>
      </w:r>
      <w:r>
        <w:rPr>
          <w:rFonts w:hint="eastAsia" w:ascii="宋体" w:hAnsi="宋体" w:cs="宋体"/>
          <w:color w:val="000000"/>
          <w:kern w:val="0"/>
          <w:sz w:val="24"/>
          <w:lang w:bidi="ar"/>
        </w:rPr>
        <w:tab/>
      </w:r>
    </w:p>
    <w:p w14:paraId="203C2579">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11.实验过程能够实时显示。</w:t>
      </w:r>
    </w:p>
    <w:p w14:paraId="78E67E1E">
      <w:pPr>
        <w:spacing w:line="360" w:lineRule="auto"/>
        <w:ind w:firstLine="480" w:firstLineChars="200"/>
        <w:jc w:val="left"/>
      </w:pPr>
      <w:r>
        <w:rPr>
          <w:rFonts w:hint="eastAsia" w:ascii="宋体" w:hAnsi="宋体" w:cs="宋体"/>
          <w:color w:val="000000"/>
          <w:kern w:val="0"/>
          <w:sz w:val="24"/>
          <w:lang w:bidi="ar"/>
        </w:rPr>
        <w:t>12.配置要求：主机1套</w:t>
      </w:r>
      <w:bookmarkStart w:id="2" w:name="_GoBack"/>
      <w:bookmarkEnd w:id="2"/>
      <w:r>
        <w:rPr>
          <w:rFonts w:hint="eastAsia"/>
        </w:rPr>
        <w:br w:type="page"/>
      </w:r>
    </w:p>
    <w:p w14:paraId="7A6A8EE4">
      <w:pPr>
        <w:spacing w:line="360" w:lineRule="auto"/>
        <w:ind w:firstLine="480" w:firstLineChars="200"/>
        <w:jc w:val="left"/>
        <w:rPr>
          <w:rFonts w:hint="eastAsia" w:ascii="宋体" w:hAnsi="宋体" w:cs="宋体"/>
          <w:color w:val="000000"/>
          <w:kern w:val="0"/>
          <w:sz w:val="24"/>
          <w:lang w:bidi="ar"/>
        </w:rPr>
      </w:pPr>
    </w:p>
    <w:p w14:paraId="614DB470">
      <w:pPr>
        <w:widowControl/>
        <w:spacing w:line="360" w:lineRule="auto"/>
        <w:ind w:firstLine="482" w:firstLineChars="200"/>
        <w:contextualSpacing/>
        <w:jc w:val="left"/>
        <w:rPr>
          <w:rFonts w:hint="eastAsia" w:ascii="宋体" w:hAnsi="宋体" w:cs="宋体"/>
          <w:b/>
          <w:bCs/>
          <w:sz w:val="24"/>
        </w:rPr>
      </w:pPr>
      <w:r>
        <w:rPr>
          <w:rFonts w:hint="eastAsia" w:ascii="宋体" w:hAnsi="宋体" w:cs="宋体"/>
          <w:b/>
          <w:bCs/>
          <w:sz w:val="24"/>
        </w:rPr>
        <w:t>（三）特别说明：</w:t>
      </w:r>
    </w:p>
    <w:p w14:paraId="69D5DB4B">
      <w:pPr>
        <w:spacing w:line="360" w:lineRule="auto"/>
        <w:ind w:firstLine="480" w:firstLineChars="200"/>
        <w:jc w:val="left"/>
        <w:rPr>
          <w:rFonts w:hint="eastAsia" w:ascii="宋体" w:hAnsi="宋体" w:cs="宋体"/>
          <w:sz w:val="24"/>
        </w:rPr>
      </w:pPr>
      <w:r>
        <w:rPr>
          <w:rFonts w:hint="eastAsia" w:ascii="宋体" w:hAnsi="宋体" w:cs="宋体"/>
          <w:sz w:val="24"/>
        </w:rPr>
        <w:t>1.对于技术规格中标注“★”号（如有）的技术参数代表实质性指标，不满足该指标项将直接导致投标被拒绝。</w:t>
      </w:r>
    </w:p>
    <w:p w14:paraId="313129F1">
      <w:pPr>
        <w:spacing w:line="360" w:lineRule="auto"/>
        <w:ind w:firstLine="480" w:firstLineChars="200"/>
        <w:jc w:val="left"/>
        <w:rPr>
          <w:rFonts w:hint="eastAsia" w:ascii="宋体" w:hAnsi="宋体" w:cs="宋体"/>
          <w:sz w:val="24"/>
        </w:rPr>
      </w:pPr>
      <w:r>
        <w:rPr>
          <w:rFonts w:hint="eastAsia" w:ascii="宋体" w:hAnsi="宋体" w:cs="宋体"/>
          <w:sz w:val="24"/>
        </w:rPr>
        <w:t>2.标注“▲”的指标为重要的技术指标，不满足将导致其在第四章评标标准中对采购需求的响应情况被扣除相应分值。</w:t>
      </w:r>
    </w:p>
    <w:p w14:paraId="37D3E986">
      <w:pPr>
        <w:spacing w:line="360" w:lineRule="auto"/>
        <w:ind w:firstLine="480" w:firstLineChars="200"/>
        <w:jc w:val="left"/>
        <w:rPr>
          <w:rFonts w:hint="eastAsia" w:ascii="宋体" w:hAnsi="宋体" w:cs="宋体"/>
          <w:sz w:val="24"/>
        </w:rPr>
      </w:pPr>
      <w:r>
        <w:rPr>
          <w:rFonts w:hint="eastAsia" w:ascii="宋体" w:hAnsi="宋体" w:cs="宋体"/>
          <w:sz w:val="24"/>
        </w:rPr>
        <w:t>3.对于采购需求三、技术要求（二）具体要求中标注“★”“▲”号的技术指标，投标人须在投标文件中按照招标文件技术规格的要求提供技术应答的证明材料，其中证明材料除招标文件中有明确规定的证明材料（如有）外，其余“★”“▲”号的技术指标可提供产品说明书或产品彩页或技术白皮书或检验/检测报告或实验图谱或实物图片或软件功能界面截图等。如投标人技术响应与证明材料不一致，将以证明材料为准。对于投标人提供的投标文件技术应答未按本条款要求提供证明材料的，评标委员会可不予认可，并可认为该技术应答不符合招标文件要求，由此产生的风险由投标人承担。</w:t>
      </w:r>
    </w:p>
    <w:p w14:paraId="2E01D767">
      <w:r>
        <w:rPr>
          <w:rFonts w:hint="eastAsia" w:ascii="宋体" w:hAnsi="宋体" w:cs="宋体"/>
          <w:sz w:val="24"/>
        </w:rPr>
        <w:t>4.对于采购需求“三、技术要求”中“（二）具体要求”所列的技术指标，如应提供且可以提供设备的真实技术指标参数但投标人不提供，只照抄招标文件参数要求，经评标委员会认定，投标人对该项指标的响应为“负偏离”。</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420CD3"/>
    <w:rsid w:val="157175E7"/>
    <w:rsid w:val="158445FD"/>
    <w:rsid w:val="1829020E"/>
    <w:rsid w:val="254C6CDB"/>
    <w:rsid w:val="2F9724A4"/>
    <w:rsid w:val="30DD752B"/>
    <w:rsid w:val="40BE1BF9"/>
    <w:rsid w:val="4CAC4D8F"/>
    <w:rsid w:val="518855B2"/>
    <w:rsid w:val="56624473"/>
    <w:rsid w:val="570A507F"/>
    <w:rsid w:val="62BF6114"/>
    <w:rsid w:val="78420CD3"/>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4"/>
    <w:link w:val="11"/>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paragraph" w:styleId="5">
    <w:name w:val="heading 5"/>
    <w:basedOn w:val="1"/>
    <w:next w:val="1"/>
    <w:unhideWhenUsed/>
    <w:qFormat/>
    <w:uiPriority w:val="0"/>
    <w:pPr>
      <w:keepNext/>
      <w:keepLines/>
      <w:spacing w:line="360" w:lineRule="auto"/>
      <w:outlineLvl w:val="4"/>
    </w:pPr>
    <w:rPr>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6">
    <w:name w:val="toc 2"/>
    <w:basedOn w:val="1"/>
    <w:next w:val="1"/>
    <w:qFormat/>
    <w:uiPriority w:val="0"/>
    <w:pPr>
      <w:ind w:left="420" w:leftChars="200"/>
    </w:pPr>
  </w:style>
  <w:style w:type="paragraph" w:styleId="7">
    <w:name w:val="Body Text 2"/>
    <w:basedOn w:val="1"/>
    <w:qFormat/>
    <w:uiPriority w:val="0"/>
    <w:pPr>
      <w:spacing w:after="120" w:afterLines="0" w:afterAutospacing="0" w:line="480" w:lineRule="auto"/>
    </w:pPr>
  </w:style>
  <w:style w:type="character" w:styleId="10">
    <w:name w:val="Hyperlink"/>
    <w:qFormat/>
    <w:uiPriority w:val="0"/>
    <w:rPr>
      <w:rFonts w:ascii="Times New Roman" w:hAnsi="Times New Roman" w:eastAsia="宋体"/>
      <w:color w:val="0000FF"/>
      <w:u w:val="single"/>
    </w:rPr>
  </w:style>
  <w:style w:type="character" w:customStyle="1" w:styleId="11">
    <w:name w:val="标题 3 字符2"/>
    <w:link w:val="3"/>
    <w:qFormat/>
    <w:uiPriority w:val="9"/>
    <w:rPr>
      <w:rFonts w:ascii="宋体" w:hAnsi="宋体" w:eastAsia="宋体" w:cs="Times New Roman"/>
      <w:b/>
      <w:bCs/>
      <w:sz w:val="22"/>
      <w:szCs w:val="32"/>
      <w:u w:val="none"/>
    </w:rPr>
  </w:style>
  <w:style w:type="paragraph" w:customStyle="1" w:styleId="12">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3919</Words>
  <Characters>4385</Characters>
  <Lines>0</Lines>
  <Paragraphs>0</Paragraphs>
  <TotalTime>0</TotalTime>
  <ScaleCrop>false</ScaleCrop>
  <LinksUpToDate>false</LinksUpToDate>
  <CharactersWithSpaces>4402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2026-07-23T08:17:00Z</dcterms:created>
  <dc:creator>用户</dc:creator>
  <cp:lastModifiedBy>用户</cp:lastModifiedBy>
  <dcterms:modified xsi:type="dcterms:W3CDTF">2026-09-14T01:22:20Z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61010691E0FE4B779E87F0D4C1DF5534_11</vt:lpwstr>
  </property>
  <property fmtid="{D5CDD505-2E9C-101B-9397-08002B2CF9AE}" pid="4" name="KSOTemplateDocerSaveRecord">
    <vt:lpwstr>eyJoZGlkIjoiMDEwZGE1MDQxZjI0MTBlMTY3ZGU0MzI3NzJmNmRmOTQiLCJ1c2VySWQiOiIyOTI2NjUzMzQifQ==</vt:lpwstr>
  </property>
</Properties>
</file>