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C571C0">
      <w:pPr>
        <w:snapToGrid w:val="0"/>
        <w:spacing w:line="360" w:lineRule="auto"/>
        <w:jc w:val="center"/>
        <w:outlineLvl w:val="0"/>
        <w:rPr>
          <w:rFonts w:ascii="仿宋" w:hAnsi="仿宋" w:eastAsia="仿宋" w:cs="仿宋"/>
          <w:b/>
          <w:sz w:val="40"/>
          <w:szCs w:val="40"/>
        </w:rPr>
      </w:pPr>
      <w:bookmarkStart w:id="0" w:name="OLE_LINK34"/>
      <w:bookmarkStart w:id="1" w:name="OLE_LINK33"/>
      <w:r>
        <w:rPr>
          <w:rFonts w:hint="eastAsia" w:ascii="仿宋" w:hAnsi="仿宋" w:eastAsia="仿宋" w:cs="仿宋"/>
          <w:b/>
          <w:sz w:val="40"/>
          <w:szCs w:val="40"/>
        </w:rPr>
        <w:t>采购需求</w:t>
      </w:r>
    </w:p>
    <w:p w14:paraId="58284160">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说明：</w:t>
      </w:r>
    </w:p>
    <w:p w14:paraId="4ADBC45A">
      <w:pPr>
        <w:snapToGrid w:val="0"/>
        <w:spacing w:line="360" w:lineRule="auto"/>
        <w:contextualSpacing/>
        <w:rPr>
          <w:rFonts w:ascii="仿宋" w:hAnsi="仿宋" w:eastAsia="仿宋" w:cs="仿宋"/>
          <w:sz w:val="28"/>
          <w:szCs w:val="28"/>
        </w:rPr>
      </w:pPr>
      <w:bookmarkStart w:id="2" w:name="_Hlk167284587"/>
      <w:r>
        <w:rPr>
          <w:rFonts w:hint="eastAsia" w:ascii="仿宋" w:hAnsi="仿宋" w:eastAsia="仿宋" w:cs="仿宋"/>
          <w:sz w:val="28"/>
          <w:szCs w:val="28"/>
        </w:rPr>
        <w:t>1. 当采购项目涉及政务信息系统时，采购需求应当符合《政务信息系统政府采购管理暂行办法》（财库〔2017〕210号）的相关要求。</w:t>
      </w:r>
    </w:p>
    <w:p w14:paraId="7F880229">
      <w:pPr>
        <w:snapToGrid w:val="0"/>
        <w:spacing w:line="360" w:lineRule="auto"/>
        <w:contextualSpacing/>
        <w:rPr>
          <w:rFonts w:ascii="仿宋" w:hAnsi="仿宋" w:eastAsia="仿宋" w:cs="仿宋"/>
          <w:sz w:val="28"/>
          <w:szCs w:val="28"/>
        </w:rPr>
      </w:pPr>
      <w:bookmarkStart w:id="3" w:name="_Hlk168431603"/>
      <w:r>
        <w:rPr>
          <w:rFonts w:hint="eastAsia" w:ascii="仿宋" w:hAnsi="仿宋" w:eastAsia="仿宋" w:cs="仿宋"/>
          <w:sz w:val="28"/>
          <w:szCs w:val="28"/>
        </w:rPr>
        <w:t>2. 采购人及采购代理机构应关注财政部门会同有关部门制定发布的需求标准，结合具体应用场景，根据对应《需求标准》确定采购需求。</w:t>
      </w:r>
    </w:p>
    <w:p w14:paraId="39521FFF">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已发布的需求标准如下：</w:t>
      </w:r>
    </w:p>
    <w:p w14:paraId="22527978">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《关于印发〈商品包装政府采购需求标准（试行）〉、〈快递包装政府采购需求标准（试行）〉的通知》（财办库﹝2020﹞123号））</w:t>
      </w:r>
    </w:p>
    <w:p w14:paraId="2AFB8C0D">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《绿色数据中心政府采购需求标准（试行）》（财库〔2023〕7号）</w:t>
      </w:r>
    </w:p>
    <w:p w14:paraId="1CBC356C">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《台式计算机政府采购需求标准（2023年版）》（财库〔2023〕29号）</w:t>
      </w:r>
    </w:p>
    <w:p w14:paraId="65E1A433">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《便携式计算机政府采购需求标准（2023年版）》（财库〔2023〕30号）</w:t>
      </w:r>
    </w:p>
    <w:p w14:paraId="73DB6D95">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《一体式计算机政府采购需求标准（2023年版）》（财库〔2023〕31号）</w:t>
      </w:r>
    </w:p>
    <w:p w14:paraId="15ED8420">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《工作站政府采购需求标准（2023年版）》（财库〔2023〕32号）</w:t>
      </w:r>
    </w:p>
    <w:p w14:paraId="70C62708">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《通用服务器政府采购需求标准（2023年版）》（财库〔2023〕33号）</w:t>
      </w:r>
    </w:p>
    <w:p w14:paraId="49E6DE97">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《操作系统政府采购需求标准（2023年版）》（财库〔2023〕34号）</w:t>
      </w:r>
    </w:p>
    <w:p w14:paraId="09BC4381">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《数据库政府采购需求标准（2023年版）》（财库〔2023〕35号）</w:t>
      </w:r>
    </w:p>
    <w:p w14:paraId="16413D6A">
      <w:pPr>
        <w:pStyle w:val="12"/>
        <w:snapToGrid w:val="0"/>
        <w:spacing w:before="0" w:beforeAutospacing="0" w:after="0" w:afterAutospacing="0" w:line="360" w:lineRule="auto"/>
        <w:rPr>
          <w:rFonts w:ascii="仿宋" w:hAnsi="仿宋" w:eastAsia="仿宋" w:cs="仿宋"/>
          <w:kern w:val="2"/>
          <w:sz w:val="28"/>
          <w:szCs w:val="28"/>
        </w:rPr>
      </w:pPr>
      <w:r>
        <w:rPr>
          <w:rFonts w:hint="eastAsia" w:ascii="仿宋" w:hAnsi="仿宋" w:eastAsia="仿宋" w:cs="仿宋"/>
          <w:kern w:val="2"/>
          <w:sz w:val="28"/>
          <w:szCs w:val="28"/>
        </w:rPr>
        <w:t>《物业管理服务政府采购需求标准（办公场所类）（试行）》（财办库〔2024〕113号）</w:t>
      </w:r>
    </w:p>
    <w:p w14:paraId="5E8F43A4">
      <w:pPr>
        <w:snapToGrid w:val="0"/>
        <w:spacing w:line="360" w:lineRule="auto"/>
        <w:contextualSpacing/>
        <w:rPr>
          <w:rFonts w:ascii="仿宋" w:hAnsi="仿宋" w:eastAsia="仿宋" w:cs="仿宋"/>
          <w:sz w:val="28"/>
          <w:szCs w:val="28"/>
        </w:rPr>
      </w:pPr>
      <w:r>
        <w:rPr>
          <w:rFonts w:hint="eastAsia" w:ascii="仿宋" w:hAnsi="仿宋" w:eastAsia="仿宋" w:cs="仿宋"/>
          <w:sz w:val="28"/>
          <w:szCs w:val="28"/>
        </w:rPr>
        <w:t>如有更新或增加，以财政部门发布为准。</w:t>
      </w:r>
      <w:bookmarkEnd w:id="2"/>
      <w:bookmarkEnd w:id="3"/>
    </w:p>
    <w:p w14:paraId="3988D8C4">
      <w:pPr>
        <w:snapToGrid w:val="0"/>
        <w:spacing w:line="360" w:lineRule="auto"/>
        <w:rPr>
          <w:rFonts w:ascii="仿宋" w:hAnsi="仿宋" w:eastAsia="仿宋" w:cs="仿宋"/>
          <w:b/>
          <w:sz w:val="24"/>
        </w:rPr>
      </w:pPr>
      <w:r>
        <w:rPr>
          <w:rFonts w:hint="eastAsia" w:ascii="仿宋" w:hAnsi="仿宋" w:eastAsia="仿宋" w:cs="仿宋"/>
          <w:b/>
          <w:sz w:val="24"/>
        </w:rPr>
        <w:t>一、采购标的</w:t>
      </w:r>
    </w:p>
    <w:p w14:paraId="4AF0D699">
      <w:pPr>
        <w:snapToGrid w:val="0"/>
        <w:spacing w:line="360" w:lineRule="auto"/>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6"/>
        <w:tblW w:w="455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7"/>
        <w:gridCol w:w="1078"/>
        <w:gridCol w:w="2731"/>
        <w:gridCol w:w="1275"/>
        <w:gridCol w:w="1703"/>
      </w:tblGrid>
      <w:tr w14:paraId="2C06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629" w:type="pct"/>
            <w:vAlign w:val="center"/>
          </w:tcPr>
          <w:p w14:paraId="36B0B346">
            <w:pPr>
              <w:widowControl/>
              <w:spacing w:line="360" w:lineRule="auto"/>
              <w:jc w:val="center"/>
              <w:rPr>
                <w:rFonts w:ascii="仿宋" w:hAnsi="仿宋" w:eastAsia="仿宋" w:cs="仿宋"/>
                <w:b/>
                <w:bCs/>
                <w:sz w:val="24"/>
              </w:rPr>
            </w:pPr>
            <w:r>
              <w:rPr>
                <w:rFonts w:hint="eastAsia" w:ascii="仿宋" w:hAnsi="仿宋" w:eastAsia="仿宋" w:cs="仿宋"/>
                <w:b/>
                <w:bCs/>
                <w:sz w:val="24"/>
              </w:rPr>
              <w:t>包号</w:t>
            </w:r>
          </w:p>
        </w:tc>
        <w:tc>
          <w:tcPr>
            <w:tcW w:w="694" w:type="pct"/>
            <w:vAlign w:val="center"/>
          </w:tcPr>
          <w:p w14:paraId="5ED4DD27">
            <w:pPr>
              <w:widowControl/>
              <w:spacing w:line="360" w:lineRule="auto"/>
              <w:jc w:val="center"/>
              <w:rPr>
                <w:rFonts w:ascii="仿宋" w:hAnsi="仿宋" w:eastAsia="仿宋" w:cs="仿宋"/>
                <w:b/>
                <w:bCs/>
                <w:sz w:val="24"/>
              </w:rPr>
            </w:pPr>
            <w:r>
              <w:rPr>
                <w:rFonts w:hint="eastAsia" w:ascii="仿宋" w:hAnsi="仿宋" w:eastAsia="仿宋" w:cs="仿宋"/>
                <w:b/>
                <w:bCs/>
                <w:sz w:val="24"/>
              </w:rPr>
              <w:t>品目号</w:t>
            </w:r>
          </w:p>
        </w:tc>
        <w:tc>
          <w:tcPr>
            <w:tcW w:w="1758" w:type="pct"/>
            <w:shd w:val="clear" w:color="000000" w:fill="FFFFFF"/>
            <w:vAlign w:val="center"/>
          </w:tcPr>
          <w:p w14:paraId="5D371442">
            <w:pPr>
              <w:widowControl/>
              <w:spacing w:line="360" w:lineRule="auto"/>
              <w:jc w:val="center"/>
              <w:rPr>
                <w:rFonts w:ascii="仿宋" w:hAnsi="仿宋" w:eastAsia="仿宋" w:cs="仿宋"/>
                <w:b/>
                <w:bCs/>
                <w:sz w:val="24"/>
              </w:rPr>
            </w:pPr>
            <w:r>
              <w:rPr>
                <w:rFonts w:hint="eastAsia" w:ascii="仿宋" w:hAnsi="仿宋" w:eastAsia="仿宋" w:cs="仿宋"/>
                <w:b/>
                <w:bCs/>
                <w:sz w:val="24"/>
              </w:rPr>
              <w:t>标的名称</w:t>
            </w:r>
          </w:p>
        </w:tc>
        <w:tc>
          <w:tcPr>
            <w:tcW w:w="821" w:type="pct"/>
            <w:shd w:val="clear" w:color="000000" w:fill="FFFFFF"/>
            <w:vAlign w:val="center"/>
          </w:tcPr>
          <w:p w14:paraId="6D9594D0">
            <w:pPr>
              <w:widowControl/>
              <w:spacing w:line="360" w:lineRule="auto"/>
              <w:jc w:val="center"/>
              <w:rPr>
                <w:rFonts w:ascii="仿宋" w:hAnsi="仿宋" w:eastAsia="仿宋" w:cs="仿宋"/>
                <w:b/>
                <w:bCs/>
                <w:sz w:val="24"/>
              </w:rPr>
            </w:pPr>
            <w:r>
              <w:rPr>
                <w:rFonts w:ascii="仿宋" w:hAnsi="仿宋" w:eastAsia="仿宋" w:cs="仿宋"/>
                <w:b/>
                <w:bCs/>
                <w:sz w:val="24"/>
              </w:rPr>
              <w:t>数量</w:t>
            </w:r>
          </w:p>
          <w:p w14:paraId="73330E02">
            <w:pPr>
              <w:widowControl/>
              <w:spacing w:line="360" w:lineRule="auto"/>
              <w:jc w:val="center"/>
              <w:rPr>
                <w:rFonts w:ascii="仿宋" w:hAnsi="仿宋" w:eastAsia="仿宋" w:cs="仿宋"/>
                <w:b/>
                <w:bCs/>
                <w:sz w:val="24"/>
              </w:rPr>
            </w:pPr>
            <w:r>
              <w:rPr>
                <w:rFonts w:ascii="仿宋" w:hAnsi="仿宋" w:eastAsia="仿宋" w:cs="仿宋"/>
                <w:b/>
                <w:bCs/>
                <w:sz w:val="24"/>
              </w:rPr>
              <w:t>（台</w:t>
            </w:r>
            <w:r>
              <w:rPr>
                <w:rFonts w:hint="eastAsia" w:ascii="仿宋" w:hAnsi="仿宋" w:eastAsia="仿宋" w:cs="仿宋"/>
                <w:b/>
                <w:bCs/>
                <w:sz w:val="24"/>
              </w:rPr>
              <w:t>/套</w:t>
            </w:r>
            <w:r>
              <w:rPr>
                <w:rFonts w:ascii="仿宋" w:hAnsi="仿宋" w:eastAsia="仿宋" w:cs="仿宋"/>
                <w:b/>
                <w:bCs/>
                <w:sz w:val="24"/>
              </w:rPr>
              <w:t>）</w:t>
            </w:r>
          </w:p>
        </w:tc>
        <w:tc>
          <w:tcPr>
            <w:tcW w:w="1096" w:type="pct"/>
            <w:shd w:val="clear" w:color="000000" w:fill="FFFFFF"/>
            <w:vAlign w:val="center"/>
          </w:tcPr>
          <w:p w14:paraId="19CEB279">
            <w:pPr>
              <w:widowControl/>
              <w:spacing w:line="360" w:lineRule="auto"/>
              <w:jc w:val="center"/>
              <w:rPr>
                <w:rFonts w:ascii="仿宋" w:hAnsi="仿宋" w:eastAsia="仿宋" w:cs="仿宋"/>
                <w:b/>
                <w:bCs/>
                <w:sz w:val="24"/>
              </w:rPr>
            </w:pPr>
            <w:r>
              <w:rPr>
                <w:rFonts w:hint="eastAsia" w:ascii="仿宋" w:hAnsi="仿宋" w:eastAsia="仿宋" w:cs="仿宋"/>
                <w:b/>
                <w:bCs/>
                <w:sz w:val="24"/>
              </w:rPr>
              <w:t>是否接受进口产品</w:t>
            </w:r>
          </w:p>
        </w:tc>
      </w:tr>
      <w:tr w14:paraId="1BD2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629" w:type="pct"/>
            <w:vMerge w:val="restart"/>
            <w:vAlign w:val="center"/>
          </w:tcPr>
          <w:p w14:paraId="47FC76FD">
            <w:pPr>
              <w:widowControl/>
              <w:contextualSpacing/>
              <w:jc w:val="center"/>
              <w:rPr>
                <w:rFonts w:ascii="仿宋" w:hAnsi="仿宋" w:eastAsia="仿宋" w:cs="仿宋"/>
                <w:bCs/>
                <w:sz w:val="24"/>
              </w:rPr>
            </w:pPr>
            <w:bookmarkStart w:id="4" w:name="_Hlk229472062"/>
            <w:r>
              <w:rPr>
                <w:rFonts w:hint="eastAsia" w:ascii="仿宋" w:hAnsi="仿宋" w:eastAsia="仿宋" w:cs="宋体"/>
                <w:kern w:val="0"/>
                <w:sz w:val="24"/>
                <w:lang w:val="en-US" w:eastAsia="zh-CN"/>
              </w:rPr>
              <w:t>1</w:t>
            </w:r>
          </w:p>
        </w:tc>
        <w:tc>
          <w:tcPr>
            <w:tcW w:w="694" w:type="pct"/>
            <w:vAlign w:val="center"/>
          </w:tcPr>
          <w:p w14:paraId="77C99751">
            <w:pPr>
              <w:widowControl/>
              <w:contextualSpacing/>
              <w:jc w:val="center"/>
              <w:rPr>
                <w:rFonts w:ascii="仿宋" w:hAnsi="仿宋" w:eastAsia="仿宋" w:cs="仿宋"/>
                <w:bCs/>
                <w:sz w:val="24"/>
              </w:rPr>
            </w:pPr>
            <w:r>
              <w:rPr>
                <w:rFonts w:hint="eastAsia" w:ascii="仿宋" w:hAnsi="仿宋" w:eastAsia="仿宋" w:cs="宋体"/>
                <w:kern w:val="0"/>
                <w:sz w:val="24"/>
                <w:lang w:val="en-US" w:eastAsia="zh-CN"/>
              </w:rPr>
              <w:t>1</w:t>
            </w:r>
            <w:r>
              <w:rPr>
                <w:rFonts w:hint="eastAsia" w:ascii="仿宋" w:hAnsi="仿宋" w:eastAsia="仿宋" w:cs="宋体"/>
                <w:kern w:val="0"/>
                <w:sz w:val="24"/>
              </w:rPr>
              <w:t>-1</w:t>
            </w:r>
          </w:p>
        </w:tc>
        <w:tc>
          <w:tcPr>
            <w:tcW w:w="1758" w:type="pct"/>
            <w:shd w:val="clear" w:color="000000" w:fill="FFFFFF"/>
            <w:vAlign w:val="center"/>
          </w:tcPr>
          <w:p w14:paraId="742D243C">
            <w:pPr>
              <w:keepNext w:val="0"/>
              <w:keepLines w:val="0"/>
              <w:widowControl/>
              <w:suppressLineNumbers w:val="0"/>
              <w:jc w:val="center"/>
              <w:textAlignment w:val="center"/>
              <w:rPr>
                <w:rFonts w:ascii="仿宋" w:hAnsi="仿宋" w:eastAsia="仿宋" w:cs="仿宋"/>
                <w:bCs/>
                <w:sz w:val="24"/>
              </w:rPr>
            </w:pPr>
            <w:r>
              <w:rPr>
                <w:rFonts w:hint="eastAsia" w:ascii="仿宋" w:hAnsi="仿宋" w:eastAsia="仿宋" w:cs="仿宋"/>
                <w:i w:val="0"/>
                <w:iCs w:val="0"/>
                <w:color w:val="000000"/>
                <w:kern w:val="0"/>
                <w:sz w:val="21"/>
                <w:szCs w:val="21"/>
                <w:u w:val="none"/>
                <w:lang w:val="en-US" w:eastAsia="zh-CN" w:bidi="ar"/>
              </w:rPr>
              <w:t>放射治疗用自动扫描水模体系统</w:t>
            </w:r>
          </w:p>
        </w:tc>
        <w:tc>
          <w:tcPr>
            <w:tcW w:w="821" w:type="pct"/>
            <w:shd w:val="clear" w:color="000000" w:fill="FFFFFF"/>
            <w:vAlign w:val="center"/>
          </w:tcPr>
          <w:p w14:paraId="4267EF8B">
            <w:pPr>
              <w:jc w:val="center"/>
              <w:rPr>
                <w:rFonts w:ascii="仿宋" w:hAnsi="仿宋" w:eastAsia="仿宋" w:cs="仿宋"/>
                <w:bCs/>
                <w:sz w:val="24"/>
              </w:rPr>
            </w:pPr>
            <w:r>
              <w:rPr>
                <w:rFonts w:hint="eastAsia" w:ascii="仿宋" w:hAnsi="仿宋" w:eastAsia="仿宋" w:cs="仿宋"/>
                <w:bCs/>
                <w:sz w:val="24"/>
              </w:rPr>
              <w:t>1</w:t>
            </w:r>
          </w:p>
        </w:tc>
        <w:tc>
          <w:tcPr>
            <w:tcW w:w="1096" w:type="pct"/>
            <w:shd w:val="clear" w:color="000000" w:fill="FFFFFF"/>
            <w:vAlign w:val="center"/>
          </w:tcPr>
          <w:p w14:paraId="0F87A010">
            <w:pPr>
              <w:jc w:val="center"/>
              <w:rPr>
                <w:rFonts w:ascii="仿宋" w:hAnsi="仿宋" w:eastAsia="仿宋" w:cs="仿宋"/>
                <w:bCs/>
                <w:sz w:val="24"/>
              </w:rPr>
            </w:pPr>
            <w:r>
              <w:rPr>
                <w:rFonts w:hint="eastAsia" w:ascii="仿宋" w:hAnsi="仿宋" w:eastAsia="仿宋" w:cs="仿宋"/>
                <w:bCs/>
                <w:sz w:val="24"/>
              </w:rPr>
              <w:t>否</w:t>
            </w:r>
          </w:p>
        </w:tc>
      </w:tr>
      <w:tr w14:paraId="277D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629" w:type="pct"/>
            <w:vMerge w:val="continue"/>
            <w:vAlign w:val="center"/>
          </w:tcPr>
          <w:p w14:paraId="199A5AB4">
            <w:pPr>
              <w:widowControl/>
              <w:contextualSpacing/>
              <w:jc w:val="center"/>
              <w:rPr>
                <w:rFonts w:hint="eastAsia" w:ascii="仿宋" w:hAnsi="仿宋" w:eastAsia="仿宋" w:cs="仿宋"/>
                <w:bCs/>
                <w:sz w:val="24"/>
              </w:rPr>
            </w:pPr>
          </w:p>
        </w:tc>
        <w:tc>
          <w:tcPr>
            <w:tcW w:w="694" w:type="pct"/>
            <w:vAlign w:val="center"/>
          </w:tcPr>
          <w:p w14:paraId="2C2C941B">
            <w:pPr>
              <w:widowControl/>
              <w:contextualSpacing/>
              <w:jc w:val="center"/>
              <w:rPr>
                <w:rFonts w:hint="eastAsia" w:ascii="仿宋" w:hAnsi="仿宋" w:eastAsia="仿宋" w:cs="仿宋"/>
                <w:bCs/>
                <w:sz w:val="24"/>
              </w:rPr>
            </w:pPr>
            <w:r>
              <w:rPr>
                <w:rFonts w:hint="eastAsia" w:ascii="仿宋" w:hAnsi="仿宋" w:eastAsia="仿宋" w:cs="宋体"/>
                <w:kern w:val="0"/>
                <w:sz w:val="24"/>
                <w:lang w:val="en-US" w:eastAsia="zh-CN"/>
              </w:rPr>
              <w:t>1-2</w:t>
            </w:r>
          </w:p>
        </w:tc>
        <w:tc>
          <w:tcPr>
            <w:tcW w:w="1758" w:type="pct"/>
            <w:shd w:val="clear" w:color="000000" w:fill="FFFFFF"/>
            <w:vAlign w:val="center"/>
          </w:tcPr>
          <w:p w14:paraId="7866C5C6">
            <w:pPr>
              <w:keepNext w:val="0"/>
              <w:keepLines w:val="0"/>
              <w:widowControl/>
              <w:suppressLineNumbers w:val="0"/>
              <w:jc w:val="center"/>
              <w:textAlignment w:val="center"/>
              <w:rPr>
                <w:rFonts w:hint="eastAsia" w:ascii="仿宋" w:hAnsi="仿宋" w:eastAsia="仿宋" w:cs="仿宋"/>
                <w:bCs/>
                <w:sz w:val="24"/>
              </w:rPr>
            </w:pPr>
            <w:r>
              <w:rPr>
                <w:rFonts w:hint="eastAsia" w:ascii="仿宋" w:hAnsi="仿宋" w:eastAsia="仿宋" w:cs="仿宋"/>
                <w:i w:val="0"/>
                <w:iCs w:val="0"/>
                <w:color w:val="000000"/>
                <w:kern w:val="0"/>
                <w:sz w:val="21"/>
                <w:szCs w:val="21"/>
                <w:u w:val="none"/>
                <w:lang w:val="en-US" w:eastAsia="zh-CN" w:bidi="ar"/>
              </w:rPr>
              <w:t>射线束扫描系统</w:t>
            </w:r>
          </w:p>
        </w:tc>
        <w:tc>
          <w:tcPr>
            <w:tcW w:w="821" w:type="pct"/>
            <w:shd w:val="clear" w:color="000000" w:fill="FFFFFF"/>
            <w:vAlign w:val="center"/>
          </w:tcPr>
          <w:p w14:paraId="73ABABEF">
            <w:pPr>
              <w:jc w:val="center"/>
              <w:rPr>
                <w:rFonts w:hint="eastAsia" w:ascii="仿宋" w:hAnsi="仿宋" w:eastAsia="仿宋" w:cs="仿宋"/>
                <w:bCs/>
                <w:sz w:val="24"/>
              </w:rPr>
            </w:pPr>
            <w:r>
              <w:rPr>
                <w:rFonts w:hint="eastAsia" w:ascii="仿宋" w:hAnsi="仿宋" w:eastAsia="仿宋" w:cs="仿宋"/>
                <w:bCs/>
                <w:sz w:val="24"/>
              </w:rPr>
              <w:t>1</w:t>
            </w:r>
          </w:p>
        </w:tc>
        <w:tc>
          <w:tcPr>
            <w:tcW w:w="1096" w:type="pct"/>
            <w:shd w:val="clear" w:color="000000" w:fill="FFFFFF"/>
            <w:vAlign w:val="center"/>
          </w:tcPr>
          <w:p w14:paraId="740B3227">
            <w:pPr>
              <w:jc w:val="center"/>
              <w:rPr>
                <w:rFonts w:hint="eastAsia" w:ascii="仿宋" w:hAnsi="仿宋" w:eastAsia="仿宋" w:cs="仿宋"/>
                <w:bCs/>
                <w:sz w:val="24"/>
              </w:rPr>
            </w:pPr>
            <w:r>
              <w:rPr>
                <w:rFonts w:hint="eastAsia" w:ascii="仿宋" w:hAnsi="仿宋" w:eastAsia="仿宋" w:cs="仿宋"/>
                <w:bCs/>
                <w:sz w:val="24"/>
              </w:rPr>
              <w:t>否</w:t>
            </w:r>
          </w:p>
        </w:tc>
      </w:tr>
      <w:bookmarkEnd w:id="4"/>
    </w:tbl>
    <w:p w14:paraId="29AEC79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（二）项目背景/项目概述</w:t>
      </w:r>
    </w:p>
    <w:p w14:paraId="27277740">
      <w:pPr>
        <w:spacing w:line="360" w:lineRule="auto"/>
        <w:ind w:firstLine="480" w:firstLineChars="200"/>
        <w:rPr>
          <w:rFonts w:ascii="仿宋" w:hAnsi="仿宋" w:eastAsia="仿宋"/>
          <w:sz w:val="24"/>
        </w:rPr>
      </w:pPr>
      <w:bookmarkStart w:id="5" w:name="OLE_LINK178"/>
      <w:bookmarkStart w:id="6" w:name="OLE_LINK179"/>
      <w:r>
        <w:rPr>
          <w:rFonts w:hint="eastAsia" w:ascii="仿宋" w:hAnsi="仿宋" w:eastAsia="仿宋"/>
          <w:sz w:val="24"/>
        </w:rPr>
        <w:t>本次招标采购项目为</w:t>
      </w:r>
      <w:r>
        <w:rPr>
          <w:rFonts w:hint="eastAsia" w:ascii="仿宋" w:hAnsi="仿宋" w:eastAsia="仿宋"/>
          <w:sz w:val="24"/>
          <w:lang w:eastAsia="zh-CN"/>
        </w:rPr>
        <w:t>2026年北京同仁医院放疗配套设备采购</w:t>
      </w:r>
      <w:r>
        <w:rPr>
          <w:rFonts w:hint="eastAsia" w:ascii="仿宋" w:hAnsi="仿宋" w:eastAsia="仿宋"/>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5"/>
      <w:bookmarkEnd w:id="6"/>
    </w:p>
    <w:p w14:paraId="1D3225F2">
      <w:pPr>
        <w:tabs>
          <w:tab w:val="left" w:pos="5456"/>
        </w:tabs>
        <w:snapToGrid w:val="0"/>
        <w:spacing w:line="360" w:lineRule="auto"/>
        <w:ind w:firstLine="482" w:firstLineChars="200"/>
        <w:rPr>
          <w:rFonts w:ascii="仿宋" w:hAnsi="仿宋" w:eastAsia="仿宋" w:cs="仿宋"/>
          <w:b/>
          <w:bCs/>
          <w:sz w:val="24"/>
        </w:rPr>
      </w:pPr>
      <w:bookmarkStart w:id="7" w:name="OLE_LINK368"/>
      <w:r>
        <w:rPr>
          <w:rFonts w:hint="eastAsia" w:ascii="仿宋" w:hAnsi="仿宋" w:eastAsia="仿宋" w:cs="仿宋"/>
          <w:b/>
          <w:bCs/>
          <w:sz w:val="24"/>
        </w:rPr>
        <w:t>二、商务要求</w:t>
      </w:r>
      <w:bookmarkEnd w:id="7"/>
      <w:r>
        <w:rPr>
          <w:rFonts w:ascii="仿宋" w:hAnsi="仿宋" w:eastAsia="仿宋" w:cs="仿宋"/>
          <w:b/>
          <w:bCs/>
          <w:sz w:val="24"/>
        </w:rPr>
        <w:tab/>
      </w:r>
    </w:p>
    <w:p w14:paraId="1AC21CB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（一）交付（实施）的时间（期限）和地点（范围）</w:t>
      </w:r>
    </w:p>
    <w:p w14:paraId="1A9B40D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1、交付时间：</w:t>
      </w:r>
      <w:r>
        <w:rPr>
          <w:rFonts w:hint="eastAsia" w:ascii="仿宋" w:hAnsi="仿宋" w:eastAsia="仿宋" w:cs="宋体"/>
          <w:sz w:val="24"/>
        </w:rPr>
        <w:t>自合同签订后3个月内</w:t>
      </w:r>
      <w:r>
        <w:rPr>
          <w:rFonts w:hint="eastAsia" w:ascii="仿宋" w:hAnsi="仿宋" w:eastAsia="仿宋"/>
          <w:sz w:val="24"/>
        </w:rPr>
        <w:t>。</w:t>
      </w:r>
    </w:p>
    <w:p w14:paraId="27FA5B2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2、交付地点：</w:t>
      </w:r>
      <w:r>
        <w:rPr>
          <w:rFonts w:hint="eastAsia" w:ascii="仿宋" w:hAnsi="仿宋" w:eastAsia="仿宋" w:cs="宋体"/>
          <w:sz w:val="24"/>
        </w:rPr>
        <w:t>首都医科大学附属北京同仁医院指定地点。</w:t>
      </w:r>
    </w:p>
    <w:p w14:paraId="5F6DCE76">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（二）付款条件（进度和方式）</w:t>
      </w:r>
    </w:p>
    <w:p w14:paraId="35E0BA5A">
      <w:pPr>
        <w:snapToGrid w:val="0"/>
        <w:spacing w:line="360" w:lineRule="auto"/>
        <w:ind w:firstLine="480" w:firstLineChars="200"/>
        <w:rPr>
          <w:rFonts w:ascii="仿宋" w:hAnsi="仿宋" w:eastAsia="仿宋" w:cs="宋体"/>
          <w:sz w:val="24"/>
        </w:rPr>
      </w:pPr>
      <w:r>
        <w:rPr>
          <w:rFonts w:hint="eastAsia" w:ascii="仿宋" w:hAnsi="仿宋" w:eastAsia="仿宋" w:cs="宋体"/>
          <w:sz w:val="24"/>
        </w:rPr>
        <w:t>详见第六章拟签订的合同文本</w:t>
      </w:r>
    </w:p>
    <w:p w14:paraId="55D965B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（三）包装和运输</w:t>
      </w:r>
    </w:p>
    <w:p w14:paraId="6EEE7F7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投标产品的包装应符合《财政部等三部门联合印发商品包装和快递包装政府采购需求标准（试行）》（财办库〔2020〕123号）的规定。</w:t>
      </w:r>
    </w:p>
    <w:p w14:paraId="0E52DF61">
      <w:pPr>
        <w:snapToGrid w:val="0"/>
        <w:spacing w:line="360" w:lineRule="auto"/>
        <w:ind w:firstLine="480" w:firstLineChars="200"/>
        <w:rPr>
          <w:rFonts w:ascii="仿宋" w:hAnsi="仿宋" w:eastAsia="仿宋" w:cs="仿宋"/>
          <w:bCs/>
          <w:sz w:val="24"/>
        </w:rPr>
      </w:pPr>
      <w:bookmarkStart w:id="8" w:name="OLE_LINK370"/>
      <w:bookmarkStart w:id="9" w:name="OLE_LINK369"/>
      <w:r>
        <w:rPr>
          <w:rFonts w:hint="eastAsia" w:ascii="仿宋" w:hAnsi="仿宋" w:eastAsia="仿宋" w:cs="仿宋"/>
          <w:bCs/>
          <w:sz w:val="24"/>
        </w:rPr>
        <w:t>（四）</w:t>
      </w:r>
      <w:bookmarkEnd w:id="8"/>
      <w:bookmarkEnd w:id="9"/>
      <w:bookmarkStart w:id="10" w:name="OLE_LINK367"/>
      <w:r>
        <w:rPr>
          <w:rFonts w:hint="eastAsia" w:ascii="仿宋" w:hAnsi="仿宋" w:eastAsia="仿宋" w:cs="仿宋"/>
          <w:bCs/>
          <w:sz w:val="24"/>
        </w:rPr>
        <w:t>售后服务（质保期）</w:t>
      </w:r>
      <w:bookmarkEnd w:id="10"/>
    </w:p>
    <w:p w14:paraId="0ECCDB83">
      <w:pPr>
        <w:pStyle w:val="3"/>
        <w:spacing w:before="50" w:line="360" w:lineRule="auto"/>
        <w:rPr>
          <w:rFonts w:hint="default" w:ascii="仿宋" w:hAnsi="仿宋" w:eastAsia="仿宋"/>
          <w:sz w:val="24"/>
          <w:szCs w:val="24"/>
        </w:rPr>
      </w:pPr>
      <w:r>
        <w:rPr>
          <w:rFonts w:ascii="仿宋" w:hAnsi="仿宋" w:eastAsia="仿宋"/>
          <w:sz w:val="24"/>
          <w:szCs w:val="24"/>
        </w:rPr>
        <w:t>1.质量保证期（保修期）及服务要求：详见下表。过保修期后如续保则维保费率原则上不超过设备原值的5%；如不续保则免收配件费以外的其他费用。在设备使用期间，投标人负责每年至少提供两次免费维护。投标人和制造商需要同时提供包含上述质量保证期（保修期）及服务要求的承诺函并加盖单位公章。</w:t>
      </w:r>
    </w:p>
    <w:tbl>
      <w:tblPr>
        <w:tblStyle w:val="6"/>
        <w:tblW w:w="8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
        <w:gridCol w:w="1142"/>
        <w:gridCol w:w="2409"/>
        <w:gridCol w:w="3828"/>
      </w:tblGrid>
      <w:tr w14:paraId="54BCB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41" w:type="dxa"/>
            <w:vAlign w:val="center"/>
          </w:tcPr>
          <w:p w14:paraId="34C113A6">
            <w:pPr>
              <w:snapToGrid w:val="0"/>
              <w:spacing w:line="540" w:lineRule="exact"/>
              <w:jc w:val="center"/>
              <w:rPr>
                <w:rFonts w:ascii="仿宋" w:hAnsi="仿宋" w:eastAsia="仿宋"/>
                <w:sz w:val="24"/>
              </w:rPr>
            </w:pPr>
            <w:r>
              <w:rPr>
                <w:rFonts w:hint="eastAsia" w:ascii="仿宋" w:hAnsi="仿宋" w:eastAsia="仿宋"/>
                <w:sz w:val="24"/>
              </w:rPr>
              <w:t>包号</w:t>
            </w:r>
          </w:p>
        </w:tc>
        <w:tc>
          <w:tcPr>
            <w:tcW w:w="1142" w:type="dxa"/>
            <w:vAlign w:val="center"/>
          </w:tcPr>
          <w:p w14:paraId="6C06ACB0">
            <w:pPr>
              <w:snapToGrid w:val="0"/>
              <w:spacing w:line="540" w:lineRule="exact"/>
              <w:jc w:val="center"/>
              <w:rPr>
                <w:rFonts w:ascii="仿宋" w:hAnsi="仿宋" w:eastAsia="仿宋"/>
                <w:sz w:val="24"/>
              </w:rPr>
            </w:pPr>
            <w:r>
              <w:rPr>
                <w:rFonts w:hint="eastAsia" w:ascii="仿宋" w:hAnsi="仿宋" w:eastAsia="仿宋"/>
                <w:sz w:val="24"/>
              </w:rPr>
              <w:t>品目号</w:t>
            </w:r>
          </w:p>
        </w:tc>
        <w:tc>
          <w:tcPr>
            <w:tcW w:w="2409" w:type="dxa"/>
            <w:vAlign w:val="center"/>
          </w:tcPr>
          <w:p w14:paraId="536CDBE1">
            <w:pPr>
              <w:snapToGrid w:val="0"/>
              <w:jc w:val="center"/>
              <w:rPr>
                <w:rFonts w:ascii="仿宋" w:hAnsi="仿宋" w:eastAsia="仿宋"/>
                <w:sz w:val="24"/>
              </w:rPr>
            </w:pPr>
            <w:r>
              <w:rPr>
                <w:rFonts w:hint="eastAsia" w:ascii="仿宋" w:hAnsi="仿宋" w:eastAsia="仿宋"/>
                <w:sz w:val="24"/>
              </w:rPr>
              <w:t>标的名称</w:t>
            </w:r>
          </w:p>
        </w:tc>
        <w:tc>
          <w:tcPr>
            <w:tcW w:w="3828" w:type="dxa"/>
            <w:vAlign w:val="center"/>
          </w:tcPr>
          <w:p w14:paraId="5C8F78A4">
            <w:pPr>
              <w:snapToGrid w:val="0"/>
              <w:jc w:val="center"/>
              <w:rPr>
                <w:rFonts w:ascii="仿宋" w:hAnsi="仿宋" w:eastAsia="仿宋"/>
                <w:sz w:val="24"/>
              </w:rPr>
            </w:pPr>
            <w:r>
              <w:rPr>
                <w:rFonts w:hint="eastAsia" w:ascii="仿宋" w:hAnsi="仿宋" w:eastAsia="仿宋"/>
                <w:sz w:val="24"/>
              </w:rPr>
              <w:t>保修</w:t>
            </w:r>
          </w:p>
        </w:tc>
      </w:tr>
      <w:tr w14:paraId="1738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841" w:type="dxa"/>
            <w:vMerge w:val="restart"/>
            <w:vAlign w:val="center"/>
          </w:tcPr>
          <w:p w14:paraId="363D2858">
            <w:pPr>
              <w:spacing w:before="120" w:line="360" w:lineRule="auto"/>
              <w:contextualSpacing/>
              <w:jc w:val="center"/>
              <w:rPr>
                <w:rFonts w:hint="eastAsia" w:ascii="仿宋" w:hAnsi="仿宋" w:eastAsia="仿宋" w:cs="仿宋"/>
                <w:bCs/>
                <w:sz w:val="24"/>
                <w:lang w:eastAsia="zh-CN"/>
              </w:rPr>
            </w:pPr>
            <w:r>
              <w:rPr>
                <w:rFonts w:hint="eastAsia" w:ascii="仿宋" w:hAnsi="仿宋" w:eastAsia="仿宋" w:cs="仿宋"/>
                <w:bCs/>
                <w:sz w:val="24"/>
                <w:lang w:val="en-US" w:eastAsia="zh-CN"/>
              </w:rPr>
              <w:t>1</w:t>
            </w:r>
          </w:p>
        </w:tc>
        <w:tc>
          <w:tcPr>
            <w:tcW w:w="1142" w:type="dxa"/>
            <w:vAlign w:val="center"/>
          </w:tcPr>
          <w:p w14:paraId="0078BB5C">
            <w:pPr>
              <w:widowControl/>
              <w:spacing w:before="120" w:line="360" w:lineRule="auto"/>
              <w:contextualSpacing/>
              <w:jc w:val="center"/>
              <w:rPr>
                <w:rFonts w:ascii="仿宋" w:hAnsi="仿宋" w:eastAsia="仿宋" w:cs="仿宋"/>
                <w:bCs/>
                <w:sz w:val="24"/>
              </w:rPr>
            </w:pPr>
            <w:r>
              <w:rPr>
                <w:rFonts w:hint="eastAsia" w:ascii="仿宋" w:hAnsi="仿宋" w:eastAsia="仿宋" w:cs="仿宋"/>
                <w:bCs/>
                <w:sz w:val="24"/>
                <w:lang w:val="en-US" w:eastAsia="zh-CN"/>
              </w:rPr>
              <w:t>1</w:t>
            </w:r>
            <w:r>
              <w:rPr>
                <w:rFonts w:hint="eastAsia" w:ascii="仿宋" w:hAnsi="仿宋" w:eastAsia="仿宋" w:cs="仿宋"/>
                <w:bCs/>
                <w:sz w:val="24"/>
              </w:rPr>
              <w:t>-1</w:t>
            </w:r>
          </w:p>
        </w:tc>
        <w:tc>
          <w:tcPr>
            <w:tcW w:w="2409" w:type="dxa"/>
            <w:vAlign w:val="center"/>
          </w:tcPr>
          <w:p w14:paraId="1F89D4D1">
            <w:pPr>
              <w:keepNext w:val="0"/>
              <w:keepLines w:val="0"/>
              <w:widowControl/>
              <w:suppressLineNumbers w:val="0"/>
              <w:jc w:val="center"/>
              <w:textAlignment w:val="center"/>
              <w:rPr>
                <w:rFonts w:ascii="仿宋" w:hAnsi="仿宋" w:eastAsia="仿宋" w:cs="仿宋"/>
                <w:bCs/>
                <w:sz w:val="24"/>
                <w:szCs w:val="24"/>
              </w:rPr>
            </w:pPr>
            <w:r>
              <w:rPr>
                <w:rFonts w:hint="eastAsia" w:ascii="仿宋" w:hAnsi="仿宋" w:eastAsia="仿宋" w:cs="仿宋"/>
                <w:i w:val="0"/>
                <w:iCs w:val="0"/>
                <w:color w:val="000000"/>
                <w:kern w:val="0"/>
                <w:sz w:val="24"/>
                <w:szCs w:val="24"/>
                <w:u w:val="none"/>
                <w:lang w:val="en-US" w:eastAsia="zh-CN" w:bidi="ar"/>
              </w:rPr>
              <w:t>放射治疗用自动扫描水模体系统</w:t>
            </w:r>
          </w:p>
        </w:tc>
        <w:tc>
          <w:tcPr>
            <w:tcW w:w="3828" w:type="dxa"/>
          </w:tcPr>
          <w:p w14:paraId="059949C3">
            <w:pPr>
              <w:rPr>
                <w:rFonts w:ascii="仿宋" w:hAnsi="仿宋" w:eastAsia="仿宋" w:cs="宋体"/>
                <w:kern w:val="0"/>
                <w:sz w:val="24"/>
              </w:rPr>
            </w:pPr>
            <w:r>
              <w:rPr>
                <w:rFonts w:hint="eastAsia" w:ascii="仿宋" w:hAnsi="仿宋" w:eastAsia="仿宋" w:cs="宋体"/>
                <w:kern w:val="0"/>
                <w:sz w:val="24"/>
              </w:rPr>
              <w:t>原厂保修，自设备验收合格之日后全保6年。</w:t>
            </w:r>
          </w:p>
        </w:tc>
      </w:tr>
      <w:tr w14:paraId="1FD2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841" w:type="dxa"/>
            <w:vMerge w:val="continue"/>
            <w:tcBorders/>
            <w:vAlign w:val="center"/>
          </w:tcPr>
          <w:p w14:paraId="02160008">
            <w:pPr>
              <w:spacing w:before="120" w:line="360" w:lineRule="auto"/>
              <w:contextualSpacing/>
              <w:jc w:val="center"/>
              <w:rPr>
                <w:rFonts w:hint="eastAsia" w:ascii="仿宋" w:hAnsi="仿宋" w:eastAsia="仿宋" w:cs="仿宋"/>
                <w:bCs/>
                <w:sz w:val="24"/>
                <w:lang w:val="en-US" w:eastAsia="zh-CN"/>
              </w:rPr>
            </w:pPr>
          </w:p>
        </w:tc>
        <w:tc>
          <w:tcPr>
            <w:tcW w:w="1142" w:type="dxa"/>
            <w:vAlign w:val="center"/>
          </w:tcPr>
          <w:p w14:paraId="250E1984">
            <w:pPr>
              <w:widowControl/>
              <w:spacing w:before="120" w:line="360" w:lineRule="auto"/>
              <w:contextualSpacing/>
              <w:jc w:val="center"/>
              <w:rPr>
                <w:rFonts w:hint="default" w:ascii="仿宋" w:hAnsi="仿宋" w:eastAsia="仿宋" w:cs="仿宋"/>
                <w:bCs/>
                <w:sz w:val="24"/>
                <w:lang w:val="en-US" w:eastAsia="zh-CN"/>
              </w:rPr>
            </w:pPr>
            <w:r>
              <w:rPr>
                <w:rFonts w:hint="eastAsia" w:ascii="仿宋" w:hAnsi="仿宋" w:eastAsia="仿宋" w:cs="仿宋"/>
                <w:bCs/>
                <w:sz w:val="24"/>
                <w:lang w:val="en-US" w:eastAsia="zh-CN"/>
              </w:rPr>
              <w:t>1-2</w:t>
            </w:r>
          </w:p>
        </w:tc>
        <w:tc>
          <w:tcPr>
            <w:tcW w:w="2409" w:type="dxa"/>
            <w:vAlign w:val="center"/>
          </w:tcPr>
          <w:p w14:paraId="27EAAAFB">
            <w:pPr>
              <w:keepNext w:val="0"/>
              <w:keepLines w:val="0"/>
              <w:widowControl/>
              <w:suppressLineNumbers w:val="0"/>
              <w:jc w:val="center"/>
              <w:textAlignment w:val="center"/>
              <w:rPr>
                <w:rFonts w:hint="eastAsia" w:ascii="仿宋" w:hAnsi="仿宋" w:eastAsia="仿宋" w:cs="仿宋"/>
                <w:bCs/>
                <w:sz w:val="24"/>
                <w:szCs w:val="24"/>
              </w:rPr>
            </w:pPr>
            <w:r>
              <w:rPr>
                <w:rFonts w:hint="eastAsia" w:ascii="仿宋" w:hAnsi="仿宋" w:eastAsia="仿宋" w:cs="仿宋"/>
                <w:i w:val="0"/>
                <w:iCs w:val="0"/>
                <w:color w:val="000000"/>
                <w:kern w:val="0"/>
                <w:sz w:val="24"/>
                <w:szCs w:val="24"/>
                <w:u w:val="none"/>
                <w:lang w:val="en-US" w:eastAsia="zh-CN" w:bidi="ar"/>
              </w:rPr>
              <w:t>射线束扫描系统</w:t>
            </w:r>
          </w:p>
        </w:tc>
        <w:tc>
          <w:tcPr>
            <w:tcW w:w="3828" w:type="dxa"/>
          </w:tcPr>
          <w:p w14:paraId="355ED1CE">
            <w:pPr>
              <w:rPr>
                <w:rFonts w:hint="eastAsia" w:ascii="仿宋" w:hAnsi="仿宋" w:eastAsia="仿宋" w:cs="宋体"/>
                <w:kern w:val="0"/>
                <w:sz w:val="24"/>
              </w:rPr>
            </w:pPr>
            <w:r>
              <w:rPr>
                <w:rFonts w:hint="eastAsia" w:ascii="仿宋" w:hAnsi="仿宋" w:eastAsia="仿宋" w:cs="宋体"/>
                <w:kern w:val="0"/>
                <w:sz w:val="24"/>
              </w:rPr>
              <w:t>原厂保修，自设备验收合格之日后全保6年。</w:t>
            </w:r>
          </w:p>
        </w:tc>
      </w:tr>
    </w:tbl>
    <w:p w14:paraId="3F61FFD0">
      <w:pPr>
        <w:pStyle w:val="3"/>
        <w:numPr>
          <w:ilvl w:val="0"/>
          <w:numId w:val="1"/>
        </w:numPr>
        <w:spacing w:before="50" w:line="360" w:lineRule="auto"/>
        <w:rPr>
          <w:rFonts w:hint="default" w:ascii="仿宋" w:hAnsi="仿宋" w:eastAsia="仿宋"/>
          <w:sz w:val="24"/>
          <w:szCs w:val="24"/>
        </w:rPr>
      </w:pPr>
      <w:r>
        <w:rPr>
          <w:rFonts w:ascii="仿宋" w:hAnsi="仿宋" w:eastAsia="仿宋"/>
          <w:sz w:val="24"/>
          <w:szCs w:val="24"/>
        </w:rPr>
        <w:t>投标人应负责投标货物质量保证期内的免费维修和配件供应，投标人售后服务维修机构应备</w:t>
      </w:r>
      <w:bookmarkStart w:id="32" w:name="_GoBack"/>
      <w:bookmarkEnd w:id="32"/>
      <w:r>
        <w:rPr>
          <w:rFonts w:ascii="仿宋" w:hAnsi="仿宋" w:eastAsia="仿宋"/>
          <w:sz w:val="24"/>
          <w:szCs w:val="24"/>
        </w:rPr>
        <w:t>有所购货物及时维修所需的关键零部件。</w:t>
      </w:r>
    </w:p>
    <w:p w14:paraId="375D5CFA">
      <w:pPr>
        <w:pStyle w:val="3"/>
        <w:numPr>
          <w:ilvl w:val="0"/>
          <w:numId w:val="1"/>
        </w:numPr>
        <w:spacing w:before="50" w:line="360" w:lineRule="auto"/>
        <w:rPr>
          <w:rFonts w:hint="default" w:ascii="仿宋" w:hAnsi="仿宋" w:eastAsia="仿宋"/>
          <w:sz w:val="24"/>
          <w:szCs w:val="24"/>
        </w:rPr>
      </w:pPr>
      <w:r>
        <w:rPr>
          <w:rFonts w:ascii="仿宋" w:hAnsi="仿宋" w:eastAsia="仿宋"/>
          <w:sz w:val="24"/>
          <w:szCs w:val="24"/>
        </w:rPr>
        <w:t>投标人应保证在质量保证期内提供投标货物专用的软件和相应数据库资料的免费升级服务。（如果有）</w:t>
      </w:r>
    </w:p>
    <w:p w14:paraId="78B2BAF1">
      <w:pPr>
        <w:pStyle w:val="3"/>
        <w:numPr>
          <w:ilvl w:val="0"/>
          <w:numId w:val="1"/>
        </w:numPr>
        <w:spacing w:before="50" w:line="360" w:lineRule="auto"/>
        <w:rPr>
          <w:rFonts w:hint="default" w:ascii="仿宋" w:hAnsi="仿宋" w:eastAsia="仿宋"/>
          <w:sz w:val="24"/>
          <w:szCs w:val="24"/>
        </w:rPr>
      </w:pPr>
      <w:r>
        <w:rPr>
          <w:rFonts w:ascii="仿宋" w:hAnsi="仿宋" w:eastAsia="仿宋"/>
          <w:sz w:val="24"/>
          <w:szCs w:val="24"/>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37E4F971">
      <w:pPr>
        <w:pStyle w:val="3"/>
        <w:numPr>
          <w:ilvl w:val="0"/>
          <w:numId w:val="1"/>
        </w:numPr>
        <w:tabs>
          <w:tab w:val="left" w:pos="900"/>
        </w:tabs>
        <w:spacing w:line="360" w:lineRule="auto"/>
        <w:contextualSpacing/>
        <w:rPr>
          <w:rFonts w:hint="default" w:ascii="仿宋" w:hAnsi="仿宋" w:eastAsia="仿宋"/>
          <w:sz w:val="24"/>
          <w:szCs w:val="24"/>
        </w:rPr>
      </w:pPr>
      <w:r>
        <w:rPr>
          <w:rFonts w:ascii="仿宋" w:hAnsi="仿宋" w:eastAsia="仿宋"/>
          <w:sz w:val="24"/>
          <w:szCs w:val="24"/>
        </w:rPr>
        <w:t>投标时须提供有关其投标产品专业的售后服务（</w:t>
      </w:r>
      <w:bookmarkStart w:id="11" w:name="OLE_LINK19"/>
      <w:bookmarkStart w:id="12" w:name="OLE_LINK16"/>
      <w:r>
        <w:rPr>
          <w:rFonts w:ascii="仿宋" w:hAnsi="仿宋" w:eastAsia="仿宋"/>
          <w:sz w:val="24"/>
          <w:szCs w:val="24"/>
        </w:rPr>
        <w:t>维修站</w:t>
      </w:r>
      <w:bookmarkEnd w:id="11"/>
      <w:bookmarkEnd w:id="12"/>
      <w:r>
        <w:rPr>
          <w:rFonts w:ascii="仿宋" w:hAnsi="仿宋" w:eastAsia="仿宋"/>
          <w:sz w:val="24"/>
          <w:szCs w:val="24"/>
        </w:rPr>
        <w:t>）的信息，包括售后服务机构名称、服务人员的数量和水平、联系人和联系方式、零备件的储备等。质量保证期内的免费售后维修及服务包括所有投标产品及配件，并含第三方产品，同时投标人应定期对所有投标产品提供维护保养服务。</w:t>
      </w:r>
    </w:p>
    <w:p w14:paraId="293F051F">
      <w:pPr>
        <w:snapToGrid w:val="0"/>
        <w:spacing w:line="360" w:lineRule="auto"/>
        <w:ind w:firstLine="482" w:firstLineChars="200"/>
        <w:rPr>
          <w:rFonts w:ascii="仿宋" w:hAnsi="仿宋" w:eastAsia="仿宋" w:cs="仿宋"/>
          <w:b/>
          <w:bCs/>
          <w:sz w:val="24"/>
        </w:rPr>
      </w:pPr>
      <w:bookmarkStart w:id="13" w:name="OLE_LINK72"/>
      <w:bookmarkStart w:id="14" w:name="OLE_LINK71"/>
      <w:r>
        <w:rPr>
          <w:rFonts w:hint="eastAsia" w:ascii="仿宋" w:hAnsi="仿宋" w:eastAsia="仿宋" w:cs="仿宋"/>
          <w:b/>
          <w:bCs/>
          <w:sz w:val="24"/>
        </w:rPr>
        <w:t>三、技术要求</w:t>
      </w:r>
    </w:p>
    <w:bookmarkEnd w:id="13"/>
    <w:bookmarkEnd w:id="14"/>
    <w:p w14:paraId="77520E57">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（一）基本要求</w:t>
      </w:r>
    </w:p>
    <w:p w14:paraId="2C7A2307">
      <w:pPr>
        <w:spacing w:line="360" w:lineRule="auto"/>
        <w:ind w:firstLine="480" w:firstLineChars="200"/>
        <w:rPr>
          <w:rFonts w:ascii="仿宋" w:hAnsi="仿宋" w:eastAsia="仿宋" w:cs="仿宋"/>
          <w:bCs/>
          <w:sz w:val="24"/>
        </w:rPr>
      </w:pPr>
      <w:r>
        <w:rPr>
          <w:rFonts w:hint="eastAsia" w:ascii="仿宋" w:hAnsi="仿宋" w:eastAsia="仿宋" w:cs="仿宋"/>
          <w:bCs/>
          <w:sz w:val="24"/>
        </w:rPr>
        <w:t>1、需执行的国家相关标准、行业标准、地方标准或者其他标准、规范</w:t>
      </w:r>
    </w:p>
    <w:p w14:paraId="457B2B2B">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rPr>
        <w:t>1.</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1D597C90">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0821BC52">
      <w:pPr>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51C3F482">
      <w:pPr>
        <w:tabs>
          <w:tab w:val="left" w:pos="420"/>
        </w:tabs>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C8D231E">
      <w:pPr>
        <w:tabs>
          <w:tab w:val="left" w:pos="420"/>
        </w:tabs>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7E59E8A6">
      <w:pPr>
        <w:snapToGrid w:val="0"/>
        <w:spacing w:line="360" w:lineRule="auto"/>
        <w:ind w:firstLine="482" w:firstLineChars="200"/>
        <w:rPr>
          <w:rFonts w:ascii="仿宋" w:hAnsi="仿宋" w:eastAsia="仿宋" w:cs="仿宋"/>
          <w:b/>
          <w:bCs/>
          <w:sz w:val="24"/>
        </w:rPr>
      </w:pPr>
      <w:bookmarkStart w:id="15" w:name="OLE_LINK73"/>
      <w:bookmarkStart w:id="16" w:name="OLE_LINK64"/>
      <w:r>
        <w:rPr>
          <w:rFonts w:hint="eastAsia" w:ascii="仿宋" w:hAnsi="仿宋" w:eastAsia="仿宋" w:cs="仿宋"/>
          <w:b/>
          <w:bCs/>
          <w:sz w:val="24"/>
        </w:rPr>
        <w:t>（二）服务内容及要求/货物技术要求</w:t>
      </w:r>
    </w:p>
    <w:bookmarkEnd w:id="15"/>
    <w:bookmarkEnd w:id="16"/>
    <w:p w14:paraId="26019C9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1、采购标的需满足的性能、材料、结构、外观、质量、安全、技术规格、物理特性等要求：</w:t>
      </w:r>
    </w:p>
    <w:p w14:paraId="15C48ACA">
      <w:pPr>
        <w:widowControl/>
        <w:spacing w:line="360" w:lineRule="auto"/>
        <w:jc w:val="left"/>
        <w:rPr>
          <w:rFonts w:ascii="仿宋" w:hAnsi="仿宋" w:eastAsia="仿宋"/>
          <w:b/>
          <w:sz w:val="24"/>
        </w:rPr>
      </w:pPr>
      <w:bookmarkStart w:id="17" w:name="OLE_LINK53"/>
      <w:r>
        <w:rPr>
          <w:rFonts w:ascii="仿宋" w:hAnsi="仿宋" w:eastAsia="仿宋"/>
          <w:b/>
          <w:sz w:val="24"/>
        </w:rPr>
        <w:br w:type="page"/>
      </w:r>
      <w:bookmarkStart w:id="18" w:name="OLE_LINK297"/>
      <w:bookmarkStart w:id="19" w:name="OLE_LINK298"/>
    </w:p>
    <w:bookmarkEnd w:id="18"/>
    <w:bookmarkEnd w:id="19"/>
    <w:p w14:paraId="0415BF5B">
      <w:pPr>
        <w:spacing w:line="360" w:lineRule="auto"/>
        <w:jc w:val="left"/>
        <w:rPr>
          <w:rFonts w:ascii="仿宋" w:hAnsi="仿宋" w:eastAsia="仿宋"/>
          <w:b/>
          <w:sz w:val="24"/>
        </w:rPr>
      </w:pPr>
      <w:r>
        <w:rPr>
          <w:rFonts w:ascii="仿宋" w:hAnsi="仿宋" w:eastAsia="仿宋"/>
          <w:b/>
          <w:sz w:val="24"/>
        </w:rPr>
        <w:t>第</w:t>
      </w:r>
      <w:r>
        <w:rPr>
          <w:rFonts w:hint="eastAsia" w:ascii="仿宋" w:hAnsi="仿宋" w:eastAsia="仿宋"/>
          <w:b/>
          <w:sz w:val="24"/>
          <w:lang w:val="en-US" w:eastAsia="zh-CN"/>
        </w:rPr>
        <w:t>1</w:t>
      </w:r>
      <w:r>
        <w:rPr>
          <w:rFonts w:hint="eastAsia" w:ascii="仿宋" w:hAnsi="仿宋" w:eastAsia="仿宋"/>
          <w:b/>
          <w:sz w:val="24"/>
        </w:rPr>
        <w:t>包 品目</w:t>
      </w:r>
      <w:bookmarkStart w:id="20" w:name="OLE_LINK28"/>
      <w:bookmarkStart w:id="21" w:name="OLE_LINK31"/>
      <w:r>
        <w:rPr>
          <w:rFonts w:hint="eastAsia" w:ascii="仿宋" w:hAnsi="仿宋" w:eastAsia="仿宋"/>
          <w:b/>
          <w:sz w:val="24"/>
          <w:lang w:val="en-US" w:eastAsia="zh-CN"/>
        </w:rPr>
        <w:t>1-</w:t>
      </w:r>
      <w:r>
        <w:rPr>
          <w:rFonts w:hint="eastAsia" w:ascii="仿宋" w:hAnsi="仿宋" w:eastAsia="仿宋"/>
          <w:b/>
          <w:sz w:val="24"/>
        </w:rPr>
        <w:t>1</w:t>
      </w:r>
      <w:bookmarkEnd w:id="20"/>
      <w:bookmarkEnd w:id="21"/>
      <w:r>
        <w:rPr>
          <w:rFonts w:hint="eastAsia" w:ascii="仿宋" w:hAnsi="仿宋" w:eastAsia="仿宋"/>
          <w:b/>
          <w:sz w:val="24"/>
        </w:rPr>
        <w:t>放射治疗用自动扫描水模体系统</w:t>
      </w:r>
    </w:p>
    <w:p w14:paraId="63102949">
      <w:pPr>
        <w:widowControl/>
        <w:spacing w:line="360" w:lineRule="auto"/>
        <w:jc w:val="left"/>
        <w:rPr>
          <w:rFonts w:ascii="仿宋" w:hAnsi="仿宋" w:eastAsia="仿宋"/>
          <w:b/>
          <w:sz w:val="24"/>
        </w:rPr>
      </w:pPr>
      <w:r>
        <w:rPr>
          <w:rFonts w:hint="eastAsia" w:ascii="仿宋" w:hAnsi="仿宋" w:eastAsia="仿宋"/>
          <w:b/>
          <w:sz w:val="24"/>
        </w:rPr>
        <w:t>数量：1套，每套技术参数如下</w:t>
      </w:r>
    </w:p>
    <w:p w14:paraId="33F39C74">
      <w:pPr>
        <w:pStyle w:val="2"/>
        <w:spacing w:line="360" w:lineRule="auto"/>
        <w:ind w:firstLine="0"/>
        <w:rPr>
          <w:rFonts w:ascii="仿宋" w:hAnsi="仿宋" w:eastAsia="仿宋"/>
          <w:b/>
        </w:rPr>
      </w:pPr>
      <w:r>
        <w:rPr>
          <w:rFonts w:hint="eastAsia" w:ascii="仿宋" w:hAnsi="仿宋" w:eastAsia="仿宋"/>
          <w:b/>
        </w:rPr>
        <w:t>一、技术参数</w:t>
      </w:r>
    </w:p>
    <w:p w14:paraId="097F3F11">
      <w:pPr>
        <w:spacing w:line="360" w:lineRule="auto"/>
        <w:rPr>
          <w:rFonts w:hint="eastAsia" w:ascii="仿宋" w:hAnsi="仿宋" w:eastAsia="仿宋" w:cs="宋体"/>
          <w:sz w:val="24"/>
        </w:rPr>
      </w:pPr>
      <w:r>
        <w:rPr>
          <w:rFonts w:hint="eastAsia" w:ascii="仿宋" w:hAnsi="仿宋" w:eastAsia="仿宋" w:cs="宋体"/>
          <w:sz w:val="24"/>
        </w:rPr>
        <w:t>▲</w:t>
      </w:r>
      <w:r>
        <w:rPr>
          <w:rFonts w:hint="eastAsia" w:ascii="仿宋" w:hAnsi="仿宋" w:eastAsia="仿宋" w:cs="宋体"/>
          <w:sz w:val="24"/>
          <w:lang w:val="en-US" w:eastAsia="zh-CN"/>
        </w:rPr>
        <w:t>1、</w:t>
      </w:r>
      <w:r>
        <w:rPr>
          <w:rFonts w:hint="eastAsia" w:ascii="仿宋" w:hAnsi="仿宋" w:eastAsia="仿宋" w:cs="宋体"/>
          <w:sz w:val="24"/>
        </w:rPr>
        <w:t>分体式设计，储水库与升降台为分体设计。</w:t>
      </w:r>
    </w:p>
    <w:p w14:paraId="7A2DDDED">
      <w:pPr>
        <w:spacing w:line="360" w:lineRule="auto"/>
        <w:rPr>
          <w:rFonts w:hint="eastAsia" w:ascii="仿宋" w:hAnsi="仿宋" w:eastAsia="仿宋" w:cs="宋体"/>
          <w:sz w:val="24"/>
        </w:rPr>
      </w:pPr>
      <w:r>
        <w:rPr>
          <w:rFonts w:hint="eastAsia" w:ascii="仿宋" w:hAnsi="仿宋" w:eastAsia="仿宋" w:cs="宋体"/>
          <w:sz w:val="24"/>
          <w:lang w:val="en-US" w:eastAsia="zh-CN"/>
        </w:rPr>
        <w:t>2、</w:t>
      </w:r>
      <w:r>
        <w:rPr>
          <w:rFonts w:hint="eastAsia" w:ascii="仿宋" w:hAnsi="仿宋" w:eastAsia="仿宋" w:cs="宋体"/>
          <w:sz w:val="24"/>
        </w:rPr>
        <w:t>水箱箱体：方形设计，具有3个扫描机械轴。</w:t>
      </w:r>
    </w:p>
    <w:p w14:paraId="5A33949D">
      <w:pPr>
        <w:spacing w:line="360" w:lineRule="auto"/>
        <w:rPr>
          <w:rFonts w:hint="eastAsia" w:ascii="仿宋" w:hAnsi="仿宋" w:eastAsia="仿宋" w:cs="宋体"/>
          <w:sz w:val="24"/>
        </w:rPr>
      </w:pPr>
      <w:r>
        <w:rPr>
          <w:rFonts w:hint="eastAsia" w:ascii="仿宋" w:hAnsi="仿宋" w:eastAsia="仿宋" w:cs="宋体"/>
          <w:sz w:val="24"/>
        </w:rPr>
        <w:t>▲</w:t>
      </w:r>
      <w:r>
        <w:rPr>
          <w:rFonts w:hint="eastAsia" w:ascii="仿宋" w:hAnsi="仿宋" w:eastAsia="仿宋" w:cs="宋体"/>
          <w:sz w:val="24"/>
          <w:lang w:val="en-US" w:eastAsia="zh-CN"/>
        </w:rPr>
        <w:t>3、</w:t>
      </w:r>
      <w:r>
        <w:rPr>
          <w:rFonts w:hint="eastAsia" w:ascii="仿宋" w:hAnsi="仿宋" w:eastAsia="仿宋" w:cs="宋体"/>
          <w:sz w:val="24"/>
        </w:rPr>
        <w:t>有效扫描范围：X≥470mm，Y≥470mm，Z≥410mm。</w:t>
      </w:r>
    </w:p>
    <w:p w14:paraId="1F6EAAE7">
      <w:pPr>
        <w:spacing w:line="360" w:lineRule="auto"/>
        <w:rPr>
          <w:rFonts w:hint="eastAsia" w:ascii="仿宋" w:hAnsi="仿宋" w:eastAsia="仿宋" w:cs="宋体"/>
          <w:sz w:val="24"/>
        </w:rPr>
      </w:pPr>
      <w:r>
        <w:rPr>
          <w:rFonts w:hint="eastAsia" w:ascii="仿宋" w:hAnsi="仿宋" w:eastAsia="仿宋" w:cs="宋体"/>
          <w:sz w:val="24"/>
          <w:lang w:val="en-US" w:eastAsia="zh-CN"/>
        </w:rPr>
        <w:t>4、</w:t>
      </w:r>
      <w:r>
        <w:rPr>
          <w:rFonts w:hint="eastAsia" w:ascii="仿宋" w:hAnsi="仿宋" w:eastAsia="仿宋" w:cs="宋体"/>
          <w:sz w:val="24"/>
        </w:rPr>
        <w:t>位置反馈：采用伸缩传感器技术，实时反馈三维机械轴的位置。</w:t>
      </w:r>
    </w:p>
    <w:p w14:paraId="7BAB9E74">
      <w:pPr>
        <w:spacing w:line="360" w:lineRule="auto"/>
        <w:rPr>
          <w:rFonts w:hint="eastAsia" w:ascii="仿宋" w:hAnsi="仿宋" w:eastAsia="仿宋" w:cs="宋体"/>
          <w:sz w:val="24"/>
        </w:rPr>
      </w:pPr>
      <w:r>
        <w:rPr>
          <w:rFonts w:hint="eastAsia" w:ascii="仿宋" w:hAnsi="仿宋" w:eastAsia="仿宋" w:cs="宋体"/>
          <w:sz w:val="24"/>
          <w:lang w:val="en-US" w:eastAsia="zh-CN"/>
        </w:rPr>
        <w:t>5、</w:t>
      </w:r>
      <w:r>
        <w:rPr>
          <w:rFonts w:hint="eastAsia" w:ascii="仿宋" w:hAnsi="仿宋" w:eastAsia="仿宋" w:cs="宋体"/>
          <w:sz w:val="24"/>
        </w:rPr>
        <w:t>位置验证：三维机械轴皆具有刻度尺，可随时验证到位精度。</w:t>
      </w:r>
    </w:p>
    <w:p w14:paraId="6196AA8F">
      <w:pPr>
        <w:spacing w:line="360" w:lineRule="auto"/>
        <w:rPr>
          <w:rFonts w:hint="eastAsia" w:ascii="仿宋" w:hAnsi="仿宋" w:eastAsia="仿宋" w:cs="宋体"/>
          <w:sz w:val="24"/>
        </w:rPr>
      </w:pPr>
      <w:r>
        <w:rPr>
          <w:rFonts w:hint="eastAsia" w:ascii="仿宋" w:hAnsi="仿宋" w:eastAsia="仿宋" w:cs="宋体"/>
          <w:sz w:val="24"/>
          <w:lang w:val="en-US" w:eastAsia="zh-CN"/>
        </w:rPr>
        <w:t>6、</w:t>
      </w:r>
      <w:r>
        <w:rPr>
          <w:rFonts w:hint="eastAsia" w:ascii="仿宋" w:hAnsi="仿宋" w:eastAsia="仿宋" w:cs="宋体"/>
          <w:sz w:val="24"/>
        </w:rPr>
        <w:t>到位重复性、到位精度：≤±0.1 mm。</w:t>
      </w:r>
    </w:p>
    <w:p w14:paraId="3E3AE049">
      <w:pPr>
        <w:spacing w:line="360" w:lineRule="auto"/>
        <w:rPr>
          <w:rFonts w:hint="eastAsia" w:ascii="仿宋" w:hAnsi="仿宋" w:eastAsia="仿宋" w:cs="宋体"/>
          <w:sz w:val="24"/>
        </w:rPr>
      </w:pPr>
      <w:r>
        <w:rPr>
          <w:rFonts w:hint="eastAsia" w:ascii="仿宋" w:hAnsi="仿宋" w:eastAsia="仿宋" w:cs="宋体"/>
          <w:sz w:val="24"/>
          <w:lang w:val="en-US" w:eastAsia="zh-CN"/>
        </w:rPr>
        <w:t>7、</w:t>
      </w:r>
      <w:r>
        <w:rPr>
          <w:rFonts w:hint="eastAsia" w:ascii="仿宋" w:hAnsi="仿宋" w:eastAsia="仿宋" w:cs="宋体"/>
          <w:sz w:val="24"/>
        </w:rPr>
        <w:t>定位速度：≥50 mm/s。</w:t>
      </w:r>
    </w:p>
    <w:p w14:paraId="4F3D3E9C">
      <w:pPr>
        <w:spacing w:line="360" w:lineRule="auto"/>
        <w:rPr>
          <w:rFonts w:hint="eastAsia" w:ascii="仿宋" w:hAnsi="仿宋" w:eastAsia="仿宋" w:cs="宋体"/>
          <w:sz w:val="24"/>
        </w:rPr>
      </w:pPr>
      <w:r>
        <w:rPr>
          <w:rFonts w:hint="eastAsia" w:ascii="仿宋" w:hAnsi="仿宋" w:eastAsia="仿宋" w:cs="宋体"/>
          <w:sz w:val="24"/>
        </w:rPr>
        <w:t>▲</w:t>
      </w:r>
      <w:r>
        <w:rPr>
          <w:rFonts w:hint="eastAsia" w:ascii="仿宋" w:hAnsi="仿宋" w:eastAsia="仿宋" w:cs="宋体"/>
          <w:sz w:val="24"/>
          <w:lang w:val="en-US" w:eastAsia="zh-CN"/>
        </w:rPr>
        <w:t>8、</w:t>
      </w:r>
      <w:r>
        <w:rPr>
          <w:rFonts w:hint="eastAsia" w:ascii="仿宋" w:hAnsi="仿宋" w:eastAsia="仿宋" w:cs="宋体"/>
          <w:sz w:val="24"/>
        </w:rPr>
        <w:t>最大扫描速度：≥20mm/s。</w:t>
      </w:r>
    </w:p>
    <w:p w14:paraId="2ACD52F2">
      <w:pPr>
        <w:spacing w:line="360" w:lineRule="auto"/>
        <w:rPr>
          <w:rFonts w:hint="eastAsia" w:ascii="仿宋" w:hAnsi="仿宋" w:eastAsia="仿宋" w:cs="宋体"/>
          <w:sz w:val="24"/>
        </w:rPr>
      </w:pPr>
      <w:r>
        <w:rPr>
          <w:rFonts w:hint="eastAsia" w:ascii="仿宋" w:hAnsi="仿宋" w:eastAsia="仿宋" w:cs="宋体"/>
          <w:sz w:val="24"/>
          <w:lang w:val="en-US" w:eastAsia="zh-CN"/>
        </w:rPr>
        <w:t>9、</w:t>
      </w:r>
      <w:r>
        <w:rPr>
          <w:rFonts w:hint="eastAsia" w:ascii="仿宋" w:hAnsi="仿宋" w:eastAsia="仿宋" w:cs="宋体"/>
          <w:sz w:val="24"/>
        </w:rPr>
        <w:t>箱体壁厚/材料：≥13 mm/亚克力。</w:t>
      </w:r>
    </w:p>
    <w:p w14:paraId="304F334D">
      <w:pPr>
        <w:spacing w:line="360" w:lineRule="auto"/>
        <w:rPr>
          <w:rFonts w:hint="eastAsia" w:ascii="仿宋" w:hAnsi="仿宋" w:eastAsia="仿宋" w:cs="宋体"/>
          <w:sz w:val="24"/>
        </w:rPr>
      </w:pPr>
      <w:r>
        <w:rPr>
          <w:rFonts w:hint="eastAsia" w:ascii="仿宋" w:hAnsi="仿宋" w:eastAsia="仿宋" w:cs="宋体"/>
          <w:sz w:val="24"/>
        </w:rPr>
        <w:t>★</w:t>
      </w:r>
      <w:r>
        <w:rPr>
          <w:rFonts w:hint="eastAsia" w:ascii="仿宋" w:hAnsi="仿宋" w:eastAsia="仿宋" w:cs="宋体"/>
          <w:sz w:val="24"/>
          <w:lang w:val="en-US" w:eastAsia="zh-CN"/>
        </w:rPr>
        <w:t>10、</w:t>
      </w:r>
      <w:r>
        <w:rPr>
          <w:rFonts w:hint="eastAsia" w:ascii="仿宋" w:hAnsi="仿宋" w:eastAsia="仿宋" w:cs="宋体"/>
          <w:sz w:val="24"/>
        </w:rPr>
        <w:t>扫描模式：支持步进扫描与连续扫描。</w:t>
      </w:r>
    </w:p>
    <w:p w14:paraId="5279D45A">
      <w:pPr>
        <w:spacing w:line="360" w:lineRule="auto"/>
        <w:rPr>
          <w:rFonts w:hint="eastAsia" w:ascii="仿宋" w:hAnsi="仿宋" w:eastAsia="仿宋" w:cs="宋体"/>
          <w:sz w:val="24"/>
        </w:rPr>
      </w:pPr>
      <w:r>
        <w:rPr>
          <w:rFonts w:hint="eastAsia" w:ascii="仿宋" w:hAnsi="仿宋" w:eastAsia="仿宋" w:cs="宋体"/>
          <w:sz w:val="24"/>
          <w:lang w:val="en-US" w:eastAsia="zh-CN"/>
        </w:rPr>
        <w:t>11、</w:t>
      </w:r>
      <w:r>
        <w:rPr>
          <w:rFonts w:hint="eastAsia" w:ascii="仿宋" w:hAnsi="仿宋" w:eastAsia="仿宋" w:cs="宋体"/>
          <w:sz w:val="24"/>
        </w:rPr>
        <w:t>控制单元与双通道静电计独立于水箱箱体，与水箱之间的连接线长度≥5m。</w:t>
      </w:r>
    </w:p>
    <w:p w14:paraId="1CAD4234">
      <w:pPr>
        <w:spacing w:line="360" w:lineRule="auto"/>
        <w:rPr>
          <w:rFonts w:hint="eastAsia" w:ascii="仿宋" w:hAnsi="仿宋" w:eastAsia="仿宋" w:cs="宋体"/>
          <w:sz w:val="24"/>
        </w:rPr>
      </w:pPr>
      <w:r>
        <w:rPr>
          <w:rFonts w:hint="eastAsia" w:ascii="仿宋" w:hAnsi="仿宋" w:eastAsia="仿宋" w:cs="宋体"/>
          <w:sz w:val="24"/>
          <w:lang w:val="en-US" w:eastAsia="zh-CN"/>
        </w:rPr>
        <w:t>12、</w:t>
      </w:r>
      <w:r>
        <w:rPr>
          <w:rFonts w:hint="eastAsia" w:ascii="仿宋" w:hAnsi="仿宋" w:eastAsia="仿宋" w:cs="宋体"/>
          <w:sz w:val="24"/>
        </w:rPr>
        <w:t>双通道静电计：最大偏压≥±500 V，最小分辨率≤5x10-16 A，时间常数≤20 ms。</w:t>
      </w:r>
    </w:p>
    <w:p w14:paraId="38371593">
      <w:pPr>
        <w:spacing w:line="360" w:lineRule="auto"/>
        <w:rPr>
          <w:rFonts w:hint="eastAsia" w:ascii="仿宋" w:hAnsi="仿宋" w:eastAsia="仿宋" w:cs="宋体"/>
          <w:sz w:val="24"/>
        </w:rPr>
      </w:pPr>
      <w:r>
        <w:rPr>
          <w:rFonts w:hint="eastAsia" w:ascii="仿宋" w:hAnsi="仿宋" w:eastAsia="仿宋" w:cs="宋体"/>
          <w:sz w:val="24"/>
        </w:rPr>
        <w:t>★</w:t>
      </w:r>
      <w:r>
        <w:rPr>
          <w:rFonts w:hint="eastAsia" w:ascii="仿宋" w:hAnsi="仿宋" w:eastAsia="仿宋" w:cs="宋体"/>
          <w:sz w:val="24"/>
          <w:lang w:val="en-US" w:eastAsia="zh-CN"/>
        </w:rPr>
        <w:t>13、</w:t>
      </w:r>
      <w:r>
        <w:rPr>
          <w:rFonts w:hint="eastAsia" w:ascii="仿宋" w:hAnsi="仿宋" w:eastAsia="仿宋" w:cs="宋体"/>
          <w:sz w:val="24"/>
        </w:rPr>
        <w:t>探测器：配有2个电离室，灵敏体积≤0.13cm3</w:t>
      </w:r>
    </w:p>
    <w:p w14:paraId="7B384C8E">
      <w:pPr>
        <w:spacing w:line="360" w:lineRule="auto"/>
        <w:rPr>
          <w:rFonts w:hint="eastAsia" w:ascii="仿宋" w:hAnsi="仿宋" w:eastAsia="仿宋" w:cs="宋体"/>
          <w:sz w:val="24"/>
        </w:rPr>
      </w:pPr>
      <w:r>
        <w:rPr>
          <w:rFonts w:hint="eastAsia" w:ascii="仿宋" w:hAnsi="仿宋" w:eastAsia="仿宋" w:cs="宋体"/>
          <w:sz w:val="24"/>
          <w:lang w:val="en-US" w:eastAsia="zh-CN"/>
        </w:rPr>
        <w:t>14、</w:t>
      </w:r>
      <w:r>
        <w:rPr>
          <w:rFonts w:hint="eastAsia" w:ascii="仿宋" w:hAnsi="仿宋" w:eastAsia="仿宋" w:cs="宋体"/>
          <w:sz w:val="24"/>
        </w:rPr>
        <w:t>电动升降台：最大负载≥250 kg，垂直升降范围≥500 mm，垂直升降速度≥13 mm/s。</w:t>
      </w:r>
    </w:p>
    <w:p w14:paraId="3C9C2832">
      <w:pPr>
        <w:spacing w:line="360" w:lineRule="auto"/>
        <w:rPr>
          <w:rFonts w:hint="eastAsia" w:ascii="仿宋" w:hAnsi="仿宋" w:eastAsia="仿宋" w:cs="宋体"/>
          <w:sz w:val="24"/>
        </w:rPr>
      </w:pPr>
      <w:r>
        <w:rPr>
          <w:rFonts w:hint="eastAsia" w:ascii="仿宋" w:hAnsi="仿宋" w:eastAsia="仿宋" w:cs="宋体"/>
          <w:sz w:val="24"/>
          <w:lang w:val="en-US" w:eastAsia="zh-CN"/>
        </w:rPr>
        <w:t>15、</w:t>
      </w:r>
      <w:r>
        <w:rPr>
          <w:rFonts w:hint="eastAsia" w:ascii="仿宋" w:hAnsi="仿宋" w:eastAsia="仿宋" w:cs="宋体"/>
          <w:sz w:val="24"/>
        </w:rPr>
        <w:t>储水车，储水量≥210L；带有双向泵，流速≥20L/min。</w:t>
      </w:r>
    </w:p>
    <w:p w14:paraId="08CFDA9D">
      <w:pPr>
        <w:spacing w:line="360" w:lineRule="auto"/>
        <w:rPr>
          <w:rFonts w:hint="eastAsia" w:ascii="仿宋" w:hAnsi="仿宋" w:eastAsia="仿宋" w:cs="宋体"/>
          <w:sz w:val="24"/>
        </w:rPr>
      </w:pPr>
      <w:r>
        <w:rPr>
          <w:rFonts w:hint="eastAsia" w:ascii="仿宋" w:hAnsi="仿宋" w:eastAsia="仿宋" w:cs="宋体"/>
          <w:sz w:val="24"/>
          <w:lang w:val="en-US" w:eastAsia="zh-CN"/>
        </w:rPr>
        <w:t>16、</w:t>
      </w:r>
      <w:r>
        <w:rPr>
          <w:rFonts w:hint="eastAsia" w:ascii="仿宋" w:hAnsi="仿宋" w:eastAsia="仿宋" w:cs="宋体"/>
          <w:sz w:val="24"/>
        </w:rPr>
        <w:t>工作站配置：CPU≧I7-13700H/内存≧16GB/固态硬盘≧512GB/Intel UHDGraphics集成显卡/显示器≧16英寸FHD/45Whr电池Win10Pro(由家庭版升级至专业版)</w:t>
      </w:r>
    </w:p>
    <w:p w14:paraId="0141D3D8">
      <w:pPr>
        <w:spacing w:line="360" w:lineRule="auto"/>
        <w:rPr>
          <w:rFonts w:hint="eastAsia" w:ascii="仿宋" w:hAnsi="仿宋" w:eastAsia="仿宋" w:cs="宋体"/>
          <w:sz w:val="24"/>
        </w:rPr>
      </w:pPr>
      <w:r>
        <w:rPr>
          <w:rFonts w:hint="eastAsia" w:ascii="仿宋" w:hAnsi="仿宋" w:eastAsia="仿宋" w:cs="宋体"/>
          <w:sz w:val="24"/>
        </w:rPr>
        <w:t>二、软件功能：</w:t>
      </w:r>
    </w:p>
    <w:p w14:paraId="31877DEF">
      <w:pPr>
        <w:spacing w:line="360" w:lineRule="auto"/>
        <w:rPr>
          <w:rFonts w:hint="eastAsia" w:ascii="仿宋" w:hAnsi="仿宋" w:eastAsia="仿宋" w:cs="宋体"/>
          <w:sz w:val="24"/>
        </w:rPr>
      </w:pPr>
      <w:r>
        <w:rPr>
          <w:rFonts w:hint="eastAsia" w:ascii="仿宋" w:hAnsi="仿宋" w:eastAsia="仿宋" w:cs="宋体"/>
          <w:sz w:val="24"/>
          <w:lang w:val="en-US" w:eastAsia="zh-CN"/>
        </w:rPr>
        <w:t>1、</w:t>
      </w:r>
      <w:r>
        <w:rPr>
          <w:rFonts w:hint="eastAsia" w:ascii="仿宋" w:hAnsi="仿宋" w:eastAsia="仿宋" w:cs="宋体"/>
          <w:sz w:val="24"/>
        </w:rPr>
        <w:t>可针对主流TPS（包括Eclipse、Monaco、Pinnacle、Tomotherapy、Raystation、Oncentra等）所需射束数据范围，自动生成测量队列。</w:t>
      </w:r>
    </w:p>
    <w:p w14:paraId="75931987">
      <w:pPr>
        <w:spacing w:line="360" w:lineRule="auto"/>
        <w:rPr>
          <w:rFonts w:hint="eastAsia" w:ascii="仿宋" w:hAnsi="仿宋" w:eastAsia="仿宋" w:cs="宋体"/>
          <w:sz w:val="24"/>
        </w:rPr>
      </w:pPr>
      <w:r>
        <w:rPr>
          <w:rFonts w:hint="eastAsia" w:ascii="仿宋" w:hAnsi="仿宋" w:eastAsia="仿宋" w:cs="宋体"/>
          <w:sz w:val="24"/>
          <w:lang w:val="en-US" w:eastAsia="zh-CN"/>
        </w:rPr>
        <w:t>2、</w:t>
      </w:r>
      <w:r>
        <w:rPr>
          <w:rFonts w:hint="eastAsia" w:ascii="仿宋" w:hAnsi="仿宋" w:eastAsia="仿宋" w:cs="宋体"/>
          <w:sz w:val="24"/>
        </w:rPr>
        <w:t>提供一系列队列管理功能，包括加载、保存、编辑、复制、粘贴等。</w:t>
      </w:r>
    </w:p>
    <w:p w14:paraId="71DDD10B">
      <w:pPr>
        <w:spacing w:line="360" w:lineRule="auto"/>
        <w:rPr>
          <w:rFonts w:hint="eastAsia" w:ascii="仿宋" w:hAnsi="仿宋" w:eastAsia="仿宋" w:cs="宋体"/>
          <w:sz w:val="24"/>
        </w:rPr>
      </w:pPr>
      <w:r>
        <w:rPr>
          <w:rFonts w:hint="eastAsia" w:ascii="仿宋" w:hAnsi="仿宋" w:eastAsia="仿宋" w:cs="宋体"/>
          <w:sz w:val="24"/>
          <w:lang w:val="en-US" w:eastAsia="zh-CN"/>
        </w:rPr>
        <w:t>3、</w:t>
      </w:r>
      <w:r>
        <w:rPr>
          <w:rFonts w:hint="eastAsia" w:ascii="仿宋" w:hAnsi="仿宋" w:eastAsia="仿宋" w:cs="宋体"/>
          <w:sz w:val="24"/>
        </w:rPr>
        <w:t>提供优化队列的功能，可以通过手动排序，与自动优化方式，根据射野、能量、深度等参数对扫描队列中项目进行排序。</w:t>
      </w:r>
    </w:p>
    <w:p w14:paraId="1C59F368">
      <w:pPr>
        <w:spacing w:line="360" w:lineRule="auto"/>
        <w:rPr>
          <w:rFonts w:hint="eastAsia" w:ascii="仿宋" w:hAnsi="仿宋" w:eastAsia="仿宋" w:cs="宋体"/>
          <w:sz w:val="24"/>
        </w:rPr>
      </w:pPr>
      <w:r>
        <w:rPr>
          <w:rFonts w:hint="eastAsia" w:ascii="仿宋" w:hAnsi="仿宋" w:eastAsia="仿宋" w:cs="宋体"/>
          <w:sz w:val="24"/>
          <w:lang w:val="en-US" w:eastAsia="zh-CN"/>
        </w:rPr>
        <w:t>4、</w:t>
      </w:r>
      <w:r>
        <w:rPr>
          <w:rFonts w:hint="eastAsia" w:ascii="仿宋" w:hAnsi="仿宋" w:eastAsia="仿宋" w:cs="宋体"/>
          <w:sz w:val="24"/>
        </w:rPr>
        <w:t>提供队列合理性检查功能，可以实时检查并显示测量队列中每个项目的当前状态，包括项目是否有效、测量前是否需要停顿、项目是否已测量等。</w:t>
      </w:r>
    </w:p>
    <w:p w14:paraId="2437071A">
      <w:pPr>
        <w:spacing w:line="360" w:lineRule="auto"/>
        <w:rPr>
          <w:rFonts w:hint="eastAsia" w:ascii="仿宋" w:hAnsi="仿宋" w:eastAsia="仿宋" w:cs="宋体"/>
          <w:sz w:val="24"/>
        </w:rPr>
      </w:pPr>
      <w:r>
        <w:rPr>
          <w:rFonts w:hint="eastAsia" w:ascii="仿宋" w:hAnsi="仿宋" w:eastAsia="仿宋" w:cs="宋体"/>
          <w:sz w:val="24"/>
          <w:lang w:val="en-US" w:eastAsia="zh-CN"/>
        </w:rPr>
        <w:t>5、</w:t>
      </w:r>
      <w:r>
        <w:rPr>
          <w:rFonts w:hint="eastAsia" w:ascii="仿宋" w:hAnsi="仿宋" w:eastAsia="仿宋" w:cs="宋体"/>
          <w:sz w:val="24"/>
        </w:rPr>
        <w:t>提供步进扫描与连续扫描模式。</w:t>
      </w:r>
    </w:p>
    <w:p w14:paraId="2FA7D8D6">
      <w:pPr>
        <w:spacing w:line="360" w:lineRule="auto"/>
        <w:rPr>
          <w:rFonts w:hint="eastAsia" w:ascii="仿宋" w:hAnsi="仿宋" w:eastAsia="仿宋" w:cs="宋体"/>
          <w:sz w:val="24"/>
        </w:rPr>
      </w:pPr>
      <w:r>
        <w:rPr>
          <w:rFonts w:hint="eastAsia" w:ascii="仿宋" w:hAnsi="仿宋" w:eastAsia="仿宋" w:cs="宋体"/>
          <w:sz w:val="24"/>
          <w:lang w:val="en-US" w:eastAsia="zh-CN"/>
        </w:rPr>
        <w:t>6、</w:t>
      </w:r>
      <w:r>
        <w:rPr>
          <w:rFonts w:hint="eastAsia" w:ascii="仿宋" w:hAnsi="仿宋" w:eastAsia="仿宋" w:cs="宋体"/>
          <w:sz w:val="24"/>
        </w:rPr>
        <w:t>在线显示测量值。</w:t>
      </w:r>
    </w:p>
    <w:p w14:paraId="328869C9">
      <w:pPr>
        <w:spacing w:line="360" w:lineRule="auto"/>
        <w:rPr>
          <w:rFonts w:hint="eastAsia" w:ascii="仿宋" w:hAnsi="仿宋" w:eastAsia="仿宋" w:cs="宋体"/>
          <w:sz w:val="24"/>
        </w:rPr>
      </w:pPr>
      <w:r>
        <w:rPr>
          <w:rFonts w:hint="eastAsia" w:ascii="仿宋" w:hAnsi="仿宋" w:eastAsia="仿宋" w:cs="宋体"/>
          <w:sz w:val="24"/>
          <w:lang w:val="en-US" w:eastAsia="zh-CN"/>
        </w:rPr>
        <w:t>7、</w:t>
      </w:r>
      <w:r>
        <w:rPr>
          <w:rFonts w:hint="eastAsia" w:ascii="仿宋" w:hAnsi="仿宋" w:eastAsia="仿宋" w:cs="宋体"/>
          <w:sz w:val="24"/>
        </w:rPr>
        <w:t>扫描数据类型包含：绝对点的剂量测量、Profile、PDD、二维面剂量测量等。</w:t>
      </w:r>
    </w:p>
    <w:p w14:paraId="45009C7C">
      <w:pPr>
        <w:spacing w:line="360" w:lineRule="auto"/>
        <w:rPr>
          <w:rFonts w:hint="eastAsia" w:ascii="仿宋" w:hAnsi="仿宋" w:eastAsia="仿宋" w:cs="宋体"/>
          <w:sz w:val="24"/>
        </w:rPr>
      </w:pPr>
      <w:r>
        <w:rPr>
          <w:rFonts w:hint="eastAsia" w:ascii="仿宋" w:hAnsi="仿宋" w:eastAsia="仿宋" w:cs="宋体"/>
          <w:sz w:val="24"/>
          <w:lang w:val="en-US" w:eastAsia="zh-CN"/>
        </w:rPr>
        <w:t>8、</w:t>
      </w:r>
      <w:r>
        <w:rPr>
          <w:rFonts w:hint="eastAsia" w:ascii="仿宋" w:hAnsi="仿宋" w:eastAsia="仿宋" w:cs="宋体"/>
          <w:sz w:val="24"/>
        </w:rPr>
        <w:t>支持一维、二维与三维的数据显示模式。</w:t>
      </w:r>
    </w:p>
    <w:p w14:paraId="5D9D2E35">
      <w:pPr>
        <w:spacing w:line="360" w:lineRule="auto"/>
        <w:rPr>
          <w:rFonts w:hint="eastAsia" w:ascii="仿宋" w:hAnsi="仿宋" w:eastAsia="仿宋" w:cs="宋体"/>
          <w:sz w:val="24"/>
        </w:rPr>
      </w:pPr>
      <w:r>
        <w:rPr>
          <w:rFonts w:hint="eastAsia" w:ascii="仿宋" w:hAnsi="仿宋" w:eastAsia="仿宋" w:cs="宋体"/>
          <w:sz w:val="24"/>
          <w:lang w:val="en-US" w:eastAsia="zh-CN"/>
        </w:rPr>
        <w:t>9、</w:t>
      </w:r>
      <w:r>
        <w:rPr>
          <w:rFonts w:hint="eastAsia" w:ascii="仿宋" w:hAnsi="仿宋" w:eastAsia="仿宋" w:cs="宋体"/>
          <w:sz w:val="24"/>
        </w:rPr>
        <w:t>提供自适应的扫描优化功能，在步进扫描与连续扫描模式，支持单条曲线中调整不同区间的扫描步距或速度。</w:t>
      </w:r>
    </w:p>
    <w:p w14:paraId="4ECF1719">
      <w:pPr>
        <w:spacing w:line="360" w:lineRule="auto"/>
        <w:rPr>
          <w:rFonts w:hint="eastAsia" w:ascii="仿宋" w:hAnsi="仿宋" w:eastAsia="仿宋" w:cs="宋体"/>
          <w:sz w:val="24"/>
        </w:rPr>
      </w:pPr>
      <w:r>
        <w:rPr>
          <w:rFonts w:hint="eastAsia" w:ascii="仿宋" w:hAnsi="仿宋" w:eastAsia="仿宋" w:cs="宋体"/>
          <w:sz w:val="24"/>
          <w:lang w:val="en-US" w:eastAsia="zh-CN"/>
        </w:rPr>
        <w:t>10、</w:t>
      </w:r>
      <w:r>
        <w:rPr>
          <w:rFonts w:hint="eastAsia" w:ascii="仿宋" w:hAnsi="仿宋" w:eastAsia="仿宋" w:cs="宋体"/>
          <w:sz w:val="24"/>
        </w:rPr>
        <w:t>输出因子测量结果以表格方式呈现，且归一至10x10cm射野。</w:t>
      </w:r>
    </w:p>
    <w:p w14:paraId="63C8CAC8">
      <w:pPr>
        <w:spacing w:line="360" w:lineRule="auto"/>
        <w:rPr>
          <w:rFonts w:hint="eastAsia" w:ascii="仿宋" w:hAnsi="仿宋" w:eastAsia="仿宋" w:cs="宋体"/>
          <w:sz w:val="24"/>
        </w:rPr>
      </w:pPr>
      <w:r>
        <w:rPr>
          <w:rFonts w:hint="eastAsia" w:ascii="仿宋" w:hAnsi="仿宋" w:eastAsia="仿宋" w:cs="宋体"/>
          <w:sz w:val="24"/>
          <w:lang w:val="en-US" w:eastAsia="zh-CN"/>
        </w:rPr>
        <w:t>11、</w:t>
      </w:r>
      <w:r>
        <w:rPr>
          <w:rFonts w:hint="eastAsia" w:ascii="仿宋" w:hAnsi="仿宋" w:eastAsia="仿宋" w:cs="宋体"/>
          <w:sz w:val="24"/>
        </w:rPr>
        <w:t>自动检查射束中心轴位置，可以一键点击修正扫描坐标系零位。</w:t>
      </w:r>
    </w:p>
    <w:p w14:paraId="0A1C293E">
      <w:pPr>
        <w:spacing w:line="360" w:lineRule="auto"/>
        <w:rPr>
          <w:rFonts w:hint="eastAsia" w:ascii="仿宋" w:hAnsi="仿宋" w:eastAsia="仿宋" w:cs="宋体"/>
          <w:sz w:val="24"/>
        </w:rPr>
      </w:pPr>
      <w:r>
        <w:rPr>
          <w:rFonts w:hint="eastAsia" w:ascii="仿宋" w:hAnsi="仿宋" w:eastAsia="仿宋" w:cs="宋体"/>
          <w:sz w:val="24"/>
          <w:lang w:val="en-US" w:eastAsia="zh-CN"/>
        </w:rPr>
        <w:t>12、</w:t>
      </w:r>
      <w:r>
        <w:rPr>
          <w:rFonts w:hint="eastAsia" w:ascii="仿宋" w:hAnsi="仿宋" w:eastAsia="仿宋" w:cs="宋体"/>
          <w:sz w:val="24"/>
        </w:rPr>
        <w:t>支持每条曲线在线显示数据分析结果。</w:t>
      </w:r>
    </w:p>
    <w:p w14:paraId="08D02419">
      <w:pPr>
        <w:spacing w:line="360" w:lineRule="auto"/>
        <w:rPr>
          <w:rFonts w:hint="eastAsia" w:ascii="仿宋" w:hAnsi="仿宋" w:eastAsia="仿宋" w:cs="宋体"/>
          <w:sz w:val="24"/>
        </w:rPr>
      </w:pPr>
      <w:r>
        <w:rPr>
          <w:rFonts w:hint="eastAsia" w:ascii="仿宋" w:hAnsi="仿宋" w:eastAsia="仿宋" w:cs="宋体"/>
          <w:sz w:val="24"/>
          <w:lang w:val="en-US" w:eastAsia="zh-CN"/>
        </w:rPr>
        <w:t>13、</w:t>
      </w:r>
      <w:r>
        <w:rPr>
          <w:rFonts w:hint="eastAsia" w:ascii="仿宋" w:hAnsi="仿宋" w:eastAsia="仿宋" w:cs="宋体"/>
          <w:sz w:val="24"/>
        </w:rPr>
        <w:t>提供所有国际协议与行业协议，包括但不限于NACP、IAEA、AAPM、IEC、ICRU、NCS、Varian、Elekta、Siemens等，协议种类数≥10种。</w:t>
      </w:r>
    </w:p>
    <w:p w14:paraId="533EF33B">
      <w:pPr>
        <w:spacing w:line="360" w:lineRule="auto"/>
        <w:rPr>
          <w:rFonts w:hint="eastAsia" w:ascii="仿宋" w:hAnsi="仿宋" w:eastAsia="仿宋" w:cs="宋体"/>
          <w:sz w:val="24"/>
        </w:rPr>
      </w:pPr>
      <w:r>
        <w:rPr>
          <w:rFonts w:hint="eastAsia" w:ascii="仿宋" w:hAnsi="仿宋" w:eastAsia="仿宋" w:cs="宋体"/>
          <w:sz w:val="24"/>
          <w:lang w:val="en-US" w:eastAsia="zh-CN"/>
        </w:rPr>
        <w:t>14、</w:t>
      </w:r>
      <w:r>
        <w:rPr>
          <w:rFonts w:hint="eastAsia" w:ascii="仿宋" w:hAnsi="仿宋" w:eastAsia="仿宋" w:cs="宋体"/>
          <w:sz w:val="24"/>
        </w:rPr>
        <w:t>可根据需要定制机构特定的协议。</w:t>
      </w:r>
    </w:p>
    <w:p w14:paraId="4F3B5B6D">
      <w:pPr>
        <w:spacing w:line="360" w:lineRule="auto"/>
        <w:rPr>
          <w:rFonts w:hint="eastAsia" w:ascii="仿宋" w:hAnsi="仿宋" w:eastAsia="仿宋" w:cs="宋体"/>
          <w:sz w:val="24"/>
        </w:rPr>
      </w:pPr>
      <w:r>
        <w:rPr>
          <w:rFonts w:hint="eastAsia" w:ascii="仿宋" w:hAnsi="仿宋" w:eastAsia="仿宋" w:cs="宋体"/>
          <w:sz w:val="24"/>
          <w:lang w:val="en-US" w:eastAsia="zh-CN"/>
        </w:rPr>
        <w:t>15、</w:t>
      </w:r>
      <w:r>
        <w:rPr>
          <w:rFonts w:hint="eastAsia" w:ascii="仿宋" w:hAnsi="仿宋" w:eastAsia="仿宋" w:cs="宋体"/>
          <w:sz w:val="24"/>
        </w:rPr>
        <w:t>可以计算并显示等剂量线或二维数据。</w:t>
      </w:r>
    </w:p>
    <w:p w14:paraId="17FE53A2">
      <w:pPr>
        <w:spacing w:line="360" w:lineRule="auto"/>
        <w:rPr>
          <w:rFonts w:hint="eastAsia" w:ascii="仿宋" w:hAnsi="仿宋" w:eastAsia="仿宋" w:cs="宋体"/>
          <w:sz w:val="24"/>
        </w:rPr>
      </w:pPr>
      <w:r>
        <w:rPr>
          <w:rFonts w:hint="eastAsia" w:ascii="仿宋" w:hAnsi="仿宋" w:eastAsia="仿宋" w:cs="宋体"/>
          <w:sz w:val="24"/>
          <w:lang w:val="en-US" w:eastAsia="zh-CN"/>
        </w:rPr>
        <w:t>16、</w:t>
      </w:r>
      <w:r>
        <w:rPr>
          <w:rFonts w:hint="eastAsia" w:ascii="仿宋" w:hAnsi="仿宋" w:eastAsia="仿宋" w:cs="宋体"/>
          <w:sz w:val="24"/>
        </w:rPr>
        <w:t>支持对2条曲线数据执行1D伽马分析，并直观显示通过与否。</w:t>
      </w:r>
    </w:p>
    <w:p w14:paraId="3D1DD730">
      <w:pPr>
        <w:spacing w:line="360" w:lineRule="auto"/>
        <w:rPr>
          <w:rFonts w:hint="eastAsia" w:ascii="仿宋" w:hAnsi="仿宋" w:eastAsia="仿宋" w:cs="宋体"/>
          <w:sz w:val="24"/>
        </w:rPr>
      </w:pPr>
      <w:r>
        <w:rPr>
          <w:rFonts w:hint="eastAsia" w:ascii="仿宋" w:hAnsi="仿宋" w:eastAsia="仿宋" w:cs="宋体"/>
          <w:sz w:val="24"/>
          <w:lang w:val="en-US" w:eastAsia="zh-CN"/>
        </w:rPr>
        <w:t>17、</w:t>
      </w:r>
      <w:r>
        <w:rPr>
          <w:rFonts w:hint="eastAsia" w:ascii="仿宋" w:hAnsi="仿宋" w:eastAsia="仿宋" w:cs="宋体"/>
          <w:sz w:val="24"/>
        </w:rPr>
        <w:t>支持对数据执行平滑处理，并有多种平滑算法可供选择，包括中位值、算术平均、几何平均、最小二乘法等算法。</w:t>
      </w:r>
    </w:p>
    <w:p w14:paraId="38AF3299">
      <w:pPr>
        <w:spacing w:line="360" w:lineRule="auto"/>
        <w:rPr>
          <w:rFonts w:hint="eastAsia" w:ascii="仿宋" w:hAnsi="仿宋" w:eastAsia="仿宋" w:cs="宋体"/>
          <w:sz w:val="24"/>
        </w:rPr>
      </w:pPr>
      <w:r>
        <w:rPr>
          <w:rFonts w:hint="eastAsia" w:ascii="仿宋" w:hAnsi="仿宋" w:eastAsia="仿宋" w:cs="宋体"/>
          <w:sz w:val="24"/>
          <w:lang w:val="en-US" w:eastAsia="zh-CN"/>
        </w:rPr>
        <w:t>18、</w:t>
      </w:r>
      <w:r>
        <w:rPr>
          <w:rFonts w:hint="eastAsia" w:ascii="仿宋" w:hAnsi="仿宋" w:eastAsia="仿宋" w:cs="宋体"/>
          <w:sz w:val="24"/>
        </w:rPr>
        <w:t>提供编辑曲线的功能，可以手动删除、更改或增加数据点。</w:t>
      </w:r>
    </w:p>
    <w:p w14:paraId="52AE0C57">
      <w:pPr>
        <w:spacing w:line="360" w:lineRule="auto"/>
        <w:rPr>
          <w:rFonts w:hint="eastAsia" w:ascii="仿宋" w:hAnsi="仿宋" w:eastAsia="仿宋" w:cs="宋体"/>
          <w:sz w:val="24"/>
        </w:rPr>
      </w:pPr>
      <w:r>
        <w:rPr>
          <w:rFonts w:hint="eastAsia" w:ascii="仿宋" w:hAnsi="仿宋" w:eastAsia="仿宋" w:cs="宋体"/>
          <w:sz w:val="24"/>
          <w:lang w:val="en-US" w:eastAsia="zh-CN"/>
        </w:rPr>
        <w:t>19、</w:t>
      </w:r>
      <w:r>
        <w:rPr>
          <w:rFonts w:hint="eastAsia" w:ascii="仿宋" w:hAnsi="仿宋" w:eastAsia="仿宋" w:cs="宋体"/>
          <w:sz w:val="24"/>
        </w:rPr>
        <w:t>提供复制、粘贴、平移、镜像、对称与旋转曲线等功能。</w:t>
      </w:r>
    </w:p>
    <w:p w14:paraId="4A6B47E0">
      <w:pPr>
        <w:spacing w:line="360" w:lineRule="auto"/>
        <w:rPr>
          <w:rFonts w:hint="eastAsia" w:ascii="仿宋" w:hAnsi="仿宋" w:eastAsia="仿宋" w:cs="宋体"/>
          <w:sz w:val="24"/>
        </w:rPr>
      </w:pPr>
      <w:r>
        <w:rPr>
          <w:rFonts w:hint="eastAsia" w:ascii="仿宋" w:hAnsi="仿宋" w:eastAsia="仿宋" w:cs="宋体"/>
          <w:sz w:val="24"/>
          <w:lang w:val="en-US" w:eastAsia="zh-CN"/>
        </w:rPr>
        <w:t>20、</w:t>
      </w:r>
      <w:r>
        <w:rPr>
          <w:rFonts w:hint="eastAsia" w:ascii="仿宋" w:hAnsi="仿宋" w:eastAsia="仿宋" w:cs="宋体"/>
          <w:sz w:val="24"/>
        </w:rPr>
        <w:t>支持对测量数据执行算数运算，包括加、减、乘、除、求平均等。</w:t>
      </w:r>
    </w:p>
    <w:p w14:paraId="32157923">
      <w:pPr>
        <w:spacing w:line="360" w:lineRule="auto"/>
        <w:rPr>
          <w:rFonts w:hint="eastAsia" w:ascii="仿宋" w:hAnsi="仿宋" w:eastAsia="仿宋" w:cs="宋体"/>
          <w:sz w:val="24"/>
        </w:rPr>
      </w:pPr>
      <w:r>
        <w:rPr>
          <w:rFonts w:hint="eastAsia" w:ascii="仿宋" w:hAnsi="仿宋" w:eastAsia="仿宋" w:cs="宋体"/>
          <w:sz w:val="24"/>
          <w:lang w:val="en-US" w:eastAsia="zh-CN"/>
        </w:rPr>
        <w:t>21、</w:t>
      </w:r>
      <w:r>
        <w:rPr>
          <w:rFonts w:hint="eastAsia" w:ascii="仿宋" w:hAnsi="仿宋" w:eastAsia="仿宋" w:cs="宋体"/>
          <w:sz w:val="24"/>
        </w:rPr>
        <w:t>提供重新采样的功能，可调整测量数据的分辨率。</w:t>
      </w:r>
    </w:p>
    <w:p w14:paraId="60B39682">
      <w:pPr>
        <w:spacing w:line="360" w:lineRule="auto"/>
        <w:rPr>
          <w:rFonts w:hint="eastAsia" w:ascii="仿宋" w:hAnsi="仿宋" w:eastAsia="仿宋" w:cs="宋体"/>
          <w:sz w:val="24"/>
        </w:rPr>
      </w:pPr>
      <w:r>
        <w:rPr>
          <w:rFonts w:hint="eastAsia" w:ascii="仿宋" w:hAnsi="仿宋" w:eastAsia="仿宋" w:cs="宋体"/>
          <w:sz w:val="24"/>
          <w:lang w:val="en-US" w:eastAsia="zh-CN"/>
        </w:rPr>
        <w:t>22、</w:t>
      </w:r>
      <w:r>
        <w:rPr>
          <w:rFonts w:hint="eastAsia" w:ascii="仿宋" w:hAnsi="仿宋" w:eastAsia="仿宋" w:cs="宋体"/>
          <w:sz w:val="24"/>
        </w:rPr>
        <w:t>可基于PDD数据计算TPR/TMR。</w:t>
      </w:r>
    </w:p>
    <w:p w14:paraId="299781C0">
      <w:pPr>
        <w:spacing w:line="360" w:lineRule="auto"/>
        <w:rPr>
          <w:rFonts w:hint="eastAsia" w:ascii="仿宋" w:hAnsi="仿宋" w:eastAsia="仿宋" w:cs="宋体"/>
          <w:sz w:val="24"/>
        </w:rPr>
      </w:pPr>
      <w:r>
        <w:rPr>
          <w:rFonts w:hint="eastAsia" w:ascii="仿宋" w:hAnsi="仿宋" w:eastAsia="仿宋" w:cs="宋体"/>
          <w:sz w:val="24"/>
          <w:lang w:val="en-US" w:eastAsia="zh-CN"/>
        </w:rPr>
        <w:t>23、</w:t>
      </w:r>
      <w:r>
        <w:rPr>
          <w:rFonts w:hint="eastAsia" w:ascii="仿宋" w:hAnsi="仿宋" w:eastAsia="仿宋" w:cs="宋体"/>
          <w:sz w:val="24"/>
        </w:rPr>
        <w:t>可合并2组2D扫描，能够将2组具有相同测量设置的2D扫描合并至1组。</w:t>
      </w:r>
    </w:p>
    <w:p w14:paraId="77ED8328">
      <w:pPr>
        <w:spacing w:line="360" w:lineRule="auto"/>
        <w:rPr>
          <w:rFonts w:hint="eastAsia" w:ascii="仿宋" w:hAnsi="仿宋" w:eastAsia="仿宋" w:cs="宋体"/>
          <w:sz w:val="24"/>
        </w:rPr>
      </w:pPr>
      <w:r>
        <w:rPr>
          <w:rFonts w:hint="eastAsia" w:ascii="仿宋" w:hAnsi="仿宋" w:eastAsia="仿宋" w:cs="宋体"/>
          <w:sz w:val="24"/>
          <w:lang w:val="en-US" w:eastAsia="zh-CN"/>
        </w:rPr>
        <w:t>24、</w:t>
      </w:r>
      <w:r>
        <w:rPr>
          <w:rFonts w:hint="eastAsia" w:ascii="仿宋" w:hAnsi="仿宋" w:eastAsia="仿宋" w:cs="宋体"/>
          <w:sz w:val="24"/>
        </w:rPr>
        <w:t>基于扫描的2D数据，生成完整的阵列，可根据需要设置阵列的步距。</w:t>
      </w:r>
    </w:p>
    <w:p w14:paraId="42ABF772">
      <w:pPr>
        <w:spacing w:line="360" w:lineRule="auto"/>
        <w:rPr>
          <w:rFonts w:hint="eastAsia" w:ascii="仿宋" w:hAnsi="仿宋" w:eastAsia="仿宋" w:cs="宋体"/>
          <w:sz w:val="24"/>
        </w:rPr>
      </w:pPr>
      <w:r>
        <w:rPr>
          <w:rFonts w:hint="eastAsia" w:ascii="仿宋" w:hAnsi="仿宋" w:eastAsia="仿宋" w:cs="宋体"/>
          <w:sz w:val="24"/>
          <w:lang w:val="en-US" w:eastAsia="zh-CN"/>
        </w:rPr>
        <w:t>25、</w:t>
      </w:r>
      <w:r>
        <w:rPr>
          <w:rFonts w:hint="eastAsia" w:ascii="仿宋" w:hAnsi="仿宋" w:eastAsia="仿宋" w:cs="宋体"/>
          <w:sz w:val="24"/>
        </w:rPr>
        <w:t>可以从二维阵列数据中提取需要的曲线数据或数据组。</w:t>
      </w:r>
    </w:p>
    <w:p w14:paraId="3BE7C343">
      <w:pPr>
        <w:spacing w:line="360" w:lineRule="auto"/>
        <w:rPr>
          <w:rFonts w:hint="eastAsia" w:ascii="仿宋" w:hAnsi="仿宋" w:eastAsia="仿宋" w:cs="宋体"/>
          <w:sz w:val="24"/>
        </w:rPr>
      </w:pPr>
      <w:r>
        <w:rPr>
          <w:rFonts w:hint="eastAsia" w:ascii="仿宋" w:hAnsi="仿宋" w:eastAsia="仿宋" w:cs="宋体"/>
          <w:sz w:val="24"/>
          <w:lang w:val="en-US" w:eastAsia="zh-CN"/>
        </w:rPr>
        <w:t>26、</w:t>
      </w:r>
      <w:r>
        <w:rPr>
          <w:rFonts w:hint="eastAsia" w:ascii="仿宋" w:hAnsi="仿宋" w:eastAsia="仿宋" w:cs="宋体"/>
          <w:sz w:val="24"/>
        </w:rPr>
        <w:t>可将测量的电离曲线转换为吸收剂量曲线。</w:t>
      </w:r>
    </w:p>
    <w:p w14:paraId="6A342FBE">
      <w:pPr>
        <w:spacing w:line="360" w:lineRule="auto"/>
        <w:rPr>
          <w:rFonts w:hint="eastAsia" w:ascii="仿宋" w:hAnsi="仿宋" w:eastAsia="仿宋" w:cs="宋体"/>
          <w:sz w:val="24"/>
        </w:rPr>
      </w:pPr>
      <w:r>
        <w:rPr>
          <w:rFonts w:hint="eastAsia" w:ascii="仿宋" w:hAnsi="仿宋" w:eastAsia="仿宋" w:cs="宋体"/>
          <w:sz w:val="24"/>
          <w:lang w:val="en-US" w:eastAsia="zh-CN"/>
        </w:rPr>
        <w:t>27、</w:t>
      </w:r>
      <w:r>
        <w:rPr>
          <w:rFonts w:hint="eastAsia" w:ascii="仿宋" w:hAnsi="仿宋" w:eastAsia="仿宋" w:cs="宋体"/>
          <w:sz w:val="24"/>
        </w:rPr>
        <w:t>可以创建数据处理宏，将多个数据处理步骤，如中心轴修正、平滑、编辑、移动等，设置为一个宏快捷键，一键点击即可运行多个数据处理步骤。</w:t>
      </w:r>
    </w:p>
    <w:p w14:paraId="004310DC">
      <w:pPr>
        <w:spacing w:line="360" w:lineRule="auto"/>
        <w:rPr>
          <w:rFonts w:hint="eastAsia" w:ascii="仿宋" w:hAnsi="仿宋" w:eastAsia="仿宋" w:cs="宋体"/>
          <w:sz w:val="24"/>
        </w:rPr>
      </w:pPr>
      <w:r>
        <w:rPr>
          <w:rFonts w:hint="eastAsia" w:ascii="仿宋" w:hAnsi="仿宋" w:eastAsia="仿宋" w:cs="宋体"/>
          <w:sz w:val="24"/>
          <w:lang w:val="en-US" w:eastAsia="zh-CN"/>
        </w:rPr>
        <w:t>28、</w:t>
      </w:r>
      <w:r>
        <w:rPr>
          <w:rFonts w:hint="eastAsia" w:ascii="仿宋" w:hAnsi="仿宋" w:eastAsia="仿宋" w:cs="宋体"/>
          <w:sz w:val="24"/>
        </w:rPr>
        <w:t>中心数据库服务器软件：提供数据存储、归档和备份的功能，提供数据管理功能，包括数据挖掘、筛选与搜索功能；保护数据免受未经授权的访问、使用、泄露、破坏或修改，提供用户管理与访问权限设置功能。</w:t>
      </w:r>
    </w:p>
    <w:p w14:paraId="049EF0DD">
      <w:pPr>
        <w:spacing w:line="360" w:lineRule="auto"/>
        <w:rPr>
          <w:rFonts w:hint="eastAsia" w:ascii="仿宋" w:hAnsi="仿宋" w:eastAsia="仿宋" w:cs="宋体"/>
          <w:sz w:val="24"/>
        </w:rPr>
      </w:pPr>
      <w:r>
        <w:rPr>
          <w:rFonts w:hint="eastAsia" w:ascii="仿宋" w:hAnsi="仿宋" w:eastAsia="仿宋" w:cs="宋体"/>
          <w:sz w:val="24"/>
          <w:lang w:val="en-US" w:eastAsia="zh-CN"/>
        </w:rPr>
        <w:t>29、</w:t>
      </w:r>
      <w:r>
        <w:rPr>
          <w:rFonts w:hint="eastAsia" w:ascii="仿宋" w:hAnsi="仿宋" w:eastAsia="仿宋" w:cs="宋体"/>
          <w:sz w:val="24"/>
        </w:rPr>
        <w:t>能集中管理所有用户账户、许可、设施、治疗单元、探测器以及校准信息。</w:t>
      </w:r>
    </w:p>
    <w:p w14:paraId="636FF09E">
      <w:pPr>
        <w:spacing w:line="360" w:lineRule="auto"/>
        <w:rPr>
          <w:rFonts w:hint="eastAsia" w:ascii="仿宋" w:hAnsi="仿宋" w:eastAsia="仿宋" w:cs="宋体"/>
          <w:sz w:val="24"/>
        </w:rPr>
      </w:pPr>
      <w:r>
        <w:rPr>
          <w:rFonts w:hint="eastAsia" w:ascii="仿宋" w:hAnsi="仿宋" w:eastAsia="仿宋" w:cs="宋体"/>
          <w:sz w:val="24"/>
          <w:lang w:val="en-US" w:eastAsia="zh-CN"/>
        </w:rPr>
        <w:t>30、</w:t>
      </w:r>
      <w:r>
        <w:rPr>
          <w:rFonts w:hint="eastAsia" w:ascii="仿宋" w:hAnsi="仿宋" w:eastAsia="仿宋" w:cs="宋体"/>
          <w:sz w:val="24"/>
        </w:rPr>
        <w:t>RTPS接口，至少包含以下放疗计划系统的接口：Eclipse、Monaco、Pinnacle、RayStation、Oncentra、CMS、Multipan、Tomo Therapy。</w:t>
      </w:r>
    </w:p>
    <w:p w14:paraId="1B37D835">
      <w:pPr>
        <w:spacing w:line="360" w:lineRule="auto"/>
        <w:rPr>
          <w:rFonts w:hint="eastAsia" w:ascii="仿宋" w:hAnsi="仿宋" w:eastAsia="仿宋" w:cs="宋体"/>
          <w:sz w:val="24"/>
        </w:rPr>
      </w:pPr>
      <w:r>
        <w:rPr>
          <w:rFonts w:hint="eastAsia" w:ascii="仿宋" w:hAnsi="仿宋" w:eastAsia="仿宋" w:cs="宋体"/>
          <w:sz w:val="24"/>
        </w:rPr>
        <w:t>三、</w:t>
      </w:r>
      <w:r>
        <w:rPr>
          <w:rFonts w:hint="eastAsia" w:ascii="仿宋" w:hAnsi="仿宋" w:eastAsia="仿宋" w:cs="宋体"/>
          <w:sz w:val="24"/>
          <w:lang w:val="en-US" w:eastAsia="zh-CN"/>
        </w:rPr>
        <w:t>主要</w:t>
      </w:r>
      <w:r>
        <w:rPr>
          <w:rFonts w:hint="eastAsia" w:ascii="仿宋" w:hAnsi="仿宋" w:eastAsia="仿宋" w:cs="宋体"/>
          <w:sz w:val="24"/>
        </w:rPr>
        <w:t>配置：</w:t>
      </w:r>
    </w:p>
    <w:p w14:paraId="7C71A13D">
      <w:pPr>
        <w:spacing w:line="360" w:lineRule="auto"/>
        <w:rPr>
          <w:rFonts w:hint="eastAsia" w:ascii="仿宋" w:hAnsi="仿宋" w:eastAsia="仿宋" w:cs="宋体"/>
          <w:sz w:val="24"/>
        </w:rPr>
      </w:pPr>
      <w:r>
        <w:rPr>
          <w:rFonts w:hint="eastAsia" w:ascii="仿宋" w:hAnsi="仿宋" w:eastAsia="仿宋" w:cs="宋体"/>
          <w:sz w:val="24"/>
          <w:lang w:val="en-US" w:eastAsia="zh-CN"/>
        </w:rPr>
        <w:t>1、</w:t>
      </w:r>
      <w:r>
        <w:rPr>
          <w:rFonts w:hint="eastAsia" w:ascii="仿宋" w:hAnsi="仿宋" w:eastAsia="仿宋" w:cs="宋体"/>
          <w:sz w:val="24"/>
        </w:rPr>
        <w:t>水箱系统1套。</w:t>
      </w:r>
    </w:p>
    <w:p w14:paraId="6E377DB1">
      <w:pPr>
        <w:spacing w:line="360" w:lineRule="auto"/>
        <w:rPr>
          <w:rFonts w:hint="eastAsia" w:ascii="仿宋" w:hAnsi="仿宋" w:eastAsia="仿宋" w:cs="宋体"/>
          <w:sz w:val="24"/>
        </w:rPr>
      </w:pPr>
      <w:r>
        <w:rPr>
          <w:rFonts w:hint="eastAsia" w:ascii="仿宋" w:hAnsi="仿宋" w:eastAsia="仿宋" w:cs="宋体"/>
          <w:sz w:val="24"/>
          <w:lang w:val="en-US" w:eastAsia="zh-CN"/>
        </w:rPr>
        <w:t>2、</w:t>
      </w:r>
      <w:r>
        <w:rPr>
          <w:rFonts w:hint="eastAsia" w:ascii="仿宋" w:hAnsi="仿宋" w:eastAsia="仿宋" w:cs="宋体"/>
          <w:sz w:val="24"/>
        </w:rPr>
        <w:t>软件系统1套。</w:t>
      </w:r>
    </w:p>
    <w:p w14:paraId="4CE42CCA">
      <w:pPr>
        <w:spacing w:line="360" w:lineRule="auto"/>
        <w:rPr>
          <w:rFonts w:hint="eastAsia" w:ascii="仿宋" w:hAnsi="仿宋" w:eastAsia="仿宋" w:cs="宋体"/>
          <w:sz w:val="24"/>
        </w:rPr>
      </w:pPr>
      <w:r>
        <w:rPr>
          <w:rFonts w:hint="eastAsia" w:ascii="仿宋" w:hAnsi="仿宋" w:eastAsia="仿宋" w:cs="宋体"/>
          <w:sz w:val="24"/>
          <w:lang w:val="en-US" w:eastAsia="zh-CN"/>
        </w:rPr>
        <w:t>3、</w:t>
      </w:r>
      <w:r>
        <w:rPr>
          <w:rFonts w:hint="eastAsia" w:ascii="仿宋" w:hAnsi="仿宋" w:eastAsia="仿宋" w:cs="宋体"/>
          <w:sz w:val="24"/>
        </w:rPr>
        <w:t>工作站1套。</w:t>
      </w:r>
    </w:p>
    <w:p w14:paraId="53F54AEB">
      <w:pPr>
        <w:rPr>
          <w:rFonts w:ascii="仿宋" w:hAnsi="仿宋" w:eastAsia="仿宋"/>
          <w:b/>
          <w:sz w:val="24"/>
        </w:rPr>
      </w:pPr>
      <w:r>
        <w:rPr>
          <w:rFonts w:ascii="仿宋" w:hAnsi="仿宋" w:eastAsia="仿宋"/>
          <w:b/>
          <w:sz w:val="24"/>
        </w:rPr>
        <w:br w:type="page"/>
      </w:r>
    </w:p>
    <w:p w14:paraId="0FE8849E">
      <w:pPr>
        <w:jc w:val="left"/>
        <w:rPr>
          <w:rFonts w:ascii="仿宋" w:hAnsi="仿宋" w:eastAsia="仿宋"/>
          <w:b/>
          <w:sz w:val="24"/>
        </w:rPr>
      </w:pPr>
      <w:r>
        <w:rPr>
          <w:rFonts w:ascii="仿宋" w:hAnsi="仿宋" w:eastAsia="仿宋"/>
          <w:b/>
          <w:sz w:val="24"/>
        </w:rPr>
        <w:t>第</w:t>
      </w:r>
      <w:r>
        <w:rPr>
          <w:rFonts w:hint="eastAsia" w:ascii="仿宋" w:hAnsi="仿宋" w:eastAsia="仿宋"/>
          <w:b/>
          <w:sz w:val="24"/>
          <w:lang w:val="en-US" w:eastAsia="zh-CN"/>
        </w:rPr>
        <w:t>1</w:t>
      </w:r>
      <w:r>
        <w:rPr>
          <w:rFonts w:hint="eastAsia" w:ascii="仿宋" w:hAnsi="仿宋" w:eastAsia="仿宋"/>
          <w:b/>
          <w:sz w:val="24"/>
        </w:rPr>
        <w:t>包 品目</w:t>
      </w:r>
      <w:r>
        <w:rPr>
          <w:rFonts w:hint="eastAsia" w:ascii="仿宋" w:hAnsi="仿宋" w:eastAsia="仿宋"/>
          <w:b/>
          <w:sz w:val="24"/>
          <w:lang w:val="en-US" w:eastAsia="zh-CN"/>
        </w:rPr>
        <w:t>1-2</w:t>
      </w:r>
      <w:r>
        <w:rPr>
          <w:rFonts w:hint="eastAsia" w:ascii="仿宋" w:hAnsi="仿宋" w:eastAsia="仿宋"/>
          <w:b/>
          <w:sz w:val="24"/>
        </w:rPr>
        <w:t>射线束扫描系统</w:t>
      </w:r>
    </w:p>
    <w:p w14:paraId="76EEE505">
      <w:pPr>
        <w:widowControl/>
        <w:spacing w:line="360" w:lineRule="auto"/>
        <w:jc w:val="left"/>
        <w:rPr>
          <w:rFonts w:ascii="仿宋" w:hAnsi="仿宋" w:eastAsia="仿宋"/>
          <w:b/>
          <w:sz w:val="24"/>
        </w:rPr>
      </w:pPr>
      <w:r>
        <w:rPr>
          <w:rFonts w:hint="eastAsia" w:ascii="仿宋" w:hAnsi="仿宋" w:eastAsia="仿宋"/>
          <w:b/>
          <w:sz w:val="24"/>
        </w:rPr>
        <w:t>数量：1套，每套技术参数如下</w:t>
      </w:r>
    </w:p>
    <w:p w14:paraId="4296B99F">
      <w:pPr>
        <w:pStyle w:val="2"/>
        <w:ind w:firstLine="0"/>
        <w:rPr>
          <w:rFonts w:ascii="仿宋" w:hAnsi="仿宋" w:eastAsia="仿宋"/>
          <w:b w:val="0"/>
          <w:bCs/>
        </w:rPr>
      </w:pPr>
      <w:r>
        <w:rPr>
          <w:rFonts w:hint="eastAsia" w:ascii="仿宋" w:hAnsi="仿宋" w:eastAsia="仿宋"/>
          <w:b w:val="0"/>
          <w:bCs/>
        </w:rPr>
        <w:t>一、技术参数</w:t>
      </w:r>
    </w:p>
    <w:p w14:paraId="6BFB96C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rPr>
        <w:t>★</w:t>
      </w:r>
      <w:r>
        <w:rPr>
          <w:rFonts w:hint="eastAsia" w:ascii="仿宋" w:hAnsi="仿宋" w:eastAsia="仿宋"/>
          <w:b w:val="0"/>
          <w:bCs/>
          <w:sz w:val="24"/>
          <w:lang w:val="en-US" w:eastAsia="zh-CN"/>
        </w:rPr>
        <w:t>1、</w:t>
      </w:r>
      <w:r>
        <w:rPr>
          <w:rFonts w:hint="eastAsia" w:ascii="仿宋" w:hAnsi="仿宋" w:eastAsia="仿宋"/>
          <w:b w:val="0"/>
          <w:bCs/>
          <w:sz w:val="24"/>
        </w:rPr>
        <w:t>探头类型：半导体或电离室探头。</w:t>
      </w:r>
    </w:p>
    <w:p w14:paraId="391765A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rPr>
        <w:t>★</w:t>
      </w:r>
      <w:r>
        <w:rPr>
          <w:rFonts w:hint="eastAsia" w:ascii="仿宋" w:hAnsi="仿宋" w:eastAsia="仿宋"/>
          <w:b w:val="0"/>
          <w:bCs/>
          <w:sz w:val="24"/>
          <w:lang w:val="en-US" w:eastAsia="zh-CN"/>
        </w:rPr>
        <w:t>2、</w:t>
      </w:r>
      <w:r>
        <w:rPr>
          <w:rFonts w:hint="eastAsia" w:ascii="仿宋" w:hAnsi="仿宋" w:eastAsia="仿宋"/>
          <w:b w:val="0"/>
          <w:bCs/>
          <w:sz w:val="24"/>
        </w:rPr>
        <w:t>探头数量：≥1000。</w:t>
      </w:r>
    </w:p>
    <w:p w14:paraId="6D5E9E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3、</w:t>
      </w:r>
      <w:r>
        <w:rPr>
          <w:rFonts w:hint="eastAsia" w:ascii="仿宋" w:hAnsi="仿宋" w:eastAsia="仿宋"/>
          <w:b w:val="0"/>
          <w:bCs/>
          <w:sz w:val="24"/>
        </w:rPr>
        <w:t>探头最小间距：≤2.47 mm。</w:t>
      </w:r>
    </w:p>
    <w:p w14:paraId="3CA26BE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4、</w:t>
      </w:r>
      <w:r>
        <w:rPr>
          <w:rFonts w:hint="eastAsia" w:ascii="仿宋" w:hAnsi="仿宋" w:eastAsia="仿宋"/>
          <w:b w:val="0"/>
          <w:bCs/>
          <w:sz w:val="24"/>
        </w:rPr>
        <w:t>探头有效尺寸：≤0.48x0.48mm。</w:t>
      </w:r>
    </w:p>
    <w:p w14:paraId="3011EC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5、</w:t>
      </w:r>
      <w:r>
        <w:rPr>
          <w:rFonts w:hint="eastAsia" w:ascii="仿宋" w:hAnsi="仿宋" w:eastAsia="仿宋"/>
          <w:b w:val="0"/>
          <w:bCs/>
          <w:sz w:val="24"/>
        </w:rPr>
        <w:t>测量范围：≥7.7x7.7cm。</w:t>
      </w:r>
    </w:p>
    <w:p w14:paraId="1BE1504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6、</w:t>
      </w:r>
      <w:r>
        <w:rPr>
          <w:rFonts w:hint="eastAsia" w:ascii="仿宋" w:hAnsi="仿宋" w:eastAsia="仿宋"/>
          <w:b w:val="0"/>
          <w:bCs/>
          <w:sz w:val="24"/>
        </w:rPr>
        <w:t>适用能量范围：光子Co60-25 MV，FFF 6-10 MV。</w:t>
      </w:r>
    </w:p>
    <w:p w14:paraId="4CA99E5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rPr>
        <w:t>▲</w:t>
      </w:r>
      <w:r>
        <w:rPr>
          <w:rFonts w:hint="eastAsia" w:ascii="仿宋" w:hAnsi="仿宋" w:eastAsia="仿宋"/>
          <w:b w:val="0"/>
          <w:bCs/>
          <w:sz w:val="24"/>
          <w:lang w:val="en-US" w:eastAsia="zh-CN"/>
        </w:rPr>
        <w:t>7、</w:t>
      </w:r>
      <w:r>
        <w:rPr>
          <w:rFonts w:hint="eastAsia" w:ascii="仿宋" w:hAnsi="仿宋" w:eastAsia="仿宋"/>
          <w:b w:val="0"/>
          <w:bCs/>
          <w:sz w:val="24"/>
        </w:rPr>
        <w:t>探头分布：均匀分布。</w:t>
      </w:r>
    </w:p>
    <w:p w14:paraId="17B526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8、</w:t>
      </w:r>
      <w:r>
        <w:rPr>
          <w:rFonts w:hint="eastAsia" w:ascii="仿宋" w:hAnsi="仿宋" w:eastAsia="仿宋"/>
          <w:b w:val="0"/>
          <w:bCs/>
          <w:sz w:val="24"/>
        </w:rPr>
        <w:t>模体和支架：立体机模和支架可安装在治疗床上。</w:t>
      </w:r>
    </w:p>
    <w:p w14:paraId="764E91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9、</w:t>
      </w:r>
      <w:r>
        <w:rPr>
          <w:rFonts w:hint="eastAsia" w:ascii="仿宋" w:hAnsi="仿宋" w:eastAsia="仿宋"/>
          <w:b w:val="0"/>
          <w:bCs/>
          <w:sz w:val="24"/>
        </w:rPr>
        <w:t>胶片插件：具有测量剂量线并提供≥5个钛基准和定位标记。</w:t>
      </w:r>
    </w:p>
    <w:p w14:paraId="45C4B3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10、</w:t>
      </w:r>
      <w:r>
        <w:rPr>
          <w:rFonts w:hint="eastAsia" w:ascii="仿宋" w:hAnsi="仿宋" w:eastAsia="仿宋"/>
          <w:b w:val="0"/>
          <w:bCs/>
          <w:sz w:val="24"/>
        </w:rPr>
        <w:t>电离室插件：可将电离室的有效体积放置于体膜的中心位置并测量射线剂量。</w:t>
      </w:r>
    </w:p>
    <w:p w14:paraId="1FA1827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11、</w:t>
      </w:r>
      <w:r>
        <w:rPr>
          <w:rFonts w:hint="eastAsia" w:ascii="仿宋" w:hAnsi="仿宋" w:eastAsia="仿宋"/>
          <w:b w:val="0"/>
          <w:bCs/>
          <w:sz w:val="24"/>
        </w:rPr>
        <w:t>CT/MRI插件：验证图像融合算法的精度，包括≥3个可在CT和MRI图像中可见不同尺寸、充满矿物油的球形空腔。</w:t>
      </w:r>
    </w:p>
    <w:p w14:paraId="10F78C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12、</w:t>
      </w:r>
      <w:r>
        <w:rPr>
          <w:rFonts w:hint="eastAsia" w:ascii="仿宋" w:hAnsi="仿宋" w:eastAsia="仿宋"/>
          <w:b w:val="0"/>
          <w:bCs/>
          <w:sz w:val="24"/>
        </w:rPr>
        <w:t>匀质间隔插件：在膜体圆柱中精确的确定测量插件的位置，它在不同深度的≥5个铝球进行CT-CT或CT-X光射线的融合。</w:t>
      </w:r>
    </w:p>
    <w:p w14:paraId="2B6F49B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13、</w:t>
      </w:r>
      <w:r>
        <w:rPr>
          <w:rFonts w:hint="eastAsia" w:ascii="仿宋" w:hAnsi="仿宋" w:eastAsia="仿宋"/>
          <w:b w:val="0"/>
          <w:bCs/>
          <w:sz w:val="24"/>
        </w:rPr>
        <w:t>应用程序：可满足SRS/SBRT端对端QA验证。</w:t>
      </w:r>
    </w:p>
    <w:p w14:paraId="2F5D6B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14、</w:t>
      </w:r>
      <w:r>
        <w:rPr>
          <w:rFonts w:hint="eastAsia" w:ascii="仿宋" w:hAnsi="仿宋" w:eastAsia="仿宋"/>
          <w:b w:val="0"/>
          <w:bCs/>
          <w:sz w:val="24"/>
        </w:rPr>
        <w:t>数据分析：可包括相对剂量和绝对剂量分析、剂量进行叠加、相减、TDA，伽马分析等数据分析。</w:t>
      </w:r>
    </w:p>
    <w:p w14:paraId="2A838B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rPr>
        <w:t>▲</w:t>
      </w:r>
      <w:r>
        <w:rPr>
          <w:rFonts w:hint="eastAsia" w:ascii="仿宋" w:hAnsi="仿宋" w:eastAsia="仿宋"/>
          <w:b w:val="0"/>
          <w:bCs/>
          <w:sz w:val="24"/>
          <w:lang w:val="en-US" w:eastAsia="zh-CN"/>
        </w:rPr>
        <w:t>15、</w:t>
      </w:r>
      <w:r>
        <w:rPr>
          <w:rFonts w:hint="eastAsia" w:ascii="仿宋" w:hAnsi="仿宋" w:eastAsia="仿宋"/>
          <w:b w:val="0"/>
          <w:bCs/>
          <w:sz w:val="24"/>
        </w:rPr>
        <w:t>软件授权：多台计算机授权，包括分析软件模块及导入治疗计划系统数据的接口授权。</w:t>
      </w:r>
    </w:p>
    <w:p w14:paraId="4871560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16、</w:t>
      </w:r>
      <w:r>
        <w:rPr>
          <w:rFonts w:hint="eastAsia" w:ascii="仿宋" w:hAnsi="仿宋" w:eastAsia="仿宋"/>
          <w:b w:val="0"/>
          <w:bCs/>
          <w:sz w:val="24"/>
        </w:rPr>
        <w:t>摆位误差：可自动计算测量中可能出现的摆位误差或因加速器导致的误差。</w:t>
      </w:r>
    </w:p>
    <w:p w14:paraId="4B9556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rPr>
        <w:t>▲</w:t>
      </w:r>
      <w:r>
        <w:rPr>
          <w:rFonts w:hint="eastAsia" w:ascii="仿宋" w:hAnsi="仿宋" w:eastAsia="仿宋"/>
          <w:b w:val="0"/>
          <w:bCs/>
          <w:sz w:val="24"/>
          <w:lang w:val="en-US" w:eastAsia="zh-CN"/>
        </w:rPr>
        <w:t>17、</w:t>
      </w:r>
      <w:r>
        <w:rPr>
          <w:rFonts w:hint="eastAsia" w:ascii="仿宋" w:hAnsi="仿宋" w:eastAsia="仿宋"/>
          <w:b w:val="0"/>
          <w:bCs/>
          <w:sz w:val="24"/>
        </w:rPr>
        <w:t>复合：可将同一计划中多个照射野的测量结果进行复合。</w:t>
      </w:r>
    </w:p>
    <w:p w14:paraId="2C5C286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18、</w:t>
      </w:r>
      <w:r>
        <w:rPr>
          <w:rFonts w:hint="eastAsia" w:ascii="仿宋" w:hAnsi="仿宋" w:eastAsia="仿宋"/>
          <w:b w:val="0"/>
          <w:bCs/>
          <w:sz w:val="24"/>
        </w:rPr>
        <w:t>具备临床文献证明其有效性。</w:t>
      </w:r>
    </w:p>
    <w:p w14:paraId="50F7818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rPr>
        <w:t>二、</w:t>
      </w:r>
      <w:r>
        <w:rPr>
          <w:rFonts w:hint="eastAsia" w:ascii="仿宋" w:hAnsi="仿宋" w:eastAsia="仿宋"/>
          <w:b w:val="0"/>
          <w:bCs/>
          <w:sz w:val="24"/>
          <w:lang w:val="en-US" w:eastAsia="zh-CN"/>
        </w:rPr>
        <w:t>主要</w:t>
      </w:r>
      <w:r>
        <w:rPr>
          <w:rFonts w:hint="eastAsia" w:ascii="仿宋" w:hAnsi="仿宋" w:eastAsia="仿宋"/>
          <w:b w:val="0"/>
          <w:bCs/>
          <w:sz w:val="24"/>
        </w:rPr>
        <w:t>配置：</w:t>
      </w:r>
    </w:p>
    <w:p w14:paraId="41B8D9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1、</w:t>
      </w:r>
      <w:r>
        <w:rPr>
          <w:rFonts w:hint="eastAsia" w:ascii="仿宋" w:hAnsi="仿宋" w:eastAsia="仿宋"/>
          <w:b w:val="0"/>
          <w:bCs/>
          <w:sz w:val="24"/>
        </w:rPr>
        <w:t>测量矩阵1台。</w:t>
      </w:r>
    </w:p>
    <w:p w14:paraId="7C3516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2、</w:t>
      </w:r>
      <w:r>
        <w:rPr>
          <w:rFonts w:hint="eastAsia" w:ascii="仿宋" w:hAnsi="仿宋" w:eastAsia="仿宋"/>
          <w:b w:val="0"/>
          <w:bCs/>
          <w:sz w:val="24"/>
        </w:rPr>
        <w:t>圆形模体1个。</w:t>
      </w:r>
    </w:p>
    <w:p w14:paraId="48BFA1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b w:val="0"/>
          <w:bCs/>
          <w:sz w:val="24"/>
        </w:rPr>
      </w:pPr>
      <w:r>
        <w:rPr>
          <w:rFonts w:hint="eastAsia" w:ascii="仿宋" w:hAnsi="仿宋" w:eastAsia="仿宋"/>
          <w:b w:val="0"/>
          <w:bCs/>
          <w:sz w:val="24"/>
          <w:lang w:val="en-US" w:eastAsia="zh-CN"/>
        </w:rPr>
        <w:t>3、</w:t>
      </w:r>
      <w:r>
        <w:rPr>
          <w:rFonts w:hint="eastAsia" w:ascii="仿宋" w:hAnsi="仿宋" w:eastAsia="仿宋"/>
          <w:b w:val="0"/>
          <w:bCs/>
          <w:sz w:val="24"/>
        </w:rPr>
        <w:t>分析软件1套。</w:t>
      </w:r>
    </w:p>
    <w:p w14:paraId="48EE56F1">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b/>
          <w:sz w:val="24"/>
        </w:rPr>
      </w:pPr>
      <w:r>
        <w:rPr>
          <w:rFonts w:hint="eastAsia" w:ascii="仿宋" w:hAnsi="仿宋" w:eastAsia="仿宋"/>
          <w:b w:val="0"/>
          <w:bCs/>
          <w:sz w:val="24"/>
          <w:lang w:val="en-US" w:eastAsia="zh-CN"/>
        </w:rPr>
        <w:t>4、</w:t>
      </w:r>
      <w:r>
        <w:rPr>
          <w:rFonts w:hint="eastAsia" w:ascii="仿宋" w:hAnsi="仿宋" w:eastAsia="仿宋"/>
          <w:b w:val="0"/>
          <w:bCs/>
          <w:sz w:val="24"/>
        </w:rPr>
        <w:t>工作站1套。</w:t>
      </w:r>
      <w:r>
        <w:rPr>
          <w:rFonts w:ascii="仿宋" w:hAnsi="仿宋" w:eastAsia="仿宋"/>
          <w:b/>
          <w:sz w:val="24"/>
        </w:rPr>
        <w:br w:type="page"/>
      </w:r>
    </w:p>
    <w:bookmarkEnd w:id="17"/>
    <w:p w14:paraId="5CB54983">
      <w:pPr>
        <w:snapToGrid w:val="0"/>
        <w:spacing w:line="360" w:lineRule="auto"/>
        <w:ind w:firstLine="480" w:firstLineChars="200"/>
        <w:rPr>
          <w:rFonts w:ascii="仿宋" w:hAnsi="仿宋" w:eastAsia="仿宋" w:cs="仿宋"/>
          <w:bCs/>
          <w:sz w:val="24"/>
        </w:rPr>
      </w:pPr>
      <w:bookmarkStart w:id="22" w:name="OLE_LINK371"/>
      <w:bookmarkStart w:id="23" w:name="OLE_LINK372"/>
      <w:r>
        <w:rPr>
          <w:rFonts w:hint="eastAsia" w:ascii="仿宋" w:hAnsi="仿宋" w:eastAsia="仿宋" w:cs="仿宋"/>
          <w:bCs/>
          <w:sz w:val="24"/>
        </w:rPr>
        <w:t>2、采购标的需满足的服务标准、期限、效率等要求；</w:t>
      </w:r>
    </w:p>
    <w:bookmarkEnd w:id="22"/>
    <w:bookmarkEnd w:id="23"/>
    <w:p w14:paraId="4E616AAA">
      <w:pPr>
        <w:pStyle w:val="3"/>
        <w:tabs>
          <w:tab w:val="left" w:pos="420"/>
          <w:tab w:val="left" w:pos="900"/>
        </w:tabs>
        <w:spacing w:line="360" w:lineRule="auto"/>
        <w:ind w:left="420" w:leftChars="200"/>
        <w:contextualSpacing/>
        <w:rPr>
          <w:rFonts w:hint="default" w:ascii="仿宋" w:hAnsi="仿宋" w:eastAsia="仿宋" w:cs="仿宋"/>
          <w:bCs/>
          <w:sz w:val="24"/>
          <w:szCs w:val="24"/>
        </w:rPr>
      </w:pPr>
      <w:r>
        <w:rPr>
          <w:rFonts w:ascii="仿宋" w:hAnsi="仿宋" w:eastAsia="仿宋" w:cs="仿宋"/>
          <w:bCs/>
          <w:sz w:val="24"/>
          <w:szCs w:val="24"/>
        </w:rPr>
        <w:t>2.1、投标人应有能力做好售后服务工作和提供技术保障。投标人或投标产品制造商应设有专业的售后服务维修机构，有充足的零件储备和能力相当的技术服务人员，并保证投标产品停产后8年的备件供应。</w:t>
      </w:r>
    </w:p>
    <w:p w14:paraId="451E1AFA">
      <w:pPr>
        <w:pStyle w:val="2"/>
      </w:pPr>
    </w:p>
    <w:p w14:paraId="3C252FBE">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3、为落实政府采购政策需满足的要求；</w:t>
      </w:r>
    </w:p>
    <w:p w14:paraId="0FD866A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72CC69F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690537B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1ADE337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6FADF2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0E36366D">
      <w:pPr>
        <w:snapToGrid w:val="0"/>
        <w:spacing w:line="360" w:lineRule="auto"/>
        <w:ind w:firstLine="480" w:firstLineChars="200"/>
        <w:rPr>
          <w:rFonts w:ascii="仿宋" w:hAnsi="仿宋" w:eastAsia="仿宋" w:cs="仿宋"/>
          <w:bCs/>
          <w:sz w:val="24"/>
        </w:rPr>
      </w:pPr>
      <w:bookmarkStart w:id="24"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5" w:name="OLE_LINK55"/>
      <w:bookmarkStart w:id="26" w:name="OLE_LINK56"/>
      <w:r>
        <w:rPr>
          <w:rFonts w:hint="eastAsia" w:ascii="仿宋" w:hAnsi="仿宋" w:eastAsia="仿宋" w:cs="仿宋"/>
          <w:b/>
          <w:bCs/>
          <w:sz w:val="24"/>
        </w:rPr>
        <w:t>投标人</w:t>
      </w:r>
      <w:bookmarkEnd w:id="25"/>
      <w:bookmarkEnd w:id="26"/>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24"/>
    </w:p>
    <w:p w14:paraId="0B16FE7C">
      <w:pPr>
        <w:pStyle w:val="2"/>
      </w:pPr>
    </w:p>
    <w:p w14:paraId="507ECE2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4、采购标的的其他技术、服务等要求；</w:t>
      </w:r>
    </w:p>
    <w:p w14:paraId="35408B2C">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4.1、技术证明支持材料</w:t>
      </w:r>
    </w:p>
    <w:p w14:paraId="340D2743">
      <w:pPr>
        <w:snapToGrid w:val="0"/>
        <w:spacing w:line="360" w:lineRule="auto"/>
        <w:ind w:firstLine="480" w:firstLineChars="200"/>
        <w:rPr>
          <w:rFonts w:ascii="仿宋" w:hAnsi="仿宋" w:eastAsia="仿宋" w:cs="仿宋"/>
          <w:bCs/>
          <w:sz w:val="24"/>
        </w:rPr>
      </w:pPr>
      <w:bookmarkStart w:id="27" w:name="OLE_LINK200"/>
      <w:bookmarkStart w:id="28" w:name="OLE_LINK201"/>
      <w:r>
        <w:rPr>
          <w:rFonts w:hint="eastAsia" w:ascii="仿宋" w:hAnsi="仿宋" w:eastAsia="仿宋" w:cs="仿宋"/>
          <w:bCs/>
          <w:sz w:val="24"/>
        </w:rPr>
        <w:t>4.1.</w:t>
      </w:r>
      <w:bookmarkEnd w:id="27"/>
      <w:bookmarkEnd w:id="28"/>
      <w:r>
        <w:rPr>
          <w:rFonts w:hint="eastAsia" w:ascii="仿宋" w:hAnsi="仿宋" w:eastAsia="仿宋" w:cs="仿宋"/>
          <w:bCs/>
          <w:sz w:val="24"/>
        </w:rPr>
        <w:t>1、对于技术规格中标注“★”号的技术参数代表实质性指标，不满足该指标项将直接导致投标被拒绝。</w:t>
      </w:r>
    </w:p>
    <w:p w14:paraId="40A13A1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4.1.2、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和“★”号的技术参数，投标人须在投标文件中按照招标文件技术规格的要求提供技术应答的证明材料，如技术规格中无特殊要求则应提交本条款规定的技术支持资料。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77BAE3DE">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4.2、供货及安装要求</w:t>
      </w:r>
      <w:r>
        <w:rPr>
          <w:rFonts w:hint="eastAsia" w:ascii="仿宋" w:hAnsi="仿宋" w:eastAsia="仿宋" w:cs="仿宋"/>
          <w:b/>
          <w:bCs/>
          <w:sz w:val="24"/>
        </w:rPr>
        <w:tab/>
      </w:r>
    </w:p>
    <w:p w14:paraId="517BCDD6">
      <w:pPr>
        <w:snapToGrid w:val="0"/>
        <w:spacing w:line="360" w:lineRule="auto"/>
        <w:ind w:firstLine="480" w:firstLineChars="200"/>
        <w:rPr>
          <w:rFonts w:ascii="仿宋" w:hAnsi="仿宋" w:eastAsia="仿宋" w:cs="仿宋"/>
          <w:bCs/>
          <w:sz w:val="24"/>
        </w:rPr>
      </w:pPr>
      <w:bookmarkStart w:id="29" w:name="OLE_LINK203"/>
      <w:bookmarkStart w:id="30" w:name="OLE_LINK202"/>
      <w:r>
        <w:rPr>
          <w:rFonts w:hint="eastAsia" w:ascii="仿宋" w:hAnsi="仿宋" w:eastAsia="仿宋" w:cs="仿宋"/>
          <w:bCs/>
          <w:sz w:val="24"/>
        </w:rPr>
        <w:t>4.2.1、</w:t>
      </w:r>
      <w:bookmarkEnd w:id="29"/>
      <w:bookmarkEnd w:id="30"/>
      <w:r>
        <w:rPr>
          <w:rFonts w:hint="eastAsia" w:ascii="仿宋" w:hAnsi="仿宋" w:eastAsia="仿宋" w:cs="仿宋"/>
          <w:bCs/>
          <w:sz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4B7CA762">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4.2.2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2A97944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4.2.3、投标人所提供的部件之间及设备之间的连线或接插件均视为设备内部部件，应包含在相应的配置中。</w:t>
      </w:r>
    </w:p>
    <w:p w14:paraId="04B96B4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4.2.4、工作条件：除了在技术规格中另有规定外，投标人提供的一切仪器、设备和系统，应符合下列条件：</w:t>
      </w:r>
    </w:p>
    <w:p w14:paraId="1886FD61">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1）仪器设备的插头要符合中国电工标准。如不符合，则应提供适合仪器插头的插座，必须要有接地。</w:t>
      </w:r>
    </w:p>
    <w:p w14:paraId="0208D4A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2）如果仪器设备需特殊的工作条件（如：水、电源、磁场强度、特殊温度、湿度、震动强度等），投标人应在有关投标文件中加以说明。</w:t>
      </w:r>
    </w:p>
    <w:p w14:paraId="6A8286CF">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4.3、</w:t>
      </w:r>
      <w:bookmarkStart w:id="31" w:name="OLE_LINK65"/>
      <w:r>
        <w:rPr>
          <w:rFonts w:hint="eastAsia" w:ascii="仿宋" w:hAnsi="仿宋" w:eastAsia="仿宋" w:cs="仿宋"/>
          <w:b/>
          <w:bCs/>
          <w:sz w:val="24"/>
        </w:rPr>
        <w:t>培训要求</w:t>
      </w:r>
      <w:bookmarkEnd w:id="31"/>
      <w:r>
        <w:rPr>
          <w:rFonts w:hint="eastAsia" w:ascii="仿宋" w:hAnsi="仿宋" w:eastAsia="仿宋" w:cs="仿宋"/>
          <w:b/>
          <w:bCs/>
          <w:sz w:val="24"/>
        </w:rPr>
        <w:t>：</w:t>
      </w:r>
    </w:p>
    <w:p w14:paraId="2CCA3E9C">
      <w:pPr>
        <w:tabs>
          <w:tab w:val="left" w:pos="900"/>
        </w:tabs>
        <w:spacing w:line="360" w:lineRule="auto"/>
        <w:ind w:firstLine="480" w:firstLineChars="200"/>
        <w:rPr>
          <w:rFonts w:ascii="仿宋" w:hAnsi="仿宋" w:eastAsia="仿宋"/>
          <w:sz w:val="24"/>
        </w:rPr>
      </w:pPr>
      <w:r>
        <w:rPr>
          <w:rFonts w:hint="eastAsia" w:ascii="仿宋" w:hAnsi="仿宋" w:eastAsia="仿宋"/>
          <w:sz w:val="24"/>
        </w:rPr>
        <w:t>培训是指涉及产品基本原理、安装、调试、操作使用和保养维修等有关内容的学习</w:t>
      </w:r>
      <w:r>
        <w:rPr>
          <w:rFonts w:hint="eastAsia" w:ascii="仿宋" w:hAnsi="仿宋" w:eastAsia="仿宋"/>
          <w:b/>
          <w:sz w:val="24"/>
        </w:rPr>
        <w:t>。</w:t>
      </w:r>
      <w:r>
        <w:rPr>
          <w:rFonts w:hint="eastAsia" w:ascii="仿宋" w:hAnsi="仿宋" w:eastAsia="仿宋"/>
          <w:sz w:val="24"/>
        </w:rPr>
        <w:t>投标人应保证在采购人指定交货地点对每包（品目）最终用户设备操作人员提供不少于1天的免费培训。投标人投标时应提供详细的培训方案（</w:t>
      </w:r>
      <w:r>
        <w:rPr>
          <w:rFonts w:hint="eastAsia" w:ascii="仿宋" w:hAnsi="仿宋" w:eastAsia="仿宋"/>
          <w:b/>
          <w:sz w:val="24"/>
        </w:rPr>
        <w:t>应包括对培训内容、培训对象、培训时间做出计划，包括培训时间、地点、人次、方式、预计培训结果等</w:t>
      </w:r>
      <w:r>
        <w:rPr>
          <w:rFonts w:hint="eastAsia" w:ascii="仿宋" w:hAnsi="仿宋" w:eastAsia="仿宋"/>
          <w:sz w:val="24"/>
        </w:rPr>
        <w:t>）。培训教员的差旅费、食宿费、培训教材等费用，应计入投标报价。</w:t>
      </w:r>
    </w:p>
    <w:p w14:paraId="77F2E1F7">
      <w:pPr>
        <w:pStyle w:val="2"/>
      </w:pPr>
    </w:p>
    <w:p w14:paraId="27B99CB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5、需由投标人提供设计方案、解决方案或者组织方案的采购项目，应当说明采购标的的功能、应用场景、目标等基本要求</w:t>
      </w:r>
    </w:p>
    <w:p w14:paraId="7AF932E3">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3F4A27AE">
      <w:pPr>
        <w:pStyle w:val="2"/>
        <w:rPr>
          <w:rFonts w:ascii="仿宋" w:hAnsi="仿宋" w:eastAsia="仿宋"/>
        </w:rPr>
      </w:pPr>
    </w:p>
    <w:p w14:paraId="6654D1D8">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（三）验收标准</w:t>
      </w:r>
    </w:p>
    <w:p w14:paraId="7A8FF872">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33BD73D1">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2、货物运抵采购项目（标的）交付的地点后，采购人将在</w:t>
      </w:r>
      <w:r>
        <w:rPr>
          <w:rFonts w:hint="eastAsia" w:ascii="仿宋" w:hAnsi="仿宋" w:eastAsia="仿宋" w:cs="仿宋"/>
          <w:bCs/>
          <w:sz w:val="24"/>
          <w:u w:val="single"/>
        </w:rPr>
        <w:t>30个工作日</w:t>
      </w:r>
      <w:r>
        <w:rPr>
          <w:rFonts w:hint="eastAsia" w:ascii="仿宋" w:hAnsi="仿宋" w:eastAsia="仿宋" w:cs="仿宋"/>
          <w:bCs/>
          <w:sz w:val="24"/>
        </w:rPr>
        <w:t>内组织验收，由采购人组织验收小组，对货物的数量、外观、包装、质量、安全、功能及性能等进行验收，项目验收依据为采购合同、招标文件和投标文件。验收小组将根据验收情况制作验收备忘录并签署验收意见。</w:t>
      </w:r>
    </w:p>
    <w:p w14:paraId="10BE0715">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3、投标人应负责使所供计量仪器通过计量部门的验收，并承担相关费用（包括运费）。若需要，应在检测期间提供备用仪器，以便不影响采购人的使用。</w:t>
      </w:r>
    </w:p>
    <w:p w14:paraId="660281F1">
      <w:pPr>
        <w:pStyle w:val="2"/>
        <w:rPr>
          <w:rFonts w:ascii="仿宋" w:hAnsi="仿宋" w:eastAsia="仿宋" w:cs="仿宋"/>
          <w:bCs/>
        </w:rPr>
      </w:pPr>
      <w:r>
        <w:rPr>
          <w:rFonts w:hint="eastAsia" w:ascii="仿宋" w:hAnsi="仿宋" w:eastAsia="仿宋" w:cs="仿宋"/>
          <w:bCs/>
        </w:rPr>
        <w:t>4. 货物验收时，如投标产品为进口产品，投标人须提供相应的进口产品报关单。</w:t>
      </w:r>
    </w:p>
    <w:p w14:paraId="0C5A883C">
      <w:pPr>
        <w:pStyle w:val="2"/>
        <w:rPr>
          <w:rFonts w:ascii="仿宋" w:hAnsi="仿宋" w:eastAsia="仿宋" w:cs="仿宋"/>
          <w:bCs/>
        </w:rPr>
      </w:pPr>
    </w:p>
    <w:p w14:paraId="76EA9955">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14:paraId="1A6C7EF4">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bookmarkEnd w:id="0"/>
    <w:bookmarkEnd w:id="1"/>
    <w:p w14:paraId="7DBC892D">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085F08B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60129E"/>
    <w:multiLevelType w:val="multilevel"/>
    <w:tmpl w:val="1260129E"/>
    <w:lvl w:ilvl="0" w:tentative="0">
      <w:start w:val="2"/>
      <w:numFmt w:val="decimal"/>
      <w:lvlText w:val="%1."/>
      <w:lvlJc w:val="left"/>
      <w:pPr>
        <w:tabs>
          <w:tab w:val="left" w:pos="420"/>
        </w:tabs>
        <w:ind w:left="420" w:hanging="420"/>
      </w:pPr>
      <w:rPr>
        <w:rFonts w:hint="eastAsia" w:cs="Times New Roman"/>
      </w:rPr>
    </w:lvl>
    <w:lvl w:ilvl="1" w:tentative="0">
      <w:start w:val="1"/>
      <w:numFmt w:val="lowerLetter"/>
      <w:lvlText w:val="%2)"/>
      <w:lvlJc w:val="left"/>
      <w:pPr>
        <w:tabs>
          <w:tab w:val="left" w:pos="840"/>
        </w:tabs>
        <w:ind w:left="840" w:hanging="420"/>
      </w:pPr>
      <w:rPr>
        <w:rFonts w:hint="eastAsia" w:cs="Times New Roman"/>
      </w:rPr>
    </w:lvl>
    <w:lvl w:ilvl="2" w:tentative="0">
      <w:start w:val="1"/>
      <w:numFmt w:val="lowerRoman"/>
      <w:lvlText w:val="%3."/>
      <w:lvlJc w:val="right"/>
      <w:pPr>
        <w:tabs>
          <w:tab w:val="left" w:pos="1260"/>
        </w:tabs>
        <w:ind w:left="1260" w:hanging="420"/>
      </w:pPr>
      <w:rPr>
        <w:rFonts w:hint="eastAsia" w:cs="Times New Roman"/>
      </w:rPr>
    </w:lvl>
    <w:lvl w:ilvl="3" w:tentative="0">
      <w:start w:val="1"/>
      <w:numFmt w:val="decimal"/>
      <w:lvlText w:val="%4."/>
      <w:lvlJc w:val="left"/>
      <w:pPr>
        <w:tabs>
          <w:tab w:val="left" w:pos="1680"/>
        </w:tabs>
        <w:ind w:left="1680" w:hanging="420"/>
      </w:pPr>
      <w:rPr>
        <w:rFonts w:hint="eastAsia" w:cs="Times New Roman"/>
      </w:rPr>
    </w:lvl>
    <w:lvl w:ilvl="4" w:tentative="0">
      <w:start w:val="1"/>
      <w:numFmt w:val="lowerLetter"/>
      <w:lvlText w:val="%5)"/>
      <w:lvlJc w:val="left"/>
      <w:pPr>
        <w:tabs>
          <w:tab w:val="left" w:pos="2100"/>
        </w:tabs>
        <w:ind w:left="2100" w:hanging="420"/>
      </w:pPr>
      <w:rPr>
        <w:rFonts w:hint="eastAsia" w:cs="Times New Roman"/>
      </w:rPr>
    </w:lvl>
    <w:lvl w:ilvl="5" w:tentative="0">
      <w:start w:val="1"/>
      <w:numFmt w:val="lowerRoman"/>
      <w:lvlText w:val="%6."/>
      <w:lvlJc w:val="right"/>
      <w:pPr>
        <w:tabs>
          <w:tab w:val="left" w:pos="2520"/>
        </w:tabs>
        <w:ind w:left="2520" w:hanging="420"/>
      </w:pPr>
      <w:rPr>
        <w:rFonts w:hint="eastAsia" w:cs="Times New Roman"/>
      </w:rPr>
    </w:lvl>
    <w:lvl w:ilvl="6" w:tentative="0">
      <w:start w:val="1"/>
      <w:numFmt w:val="decimal"/>
      <w:lvlText w:val="%7."/>
      <w:lvlJc w:val="left"/>
      <w:pPr>
        <w:tabs>
          <w:tab w:val="left" w:pos="2940"/>
        </w:tabs>
        <w:ind w:left="2940" w:hanging="420"/>
      </w:pPr>
      <w:rPr>
        <w:rFonts w:hint="eastAsia" w:cs="Times New Roman"/>
      </w:rPr>
    </w:lvl>
    <w:lvl w:ilvl="7" w:tentative="0">
      <w:start w:val="1"/>
      <w:numFmt w:val="lowerLetter"/>
      <w:lvlText w:val="%8)"/>
      <w:lvlJc w:val="left"/>
      <w:pPr>
        <w:tabs>
          <w:tab w:val="left" w:pos="3360"/>
        </w:tabs>
        <w:ind w:left="3360" w:hanging="420"/>
      </w:pPr>
      <w:rPr>
        <w:rFonts w:hint="eastAsia" w:cs="Times New Roman"/>
      </w:rPr>
    </w:lvl>
    <w:lvl w:ilvl="8" w:tentative="0">
      <w:start w:val="1"/>
      <w:numFmt w:val="lowerRoman"/>
      <w:lvlText w:val="%9."/>
      <w:lvlJc w:val="right"/>
      <w:pPr>
        <w:tabs>
          <w:tab w:val="left" w:pos="3780"/>
        </w:tabs>
        <w:ind w:left="3780" w:hanging="420"/>
      </w:pPr>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AB9"/>
    <w:rsid w:val="0082178C"/>
    <w:rsid w:val="00C50CD4"/>
    <w:rsid w:val="00D31AB9"/>
    <w:rsid w:val="00DE7788"/>
    <w:rsid w:val="18E55645"/>
    <w:rsid w:val="79B73A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Normal Indent"/>
    <w:basedOn w:val="1"/>
    <w:link w:val="11"/>
    <w:qFormat/>
    <w:uiPriority w:val="0"/>
    <w:pPr>
      <w:autoSpaceDE w:val="0"/>
      <w:autoSpaceDN w:val="0"/>
      <w:adjustRightInd w:val="0"/>
      <w:ind w:firstLine="420"/>
      <w:jc w:val="left"/>
    </w:pPr>
    <w:rPr>
      <w:rFonts w:ascii="宋体"/>
      <w:sz w:val="24"/>
    </w:rPr>
  </w:style>
  <w:style w:type="paragraph" w:styleId="3">
    <w:name w:val="Plain Text"/>
    <w:basedOn w:val="1"/>
    <w:link w:val="10"/>
    <w:qFormat/>
    <w:uiPriority w:val="0"/>
    <w:rPr>
      <w:rFonts w:hint="eastAsia" w:ascii="宋体" w:hAnsi="Courier New"/>
      <w:szCs w:val="20"/>
    </w:rPr>
  </w:style>
  <w:style w:type="paragraph" w:styleId="4">
    <w:name w:val="footer"/>
    <w:basedOn w:val="1"/>
    <w:link w:val="9"/>
    <w:unhideWhenUsed/>
    <w:qFormat/>
    <w:uiPriority w:val="99"/>
    <w:pPr>
      <w:tabs>
        <w:tab w:val="center" w:pos="4153"/>
        <w:tab w:val="right" w:pos="8306"/>
      </w:tabs>
      <w:snapToGrid w:val="0"/>
      <w:jc w:val="left"/>
    </w:pPr>
    <w:rPr>
      <w:sz w:val="18"/>
      <w:szCs w:val="18"/>
    </w:rPr>
  </w:style>
  <w:style w:type="paragraph" w:styleId="5">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99"/>
    <w:rPr>
      <w:sz w:val="18"/>
      <w:szCs w:val="18"/>
    </w:rPr>
  </w:style>
  <w:style w:type="character" w:customStyle="1" w:styleId="9">
    <w:name w:val="页脚 Char"/>
    <w:basedOn w:val="7"/>
    <w:link w:val="4"/>
    <w:qFormat/>
    <w:uiPriority w:val="99"/>
    <w:rPr>
      <w:sz w:val="18"/>
      <w:szCs w:val="18"/>
    </w:rPr>
  </w:style>
  <w:style w:type="character" w:customStyle="1" w:styleId="10">
    <w:name w:val="纯文本 Char"/>
    <w:basedOn w:val="7"/>
    <w:link w:val="3"/>
    <w:qFormat/>
    <w:uiPriority w:val="0"/>
    <w:rPr>
      <w:rFonts w:ascii="宋体" w:hAnsi="Courier New" w:eastAsia="宋体" w:cs="Times New Roman"/>
      <w:szCs w:val="20"/>
    </w:rPr>
  </w:style>
  <w:style w:type="character" w:customStyle="1" w:styleId="11">
    <w:name w:val="正文缩进 Char1"/>
    <w:link w:val="2"/>
    <w:qFormat/>
    <w:uiPriority w:val="0"/>
    <w:rPr>
      <w:rFonts w:ascii="宋体" w:hAnsi="Times New Roman" w:eastAsia="宋体" w:cs="Times New Roman"/>
      <w:sz w:val="24"/>
      <w:szCs w:val="24"/>
    </w:rPr>
  </w:style>
  <w:style w:type="paragraph" w:customStyle="1" w:styleId="12">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6923</Words>
  <Characters>7490</Characters>
  <Lines>73</Lines>
  <Paragraphs>20</Paragraphs>
  <TotalTime>0</TotalTime>
  <ScaleCrop>false</ScaleCrop>
  <LinksUpToDate>false</LinksUpToDate>
  <CharactersWithSpaces>7516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2026-05-13T03:12:00Z</dcterms:created>
  <dc:creator>Lenovo</dc:creator>
  <cp:lastModifiedBy>赵雨辰</cp:lastModifiedBy>
  <dcterms:modified xsi:type="dcterms:W3CDTF">2026-09-22T07:58:28Z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2052-12.1.0.28505</vt:lpwstr>
  </property>
  <property fmtid="{D5CDD505-2E9C-101B-9397-08002B2CF9AE}" pid="4" name="ICV">
    <vt:lpwstr>BDDC598492FB4E79B6DB55D2390A6F43_12</vt:lpwstr>
  </property>
</Properties>
</file>