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84C62">
      <w:pPr>
        <w:shd w:val="clear" w:color="auto" w:fill="FFFFFF" w:themeFill="background1"/>
        <w:spacing w:line="360" w:lineRule="auto"/>
        <w:jc w:val="center"/>
        <w:rPr>
          <w:rFonts w:hint="eastAsia" w:eastAsiaTheme="minorEastAsia"/>
          <w:b/>
          <w:bCs w:val="0"/>
          <w:sz w:val="30"/>
          <w:szCs w:val="30"/>
          <w:lang w:val="en-US" w:eastAsia="zh-CN"/>
        </w:rPr>
      </w:pPr>
      <w:bookmarkStart w:id="14" w:name="_GoBack"/>
      <w:r>
        <w:rPr>
          <w:rFonts w:hint="eastAsia" w:eastAsiaTheme="minorEastAsia"/>
          <w:b/>
          <w:bCs w:val="0"/>
          <w:sz w:val="30"/>
          <w:szCs w:val="30"/>
          <w:lang w:val="en-US" w:eastAsia="zh-CN"/>
        </w:rPr>
        <w:t>采购需求</w:t>
      </w:r>
    </w:p>
    <w:bookmarkEnd w:id="14"/>
    <w:p w14:paraId="04B6E012">
      <w:pPr>
        <w:shd w:val="clear" w:color="auto" w:fill="FFFFFF" w:themeFill="background1"/>
        <w:spacing w:line="360" w:lineRule="auto"/>
        <w:rPr>
          <w:rFonts w:eastAsiaTheme="minorEastAsia"/>
          <w:bCs/>
          <w:sz w:val="24"/>
        </w:rPr>
      </w:pPr>
      <w:r>
        <w:rPr>
          <w:rFonts w:eastAsiaTheme="minorEastAsia"/>
          <w:bCs/>
          <w:sz w:val="24"/>
        </w:rPr>
        <w:t xml:space="preserve">1. </w:t>
      </w:r>
      <w:r>
        <w:rPr>
          <w:rFonts w:hint="eastAsia" w:eastAsiaTheme="minorEastAsia"/>
          <w:bCs/>
          <w:sz w:val="24"/>
        </w:rPr>
        <w:t>采购标的（货物需求一览表或简要服务内容及数量）</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3448"/>
        <w:gridCol w:w="2218"/>
        <w:gridCol w:w="2050"/>
      </w:tblGrid>
      <w:tr w14:paraId="31D0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73" w:type="pct"/>
            <w:vAlign w:val="center"/>
          </w:tcPr>
          <w:p w14:paraId="0C771EF6">
            <w:pPr>
              <w:widowControl/>
              <w:shd w:val="clear" w:color="auto" w:fill="FFFFFF" w:themeFill="background1"/>
              <w:spacing w:line="360" w:lineRule="auto"/>
              <w:contextualSpacing/>
              <w:jc w:val="center"/>
              <w:rPr>
                <w:rFonts w:eastAsiaTheme="minorEastAsia"/>
                <w:bCs/>
                <w:sz w:val="24"/>
              </w:rPr>
            </w:pPr>
            <w:bookmarkStart w:id="0" w:name="OLE_LINK141"/>
            <w:bookmarkStart w:id="1" w:name="OLE_LINK140"/>
            <w:r>
              <w:rPr>
                <w:rFonts w:hint="eastAsia" w:eastAsiaTheme="minorEastAsia"/>
                <w:bCs/>
                <w:sz w:val="24"/>
              </w:rPr>
              <w:t>包号</w:t>
            </w:r>
          </w:p>
        </w:tc>
        <w:tc>
          <w:tcPr>
            <w:tcW w:w="2022" w:type="pct"/>
            <w:vAlign w:val="center"/>
          </w:tcPr>
          <w:p w14:paraId="058C2728">
            <w:pPr>
              <w:widowControl/>
              <w:shd w:val="clear" w:color="auto" w:fill="FFFFFF" w:themeFill="background1"/>
              <w:spacing w:line="360" w:lineRule="auto"/>
              <w:contextualSpacing/>
              <w:jc w:val="center"/>
              <w:rPr>
                <w:rFonts w:eastAsiaTheme="minorEastAsia"/>
                <w:bCs/>
                <w:sz w:val="24"/>
              </w:rPr>
            </w:pPr>
            <w:r>
              <w:rPr>
                <w:rFonts w:hint="eastAsia" w:eastAsiaTheme="minorEastAsia"/>
                <w:bCs/>
                <w:sz w:val="24"/>
              </w:rPr>
              <w:t>标的名称</w:t>
            </w:r>
          </w:p>
        </w:tc>
        <w:tc>
          <w:tcPr>
            <w:tcW w:w="1301" w:type="pct"/>
            <w:vAlign w:val="center"/>
          </w:tcPr>
          <w:p w14:paraId="68FC88A7">
            <w:pPr>
              <w:widowControl/>
              <w:shd w:val="clear" w:color="auto" w:fill="FFFFFF" w:themeFill="background1"/>
              <w:spacing w:line="360" w:lineRule="auto"/>
              <w:contextualSpacing/>
              <w:jc w:val="center"/>
              <w:rPr>
                <w:rFonts w:eastAsiaTheme="minorEastAsia"/>
                <w:bCs/>
                <w:sz w:val="24"/>
              </w:rPr>
            </w:pPr>
            <w:r>
              <w:rPr>
                <w:rFonts w:hint="eastAsia" w:eastAsiaTheme="minorEastAsia"/>
                <w:bCs/>
                <w:sz w:val="24"/>
              </w:rPr>
              <w:t>数量</w:t>
            </w:r>
          </w:p>
        </w:tc>
        <w:tc>
          <w:tcPr>
            <w:tcW w:w="1202" w:type="pct"/>
            <w:vAlign w:val="center"/>
          </w:tcPr>
          <w:p w14:paraId="56073F3E">
            <w:pPr>
              <w:widowControl/>
              <w:shd w:val="clear" w:color="auto" w:fill="FFFFFF" w:themeFill="background1"/>
              <w:spacing w:line="360" w:lineRule="auto"/>
              <w:contextualSpacing/>
              <w:jc w:val="center"/>
              <w:rPr>
                <w:rFonts w:eastAsiaTheme="minorEastAsia"/>
                <w:bCs/>
                <w:sz w:val="24"/>
              </w:rPr>
            </w:pPr>
            <w:r>
              <w:rPr>
                <w:rFonts w:hint="eastAsia" w:eastAsiaTheme="minorEastAsia"/>
                <w:bCs/>
                <w:sz w:val="24"/>
              </w:rPr>
              <w:t>是否接受进口产品</w:t>
            </w:r>
          </w:p>
        </w:tc>
      </w:tr>
      <w:tr w14:paraId="1276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73" w:type="pct"/>
            <w:vAlign w:val="center"/>
          </w:tcPr>
          <w:p w14:paraId="7D2D0B39">
            <w:pPr>
              <w:widowControl/>
              <w:shd w:val="clear" w:color="auto" w:fill="FFFFFF" w:themeFill="background1"/>
              <w:contextualSpacing/>
              <w:jc w:val="center"/>
              <w:rPr>
                <w:rFonts w:eastAsiaTheme="minorEastAsia"/>
                <w:bCs/>
                <w:color w:val="auto"/>
                <w:sz w:val="24"/>
              </w:rPr>
            </w:pPr>
            <w:r>
              <w:rPr>
                <w:rFonts w:hint="eastAsia" w:eastAsiaTheme="minorEastAsia"/>
                <w:bCs/>
                <w:color w:val="auto"/>
                <w:sz w:val="24"/>
              </w:rPr>
              <w:t>1</w:t>
            </w:r>
          </w:p>
        </w:tc>
        <w:tc>
          <w:tcPr>
            <w:tcW w:w="2022" w:type="pct"/>
            <w:vAlign w:val="center"/>
          </w:tcPr>
          <w:p w14:paraId="370D59A3">
            <w:pPr>
              <w:widowControl/>
              <w:shd w:val="clear" w:color="auto" w:fill="FFFFFF" w:themeFill="background1"/>
              <w:spacing w:line="360" w:lineRule="auto"/>
              <w:contextualSpacing/>
              <w:jc w:val="center"/>
              <w:rPr>
                <w:rFonts w:eastAsiaTheme="minorEastAsia"/>
                <w:bCs/>
                <w:color w:val="auto"/>
                <w:sz w:val="24"/>
              </w:rPr>
            </w:pPr>
            <w:r>
              <w:rPr>
                <w:rFonts w:hint="eastAsia" w:eastAsiaTheme="minorEastAsia"/>
                <w:bCs/>
                <w:color w:val="auto"/>
                <w:sz w:val="24"/>
              </w:rPr>
              <w:t>预算事前绩效评估服务</w:t>
            </w:r>
          </w:p>
        </w:tc>
        <w:tc>
          <w:tcPr>
            <w:tcW w:w="1301" w:type="pct"/>
            <w:vAlign w:val="center"/>
          </w:tcPr>
          <w:p w14:paraId="0CB186A3">
            <w:pPr>
              <w:widowControl/>
              <w:shd w:val="clear" w:color="auto" w:fill="FFFFFF" w:themeFill="background1"/>
              <w:spacing w:line="360" w:lineRule="auto"/>
              <w:contextualSpacing/>
              <w:jc w:val="center"/>
              <w:rPr>
                <w:rFonts w:hint="default" w:eastAsiaTheme="minorEastAsia"/>
                <w:bCs/>
                <w:color w:val="auto"/>
                <w:sz w:val="24"/>
                <w:lang w:val="en-US" w:eastAsia="zh-CN"/>
              </w:rPr>
            </w:pPr>
            <w:r>
              <w:rPr>
                <w:rFonts w:hint="eastAsia" w:eastAsiaTheme="minorEastAsia"/>
                <w:bCs/>
                <w:color w:val="auto"/>
                <w:sz w:val="24"/>
                <w:lang w:val="en-US" w:eastAsia="zh-CN"/>
              </w:rPr>
              <w:t>约45个，最终以实际发生为准</w:t>
            </w:r>
          </w:p>
        </w:tc>
        <w:tc>
          <w:tcPr>
            <w:tcW w:w="1202" w:type="pct"/>
            <w:vAlign w:val="center"/>
          </w:tcPr>
          <w:p w14:paraId="5C1BF105">
            <w:pPr>
              <w:widowControl/>
              <w:shd w:val="clear" w:color="auto" w:fill="FFFFFF" w:themeFill="background1"/>
              <w:contextualSpacing/>
              <w:jc w:val="center"/>
              <w:rPr>
                <w:rFonts w:eastAsiaTheme="minorEastAsia"/>
                <w:bCs/>
                <w:color w:val="auto"/>
                <w:sz w:val="24"/>
              </w:rPr>
            </w:pPr>
            <w:r>
              <w:rPr>
                <w:rFonts w:hint="eastAsia" w:eastAsiaTheme="minorEastAsia"/>
                <w:bCs/>
                <w:color w:val="auto"/>
                <w:sz w:val="24"/>
              </w:rPr>
              <w:t>否</w:t>
            </w:r>
          </w:p>
        </w:tc>
      </w:tr>
      <w:bookmarkEnd w:id="0"/>
      <w:bookmarkEnd w:id="1"/>
    </w:tbl>
    <w:p w14:paraId="2F9E95EE">
      <w:pPr>
        <w:shd w:val="clear" w:color="auto" w:fill="FFFFFF" w:themeFill="background1"/>
        <w:spacing w:line="360" w:lineRule="auto"/>
        <w:rPr>
          <w:rFonts w:eastAsiaTheme="minorEastAsia"/>
          <w:bCs/>
          <w:color w:val="auto"/>
          <w:sz w:val="24"/>
        </w:rPr>
      </w:pPr>
    </w:p>
    <w:p w14:paraId="1FA1AE84">
      <w:pPr>
        <w:shd w:val="clear" w:color="auto" w:fill="FFFFFF" w:themeFill="background1"/>
        <w:spacing w:line="360" w:lineRule="auto"/>
        <w:rPr>
          <w:rFonts w:eastAsiaTheme="minorEastAsia"/>
          <w:bCs/>
          <w:color w:val="auto"/>
          <w:sz w:val="24"/>
        </w:rPr>
      </w:pPr>
      <w:r>
        <w:rPr>
          <w:rFonts w:eastAsiaTheme="minorEastAsia"/>
          <w:bCs/>
          <w:color w:val="auto"/>
          <w:sz w:val="24"/>
        </w:rPr>
        <w:t xml:space="preserve">2. </w:t>
      </w:r>
      <w:r>
        <w:rPr>
          <w:rFonts w:hint="eastAsia" w:eastAsiaTheme="minorEastAsia"/>
          <w:bCs/>
          <w:color w:val="auto"/>
          <w:sz w:val="24"/>
        </w:rPr>
        <w:t>项目背景</w:t>
      </w:r>
      <w:r>
        <w:rPr>
          <w:rFonts w:eastAsiaTheme="minorEastAsia"/>
          <w:bCs/>
          <w:color w:val="auto"/>
          <w:sz w:val="24"/>
        </w:rPr>
        <w:t>/</w:t>
      </w:r>
      <w:r>
        <w:rPr>
          <w:rFonts w:hint="eastAsia" w:eastAsiaTheme="minorEastAsia"/>
          <w:bCs/>
          <w:color w:val="auto"/>
          <w:sz w:val="24"/>
        </w:rPr>
        <w:t>项目概述</w:t>
      </w:r>
    </w:p>
    <w:p w14:paraId="44486C2E">
      <w:pPr>
        <w:snapToGrid w:val="0"/>
        <w:spacing w:line="360" w:lineRule="auto"/>
        <w:ind w:firstLine="480" w:firstLineChars="200"/>
        <w:rPr>
          <w:color w:val="auto"/>
          <w:sz w:val="24"/>
        </w:rPr>
      </w:pPr>
      <w:r>
        <w:rPr>
          <w:rFonts w:hint="eastAsia"/>
          <w:color w:val="auto"/>
          <w:sz w:val="24"/>
        </w:rPr>
        <w:t>按照</w:t>
      </w:r>
      <w:r>
        <w:rPr>
          <w:bCs/>
          <w:color w:val="auto"/>
          <w:sz w:val="24"/>
        </w:rPr>
        <w:t>《关于人大预算审查监督重点向支出预算和政策拓展的实施意见》</w:t>
      </w:r>
      <w:r>
        <w:rPr>
          <w:rFonts w:hint="eastAsia"/>
          <w:bCs/>
          <w:color w:val="auto"/>
          <w:sz w:val="24"/>
        </w:rPr>
        <w:t>、</w:t>
      </w:r>
      <w:r>
        <w:rPr>
          <w:rFonts w:hint="eastAsia"/>
          <w:color w:val="auto"/>
          <w:sz w:val="24"/>
        </w:rPr>
        <w:t>《北京市市级财政支出事前绩效评估管理办法》、《北京市彩票公益金管理办法》等文件要求，组织人大代表、各类专家等，组建专家组，</w:t>
      </w:r>
      <w:r>
        <w:rPr>
          <w:color w:val="auto"/>
          <w:sz w:val="24"/>
        </w:rPr>
        <w:t>对</w:t>
      </w:r>
      <w:r>
        <w:rPr>
          <w:rFonts w:hint="eastAsia"/>
          <w:color w:val="auto"/>
          <w:sz w:val="24"/>
        </w:rPr>
        <w:t>北京市民政局预算项目和转移支付</w:t>
      </w:r>
      <w:r>
        <w:rPr>
          <w:bCs/>
          <w:color w:val="auto"/>
          <w:sz w:val="24"/>
        </w:rPr>
        <w:t>约</w:t>
      </w:r>
      <w:r>
        <w:rPr>
          <w:rFonts w:hint="eastAsia"/>
          <w:bCs/>
          <w:color w:val="auto"/>
          <w:sz w:val="24"/>
        </w:rPr>
        <w:t>45</w:t>
      </w:r>
      <w:r>
        <w:rPr>
          <w:bCs/>
          <w:color w:val="auto"/>
          <w:sz w:val="24"/>
        </w:rPr>
        <w:t>个项目</w:t>
      </w:r>
      <w:r>
        <w:rPr>
          <w:rFonts w:hint="eastAsia"/>
          <w:bCs/>
          <w:color w:val="auto"/>
          <w:sz w:val="24"/>
          <w:lang w:eastAsia="zh-CN"/>
        </w:rPr>
        <w:t>，</w:t>
      </w:r>
      <w:r>
        <w:rPr>
          <w:rFonts w:hint="eastAsia" w:ascii="宋体" w:hAnsi="宋体" w:cs="宋体"/>
          <w:color w:val="auto"/>
          <w:sz w:val="24"/>
        </w:rPr>
        <w:t>具体以申报情况为准</w:t>
      </w:r>
      <w:r>
        <w:rPr>
          <w:rFonts w:hint="eastAsia"/>
          <w:bCs/>
          <w:color w:val="auto"/>
          <w:sz w:val="24"/>
        </w:rPr>
        <w:t>，</w:t>
      </w:r>
      <w:r>
        <w:rPr>
          <w:color w:val="auto"/>
          <w:sz w:val="24"/>
        </w:rPr>
        <w:t>开展</w:t>
      </w:r>
      <w:r>
        <w:rPr>
          <w:rFonts w:hint="eastAsia"/>
          <w:color w:val="auto"/>
          <w:sz w:val="24"/>
        </w:rPr>
        <w:t>至多三批次</w:t>
      </w:r>
      <w:r>
        <w:rPr>
          <w:color w:val="auto"/>
          <w:sz w:val="24"/>
        </w:rPr>
        <w:t>事前绩效评估工作</w:t>
      </w:r>
      <w:r>
        <w:rPr>
          <w:rFonts w:hint="eastAsia"/>
          <w:color w:val="auto"/>
          <w:sz w:val="24"/>
        </w:rPr>
        <w:t>（以工作进度及资金性质区分各批次）。按照项目申报类别，覆盖养老、残疾人福利、儿童福利等20多个领域，从资金支持方向和使用范围，以及项目的必要性、可行性、效益性等方面进行事前绩效评估，进一步</w:t>
      </w:r>
      <w:r>
        <w:rPr>
          <w:color w:val="auto"/>
          <w:sz w:val="24"/>
        </w:rPr>
        <w:t>强化项目管理，夯实预算编制基础，提高资金使用效益。</w:t>
      </w:r>
    </w:p>
    <w:p w14:paraId="5445B129">
      <w:pPr>
        <w:shd w:val="clear" w:color="auto" w:fill="FFFFFF" w:themeFill="background1"/>
        <w:autoSpaceDE w:val="0"/>
        <w:autoSpaceDN w:val="0"/>
        <w:adjustRightInd w:val="0"/>
        <w:spacing w:line="360" w:lineRule="auto"/>
        <w:ind w:firstLine="480" w:firstLineChars="200"/>
        <w:contextualSpacing/>
        <w:jc w:val="left"/>
        <w:rPr>
          <w:rFonts w:eastAsiaTheme="minorEastAsia"/>
          <w:bCs/>
          <w:color w:val="auto"/>
          <w:sz w:val="24"/>
        </w:rPr>
      </w:pPr>
    </w:p>
    <w:p w14:paraId="7606CEEE">
      <w:pPr>
        <w:pStyle w:val="6"/>
        <w:numPr>
          <w:ilvl w:val="0"/>
          <w:numId w:val="1"/>
        </w:numPr>
        <w:shd w:val="clear" w:color="auto" w:fill="FFFFFF" w:themeFill="background1"/>
        <w:spacing w:line="360" w:lineRule="auto"/>
        <w:ind w:left="851" w:hanging="851" w:firstLineChars="0"/>
        <w:contextualSpacing/>
        <w:rPr>
          <w:rFonts w:ascii="Times New Roman" w:hAnsi="Times New Roman" w:eastAsiaTheme="minorEastAsia"/>
          <w:b/>
          <w:color w:val="auto"/>
          <w:sz w:val="24"/>
          <w:szCs w:val="24"/>
        </w:rPr>
      </w:pPr>
      <w:r>
        <w:rPr>
          <w:rFonts w:hint="eastAsia" w:ascii="Times New Roman" w:hAnsi="Times New Roman" w:eastAsiaTheme="minorEastAsia"/>
          <w:b/>
          <w:color w:val="auto"/>
          <w:sz w:val="24"/>
          <w:szCs w:val="24"/>
        </w:rPr>
        <w:t>商务要求</w:t>
      </w:r>
    </w:p>
    <w:p w14:paraId="12B80C9C">
      <w:pPr>
        <w:shd w:val="clear" w:color="auto" w:fill="FFFFFF" w:themeFill="background1"/>
        <w:spacing w:line="360" w:lineRule="auto"/>
        <w:contextualSpacing/>
        <w:rPr>
          <w:rFonts w:eastAsiaTheme="minorEastAsia"/>
          <w:bCs/>
          <w:color w:val="auto"/>
          <w:sz w:val="24"/>
        </w:rPr>
      </w:pPr>
      <w:r>
        <w:rPr>
          <w:rFonts w:eastAsiaTheme="minorEastAsia"/>
          <w:bCs/>
          <w:color w:val="auto"/>
          <w:sz w:val="24"/>
        </w:rPr>
        <w:t xml:space="preserve">1. </w:t>
      </w:r>
      <w:r>
        <w:rPr>
          <w:rFonts w:hint="eastAsia" w:eastAsiaTheme="minorEastAsia"/>
          <w:bCs/>
          <w:color w:val="auto"/>
          <w:sz w:val="24"/>
        </w:rPr>
        <w:t>交付（实施）的时间（期限）和地点（范围）</w:t>
      </w:r>
    </w:p>
    <w:p w14:paraId="3D3F83B7">
      <w:pPr>
        <w:shd w:val="clear" w:color="auto" w:fill="FFFFFF" w:themeFill="background1"/>
        <w:tabs>
          <w:tab w:val="left" w:pos="900"/>
        </w:tabs>
        <w:spacing w:line="360" w:lineRule="auto"/>
        <w:contextualSpacing/>
        <w:rPr>
          <w:rFonts w:eastAsiaTheme="minorEastAsia"/>
          <w:bCs/>
          <w:color w:val="auto"/>
          <w:sz w:val="24"/>
          <w:highlight w:val="none"/>
        </w:rPr>
      </w:pPr>
      <w:r>
        <w:rPr>
          <w:rFonts w:eastAsiaTheme="minorEastAsia"/>
          <w:bCs/>
          <w:color w:val="auto"/>
          <w:sz w:val="24"/>
          <w:highlight w:val="none"/>
        </w:rPr>
        <w:t>1</w:t>
      </w:r>
      <w:r>
        <w:rPr>
          <w:rFonts w:hint="eastAsia" w:eastAsiaTheme="minorEastAsia"/>
          <w:bCs/>
          <w:color w:val="auto"/>
          <w:sz w:val="24"/>
          <w:highlight w:val="none"/>
        </w:rPr>
        <w:t>）服务期限：自合同生效之日起至2026年12月15日。</w:t>
      </w:r>
    </w:p>
    <w:p w14:paraId="2F7A61A8">
      <w:pPr>
        <w:shd w:val="clear" w:color="auto" w:fill="FFFFFF" w:themeFill="background1"/>
        <w:spacing w:line="360" w:lineRule="auto"/>
        <w:contextualSpacing/>
        <w:rPr>
          <w:rFonts w:eastAsiaTheme="minorEastAsia"/>
          <w:bCs/>
          <w:color w:val="auto"/>
          <w:sz w:val="24"/>
        </w:rPr>
      </w:pPr>
      <w:r>
        <w:rPr>
          <w:rFonts w:hint="eastAsia" w:eastAsiaTheme="minorEastAsia"/>
          <w:bCs/>
          <w:color w:val="auto"/>
          <w:sz w:val="24"/>
        </w:rPr>
        <w:t>2）服务地点：</w:t>
      </w:r>
      <w:r>
        <w:rPr>
          <w:color w:val="auto"/>
          <w:sz w:val="24"/>
        </w:rPr>
        <w:t>北京市民政局。</w:t>
      </w:r>
    </w:p>
    <w:p w14:paraId="72C57244">
      <w:pPr>
        <w:shd w:val="clear" w:color="auto" w:fill="FFFFFF" w:themeFill="background1"/>
        <w:spacing w:line="360" w:lineRule="auto"/>
        <w:contextualSpacing/>
        <w:rPr>
          <w:rFonts w:eastAsiaTheme="minorEastAsia"/>
          <w:bCs/>
          <w:color w:val="auto"/>
          <w:sz w:val="24"/>
        </w:rPr>
      </w:pPr>
      <w:r>
        <w:rPr>
          <w:rFonts w:eastAsiaTheme="minorEastAsia"/>
          <w:bCs/>
          <w:color w:val="auto"/>
          <w:sz w:val="24"/>
        </w:rPr>
        <w:t xml:space="preserve">2. </w:t>
      </w:r>
      <w:r>
        <w:rPr>
          <w:rFonts w:hint="eastAsia" w:eastAsiaTheme="minorEastAsia"/>
          <w:bCs/>
          <w:color w:val="auto"/>
          <w:sz w:val="24"/>
        </w:rPr>
        <w:t>付款条件</w:t>
      </w:r>
    </w:p>
    <w:p w14:paraId="6FFD915D">
      <w:pPr>
        <w:shd w:val="clear" w:color="auto" w:fill="FFFFFF" w:themeFill="background1"/>
        <w:spacing w:line="360" w:lineRule="auto"/>
        <w:contextualSpacing/>
        <w:rPr>
          <w:rFonts w:eastAsiaTheme="minorEastAsia"/>
          <w:bCs/>
          <w:color w:val="auto"/>
          <w:sz w:val="24"/>
        </w:rPr>
      </w:pPr>
      <w:bookmarkStart w:id="2" w:name="OLE_LINK150"/>
      <w:r>
        <w:rPr>
          <w:rFonts w:hint="eastAsia" w:eastAsiaTheme="minorEastAsia"/>
          <w:bCs/>
          <w:color w:val="auto"/>
          <w:sz w:val="24"/>
        </w:rPr>
        <w:t>详见第五章 合同草案条款</w:t>
      </w:r>
      <w:bookmarkEnd w:id="2"/>
    </w:p>
    <w:p w14:paraId="65CDF56F">
      <w:pPr>
        <w:pStyle w:val="6"/>
        <w:numPr>
          <w:ilvl w:val="0"/>
          <w:numId w:val="1"/>
        </w:numPr>
        <w:shd w:val="clear" w:color="auto" w:fill="FFFFFF" w:themeFill="background1"/>
        <w:spacing w:line="360" w:lineRule="auto"/>
        <w:ind w:left="851" w:hanging="851" w:firstLineChars="0"/>
        <w:contextualSpacing/>
        <w:rPr>
          <w:rFonts w:ascii="Times New Roman" w:hAnsi="Times New Roman" w:eastAsiaTheme="minorEastAsia"/>
          <w:b/>
          <w:color w:val="auto"/>
          <w:sz w:val="24"/>
          <w:szCs w:val="24"/>
        </w:rPr>
      </w:pPr>
      <w:r>
        <w:rPr>
          <w:rFonts w:hint="eastAsia" w:ascii="Times New Roman" w:hAnsi="Times New Roman" w:eastAsiaTheme="minorEastAsia"/>
          <w:b/>
          <w:color w:val="auto"/>
          <w:sz w:val="24"/>
          <w:szCs w:val="24"/>
        </w:rPr>
        <w:t>技术要求</w:t>
      </w:r>
    </w:p>
    <w:p w14:paraId="54E0BBFB">
      <w:pPr>
        <w:shd w:val="clear" w:color="auto" w:fill="FFFFFF" w:themeFill="background1"/>
        <w:spacing w:line="360" w:lineRule="auto"/>
        <w:contextualSpacing/>
        <w:rPr>
          <w:rFonts w:eastAsiaTheme="minorEastAsia"/>
          <w:color w:val="auto"/>
          <w:sz w:val="24"/>
        </w:rPr>
      </w:pPr>
      <w:r>
        <w:rPr>
          <w:rFonts w:eastAsiaTheme="minorEastAsia"/>
          <w:color w:val="auto"/>
          <w:sz w:val="24"/>
        </w:rPr>
        <w:t xml:space="preserve">1. </w:t>
      </w:r>
      <w:r>
        <w:rPr>
          <w:rFonts w:hint="eastAsia" w:eastAsiaTheme="minorEastAsia"/>
          <w:color w:val="auto"/>
          <w:sz w:val="24"/>
        </w:rPr>
        <w:t>基本要求</w:t>
      </w:r>
    </w:p>
    <w:p w14:paraId="7268969A">
      <w:pPr>
        <w:pStyle w:val="6"/>
        <w:numPr>
          <w:ilvl w:val="1"/>
          <w:numId w:val="2"/>
        </w:numPr>
        <w:shd w:val="clear" w:color="auto" w:fill="FFFFFF" w:themeFill="background1"/>
        <w:spacing w:line="360" w:lineRule="auto"/>
        <w:ind w:left="426" w:hanging="426" w:firstLineChars="0"/>
        <w:contextualSpacing/>
        <w:rPr>
          <w:rFonts w:ascii="Times New Roman" w:hAnsi="Times New Roman" w:eastAsiaTheme="minorEastAsia"/>
          <w:bCs/>
          <w:color w:val="auto"/>
          <w:sz w:val="24"/>
          <w:szCs w:val="24"/>
        </w:rPr>
      </w:pPr>
      <w:r>
        <w:rPr>
          <w:rFonts w:hint="eastAsia" w:ascii="Times New Roman" w:hAnsi="Times New Roman" w:eastAsiaTheme="minorEastAsia"/>
          <w:bCs/>
          <w:color w:val="auto"/>
          <w:sz w:val="24"/>
          <w:szCs w:val="24"/>
        </w:rPr>
        <w:t>采购标的需实现的功能或者目标</w:t>
      </w:r>
    </w:p>
    <w:p w14:paraId="486BC8C1">
      <w:pPr>
        <w:pStyle w:val="6"/>
        <w:numPr>
          <w:ilvl w:val="0"/>
          <w:numId w:val="0"/>
        </w:numPr>
        <w:shd w:val="clear" w:color="auto" w:fill="FFFFFF" w:themeFill="background1"/>
        <w:spacing w:line="360" w:lineRule="auto"/>
        <w:ind w:leftChars="0"/>
        <w:contextualSpacing/>
        <w:rPr>
          <w:rFonts w:ascii="Times New Roman" w:hAnsi="Times New Roman" w:eastAsiaTheme="minorEastAsia"/>
          <w:bCs/>
          <w:color w:val="auto"/>
          <w:sz w:val="24"/>
          <w:szCs w:val="24"/>
        </w:rPr>
      </w:pPr>
      <w:r>
        <w:rPr>
          <w:rFonts w:hint="eastAsia"/>
          <w:color w:val="auto"/>
          <w:sz w:val="24"/>
        </w:rPr>
        <w:t>进一步</w:t>
      </w:r>
      <w:r>
        <w:rPr>
          <w:color w:val="auto"/>
          <w:sz w:val="24"/>
        </w:rPr>
        <w:t>强化项目管理，夯实预算编制基础，提高资金使用效益。</w:t>
      </w:r>
    </w:p>
    <w:p w14:paraId="7DCC31FE">
      <w:pPr>
        <w:shd w:val="clear" w:color="auto" w:fill="FFFFFF" w:themeFill="background1"/>
        <w:spacing w:line="360" w:lineRule="auto"/>
        <w:contextualSpacing/>
        <w:rPr>
          <w:rFonts w:eastAsiaTheme="minorEastAsia"/>
          <w:color w:val="auto"/>
          <w:sz w:val="24"/>
        </w:rPr>
      </w:pPr>
      <w:r>
        <w:rPr>
          <w:rFonts w:eastAsiaTheme="minorEastAsia"/>
          <w:color w:val="auto"/>
          <w:sz w:val="24"/>
        </w:rPr>
        <w:t xml:space="preserve">1.2 </w:t>
      </w:r>
      <w:r>
        <w:rPr>
          <w:rFonts w:hint="eastAsia" w:eastAsiaTheme="minorEastAsia"/>
          <w:color w:val="auto"/>
          <w:sz w:val="24"/>
        </w:rPr>
        <w:t>需执行的国家相关标准、行业标准、地方标准或者其他标准、规范</w:t>
      </w:r>
    </w:p>
    <w:p w14:paraId="6F921356">
      <w:pPr>
        <w:shd w:val="clear" w:color="auto" w:fill="FFFFFF" w:themeFill="background1"/>
        <w:spacing w:line="360" w:lineRule="auto"/>
        <w:ind w:left="66"/>
        <w:contextualSpacing/>
        <w:rPr>
          <w:rFonts w:eastAsiaTheme="minorEastAsia"/>
          <w:bCs/>
          <w:color w:val="auto"/>
          <w:sz w:val="24"/>
        </w:rPr>
      </w:pPr>
      <w:bookmarkStart w:id="3" w:name="OLE_LINK160"/>
      <w:bookmarkStart w:id="4" w:name="OLE_LINK161"/>
      <w:r>
        <w:rPr>
          <w:bCs/>
          <w:color w:val="auto"/>
          <w:sz w:val="24"/>
        </w:rPr>
        <w:t>合同履行期间，国家有关部门颁布最新的相应标准及规范的，以最新的标准及规范为准。</w:t>
      </w:r>
    </w:p>
    <w:bookmarkEnd w:id="3"/>
    <w:bookmarkEnd w:id="4"/>
    <w:p w14:paraId="686972AE">
      <w:pPr>
        <w:shd w:val="clear" w:color="auto" w:fill="FFFFFF" w:themeFill="background1"/>
        <w:spacing w:line="360" w:lineRule="auto"/>
        <w:contextualSpacing/>
        <w:rPr>
          <w:rFonts w:eastAsiaTheme="minorEastAsia"/>
          <w:color w:val="auto"/>
          <w:sz w:val="24"/>
        </w:rPr>
      </w:pPr>
      <w:r>
        <w:rPr>
          <w:rFonts w:eastAsiaTheme="minorEastAsia"/>
          <w:color w:val="auto"/>
          <w:sz w:val="24"/>
        </w:rPr>
        <w:t xml:space="preserve">2. </w:t>
      </w:r>
      <w:r>
        <w:rPr>
          <w:rFonts w:hint="eastAsia" w:eastAsiaTheme="minorEastAsia"/>
          <w:color w:val="auto"/>
          <w:sz w:val="24"/>
        </w:rPr>
        <w:t>服务内容及要求</w:t>
      </w:r>
      <w:r>
        <w:rPr>
          <w:rFonts w:eastAsiaTheme="minorEastAsia"/>
          <w:color w:val="auto"/>
          <w:sz w:val="24"/>
        </w:rPr>
        <w:t>/</w:t>
      </w:r>
      <w:r>
        <w:rPr>
          <w:rFonts w:hint="eastAsia" w:eastAsiaTheme="minorEastAsia"/>
          <w:color w:val="auto"/>
          <w:sz w:val="24"/>
        </w:rPr>
        <w:t>货物技术要求</w:t>
      </w:r>
    </w:p>
    <w:p w14:paraId="4D3B7C4F">
      <w:pPr>
        <w:widowControl/>
        <w:shd w:val="clear" w:color="auto" w:fill="FFFFFF" w:themeFill="background1"/>
        <w:spacing w:line="360" w:lineRule="auto"/>
        <w:contextualSpacing/>
        <w:rPr>
          <w:rFonts w:eastAsiaTheme="minorEastAsia"/>
          <w:color w:val="auto"/>
          <w:sz w:val="24"/>
        </w:rPr>
      </w:pPr>
      <w:r>
        <w:rPr>
          <w:rFonts w:eastAsiaTheme="minorEastAsia"/>
          <w:color w:val="auto"/>
          <w:sz w:val="24"/>
        </w:rPr>
        <w:t>2.</w:t>
      </w:r>
      <w:r>
        <w:rPr>
          <w:rFonts w:hint="eastAsia" w:eastAsiaTheme="minorEastAsia"/>
          <w:color w:val="auto"/>
          <w:sz w:val="24"/>
        </w:rPr>
        <w:t>1采购标的需满足的服务标准、期限、效率等要求</w:t>
      </w:r>
    </w:p>
    <w:p w14:paraId="4C0D0396">
      <w:pPr>
        <w:shd w:val="clear" w:color="auto" w:fill="FFFFFF" w:themeFill="background1"/>
        <w:spacing w:line="360" w:lineRule="auto"/>
        <w:contextualSpacing/>
        <w:rPr>
          <w:rFonts w:eastAsiaTheme="minorEastAsia"/>
          <w:bCs/>
          <w:color w:val="auto"/>
          <w:sz w:val="24"/>
        </w:rPr>
      </w:pPr>
      <w:r>
        <w:rPr>
          <w:rFonts w:hint="eastAsia" w:eastAsiaTheme="minorEastAsia"/>
          <w:bCs/>
          <w:color w:val="auto"/>
          <w:sz w:val="24"/>
        </w:rPr>
        <w:t>详见“</w:t>
      </w:r>
      <w:r>
        <w:rPr>
          <w:rFonts w:eastAsiaTheme="minorEastAsia"/>
          <w:bCs/>
          <w:color w:val="auto"/>
          <w:sz w:val="24"/>
        </w:rPr>
        <w:t>2.5采购标的的其他技术、服务等要求</w:t>
      </w:r>
      <w:r>
        <w:rPr>
          <w:rFonts w:hint="eastAsia" w:eastAsiaTheme="minorEastAsia"/>
          <w:bCs/>
          <w:color w:val="auto"/>
          <w:sz w:val="24"/>
        </w:rPr>
        <w:t>”</w:t>
      </w:r>
    </w:p>
    <w:p w14:paraId="5E9D8FF0">
      <w:pPr>
        <w:widowControl/>
        <w:shd w:val="clear" w:color="auto" w:fill="FFFFFF" w:themeFill="background1"/>
        <w:spacing w:line="360" w:lineRule="auto"/>
        <w:contextualSpacing/>
        <w:rPr>
          <w:rFonts w:eastAsiaTheme="minorEastAsia"/>
          <w:color w:val="auto"/>
          <w:sz w:val="24"/>
        </w:rPr>
      </w:pPr>
      <w:r>
        <w:rPr>
          <w:rFonts w:eastAsiaTheme="minorEastAsia"/>
          <w:color w:val="auto"/>
          <w:sz w:val="24"/>
        </w:rPr>
        <w:t>2.</w:t>
      </w:r>
      <w:r>
        <w:rPr>
          <w:rFonts w:hint="eastAsia" w:eastAsiaTheme="minorEastAsia"/>
          <w:color w:val="auto"/>
          <w:sz w:val="24"/>
        </w:rPr>
        <w:t>2为落实政府采购政策需满足的要求</w:t>
      </w:r>
    </w:p>
    <w:p w14:paraId="3F33B3E3">
      <w:pPr>
        <w:shd w:val="clear" w:color="auto" w:fill="FFFFFF" w:themeFill="background1"/>
        <w:tabs>
          <w:tab w:val="left" w:pos="900"/>
        </w:tabs>
        <w:spacing w:line="360" w:lineRule="auto"/>
        <w:contextualSpacing/>
        <w:rPr>
          <w:rFonts w:eastAsiaTheme="minorEastAsia"/>
          <w:bCs/>
          <w:color w:val="auto"/>
          <w:sz w:val="24"/>
        </w:rPr>
      </w:pPr>
      <w:r>
        <w:rPr>
          <w:rFonts w:hint="eastAsia" w:eastAsiaTheme="minorEastAsia"/>
          <w:bCs/>
          <w:color w:val="auto"/>
          <w:sz w:val="24"/>
        </w:rPr>
        <w:t>1）</w:t>
      </w:r>
      <w:r>
        <w:rPr>
          <w:rFonts w:eastAsiaTheme="minorEastAsia"/>
          <w:bCs/>
          <w:color w:val="auto"/>
          <w:sz w:val="24"/>
        </w:rPr>
        <w:t>促进</w:t>
      </w:r>
      <w:r>
        <w:rPr>
          <w:rFonts w:hint="eastAsia" w:eastAsiaTheme="minorEastAsia"/>
          <w:bCs/>
          <w:color w:val="auto"/>
          <w:sz w:val="24"/>
        </w:rPr>
        <w:t>中小</w:t>
      </w:r>
      <w:r>
        <w:rPr>
          <w:rFonts w:eastAsiaTheme="minorEastAsia"/>
          <w:bCs/>
          <w:color w:val="auto"/>
          <w:sz w:val="24"/>
        </w:rPr>
        <w:t>企业发展政策：</w:t>
      </w:r>
      <w:r>
        <w:rPr>
          <w:rFonts w:hint="eastAsia" w:eastAsiaTheme="minorEastAsia"/>
          <w:bCs/>
          <w:color w:val="auto"/>
          <w:sz w:val="24"/>
        </w:rPr>
        <w:t>根据《政府采购促进中小企业发展管理办法》规定，本项目采购</w:t>
      </w:r>
      <w:r>
        <w:rPr>
          <w:rFonts w:hint="eastAsia" w:eastAsiaTheme="minorEastAsia"/>
          <w:bCs/>
          <w:color w:val="auto"/>
          <w:sz w:val="24"/>
          <w:lang w:val="en-US" w:eastAsia="zh-CN"/>
        </w:rPr>
        <w:t>服务</w:t>
      </w:r>
      <w:r>
        <w:rPr>
          <w:rFonts w:hint="eastAsia" w:eastAsiaTheme="minorEastAsia"/>
          <w:bCs/>
          <w:color w:val="auto"/>
          <w:sz w:val="24"/>
        </w:rPr>
        <w:t>由中型、小型或微型企业承</w:t>
      </w:r>
      <w:r>
        <w:rPr>
          <w:rFonts w:hint="eastAsia" w:eastAsiaTheme="minorEastAsia"/>
          <w:bCs/>
          <w:color w:val="auto"/>
          <w:sz w:val="24"/>
          <w:lang w:val="en-US" w:eastAsia="zh-CN"/>
        </w:rPr>
        <w:t>接</w:t>
      </w:r>
      <w:r>
        <w:rPr>
          <w:rFonts w:hint="eastAsia" w:eastAsiaTheme="minorEastAsia"/>
          <w:bCs/>
          <w:color w:val="auto"/>
          <w:sz w:val="24"/>
        </w:rPr>
        <w:t>的，供应商应出具竞争性磋商文件要求的《中小企业声明函》给予证明，否则评标时不予认可。供应商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E5A19AB">
      <w:pPr>
        <w:pStyle w:val="7"/>
        <w:shd w:val="clear" w:color="auto" w:fill="FFFFFF" w:themeFill="background1"/>
        <w:snapToGrid/>
        <w:spacing w:before="0" w:line="360" w:lineRule="auto"/>
        <w:ind w:firstLine="0"/>
        <w:contextualSpacing/>
        <w:rPr>
          <w:rFonts w:eastAsiaTheme="minorEastAsia"/>
          <w:bCs/>
          <w:color w:val="auto"/>
          <w:szCs w:val="24"/>
        </w:rPr>
      </w:pPr>
      <w:r>
        <w:rPr>
          <w:rFonts w:hint="eastAsia" w:eastAsiaTheme="minorEastAsia"/>
          <w:bCs/>
          <w:color w:val="auto"/>
          <w:szCs w:val="24"/>
        </w:rPr>
        <w:t>2）</w:t>
      </w:r>
      <w:r>
        <w:rPr>
          <w:rFonts w:eastAsiaTheme="minorEastAsia"/>
          <w:bCs/>
          <w:color w:val="auto"/>
          <w:szCs w:val="24"/>
        </w:rPr>
        <w:t>监狱企业扶持政策：供应商如为监狱企业将视同为小型或微型企业，且所投产品为小型或微型企业生产的，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p>
    <w:p w14:paraId="7292759E">
      <w:pPr>
        <w:pStyle w:val="7"/>
        <w:shd w:val="clear" w:color="auto" w:fill="FFFFFF" w:themeFill="background1"/>
        <w:snapToGrid/>
        <w:spacing w:before="0" w:line="360" w:lineRule="auto"/>
        <w:ind w:firstLine="0"/>
        <w:contextualSpacing/>
        <w:rPr>
          <w:rFonts w:eastAsiaTheme="minorEastAsia"/>
          <w:bCs/>
          <w:color w:val="auto"/>
          <w:szCs w:val="24"/>
        </w:rPr>
      </w:pPr>
      <w:r>
        <w:rPr>
          <w:rFonts w:hint="eastAsia" w:eastAsiaTheme="minorEastAsia"/>
          <w:bCs/>
          <w:color w:val="auto"/>
          <w:szCs w:val="24"/>
        </w:rPr>
        <w:t>3）促进残疾人就业政府采购政策：根据《三部门联合发布关于促进残疾人就业政府采购政策的通知》（财库〔2017〕141号）规定，符合条件的残疾人福利性单位在参加本项目政府采购活动时，供应商应出具竞争性磋商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1D345A7D">
      <w:pPr>
        <w:shd w:val="clear" w:color="auto" w:fill="FFFFFF" w:themeFill="background1"/>
        <w:tabs>
          <w:tab w:val="left" w:pos="900"/>
        </w:tabs>
        <w:spacing w:line="360" w:lineRule="auto"/>
        <w:contextualSpacing/>
        <w:rPr>
          <w:rFonts w:eastAsiaTheme="minorEastAsia"/>
          <w:bCs/>
          <w:color w:val="auto"/>
          <w:sz w:val="24"/>
        </w:rPr>
      </w:pPr>
      <w:r>
        <w:rPr>
          <w:rFonts w:hint="eastAsia" w:eastAsiaTheme="minorEastAsia"/>
          <w:bCs/>
          <w:color w:val="auto"/>
          <w:sz w:val="24"/>
        </w:rPr>
        <w:t>4）鼓励节能政策：供应商的</w:t>
      </w:r>
      <w:r>
        <w:rPr>
          <w:rFonts w:eastAsiaTheme="minorEastAsia"/>
          <w:bCs/>
          <w:color w:val="auto"/>
          <w:sz w:val="24"/>
        </w:rPr>
        <w:t>投标产品</w:t>
      </w:r>
      <w:r>
        <w:rPr>
          <w:rFonts w:hint="eastAsia" w:eastAsiaTheme="minorEastAsia"/>
          <w:bCs/>
          <w:color w:val="auto"/>
          <w:sz w:val="24"/>
        </w:rPr>
        <w:t>属于财政部、发展改革委公布的“节能产品政府采购品目清单”范围</w:t>
      </w:r>
      <w:r>
        <w:rPr>
          <w:rFonts w:eastAsiaTheme="minorEastAsia"/>
          <w:bCs/>
          <w:color w:val="auto"/>
          <w:sz w:val="24"/>
        </w:rPr>
        <w:t>的</w:t>
      </w:r>
      <w:r>
        <w:rPr>
          <w:rFonts w:hint="eastAsia" w:eastAsiaTheme="minorEastAsia"/>
          <w:bCs/>
          <w:color w:val="auto"/>
          <w:sz w:val="24"/>
        </w:rPr>
        <w:t>，供应商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E635BDE">
      <w:pPr>
        <w:widowControl/>
        <w:shd w:val="clear" w:color="auto" w:fill="FFFFFF" w:themeFill="background1"/>
        <w:spacing w:line="360" w:lineRule="auto"/>
        <w:contextualSpacing/>
        <w:rPr>
          <w:rFonts w:eastAsiaTheme="minorEastAsia"/>
          <w:color w:val="auto"/>
          <w:sz w:val="24"/>
        </w:rPr>
      </w:pPr>
      <w:r>
        <w:rPr>
          <w:rFonts w:eastAsiaTheme="minorEastAsia"/>
          <w:color w:val="auto"/>
          <w:sz w:val="24"/>
        </w:rPr>
        <w:t>2.</w:t>
      </w:r>
      <w:r>
        <w:rPr>
          <w:rFonts w:hint="eastAsia" w:eastAsiaTheme="minorEastAsia"/>
          <w:color w:val="auto"/>
          <w:sz w:val="24"/>
        </w:rPr>
        <w:t>3需由供应商提供设计方案、解决方案或者组织方案的采购项目，应当说明采购标的的功能、应用场景、目标等基本要求</w:t>
      </w:r>
    </w:p>
    <w:p w14:paraId="553C71A9">
      <w:pPr>
        <w:widowControl/>
        <w:shd w:val="clear" w:color="auto" w:fill="FFFFFF" w:themeFill="background1"/>
        <w:spacing w:line="360" w:lineRule="auto"/>
        <w:ind w:firstLine="480" w:firstLineChars="200"/>
        <w:contextualSpacing/>
        <w:rPr>
          <w:rFonts w:eastAsiaTheme="minorEastAsia"/>
          <w:color w:val="auto"/>
          <w:sz w:val="24"/>
        </w:rPr>
      </w:pPr>
      <w:r>
        <w:rPr>
          <w:rFonts w:hint="eastAsia" w:eastAsiaTheme="minorEastAsia"/>
          <w:color w:val="auto"/>
          <w:sz w:val="24"/>
        </w:rPr>
        <w:t>供应商</w:t>
      </w:r>
      <w:r>
        <w:rPr>
          <w:rFonts w:eastAsiaTheme="minorEastAsia"/>
          <w:color w:val="auto"/>
          <w:sz w:val="24"/>
        </w:rPr>
        <w:t>需要根据“</w:t>
      </w:r>
      <w:bookmarkStart w:id="5" w:name="OLE_LINK186"/>
      <w:bookmarkStart w:id="6" w:name="OLE_LINK185"/>
      <w:r>
        <w:rPr>
          <w:rFonts w:eastAsiaTheme="minorEastAsia"/>
          <w:color w:val="auto"/>
          <w:sz w:val="24"/>
        </w:rPr>
        <w:t>2.5采购标的的其他技术、服务等要求</w:t>
      </w:r>
      <w:bookmarkEnd w:id="5"/>
      <w:bookmarkEnd w:id="6"/>
      <w:r>
        <w:rPr>
          <w:rFonts w:eastAsiaTheme="minorEastAsia"/>
          <w:color w:val="auto"/>
          <w:sz w:val="24"/>
        </w:rPr>
        <w:t>”的内容编写</w:t>
      </w:r>
      <w:bookmarkStart w:id="7" w:name="OLE_LINK71"/>
      <w:bookmarkStart w:id="8" w:name="OLE_LINK70"/>
      <w:bookmarkStart w:id="9" w:name="OLE_LINK69"/>
      <w:bookmarkStart w:id="10" w:name="OLE_LINK68"/>
      <w:r>
        <w:rPr>
          <w:rFonts w:hint="eastAsia" w:eastAsiaTheme="minorEastAsia"/>
          <w:color w:val="auto"/>
          <w:sz w:val="24"/>
        </w:rPr>
        <w:t>项目理解</w:t>
      </w:r>
      <w:r>
        <w:rPr>
          <w:rFonts w:hint="eastAsia" w:eastAsiaTheme="minorEastAsia"/>
          <w:color w:val="auto"/>
          <w:sz w:val="24"/>
          <w:lang w:val="en-US" w:eastAsia="zh-CN"/>
        </w:rPr>
        <w:t>分析</w:t>
      </w:r>
      <w:r>
        <w:rPr>
          <w:rFonts w:hint="eastAsia" w:eastAsiaTheme="minorEastAsia"/>
          <w:color w:val="auto"/>
          <w:sz w:val="24"/>
        </w:rPr>
        <w:t>、事前绩效评估方案、质量保障措施、应急预案、</w:t>
      </w:r>
      <w:bookmarkEnd w:id="7"/>
      <w:bookmarkEnd w:id="8"/>
      <w:r>
        <w:rPr>
          <w:rFonts w:hint="eastAsia" w:eastAsiaTheme="minorEastAsia"/>
          <w:color w:val="auto"/>
          <w:sz w:val="24"/>
        </w:rPr>
        <w:t>对相关政策法规的认识</w:t>
      </w:r>
      <w:r>
        <w:rPr>
          <w:rFonts w:hint="eastAsia" w:eastAsiaTheme="minorEastAsia"/>
          <w:color w:val="auto"/>
          <w:sz w:val="24"/>
          <w:lang w:eastAsia="zh-CN"/>
        </w:rPr>
        <w:t>、</w:t>
      </w:r>
      <w:r>
        <w:rPr>
          <w:rFonts w:hint="eastAsia" w:eastAsiaTheme="minorEastAsia"/>
          <w:color w:val="auto"/>
          <w:sz w:val="24"/>
        </w:rPr>
        <w:t>理解</w:t>
      </w:r>
      <w:r>
        <w:rPr>
          <w:rFonts w:hint="eastAsia" w:eastAsiaTheme="minorEastAsia"/>
          <w:color w:val="auto"/>
          <w:sz w:val="24"/>
          <w:lang w:eastAsia="zh-CN"/>
        </w:rPr>
        <w:t>、</w:t>
      </w:r>
      <w:r>
        <w:rPr>
          <w:rFonts w:hint="eastAsia" w:eastAsiaTheme="minorEastAsia"/>
          <w:color w:val="auto"/>
          <w:sz w:val="24"/>
          <w:lang w:val="en-US" w:eastAsia="zh-CN"/>
        </w:rPr>
        <w:t>需要配合的验收承诺</w:t>
      </w:r>
      <w:r>
        <w:rPr>
          <w:rFonts w:hint="eastAsia" w:eastAsiaTheme="minorEastAsia"/>
          <w:color w:val="auto"/>
          <w:sz w:val="24"/>
          <w:lang w:eastAsia="zh-CN"/>
        </w:rPr>
        <w:t>、工作成果范本、保密方案、事前绩效评估拟投入团队</w:t>
      </w:r>
      <w:r>
        <w:rPr>
          <w:rFonts w:hint="eastAsia" w:eastAsiaTheme="minorEastAsia"/>
          <w:color w:val="auto"/>
          <w:sz w:val="24"/>
        </w:rPr>
        <w:t>等。</w:t>
      </w:r>
    </w:p>
    <w:bookmarkEnd w:id="9"/>
    <w:bookmarkEnd w:id="10"/>
    <w:p w14:paraId="3E403164">
      <w:pPr>
        <w:widowControl/>
        <w:shd w:val="clear" w:color="auto" w:fill="FFFFFF" w:themeFill="background1"/>
        <w:spacing w:line="360" w:lineRule="auto"/>
        <w:contextualSpacing/>
        <w:rPr>
          <w:rFonts w:eastAsiaTheme="minorEastAsia"/>
          <w:color w:val="auto"/>
          <w:sz w:val="24"/>
        </w:rPr>
      </w:pPr>
      <w:r>
        <w:rPr>
          <w:rFonts w:hint="eastAsia" w:eastAsiaTheme="minorEastAsia"/>
          <w:color w:val="auto"/>
          <w:sz w:val="24"/>
        </w:rPr>
        <w:t>2.4</w:t>
      </w:r>
      <w:r>
        <w:rPr>
          <w:rFonts w:eastAsiaTheme="minorEastAsia"/>
          <w:color w:val="auto"/>
          <w:sz w:val="24"/>
        </w:rPr>
        <w:t>采购标的需满足的性能、材料、结构、外观、质量、安全、技术规格、物理特性等要求</w:t>
      </w:r>
    </w:p>
    <w:p w14:paraId="52DDF85C">
      <w:pPr>
        <w:widowControl/>
        <w:shd w:val="clear" w:color="auto" w:fill="FFFFFF" w:themeFill="background1"/>
        <w:spacing w:line="360" w:lineRule="auto"/>
        <w:ind w:firstLine="480" w:firstLineChars="200"/>
        <w:contextualSpacing/>
        <w:rPr>
          <w:rFonts w:eastAsiaTheme="minorEastAsia"/>
          <w:color w:val="auto"/>
          <w:sz w:val="24"/>
        </w:rPr>
      </w:pPr>
      <w:r>
        <w:rPr>
          <w:rFonts w:hint="eastAsia" w:eastAsiaTheme="minorEastAsia"/>
          <w:color w:val="auto"/>
          <w:sz w:val="24"/>
        </w:rPr>
        <w:t>无。</w:t>
      </w:r>
    </w:p>
    <w:p w14:paraId="3CAED6C8">
      <w:pPr>
        <w:widowControl/>
        <w:shd w:val="clear" w:color="auto" w:fill="FFFFFF" w:themeFill="background1"/>
        <w:spacing w:line="360" w:lineRule="auto"/>
        <w:contextualSpacing/>
        <w:rPr>
          <w:rFonts w:hint="eastAsia" w:eastAsiaTheme="minorEastAsia"/>
          <w:color w:val="auto"/>
          <w:sz w:val="24"/>
        </w:rPr>
      </w:pPr>
      <w:bookmarkStart w:id="11" w:name="OLE_LINK59"/>
      <w:bookmarkStart w:id="12" w:name="OLE_LINK155"/>
      <w:bookmarkStart w:id="13" w:name="OLE_LINK156"/>
      <w:r>
        <w:rPr>
          <w:rFonts w:eastAsiaTheme="minorEastAsia"/>
          <w:color w:val="auto"/>
          <w:sz w:val="24"/>
        </w:rPr>
        <w:t>2.</w:t>
      </w:r>
      <w:r>
        <w:rPr>
          <w:rFonts w:hint="eastAsia" w:eastAsiaTheme="minorEastAsia"/>
          <w:color w:val="auto"/>
          <w:sz w:val="24"/>
        </w:rPr>
        <w:t>5采购标的的其他技术、服务等要求</w:t>
      </w:r>
    </w:p>
    <w:p w14:paraId="08DDC9F3">
      <w:pPr>
        <w:pStyle w:val="2"/>
        <w:rPr>
          <w:rFonts w:hint="eastAsia" w:eastAsiaTheme="minorEastAsia"/>
          <w:color w:val="auto"/>
          <w:sz w:val="24"/>
          <w:lang w:val="en-US" w:eastAsia="zh-CN"/>
        </w:rPr>
      </w:pPr>
      <w:r>
        <w:rPr>
          <w:rFonts w:hint="eastAsia" w:eastAsiaTheme="minorEastAsia"/>
          <w:color w:val="auto"/>
          <w:sz w:val="24"/>
          <w:lang w:val="en-US" w:eastAsia="zh-CN"/>
        </w:rPr>
        <w:t>详见下文</w:t>
      </w:r>
    </w:p>
    <w:p w14:paraId="48DBC9EB">
      <w:pPr>
        <w:pStyle w:val="3"/>
        <w:rPr>
          <w:rFonts w:hint="default"/>
          <w:color w:val="auto"/>
          <w:lang w:val="en-US" w:eastAsia="zh-CN"/>
        </w:rPr>
      </w:pPr>
    </w:p>
    <w:bookmarkEnd w:id="11"/>
    <w:bookmarkEnd w:id="12"/>
    <w:bookmarkEnd w:id="13"/>
    <w:p w14:paraId="2A1DFD36">
      <w:pPr>
        <w:snapToGrid w:val="0"/>
        <w:spacing w:line="360" w:lineRule="auto"/>
        <w:outlineLvl w:val="2"/>
        <w:rPr>
          <w:b/>
          <w:bCs/>
          <w:color w:val="auto"/>
          <w:sz w:val="24"/>
        </w:rPr>
      </w:pPr>
      <w:r>
        <w:rPr>
          <w:rFonts w:hint="eastAsia"/>
          <w:b/>
          <w:bCs/>
          <w:color w:val="auto"/>
          <w:sz w:val="24"/>
          <w:lang w:eastAsia="zh-CN"/>
        </w:rPr>
        <w:t>四</w:t>
      </w:r>
      <w:r>
        <w:rPr>
          <w:b/>
          <w:bCs/>
          <w:color w:val="auto"/>
          <w:sz w:val="24"/>
        </w:rPr>
        <w:t>、工作内容</w:t>
      </w:r>
    </w:p>
    <w:p w14:paraId="0B7709E3">
      <w:pPr>
        <w:tabs>
          <w:tab w:val="left" w:pos="900"/>
          <w:tab w:val="left" w:pos="1080"/>
        </w:tabs>
        <w:spacing w:line="360" w:lineRule="auto"/>
        <w:ind w:firstLine="420" w:firstLineChars="200"/>
        <w:rPr>
          <w:bCs/>
          <w:color w:val="auto"/>
          <w:sz w:val="24"/>
        </w:rPr>
      </w:pPr>
      <w:r>
        <w:rPr>
          <w:rFonts w:hint="eastAsia"/>
          <w:color w:val="auto"/>
        </w:rPr>
        <w:t xml:space="preserve"> </w:t>
      </w:r>
      <w:r>
        <w:rPr>
          <w:rFonts w:hint="eastAsia"/>
          <w:bCs/>
          <w:color w:val="auto"/>
          <w:sz w:val="24"/>
        </w:rPr>
        <w:t>1.1</w:t>
      </w:r>
      <w:r>
        <w:rPr>
          <w:bCs/>
          <w:color w:val="auto"/>
          <w:sz w:val="24"/>
        </w:rPr>
        <w:t>准备阶段。</w:t>
      </w:r>
      <w:r>
        <w:rPr>
          <w:rFonts w:hint="eastAsia"/>
          <w:bCs/>
          <w:color w:val="auto"/>
          <w:sz w:val="24"/>
        </w:rPr>
        <w:t>供应商</w:t>
      </w:r>
      <w:r>
        <w:rPr>
          <w:rFonts w:hint="eastAsia"/>
          <w:color w:val="auto"/>
          <w:sz w:val="24"/>
        </w:rPr>
        <w:t>根据采购人时间进度安排和要求，</w:t>
      </w:r>
      <w:r>
        <w:rPr>
          <w:bCs/>
          <w:color w:val="auto"/>
          <w:sz w:val="24"/>
        </w:rPr>
        <w:t>明确项目</w:t>
      </w:r>
      <w:r>
        <w:rPr>
          <w:rFonts w:hint="eastAsia"/>
          <w:bCs/>
          <w:color w:val="auto"/>
          <w:sz w:val="24"/>
        </w:rPr>
        <w:t>事前绩效</w:t>
      </w:r>
      <w:r>
        <w:rPr>
          <w:bCs/>
          <w:color w:val="auto"/>
          <w:sz w:val="24"/>
        </w:rPr>
        <w:t>评估工作程序和相关要求</w:t>
      </w:r>
      <w:r>
        <w:rPr>
          <w:rFonts w:hint="eastAsia"/>
          <w:color w:val="auto"/>
          <w:sz w:val="24"/>
        </w:rPr>
        <w:t>，</w:t>
      </w:r>
      <w:r>
        <w:rPr>
          <w:rFonts w:hint="eastAsia"/>
          <w:bCs/>
          <w:color w:val="auto"/>
          <w:sz w:val="24"/>
        </w:rPr>
        <w:t>对照资料清单（参考财政支出项目事前绩效评估资料准备清单）对</w:t>
      </w:r>
      <w:r>
        <w:rPr>
          <w:bCs/>
          <w:color w:val="auto"/>
          <w:sz w:val="24"/>
        </w:rPr>
        <w:t>预算项目处室（单位）</w:t>
      </w:r>
      <w:r>
        <w:rPr>
          <w:rFonts w:hint="eastAsia"/>
          <w:bCs/>
          <w:color w:val="auto"/>
          <w:sz w:val="24"/>
        </w:rPr>
        <w:t>、各区提交的评估资料进行整理，根据需要</w:t>
      </w:r>
      <w:r>
        <w:rPr>
          <w:rFonts w:hint="eastAsia"/>
          <w:bCs/>
          <w:color w:val="auto"/>
          <w:sz w:val="24"/>
          <w:lang w:eastAsia="zh-CN"/>
        </w:rPr>
        <w:t>预计对约</w:t>
      </w:r>
      <w:r>
        <w:rPr>
          <w:rFonts w:hint="eastAsia"/>
          <w:bCs/>
          <w:color w:val="auto"/>
          <w:sz w:val="24"/>
          <w:lang w:val="en-US" w:eastAsia="zh-CN"/>
        </w:rPr>
        <w:t>20个项目</w:t>
      </w:r>
      <w:r>
        <w:rPr>
          <w:rFonts w:hint="eastAsia"/>
          <w:bCs/>
          <w:color w:val="auto"/>
          <w:sz w:val="24"/>
        </w:rPr>
        <w:t>开展现场调研、实地踏勘、核实了解评估对象具体内容，具体数量以申报情况为准。</w:t>
      </w:r>
    </w:p>
    <w:p w14:paraId="3F947B14">
      <w:pPr>
        <w:tabs>
          <w:tab w:val="left" w:pos="900"/>
          <w:tab w:val="left" w:pos="1080"/>
        </w:tabs>
        <w:snapToGrid w:val="0"/>
        <w:spacing w:line="360" w:lineRule="auto"/>
        <w:ind w:firstLine="480" w:firstLineChars="200"/>
        <w:rPr>
          <w:bCs/>
          <w:color w:val="auto"/>
          <w:sz w:val="24"/>
        </w:rPr>
      </w:pPr>
      <w:r>
        <w:rPr>
          <w:rFonts w:hint="eastAsia"/>
          <w:bCs/>
          <w:color w:val="auto"/>
          <w:sz w:val="24"/>
        </w:rPr>
        <w:t>1.2</w:t>
      </w:r>
      <w:r>
        <w:rPr>
          <w:bCs/>
          <w:color w:val="auto"/>
          <w:sz w:val="24"/>
        </w:rPr>
        <w:t>事前绩效评估</w:t>
      </w:r>
      <w:r>
        <w:rPr>
          <w:rFonts w:hint="eastAsia"/>
          <w:bCs/>
          <w:color w:val="auto"/>
          <w:sz w:val="24"/>
        </w:rPr>
        <w:t>实施</w:t>
      </w:r>
      <w:r>
        <w:rPr>
          <w:bCs/>
          <w:color w:val="auto"/>
          <w:sz w:val="24"/>
        </w:rPr>
        <w:t>阶段。</w:t>
      </w:r>
      <w:r>
        <w:rPr>
          <w:rFonts w:hint="eastAsia"/>
          <w:bCs/>
          <w:color w:val="auto"/>
          <w:sz w:val="24"/>
        </w:rPr>
        <w:t>供应商负责</w:t>
      </w:r>
      <w:r>
        <w:rPr>
          <w:bCs/>
          <w:color w:val="auto"/>
          <w:sz w:val="24"/>
        </w:rPr>
        <w:t>筹备</w:t>
      </w:r>
      <w:r>
        <w:rPr>
          <w:rFonts w:hint="eastAsia"/>
          <w:bCs/>
          <w:color w:val="auto"/>
          <w:sz w:val="24"/>
        </w:rPr>
        <w:t>事前绩效</w:t>
      </w:r>
      <w:r>
        <w:rPr>
          <w:bCs/>
          <w:color w:val="auto"/>
          <w:sz w:val="24"/>
        </w:rPr>
        <w:t>评估会议，</w:t>
      </w:r>
      <w:r>
        <w:rPr>
          <w:rFonts w:hint="eastAsia"/>
          <w:bCs/>
          <w:color w:val="auto"/>
          <w:sz w:val="24"/>
        </w:rPr>
        <w:t>审核</w:t>
      </w:r>
      <w:r>
        <w:rPr>
          <w:bCs/>
          <w:color w:val="auto"/>
          <w:sz w:val="24"/>
        </w:rPr>
        <w:t>项目单位提交的材料，</w:t>
      </w:r>
      <w:r>
        <w:rPr>
          <w:rFonts w:hint="eastAsia"/>
          <w:bCs/>
          <w:color w:val="auto"/>
          <w:sz w:val="24"/>
        </w:rPr>
        <w:t>组织</w:t>
      </w:r>
      <w:r>
        <w:rPr>
          <w:color w:val="auto"/>
          <w:sz w:val="24"/>
        </w:rPr>
        <w:t>人大代表、</w:t>
      </w:r>
      <w:r>
        <w:rPr>
          <w:rFonts w:hint="eastAsia"/>
          <w:color w:val="auto"/>
          <w:sz w:val="24"/>
        </w:rPr>
        <w:t>各类</w:t>
      </w:r>
      <w:r>
        <w:rPr>
          <w:color w:val="auto"/>
          <w:sz w:val="24"/>
        </w:rPr>
        <w:t>专家</w:t>
      </w:r>
      <w:r>
        <w:rPr>
          <w:rFonts w:hint="eastAsia"/>
          <w:bCs/>
          <w:color w:val="auto"/>
          <w:sz w:val="24"/>
        </w:rPr>
        <w:t>等</w:t>
      </w:r>
      <w:r>
        <w:rPr>
          <w:bCs/>
          <w:color w:val="auto"/>
          <w:sz w:val="24"/>
        </w:rPr>
        <w:t>组建专家组，对北京市民政局</w:t>
      </w:r>
      <w:r>
        <w:rPr>
          <w:rFonts w:hint="eastAsia"/>
          <w:color w:val="auto"/>
          <w:sz w:val="24"/>
        </w:rPr>
        <w:t>预算项目和转移支付</w:t>
      </w:r>
      <w:r>
        <w:rPr>
          <w:rFonts w:hint="eastAsia"/>
          <w:bCs/>
          <w:color w:val="auto"/>
          <w:sz w:val="24"/>
        </w:rPr>
        <w:t>（具体数量以申报情况为准）</w:t>
      </w:r>
      <w:r>
        <w:rPr>
          <w:bCs/>
          <w:color w:val="auto"/>
          <w:sz w:val="24"/>
        </w:rPr>
        <w:t>进行</w:t>
      </w:r>
      <w:r>
        <w:rPr>
          <w:rFonts w:hint="eastAsia"/>
          <w:bCs/>
          <w:color w:val="auto"/>
          <w:sz w:val="24"/>
        </w:rPr>
        <w:t>事前绩效</w:t>
      </w:r>
      <w:r>
        <w:rPr>
          <w:bCs/>
          <w:color w:val="auto"/>
          <w:sz w:val="24"/>
        </w:rPr>
        <w:t>评估。</w:t>
      </w:r>
    </w:p>
    <w:p w14:paraId="49A1B7FC">
      <w:pPr>
        <w:tabs>
          <w:tab w:val="left" w:pos="900"/>
          <w:tab w:val="left" w:pos="1080"/>
        </w:tabs>
        <w:spacing w:line="360" w:lineRule="auto"/>
        <w:ind w:firstLine="480" w:firstLineChars="200"/>
        <w:rPr>
          <w:bCs/>
          <w:color w:val="auto"/>
          <w:sz w:val="24"/>
        </w:rPr>
      </w:pPr>
      <w:r>
        <w:rPr>
          <w:bCs/>
          <w:color w:val="auto"/>
          <w:sz w:val="24"/>
        </w:rPr>
        <w:t>①召开预审会。</w:t>
      </w:r>
      <w:r>
        <w:rPr>
          <w:rFonts w:hint="eastAsia"/>
          <w:bCs/>
          <w:color w:val="auto"/>
          <w:sz w:val="24"/>
        </w:rPr>
        <w:t>供应商</w:t>
      </w:r>
      <w:r>
        <w:rPr>
          <w:bCs/>
          <w:color w:val="auto"/>
          <w:sz w:val="24"/>
        </w:rPr>
        <w:t>组织召开预审会，</w:t>
      </w:r>
      <w:r>
        <w:rPr>
          <w:rFonts w:hint="eastAsia"/>
          <w:bCs/>
          <w:color w:val="auto"/>
          <w:sz w:val="24"/>
        </w:rPr>
        <w:t>组织</w:t>
      </w:r>
      <w:r>
        <w:rPr>
          <w:bCs/>
          <w:color w:val="auto"/>
          <w:sz w:val="24"/>
        </w:rPr>
        <w:t>专家组成员对提交的资料进行审核，并独立发表预审意见，出具补充资料清单。</w:t>
      </w:r>
    </w:p>
    <w:p w14:paraId="2D23B6FA">
      <w:pPr>
        <w:tabs>
          <w:tab w:val="left" w:pos="900"/>
          <w:tab w:val="left" w:pos="1080"/>
        </w:tabs>
        <w:snapToGrid w:val="0"/>
        <w:spacing w:line="360" w:lineRule="auto"/>
        <w:ind w:firstLine="480" w:firstLineChars="200"/>
        <w:rPr>
          <w:bCs/>
          <w:color w:val="auto"/>
          <w:sz w:val="24"/>
        </w:rPr>
      </w:pPr>
      <w:r>
        <w:rPr>
          <w:bCs/>
          <w:color w:val="auto"/>
          <w:sz w:val="24"/>
        </w:rPr>
        <w:t>②补充完善资料。</w:t>
      </w:r>
      <w:r>
        <w:rPr>
          <w:rFonts w:hint="eastAsia"/>
          <w:bCs/>
          <w:color w:val="auto"/>
          <w:sz w:val="24"/>
        </w:rPr>
        <w:t>供应商组织</w:t>
      </w:r>
      <w:r>
        <w:rPr>
          <w:bCs/>
          <w:color w:val="auto"/>
          <w:sz w:val="24"/>
        </w:rPr>
        <w:t>各预算项目处室（单位）</w:t>
      </w:r>
      <w:r>
        <w:rPr>
          <w:rFonts w:hint="eastAsia"/>
          <w:bCs/>
          <w:color w:val="auto"/>
          <w:sz w:val="24"/>
        </w:rPr>
        <w:t>、各区</w:t>
      </w:r>
      <w:r>
        <w:rPr>
          <w:bCs/>
          <w:color w:val="auto"/>
          <w:sz w:val="24"/>
        </w:rPr>
        <w:t>按照补充资料清单，在</w:t>
      </w:r>
      <w:r>
        <w:rPr>
          <w:rFonts w:hint="eastAsia"/>
          <w:bCs/>
          <w:color w:val="auto"/>
          <w:sz w:val="24"/>
        </w:rPr>
        <w:t>10</w:t>
      </w:r>
      <w:r>
        <w:rPr>
          <w:bCs/>
          <w:color w:val="auto"/>
          <w:sz w:val="24"/>
        </w:rPr>
        <w:t>个工作日内提交补充资料。</w:t>
      </w:r>
    </w:p>
    <w:p w14:paraId="6C010202">
      <w:pPr>
        <w:tabs>
          <w:tab w:val="left" w:pos="900"/>
          <w:tab w:val="left" w:pos="1080"/>
        </w:tabs>
        <w:snapToGrid w:val="0"/>
        <w:spacing w:line="360" w:lineRule="auto"/>
        <w:ind w:firstLine="480" w:firstLineChars="200"/>
        <w:rPr>
          <w:bCs/>
          <w:color w:val="auto"/>
          <w:sz w:val="24"/>
        </w:rPr>
      </w:pPr>
      <w:r>
        <w:rPr>
          <w:bCs/>
          <w:color w:val="auto"/>
          <w:sz w:val="24"/>
        </w:rPr>
        <w:t>③召开正式评估会。正式会由专家组组长主持，预算处室（单位）</w:t>
      </w:r>
      <w:r>
        <w:rPr>
          <w:rFonts w:hint="eastAsia"/>
          <w:bCs/>
          <w:color w:val="auto"/>
          <w:sz w:val="24"/>
        </w:rPr>
        <w:t>、各区</w:t>
      </w:r>
      <w:r>
        <w:rPr>
          <w:bCs/>
          <w:color w:val="auto"/>
          <w:sz w:val="24"/>
        </w:rPr>
        <w:t>就项目</w:t>
      </w:r>
      <w:r>
        <w:rPr>
          <w:rFonts w:hint="eastAsia"/>
          <w:bCs/>
          <w:color w:val="auto"/>
          <w:sz w:val="24"/>
        </w:rPr>
        <w:t>、</w:t>
      </w:r>
      <w:r>
        <w:rPr>
          <w:bCs/>
          <w:color w:val="auto"/>
          <w:sz w:val="24"/>
        </w:rPr>
        <w:t>政策内容进行汇报，汇报时间不超过</w:t>
      </w:r>
      <w:r>
        <w:rPr>
          <w:rFonts w:hint="eastAsia"/>
          <w:bCs/>
          <w:color w:val="auto"/>
          <w:sz w:val="24"/>
        </w:rPr>
        <w:t>20</w:t>
      </w:r>
      <w:r>
        <w:rPr>
          <w:bCs/>
          <w:color w:val="auto"/>
          <w:sz w:val="24"/>
        </w:rPr>
        <w:t>分钟。专家组</w:t>
      </w:r>
      <w:r>
        <w:rPr>
          <w:rFonts w:hint="eastAsia"/>
          <w:bCs/>
          <w:color w:val="auto"/>
          <w:sz w:val="24"/>
        </w:rPr>
        <w:t>就具体问题与项目处室（单位）、各区进行沟通交流，在此基础上，对照事前评估指标体系，</w:t>
      </w:r>
      <w:r>
        <w:rPr>
          <w:bCs/>
          <w:color w:val="auto"/>
          <w:sz w:val="24"/>
        </w:rPr>
        <w:t>对项目必要性、可行性、经济性、效率性、效益性等进行</w:t>
      </w:r>
      <w:r>
        <w:rPr>
          <w:rFonts w:hint="eastAsia"/>
          <w:bCs/>
          <w:color w:val="auto"/>
          <w:sz w:val="24"/>
        </w:rPr>
        <w:t>独立客观的</w:t>
      </w:r>
      <w:r>
        <w:rPr>
          <w:bCs/>
          <w:color w:val="auto"/>
          <w:sz w:val="24"/>
        </w:rPr>
        <w:t>评估，形成专家组</w:t>
      </w:r>
      <w:r>
        <w:rPr>
          <w:rFonts w:hint="eastAsia"/>
          <w:bCs/>
          <w:color w:val="auto"/>
          <w:sz w:val="24"/>
        </w:rPr>
        <w:t>评估</w:t>
      </w:r>
      <w:r>
        <w:rPr>
          <w:bCs/>
          <w:color w:val="auto"/>
          <w:sz w:val="24"/>
        </w:rPr>
        <w:t>意见。出具予以支持、部分支持、调整完善后支持、不予支持的意见，作为</w:t>
      </w:r>
      <w:r>
        <w:rPr>
          <w:rFonts w:hint="eastAsia"/>
          <w:bCs/>
          <w:color w:val="auto"/>
          <w:sz w:val="24"/>
        </w:rPr>
        <w:t>采购人</w:t>
      </w:r>
      <w:r>
        <w:rPr>
          <w:bCs/>
          <w:color w:val="auto"/>
          <w:sz w:val="24"/>
        </w:rPr>
        <w:t>后续相关工作开展的</w:t>
      </w:r>
      <w:r>
        <w:rPr>
          <w:rFonts w:hint="eastAsia"/>
          <w:bCs/>
          <w:color w:val="auto"/>
          <w:sz w:val="24"/>
        </w:rPr>
        <w:t>参考依据</w:t>
      </w:r>
      <w:r>
        <w:rPr>
          <w:bCs/>
          <w:color w:val="auto"/>
          <w:sz w:val="24"/>
        </w:rPr>
        <w:t>。</w:t>
      </w:r>
    </w:p>
    <w:p w14:paraId="553714EF">
      <w:pPr>
        <w:tabs>
          <w:tab w:val="left" w:pos="900"/>
          <w:tab w:val="left" w:pos="1080"/>
        </w:tabs>
        <w:snapToGrid w:val="0"/>
        <w:spacing w:line="360" w:lineRule="auto"/>
        <w:ind w:firstLine="480" w:firstLineChars="200"/>
        <w:rPr>
          <w:bCs/>
          <w:color w:val="auto"/>
          <w:sz w:val="24"/>
        </w:rPr>
      </w:pPr>
      <w:r>
        <w:rPr>
          <w:rFonts w:hint="eastAsia"/>
          <w:bCs/>
          <w:color w:val="auto"/>
          <w:sz w:val="24"/>
        </w:rPr>
        <w:t>事前绩效</w:t>
      </w:r>
      <w:r>
        <w:rPr>
          <w:bCs/>
          <w:color w:val="auto"/>
          <w:sz w:val="24"/>
        </w:rPr>
        <w:t>评估工作要点如下：</w:t>
      </w:r>
    </w:p>
    <w:p w14:paraId="45952D7F">
      <w:pPr>
        <w:tabs>
          <w:tab w:val="left" w:pos="900"/>
          <w:tab w:val="left" w:pos="1080"/>
        </w:tabs>
        <w:snapToGrid w:val="0"/>
        <w:spacing w:line="360" w:lineRule="auto"/>
        <w:ind w:firstLine="480" w:firstLineChars="200"/>
        <w:rPr>
          <w:bCs/>
          <w:color w:val="auto"/>
          <w:sz w:val="24"/>
        </w:rPr>
      </w:pPr>
      <w:r>
        <w:rPr>
          <w:bCs/>
          <w:color w:val="auto"/>
          <w:sz w:val="24"/>
        </w:rPr>
        <w:t>项目必要性。主要评估项目设立是否与国家及北京市法律法规、国民经济和社会发展规划、行业规划等相符；是否与部门职能相关，是否有迫切的现实需求；立项目标是否明确合理，是否有确定的评估对象和范围；与其他项目或政策是否交叉重叠，是否经过充分调研和前期论证，是否属于财政资金支持范围等。</w:t>
      </w:r>
    </w:p>
    <w:p w14:paraId="02853E06">
      <w:pPr>
        <w:tabs>
          <w:tab w:val="left" w:pos="900"/>
          <w:tab w:val="left" w:pos="1080"/>
        </w:tabs>
        <w:snapToGrid w:val="0"/>
        <w:spacing w:line="360" w:lineRule="auto"/>
        <w:ind w:firstLine="480" w:firstLineChars="200"/>
        <w:rPr>
          <w:bCs/>
          <w:color w:val="auto"/>
          <w:sz w:val="24"/>
        </w:rPr>
      </w:pPr>
      <w:r>
        <w:rPr>
          <w:bCs/>
          <w:color w:val="auto"/>
          <w:sz w:val="24"/>
        </w:rPr>
        <w:t>项目可行性。主要评估项目实施条件是否可行，包括项目的组织机构是否健全，职责分工与管理制度是否明确；项目实施方案是否可行，包括计划进度安排是否合理可行，技术方案是否成熟、先进、经济、高效；行业备案信息等是否齐备，未来实施是否具备可持续的条件和环境保障。项目投入是否可行，是否在不同方案中有技术标准经济性的比较。</w:t>
      </w:r>
    </w:p>
    <w:p w14:paraId="429F1BE3">
      <w:pPr>
        <w:tabs>
          <w:tab w:val="left" w:pos="900"/>
          <w:tab w:val="left" w:pos="1080"/>
        </w:tabs>
        <w:snapToGrid w:val="0"/>
        <w:spacing w:line="360" w:lineRule="auto"/>
        <w:ind w:firstLine="480" w:firstLineChars="200"/>
        <w:rPr>
          <w:bCs/>
          <w:color w:val="auto"/>
          <w:sz w:val="24"/>
        </w:rPr>
      </w:pPr>
      <w:r>
        <w:rPr>
          <w:bCs/>
          <w:color w:val="auto"/>
          <w:sz w:val="24"/>
        </w:rPr>
        <w:t>项目经济性。主要评估项目成本测算依据是否充分；成本控制措施是否科学有效;在既定目标下投入成本是否达到最小化程度，是否考虑替代方案成本节约情况。</w:t>
      </w:r>
    </w:p>
    <w:p w14:paraId="50725BAD">
      <w:pPr>
        <w:tabs>
          <w:tab w:val="left" w:pos="900"/>
          <w:tab w:val="left" w:pos="1080"/>
        </w:tabs>
        <w:snapToGrid w:val="0"/>
        <w:spacing w:line="360" w:lineRule="auto"/>
        <w:ind w:firstLine="480" w:firstLineChars="200"/>
        <w:rPr>
          <w:bCs/>
          <w:color w:val="auto"/>
          <w:sz w:val="24"/>
        </w:rPr>
      </w:pPr>
      <w:r>
        <w:rPr>
          <w:bCs/>
          <w:color w:val="auto"/>
          <w:sz w:val="24"/>
        </w:rPr>
        <w:t>项目效率性。主要评估项目预期产出是否清晰明确；是否反映了既定投入水平下的最大产出；产出数量与质量是否与预算申请相符；产出指标值是否合理、细化、量化、可考核。</w:t>
      </w:r>
    </w:p>
    <w:p w14:paraId="0691DDF4">
      <w:pPr>
        <w:tabs>
          <w:tab w:val="left" w:pos="900"/>
          <w:tab w:val="left" w:pos="1080"/>
        </w:tabs>
        <w:snapToGrid w:val="0"/>
        <w:spacing w:line="360" w:lineRule="auto"/>
        <w:ind w:firstLine="480" w:firstLineChars="200"/>
        <w:rPr>
          <w:bCs/>
          <w:color w:val="auto"/>
          <w:sz w:val="24"/>
        </w:rPr>
      </w:pPr>
      <w:r>
        <w:rPr>
          <w:bCs/>
          <w:color w:val="auto"/>
          <w:sz w:val="24"/>
        </w:rPr>
        <w:t>项目效益性。主要评估项目预期效益是否合理、可实现；是否反映了既定投入水平下的最优经济效益、社会效益和环境效益；各项效益所对应的指标值是否量化、可评价；可实现的效益是否得到利益相关者的认可。</w:t>
      </w:r>
    </w:p>
    <w:p w14:paraId="10C257DE">
      <w:pPr>
        <w:tabs>
          <w:tab w:val="left" w:pos="900"/>
          <w:tab w:val="left" w:pos="1080"/>
        </w:tabs>
        <w:snapToGrid w:val="0"/>
        <w:spacing w:line="360" w:lineRule="auto"/>
        <w:ind w:firstLine="480" w:firstLineChars="200"/>
        <w:rPr>
          <w:bCs/>
          <w:color w:val="auto"/>
          <w:sz w:val="24"/>
        </w:rPr>
      </w:pPr>
      <w:r>
        <w:rPr>
          <w:rFonts w:hint="eastAsia"/>
          <w:bCs/>
          <w:color w:val="auto"/>
          <w:sz w:val="24"/>
        </w:rPr>
        <w:t>1.3事前绩效</w:t>
      </w:r>
      <w:r>
        <w:rPr>
          <w:bCs/>
          <w:color w:val="auto"/>
          <w:sz w:val="24"/>
        </w:rPr>
        <w:t>评估意见反馈阶段。反馈</w:t>
      </w:r>
      <w:r>
        <w:rPr>
          <w:rFonts w:hint="eastAsia"/>
          <w:bCs/>
          <w:color w:val="auto"/>
          <w:sz w:val="24"/>
        </w:rPr>
        <w:t>事前绩效</w:t>
      </w:r>
      <w:r>
        <w:rPr>
          <w:bCs/>
          <w:color w:val="auto"/>
          <w:sz w:val="24"/>
        </w:rPr>
        <w:t>评估意见，并结合意见对项目修改情况进行复核，对</w:t>
      </w:r>
      <w:r>
        <w:rPr>
          <w:rFonts w:hint="eastAsia"/>
          <w:bCs/>
          <w:color w:val="auto"/>
          <w:sz w:val="24"/>
        </w:rPr>
        <w:t>评估</w:t>
      </w:r>
      <w:r>
        <w:rPr>
          <w:bCs/>
          <w:color w:val="auto"/>
          <w:sz w:val="24"/>
        </w:rPr>
        <w:t>结论为调整完善后支持的项目组织专家复审。</w:t>
      </w:r>
      <w:r>
        <w:rPr>
          <w:rFonts w:hint="eastAsia"/>
          <w:bCs/>
          <w:color w:val="auto"/>
          <w:sz w:val="24"/>
        </w:rPr>
        <w:t>对新增重大、实施复杂的转移支付项目，组织专家对项目细化后材料进行再次复审。</w:t>
      </w:r>
    </w:p>
    <w:p w14:paraId="6143256C">
      <w:pPr>
        <w:snapToGrid w:val="0"/>
        <w:spacing w:line="360" w:lineRule="auto"/>
        <w:ind w:firstLine="480" w:firstLineChars="200"/>
        <w:rPr>
          <w:bCs/>
          <w:color w:val="auto"/>
          <w:sz w:val="24"/>
        </w:rPr>
      </w:pPr>
      <w:r>
        <w:rPr>
          <w:rFonts w:hint="eastAsia"/>
          <w:bCs/>
          <w:color w:val="auto"/>
          <w:sz w:val="24"/>
        </w:rPr>
        <w:t>1.4</w:t>
      </w:r>
      <w:r>
        <w:rPr>
          <w:bCs/>
          <w:color w:val="auto"/>
          <w:sz w:val="24"/>
        </w:rPr>
        <w:t>项目</w:t>
      </w:r>
      <w:r>
        <w:rPr>
          <w:rFonts w:hint="eastAsia"/>
          <w:bCs/>
          <w:color w:val="auto"/>
          <w:sz w:val="24"/>
        </w:rPr>
        <w:t>事前绩效评估</w:t>
      </w:r>
      <w:r>
        <w:rPr>
          <w:bCs/>
          <w:color w:val="auto"/>
          <w:sz w:val="24"/>
        </w:rPr>
        <w:t>报告撰写及提交阶段。</w:t>
      </w:r>
      <w:r>
        <w:rPr>
          <w:rFonts w:hint="eastAsia"/>
          <w:bCs/>
          <w:color w:val="auto"/>
          <w:sz w:val="24"/>
        </w:rPr>
        <w:t>供应商</w:t>
      </w:r>
      <w:r>
        <w:rPr>
          <w:bCs/>
          <w:color w:val="auto"/>
          <w:sz w:val="24"/>
        </w:rPr>
        <w:t>根据专家组评估意见</w:t>
      </w:r>
      <w:r>
        <w:rPr>
          <w:rFonts w:hint="eastAsia"/>
          <w:bCs/>
          <w:color w:val="auto"/>
          <w:sz w:val="24"/>
          <w:lang w:eastAsia="zh-CN"/>
        </w:rPr>
        <w:t>及结论</w:t>
      </w:r>
      <w:r>
        <w:rPr>
          <w:bCs/>
          <w:color w:val="auto"/>
          <w:sz w:val="24"/>
        </w:rPr>
        <w:t>，复核项目文本资料</w:t>
      </w:r>
      <w:r>
        <w:rPr>
          <w:rFonts w:hint="eastAsia"/>
          <w:bCs/>
          <w:color w:val="auto"/>
          <w:sz w:val="24"/>
          <w:lang w:eastAsia="zh-CN"/>
        </w:rPr>
        <w:t>等</w:t>
      </w:r>
      <w:r>
        <w:rPr>
          <w:bCs/>
          <w:color w:val="auto"/>
          <w:sz w:val="24"/>
        </w:rPr>
        <w:t>，</w:t>
      </w:r>
      <w:r>
        <w:rPr>
          <w:rFonts w:hint="eastAsia"/>
          <w:bCs/>
          <w:color w:val="auto"/>
          <w:sz w:val="24"/>
          <w:lang w:eastAsia="zh-CN"/>
        </w:rPr>
        <w:t>汇总项目结论，</w:t>
      </w:r>
      <w:r>
        <w:rPr>
          <w:bCs/>
          <w:color w:val="auto"/>
          <w:sz w:val="24"/>
        </w:rPr>
        <w:t>撰写</w:t>
      </w:r>
      <w:r>
        <w:rPr>
          <w:rFonts w:hint="eastAsia"/>
          <w:bCs/>
          <w:color w:val="auto"/>
          <w:sz w:val="24"/>
        </w:rPr>
        <w:t>北京</w:t>
      </w:r>
      <w:r>
        <w:rPr>
          <w:bCs/>
          <w:color w:val="auto"/>
          <w:sz w:val="24"/>
        </w:rPr>
        <w:t>市民政局项目</w:t>
      </w:r>
      <w:r>
        <w:rPr>
          <w:rFonts w:hint="eastAsia"/>
          <w:bCs/>
          <w:color w:val="auto"/>
          <w:sz w:val="24"/>
        </w:rPr>
        <w:t>事前绩效</w:t>
      </w:r>
      <w:r>
        <w:rPr>
          <w:bCs/>
          <w:color w:val="auto"/>
          <w:sz w:val="24"/>
        </w:rPr>
        <w:t>评估工作报告（报告内容详见</w:t>
      </w:r>
      <w:r>
        <w:rPr>
          <w:rFonts w:hint="eastAsia"/>
          <w:bCs/>
          <w:color w:val="auto"/>
          <w:sz w:val="24"/>
        </w:rPr>
        <w:t>第五工作成果</w:t>
      </w:r>
      <w:r>
        <w:rPr>
          <w:bCs/>
          <w:color w:val="auto"/>
          <w:sz w:val="24"/>
        </w:rPr>
        <w:t>），分析评估结果，提出有关建议或意见。协助</w:t>
      </w:r>
      <w:r>
        <w:rPr>
          <w:rFonts w:hint="eastAsia"/>
          <w:bCs/>
          <w:color w:val="auto"/>
          <w:sz w:val="24"/>
        </w:rPr>
        <w:t>采购人</w:t>
      </w:r>
      <w:r>
        <w:rPr>
          <w:bCs/>
          <w:color w:val="auto"/>
          <w:sz w:val="24"/>
        </w:rPr>
        <w:t>完成项目</w:t>
      </w:r>
      <w:r>
        <w:rPr>
          <w:rFonts w:hint="eastAsia"/>
          <w:bCs/>
          <w:color w:val="auto"/>
          <w:sz w:val="24"/>
        </w:rPr>
        <w:t>事前绩效</w:t>
      </w:r>
      <w:r>
        <w:rPr>
          <w:bCs/>
          <w:color w:val="auto"/>
          <w:sz w:val="24"/>
        </w:rPr>
        <w:t>评估相关工作。具体工作时间安排按照市财政局</w:t>
      </w:r>
      <w:r>
        <w:rPr>
          <w:rFonts w:hint="eastAsia"/>
          <w:bCs/>
          <w:color w:val="auto"/>
          <w:sz w:val="24"/>
        </w:rPr>
        <w:t>及采购人</w:t>
      </w:r>
      <w:r>
        <w:rPr>
          <w:bCs/>
          <w:color w:val="auto"/>
          <w:sz w:val="24"/>
        </w:rPr>
        <w:t>要求执行。</w:t>
      </w:r>
    </w:p>
    <w:p w14:paraId="59BBCFCA">
      <w:pPr>
        <w:snapToGrid w:val="0"/>
        <w:spacing w:line="360" w:lineRule="auto"/>
        <w:ind w:firstLine="480" w:firstLineChars="200"/>
        <w:rPr>
          <w:color w:val="auto"/>
          <w:highlight w:val="none"/>
        </w:rPr>
      </w:pPr>
      <w:r>
        <w:rPr>
          <w:rFonts w:hint="eastAsia"/>
          <w:bCs/>
          <w:color w:val="auto"/>
          <w:sz w:val="24"/>
          <w:highlight w:val="none"/>
        </w:rPr>
        <w:t>1.5</w:t>
      </w:r>
      <w:r>
        <w:rPr>
          <w:bCs/>
          <w:color w:val="auto"/>
          <w:sz w:val="24"/>
          <w:highlight w:val="none"/>
        </w:rPr>
        <w:t>完成</w:t>
      </w:r>
      <w:r>
        <w:rPr>
          <w:rFonts w:hint="eastAsia"/>
          <w:bCs/>
          <w:color w:val="auto"/>
          <w:sz w:val="24"/>
          <w:highlight w:val="none"/>
        </w:rPr>
        <w:t>工作内容前</w:t>
      </w:r>
      <w:r>
        <w:rPr>
          <w:bCs/>
          <w:color w:val="auto"/>
          <w:sz w:val="24"/>
          <w:highlight w:val="none"/>
        </w:rPr>
        <w:t>四个阶段</w:t>
      </w:r>
      <w:r>
        <w:rPr>
          <w:rFonts w:hint="eastAsia"/>
          <w:bCs/>
          <w:color w:val="auto"/>
          <w:sz w:val="24"/>
          <w:highlight w:val="none"/>
          <w:lang w:eastAsia="zh-CN"/>
        </w:rPr>
        <w:t>（工作内容中</w:t>
      </w:r>
      <w:r>
        <w:rPr>
          <w:rFonts w:hint="eastAsia"/>
          <w:bCs/>
          <w:color w:val="auto"/>
          <w:sz w:val="24"/>
          <w:highlight w:val="none"/>
          <w:lang w:val="en-US" w:eastAsia="zh-CN"/>
        </w:rPr>
        <w:t>1.1至1.4</w:t>
      </w:r>
      <w:r>
        <w:rPr>
          <w:rFonts w:hint="eastAsia"/>
          <w:bCs/>
          <w:color w:val="auto"/>
          <w:sz w:val="24"/>
          <w:highlight w:val="none"/>
          <w:lang w:eastAsia="zh-CN"/>
        </w:rPr>
        <w:t>）</w:t>
      </w:r>
      <w:r>
        <w:rPr>
          <w:bCs/>
          <w:color w:val="auto"/>
          <w:sz w:val="24"/>
          <w:highlight w:val="none"/>
        </w:rPr>
        <w:t>为</w:t>
      </w:r>
      <w:r>
        <w:rPr>
          <w:rFonts w:hint="eastAsia"/>
          <w:bCs/>
          <w:color w:val="auto"/>
          <w:sz w:val="24"/>
          <w:highlight w:val="none"/>
        </w:rPr>
        <w:t>完成</w:t>
      </w:r>
      <w:r>
        <w:rPr>
          <w:bCs/>
          <w:color w:val="auto"/>
          <w:sz w:val="24"/>
          <w:highlight w:val="none"/>
        </w:rPr>
        <w:t>一个批次事前绩效评估工作</w:t>
      </w:r>
      <w:r>
        <w:rPr>
          <w:rFonts w:hint="eastAsia"/>
          <w:bCs/>
          <w:color w:val="auto"/>
          <w:sz w:val="24"/>
          <w:highlight w:val="none"/>
        </w:rPr>
        <w:t>，整体开展至多三批次事前绩效评估工作（以工作进度及资金性质区分各批次）</w:t>
      </w:r>
      <w:r>
        <w:rPr>
          <w:bCs/>
          <w:color w:val="auto"/>
          <w:sz w:val="24"/>
          <w:highlight w:val="none"/>
        </w:rPr>
        <w:t>。</w:t>
      </w:r>
    </w:p>
    <w:p w14:paraId="20809E54">
      <w:pPr>
        <w:numPr>
          <w:ilvl w:val="-1"/>
          <w:numId w:val="0"/>
        </w:numPr>
        <w:snapToGrid w:val="0"/>
        <w:spacing w:line="360" w:lineRule="auto"/>
        <w:outlineLvl w:val="2"/>
        <w:rPr>
          <w:b/>
          <w:color w:val="auto"/>
          <w:sz w:val="24"/>
        </w:rPr>
      </w:pPr>
      <w:r>
        <w:rPr>
          <w:rFonts w:hint="eastAsia"/>
          <w:b/>
          <w:color w:val="auto"/>
          <w:sz w:val="24"/>
          <w:lang w:eastAsia="zh-CN"/>
        </w:rPr>
        <w:t>五、</w:t>
      </w:r>
      <w:r>
        <w:rPr>
          <w:b/>
          <w:color w:val="auto"/>
          <w:sz w:val="24"/>
        </w:rPr>
        <w:t>工作依据和标准</w:t>
      </w:r>
    </w:p>
    <w:p w14:paraId="7AD6013F">
      <w:pPr>
        <w:tabs>
          <w:tab w:val="left" w:pos="900"/>
          <w:tab w:val="left" w:pos="1080"/>
        </w:tabs>
        <w:snapToGrid w:val="0"/>
        <w:spacing w:line="360" w:lineRule="auto"/>
        <w:ind w:firstLine="480" w:firstLineChars="200"/>
        <w:rPr>
          <w:bCs/>
          <w:color w:val="auto"/>
          <w:sz w:val="24"/>
        </w:rPr>
      </w:pPr>
      <w:r>
        <w:rPr>
          <w:bCs/>
          <w:color w:val="auto"/>
          <w:sz w:val="24"/>
        </w:rPr>
        <w:t>按照专业委托业务工作的要求，</w:t>
      </w:r>
      <w:r>
        <w:rPr>
          <w:rFonts w:hint="eastAsia"/>
          <w:bCs/>
          <w:color w:val="auto"/>
          <w:sz w:val="24"/>
        </w:rPr>
        <w:t>供应商</w:t>
      </w:r>
      <w:r>
        <w:rPr>
          <w:bCs/>
          <w:color w:val="auto"/>
          <w:sz w:val="24"/>
        </w:rPr>
        <w:t>应当以下列内容为工作依据和标准：</w:t>
      </w:r>
    </w:p>
    <w:p w14:paraId="6DD4C654">
      <w:pPr>
        <w:tabs>
          <w:tab w:val="left" w:pos="900"/>
          <w:tab w:val="left" w:pos="1080"/>
        </w:tabs>
        <w:snapToGrid w:val="0"/>
        <w:spacing w:line="360" w:lineRule="auto"/>
        <w:ind w:firstLine="480" w:firstLineChars="200"/>
        <w:rPr>
          <w:bCs/>
          <w:color w:val="auto"/>
          <w:sz w:val="24"/>
        </w:rPr>
      </w:pPr>
      <w:r>
        <w:rPr>
          <w:bCs/>
          <w:color w:val="auto"/>
          <w:sz w:val="24"/>
        </w:rPr>
        <w:t>《北京市市级财政支出事前绩效评估管理办法》</w:t>
      </w:r>
      <w:r>
        <w:rPr>
          <w:rFonts w:hint="eastAsia"/>
          <w:bCs/>
          <w:color w:val="auto"/>
          <w:sz w:val="24"/>
        </w:rPr>
        <w:t>；</w:t>
      </w:r>
    </w:p>
    <w:p w14:paraId="76F0E376">
      <w:pPr>
        <w:tabs>
          <w:tab w:val="left" w:pos="900"/>
          <w:tab w:val="left" w:pos="1080"/>
        </w:tabs>
        <w:snapToGrid w:val="0"/>
        <w:spacing w:line="360" w:lineRule="auto"/>
        <w:ind w:firstLine="480" w:firstLineChars="200"/>
        <w:rPr>
          <w:bCs/>
          <w:color w:val="auto"/>
          <w:sz w:val="24"/>
        </w:rPr>
      </w:pPr>
      <w:r>
        <w:rPr>
          <w:rFonts w:hint="eastAsia"/>
          <w:bCs/>
          <w:color w:val="auto"/>
          <w:sz w:val="24"/>
        </w:rPr>
        <w:t>《北京市彩票公益金管理办法》；</w:t>
      </w:r>
    </w:p>
    <w:p w14:paraId="72F1A596">
      <w:pPr>
        <w:tabs>
          <w:tab w:val="left" w:pos="900"/>
          <w:tab w:val="left" w:pos="1080"/>
        </w:tabs>
        <w:snapToGrid w:val="0"/>
        <w:spacing w:line="360" w:lineRule="auto"/>
        <w:ind w:firstLine="480" w:firstLineChars="200"/>
        <w:rPr>
          <w:bCs/>
          <w:color w:val="auto"/>
          <w:sz w:val="24"/>
        </w:rPr>
      </w:pPr>
      <w:r>
        <w:rPr>
          <w:rFonts w:hint="eastAsia"/>
          <w:bCs/>
          <w:color w:val="auto"/>
          <w:sz w:val="24"/>
        </w:rPr>
        <w:t>《北京市福利彩票公益金使用管理办法》</w:t>
      </w:r>
      <w:r>
        <w:rPr>
          <w:bCs/>
          <w:color w:val="auto"/>
          <w:sz w:val="24"/>
        </w:rPr>
        <w:t>；</w:t>
      </w:r>
    </w:p>
    <w:p w14:paraId="7C1C8276">
      <w:pPr>
        <w:tabs>
          <w:tab w:val="left" w:pos="900"/>
          <w:tab w:val="left" w:pos="1080"/>
        </w:tabs>
        <w:snapToGrid w:val="0"/>
        <w:spacing w:line="360" w:lineRule="auto"/>
        <w:ind w:firstLine="480" w:firstLineChars="200"/>
        <w:rPr>
          <w:color w:val="auto"/>
        </w:rPr>
      </w:pPr>
      <w:r>
        <w:rPr>
          <w:bCs/>
          <w:color w:val="auto"/>
          <w:sz w:val="24"/>
        </w:rPr>
        <w:t>《关于人大预算审查监督重点向支出预算和政策拓展的实施意见》</w:t>
      </w:r>
      <w:r>
        <w:rPr>
          <w:rFonts w:hint="eastAsia"/>
          <w:bCs/>
          <w:color w:val="auto"/>
          <w:sz w:val="24"/>
        </w:rPr>
        <w:t>；</w:t>
      </w:r>
    </w:p>
    <w:p w14:paraId="509FB935">
      <w:pPr>
        <w:pStyle w:val="2"/>
        <w:spacing w:line="360" w:lineRule="auto"/>
        <w:ind w:firstLine="480" w:firstLineChars="200"/>
        <w:rPr>
          <w:rFonts w:hint="eastAsia"/>
          <w:color w:val="auto"/>
        </w:rPr>
      </w:pPr>
      <w:r>
        <w:rPr>
          <w:bCs/>
          <w:color w:val="auto"/>
        </w:rPr>
        <w:t>其他有关规定办法</w:t>
      </w:r>
      <w:r>
        <w:rPr>
          <w:rFonts w:hint="eastAsia"/>
          <w:bCs/>
          <w:color w:val="auto"/>
        </w:rPr>
        <w:t>。</w:t>
      </w:r>
    </w:p>
    <w:p w14:paraId="59631402">
      <w:pPr>
        <w:snapToGrid w:val="0"/>
        <w:spacing w:line="360" w:lineRule="auto"/>
        <w:outlineLvl w:val="2"/>
        <w:rPr>
          <w:b/>
          <w:bCs/>
          <w:color w:val="auto"/>
          <w:sz w:val="24"/>
        </w:rPr>
      </w:pPr>
      <w:r>
        <w:rPr>
          <w:rFonts w:hint="eastAsia"/>
          <w:b/>
          <w:bCs/>
          <w:color w:val="auto"/>
          <w:sz w:val="24"/>
          <w:lang w:eastAsia="zh-CN"/>
        </w:rPr>
        <w:t>六</w:t>
      </w:r>
      <w:r>
        <w:rPr>
          <w:b/>
          <w:bCs/>
          <w:color w:val="auto"/>
          <w:sz w:val="24"/>
        </w:rPr>
        <w:t>、工作要求</w:t>
      </w:r>
    </w:p>
    <w:p w14:paraId="1B035225">
      <w:pPr>
        <w:tabs>
          <w:tab w:val="left" w:pos="900"/>
          <w:tab w:val="left" w:pos="1080"/>
        </w:tabs>
        <w:snapToGrid w:val="0"/>
        <w:spacing w:line="360" w:lineRule="auto"/>
        <w:ind w:firstLine="480" w:firstLineChars="200"/>
        <w:outlineLvl w:val="2"/>
        <w:rPr>
          <w:bCs/>
          <w:color w:val="auto"/>
          <w:sz w:val="24"/>
        </w:rPr>
      </w:pPr>
      <w:r>
        <w:rPr>
          <w:rFonts w:hint="eastAsia"/>
          <w:bCs/>
          <w:color w:val="auto"/>
          <w:sz w:val="24"/>
        </w:rPr>
        <w:t>1.1.供应商</w:t>
      </w:r>
      <w:r>
        <w:rPr>
          <w:bCs/>
          <w:color w:val="auto"/>
          <w:sz w:val="24"/>
        </w:rPr>
        <w:t>应具有良好的商业信誉和健全的财务会计制度，有依法缴纳税收和社会保障资金的良好记录，且在经营活动中没有重大违法记录。</w:t>
      </w:r>
    </w:p>
    <w:p w14:paraId="01F2E63F">
      <w:pPr>
        <w:tabs>
          <w:tab w:val="left" w:pos="900"/>
          <w:tab w:val="left" w:pos="1080"/>
        </w:tabs>
        <w:snapToGrid w:val="0"/>
        <w:spacing w:line="360" w:lineRule="auto"/>
        <w:ind w:firstLine="480" w:firstLineChars="200"/>
        <w:rPr>
          <w:bCs/>
          <w:color w:val="auto"/>
          <w:sz w:val="24"/>
        </w:rPr>
      </w:pPr>
      <w:r>
        <w:rPr>
          <w:rFonts w:hint="eastAsia"/>
          <w:bCs/>
          <w:color w:val="auto"/>
          <w:sz w:val="24"/>
        </w:rPr>
        <w:t>1.2.</w:t>
      </w:r>
      <w:r>
        <w:rPr>
          <w:color w:val="auto"/>
          <w:sz w:val="24"/>
        </w:rPr>
        <w:t>对项目团队的要求：</w:t>
      </w:r>
      <w:r>
        <w:rPr>
          <w:rFonts w:hint="eastAsia"/>
          <w:bCs/>
          <w:color w:val="auto"/>
          <w:sz w:val="24"/>
        </w:rPr>
        <w:t>供应商</w:t>
      </w:r>
      <w:r>
        <w:rPr>
          <w:bCs/>
          <w:color w:val="auto"/>
          <w:sz w:val="24"/>
        </w:rPr>
        <w:t>应具有充裕的专家人才资源，能够</w:t>
      </w:r>
      <w:r>
        <w:rPr>
          <w:rFonts w:hint="eastAsia"/>
          <w:bCs/>
          <w:color w:val="auto"/>
          <w:sz w:val="24"/>
        </w:rPr>
        <w:t>邀请</w:t>
      </w:r>
      <w:r>
        <w:rPr>
          <w:bCs/>
          <w:color w:val="auto"/>
          <w:sz w:val="24"/>
        </w:rPr>
        <w:t>人大代表、</w:t>
      </w:r>
      <w:r>
        <w:rPr>
          <w:rFonts w:hint="eastAsia"/>
          <w:bCs/>
          <w:color w:val="auto"/>
          <w:sz w:val="24"/>
        </w:rPr>
        <w:t>各类</w:t>
      </w:r>
      <w:r>
        <w:rPr>
          <w:bCs/>
          <w:color w:val="auto"/>
          <w:sz w:val="24"/>
        </w:rPr>
        <w:t>专家等为事前绩效评估工作把关，保证</w:t>
      </w:r>
      <w:r>
        <w:rPr>
          <w:rFonts w:hint="eastAsia"/>
          <w:bCs/>
          <w:color w:val="auto"/>
          <w:sz w:val="24"/>
        </w:rPr>
        <w:t>事前绩效</w:t>
      </w:r>
      <w:r>
        <w:rPr>
          <w:bCs/>
          <w:color w:val="auto"/>
          <w:sz w:val="24"/>
        </w:rPr>
        <w:t>评估结论的科学合理，有与本项目工作相适应、相对稳定的专业人才队伍。</w:t>
      </w:r>
      <w:r>
        <w:rPr>
          <w:rFonts w:hint="eastAsia"/>
          <w:bCs/>
          <w:color w:val="auto"/>
          <w:sz w:val="24"/>
        </w:rPr>
        <w:t>供应商</w:t>
      </w:r>
      <w:r>
        <w:rPr>
          <w:bCs/>
          <w:color w:val="auto"/>
          <w:sz w:val="24"/>
        </w:rPr>
        <w:t>需具备</w:t>
      </w:r>
      <w:r>
        <w:rPr>
          <w:rFonts w:hint="eastAsia"/>
          <w:bCs/>
          <w:color w:val="auto"/>
          <w:sz w:val="24"/>
        </w:rPr>
        <w:t>事前绩效</w:t>
      </w:r>
      <w:r>
        <w:rPr>
          <w:bCs/>
          <w:color w:val="auto"/>
          <w:sz w:val="24"/>
        </w:rPr>
        <w:t>评估的工作经验</w:t>
      </w:r>
      <w:r>
        <w:rPr>
          <w:rFonts w:hint="eastAsia"/>
          <w:bCs/>
          <w:color w:val="auto"/>
          <w:sz w:val="24"/>
        </w:rPr>
        <w:t>，并确定1名项目负责人，</w:t>
      </w:r>
      <w:r>
        <w:rPr>
          <w:bCs/>
          <w:color w:val="auto"/>
          <w:sz w:val="24"/>
        </w:rPr>
        <w:t>负责日常的协调等管理工作，合同履行期内不得变更项目负责人，如确需变更，应在变更前14日内向</w:t>
      </w:r>
      <w:r>
        <w:rPr>
          <w:rFonts w:hint="eastAsia"/>
          <w:bCs/>
          <w:color w:val="auto"/>
          <w:sz w:val="24"/>
        </w:rPr>
        <w:t>采购人</w:t>
      </w:r>
      <w:r>
        <w:rPr>
          <w:bCs/>
          <w:color w:val="auto"/>
          <w:sz w:val="24"/>
        </w:rPr>
        <w:t>提出申请，并取得</w:t>
      </w:r>
      <w:r>
        <w:rPr>
          <w:rFonts w:hint="eastAsia"/>
          <w:bCs/>
          <w:color w:val="auto"/>
          <w:sz w:val="24"/>
        </w:rPr>
        <w:t>采购人</w:t>
      </w:r>
      <w:r>
        <w:rPr>
          <w:bCs/>
          <w:color w:val="auto"/>
          <w:sz w:val="24"/>
        </w:rPr>
        <w:t>书面同意</w:t>
      </w:r>
      <w:r>
        <w:rPr>
          <w:rFonts w:hint="eastAsia"/>
          <w:bCs/>
          <w:color w:val="auto"/>
          <w:sz w:val="24"/>
        </w:rPr>
        <w:t>。</w:t>
      </w:r>
    </w:p>
    <w:p w14:paraId="0EBB8BBE">
      <w:pPr>
        <w:tabs>
          <w:tab w:val="left" w:pos="900"/>
          <w:tab w:val="left" w:pos="1080"/>
        </w:tabs>
        <w:snapToGrid w:val="0"/>
        <w:spacing w:line="360" w:lineRule="auto"/>
        <w:ind w:firstLine="480" w:firstLineChars="200"/>
        <w:rPr>
          <w:bCs/>
          <w:color w:val="auto"/>
          <w:sz w:val="24"/>
        </w:rPr>
      </w:pPr>
      <w:r>
        <w:rPr>
          <w:rFonts w:hint="eastAsia"/>
          <w:bCs/>
          <w:color w:val="auto"/>
          <w:sz w:val="24"/>
        </w:rPr>
        <w:t>1.3.</w:t>
      </w:r>
      <w:r>
        <w:rPr>
          <w:rFonts w:hint="eastAsia"/>
          <w:bCs/>
          <w:color w:val="auto"/>
          <w:sz w:val="24"/>
          <w:lang w:eastAsia="zh-CN"/>
        </w:rPr>
        <w:t>为确保供应商能够保质保量完成服务要求、达到预期效果，</w:t>
      </w:r>
      <w:r>
        <w:rPr>
          <w:rFonts w:hint="eastAsia"/>
          <w:bCs/>
          <w:color w:val="auto"/>
          <w:sz w:val="24"/>
        </w:rPr>
        <w:t>项目团队人员</w:t>
      </w:r>
      <w:r>
        <w:rPr>
          <w:rFonts w:hint="eastAsia"/>
          <w:bCs/>
          <w:color w:val="auto"/>
          <w:sz w:val="24"/>
          <w:lang w:eastAsia="zh-CN"/>
        </w:rPr>
        <w:t>应符合如下</w:t>
      </w:r>
      <w:r>
        <w:rPr>
          <w:rFonts w:hint="eastAsia"/>
          <w:bCs/>
          <w:color w:val="auto"/>
          <w:sz w:val="24"/>
        </w:rPr>
        <w:t>的要求：</w:t>
      </w:r>
      <w:r>
        <w:rPr>
          <w:color w:val="auto"/>
          <w:sz w:val="24"/>
        </w:rPr>
        <w:t>①</w:t>
      </w:r>
      <w:r>
        <w:rPr>
          <w:rFonts w:hint="eastAsia"/>
          <w:bCs/>
          <w:color w:val="auto"/>
          <w:sz w:val="24"/>
        </w:rPr>
        <w:t>供应商</w:t>
      </w:r>
      <w:r>
        <w:rPr>
          <w:bCs/>
          <w:color w:val="auto"/>
          <w:sz w:val="24"/>
        </w:rPr>
        <w:t>明确指定项目负责人</w:t>
      </w:r>
      <w:r>
        <w:rPr>
          <w:rFonts w:hint="eastAsia"/>
          <w:bCs/>
          <w:color w:val="auto"/>
          <w:sz w:val="24"/>
        </w:rPr>
        <w:t>1人</w:t>
      </w:r>
      <w:r>
        <w:rPr>
          <w:bCs/>
          <w:color w:val="auto"/>
          <w:sz w:val="24"/>
        </w:rPr>
        <w:t>配合</w:t>
      </w:r>
      <w:r>
        <w:rPr>
          <w:rFonts w:hint="eastAsia"/>
          <w:bCs/>
          <w:color w:val="auto"/>
          <w:sz w:val="24"/>
        </w:rPr>
        <w:t>采购人</w:t>
      </w:r>
      <w:r>
        <w:rPr>
          <w:bCs/>
          <w:color w:val="auto"/>
          <w:sz w:val="24"/>
        </w:rPr>
        <w:t>工作</w:t>
      </w:r>
      <w:r>
        <w:rPr>
          <w:rFonts w:hint="eastAsia"/>
          <w:bCs/>
          <w:color w:val="auto"/>
          <w:sz w:val="24"/>
        </w:rPr>
        <w:t>，</w:t>
      </w:r>
      <w:r>
        <w:rPr>
          <w:bCs/>
          <w:color w:val="auto"/>
          <w:sz w:val="24"/>
        </w:rPr>
        <w:t>项目负责人</w:t>
      </w:r>
      <w:r>
        <w:rPr>
          <w:rFonts w:hint="eastAsia"/>
          <w:bCs/>
          <w:color w:val="auto"/>
          <w:sz w:val="24"/>
        </w:rPr>
        <w:t>需</w:t>
      </w:r>
      <w:r>
        <w:rPr>
          <w:bCs/>
          <w:color w:val="auto"/>
          <w:sz w:val="24"/>
        </w:rPr>
        <w:t>具备高级职称，从业</w:t>
      </w:r>
      <w:r>
        <w:rPr>
          <w:rFonts w:hint="eastAsia"/>
          <w:bCs/>
          <w:color w:val="auto"/>
          <w:sz w:val="24"/>
        </w:rPr>
        <w:t>10</w:t>
      </w:r>
      <w:r>
        <w:rPr>
          <w:bCs/>
          <w:color w:val="auto"/>
          <w:sz w:val="24"/>
        </w:rPr>
        <w:t>年以上，</w:t>
      </w:r>
      <w:r>
        <w:rPr>
          <w:rFonts w:hint="eastAsia"/>
          <w:bCs/>
          <w:color w:val="auto"/>
          <w:sz w:val="24"/>
        </w:rPr>
        <w:t>掌握预算绩效管理知识和事前绩效评估、民政领域工作管理要求，专业性强、综合素质高，</w:t>
      </w:r>
      <w:r>
        <w:rPr>
          <w:bCs/>
          <w:color w:val="auto"/>
          <w:sz w:val="24"/>
        </w:rPr>
        <w:t>具有</w:t>
      </w:r>
      <w:r>
        <w:rPr>
          <w:rFonts w:hint="eastAsia"/>
          <w:bCs/>
          <w:color w:val="auto"/>
          <w:sz w:val="24"/>
        </w:rPr>
        <w:t>丰富的开展事前绩效评估的经验。</w:t>
      </w:r>
      <w:r>
        <w:rPr>
          <w:color w:val="auto"/>
          <w:sz w:val="24"/>
        </w:rPr>
        <w:t>②</w:t>
      </w:r>
      <w:r>
        <w:rPr>
          <w:bCs/>
          <w:color w:val="auto"/>
          <w:sz w:val="24"/>
        </w:rPr>
        <w:t>专家组成员不得少于20人</w:t>
      </w:r>
      <w:r>
        <w:rPr>
          <w:rFonts w:hint="eastAsia"/>
          <w:bCs/>
          <w:color w:val="auto"/>
          <w:sz w:val="24"/>
        </w:rPr>
        <w:t>次</w:t>
      </w:r>
      <w:r>
        <w:rPr>
          <w:bCs/>
          <w:color w:val="auto"/>
          <w:sz w:val="24"/>
        </w:rPr>
        <w:t>，一般包括业务专家（包含但不限于工程类专家、消防安全类专家、信息化类专家等）、财务专家、</w:t>
      </w:r>
      <w:r>
        <w:rPr>
          <w:rFonts w:hint="eastAsia"/>
          <w:bCs/>
          <w:color w:val="auto"/>
          <w:sz w:val="24"/>
        </w:rPr>
        <w:t>绩效</w:t>
      </w:r>
      <w:r>
        <w:rPr>
          <w:bCs/>
          <w:color w:val="auto"/>
          <w:sz w:val="24"/>
        </w:rPr>
        <w:t>管理专家等（</w:t>
      </w:r>
      <w:r>
        <w:rPr>
          <w:rFonts w:hint="eastAsia"/>
          <w:bCs/>
          <w:color w:val="auto"/>
          <w:sz w:val="24"/>
        </w:rPr>
        <w:t>其中</w:t>
      </w:r>
      <w:r>
        <w:rPr>
          <w:bCs/>
          <w:color w:val="auto"/>
          <w:sz w:val="24"/>
        </w:rPr>
        <w:t>副高级职称或调研员以上职务</w:t>
      </w:r>
      <w:r>
        <w:rPr>
          <w:rFonts w:hint="eastAsia"/>
          <w:bCs/>
          <w:color w:val="auto"/>
          <w:sz w:val="24"/>
        </w:rPr>
        <w:t>需达到50%以上</w:t>
      </w:r>
      <w:r>
        <w:rPr>
          <w:bCs/>
          <w:color w:val="auto"/>
          <w:sz w:val="24"/>
        </w:rPr>
        <w:t>）③</w:t>
      </w:r>
      <w:r>
        <w:rPr>
          <w:rFonts w:hint="eastAsia"/>
          <w:bCs/>
          <w:color w:val="auto"/>
          <w:sz w:val="24"/>
        </w:rPr>
        <w:t>项目团队其他人员至少5人配合采购人开展工作，所配备的人员应具备履行合同所需的专业性强、综合素质高、经验丰富等能力。团队内应根据工作需要配备工程造价、消防安全等专业背景人员，具备对接业务专家、协同推进相关工作的专业基础、沟通协调与执行能力。</w:t>
      </w:r>
    </w:p>
    <w:p w14:paraId="0D2A577F">
      <w:pPr>
        <w:tabs>
          <w:tab w:val="left" w:pos="900"/>
          <w:tab w:val="left" w:pos="1080"/>
        </w:tabs>
        <w:snapToGrid w:val="0"/>
        <w:spacing w:line="360" w:lineRule="auto"/>
        <w:ind w:firstLine="480" w:firstLineChars="200"/>
        <w:rPr>
          <w:color w:val="auto"/>
        </w:rPr>
      </w:pPr>
      <w:r>
        <w:rPr>
          <w:rFonts w:hint="eastAsia"/>
          <w:bCs/>
          <w:color w:val="auto"/>
          <w:sz w:val="24"/>
        </w:rPr>
        <w:t>1.4.</w:t>
      </w:r>
      <w:r>
        <w:rPr>
          <w:bCs/>
          <w:color w:val="auto"/>
          <w:sz w:val="24"/>
        </w:rPr>
        <w:t>相关工作开展标准及时限要求。严格按照《关于人大预算审查监督重点向支出预算和政策拓展的实施意见》《北京市市级财政支出事前绩效评估管理办法》</w:t>
      </w:r>
      <w:r>
        <w:rPr>
          <w:rFonts w:hint="eastAsia"/>
          <w:bCs/>
          <w:color w:val="auto"/>
          <w:sz w:val="24"/>
          <w:lang w:eastAsia="zh-CN"/>
        </w:rPr>
        <w:t>《北京市彩票公益金管理办法》</w:t>
      </w:r>
      <w:r>
        <w:rPr>
          <w:bCs/>
          <w:color w:val="auto"/>
          <w:sz w:val="24"/>
        </w:rPr>
        <w:t>等相关文件要求执行。合同履行期间，国家有关部门颁布最新的相应标准及规范的，以最新的标准及规范为准。根据项目特点，结合北京市财政局要求，制定满足项目实际需求的具体项目方案并制定严格的保密措施。</w:t>
      </w:r>
    </w:p>
    <w:p w14:paraId="6DD59A2F">
      <w:pPr>
        <w:snapToGrid w:val="0"/>
        <w:spacing w:line="360" w:lineRule="auto"/>
        <w:outlineLvl w:val="2"/>
        <w:rPr>
          <w:b/>
          <w:bCs/>
          <w:color w:val="auto"/>
          <w:sz w:val="24"/>
        </w:rPr>
      </w:pPr>
      <w:r>
        <w:rPr>
          <w:rFonts w:hint="eastAsia"/>
          <w:b/>
          <w:bCs/>
          <w:color w:val="auto"/>
          <w:sz w:val="24"/>
          <w:lang w:eastAsia="zh-CN"/>
        </w:rPr>
        <w:t>七</w:t>
      </w:r>
      <w:r>
        <w:rPr>
          <w:b/>
          <w:bCs/>
          <w:color w:val="auto"/>
          <w:sz w:val="24"/>
        </w:rPr>
        <w:t>、工作成果</w:t>
      </w:r>
    </w:p>
    <w:p w14:paraId="564BBCCF">
      <w:pPr>
        <w:snapToGrid w:val="0"/>
        <w:spacing w:line="360" w:lineRule="auto"/>
        <w:ind w:firstLine="480" w:firstLineChars="200"/>
        <w:rPr>
          <w:color w:val="auto"/>
          <w:sz w:val="24"/>
        </w:rPr>
      </w:pPr>
      <w:r>
        <w:rPr>
          <w:rFonts w:hint="eastAsia"/>
          <w:bCs/>
          <w:color w:val="auto"/>
          <w:sz w:val="24"/>
        </w:rPr>
        <w:t>事前绩效</w:t>
      </w:r>
      <w:r>
        <w:rPr>
          <w:bCs/>
          <w:color w:val="auto"/>
          <w:sz w:val="24"/>
        </w:rPr>
        <w:t>评估工作成果包括但不限于以下几个方面</w:t>
      </w:r>
      <w:r>
        <w:rPr>
          <w:color w:val="auto"/>
          <w:sz w:val="24"/>
        </w:rPr>
        <w:t>：</w:t>
      </w:r>
    </w:p>
    <w:p w14:paraId="42EBC1F8">
      <w:pPr>
        <w:snapToGrid w:val="0"/>
        <w:spacing w:line="360" w:lineRule="auto"/>
        <w:ind w:firstLine="480" w:firstLineChars="200"/>
        <w:rPr>
          <w:color w:val="auto"/>
          <w:sz w:val="24"/>
        </w:rPr>
      </w:pPr>
      <w:r>
        <w:rPr>
          <w:color w:val="auto"/>
          <w:sz w:val="24"/>
        </w:rPr>
        <w:t>1.项目</w:t>
      </w:r>
      <w:r>
        <w:rPr>
          <w:rFonts w:hint="eastAsia"/>
          <w:color w:val="auto"/>
          <w:sz w:val="24"/>
        </w:rPr>
        <w:t>事前绩效</w:t>
      </w:r>
      <w:r>
        <w:rPr>
          <w:color w:val="auto"/>
          <w:sz w:val="24"/>
        </w:rPr>
        <w:t>评估专家工作手册（含</w:t>
      </w:r>
      <w:r>
        <w:rPr>
          <w:rFonts w:hint="eastAsia"/>
          <w:color w:val="auto"/>
          <w:sz w:val="24"/>
        </w:rPr>
        <w:t>评估</w:t>
      </w:r>
      <w:r>
        <w:rPr>
          <w:color w:val="auto"/>
          <w:sz w:val="24"/>
        </w:rPr>
        <w:t>内容、</w:t>
      </w:r>
      <w:r>
        <w:rPr>
          <w:rFonts w:hint="eastAsia"/>
          <w:color w:val="auto"/>
          <w:sz w:val="24"/>
        </w:rPr>
        <w:t>评估</w:t>
      </w:r>
      <w:r>
        <w:rPr>
          <w:color w:val="auto"/>
          <w:sz w:val="24"/>
        </w:rPr>
        <w:t>程序、专家</w:t>
      </w:r>
      <w:r>
        <w:rPr>
          <w:rFonts w:hint="eastAsia"/>
          <w:color w:val="auto"/>
          <w:sz w:val="24"/>
        </w:rPr>
        <w:t>评估</w:t>
      </w:r>
      <w:r>
        <w:rPr>
          <w:color w:val="auto"/>
          <w:sz w:val="24"/>
        </w:rPr>
        <w:t>意见表等）</w:t>
      </w:r>
      <w:r>
        <w:rPr>
          <w:rFonts w:hint="eastAsia"/>
          <w:color w:val="auto"/>
          <w:sz w:val="24"/>
        </w:rPr>
        <w:t>。</w:t>
      </w:r>
    </w:p>
    <w:p w14:paraId="2FCD5474">
      <w:pPr>
        <w:snapToGrid w:val="0"/>
        <w:spacing w:line="360" w:lineRule="auto"/>
        <w:ind w:firstLine="480" w:firstLineChars="200"/>
        <w:rPr>
          <w:color w:val="auto"/>
          <w:sz w:val="24"/>
        </w:rPr>
      </w:pPr>
      <w:r>
        <w:rPr>
          <w:color w:val="auto"/>
          <w:sz w:val="24"/>
        </w:rPr>
        <w:t>2.项目</w:t>
      </w:r>
      <w:r>
        <w:rPr>
          <w:rFonts w:hint="eastAsia"/>
          <w:color w:val="auto"/>
          <w:sz w:val="24"/>
        </w:rPr>
        <w:t>事前绩效</w:t>
      </w:r>
      <w:r>
        <w:rPr>
          <w:color w:val="auto"/>
          <w:sz w:val="24"/>
        </w:rPr>
        <w:t>评估工作报告。</w:t>
      </w:r>
      <w:r>
        <w:rPr>
          <w:rFonts w:hint="eastAsia"/>
          <w:color w:val="auto"/>
          <w:sz w:val="24"/>
        </w:rPr>
        <w:t>每个评估项目</w:t>
      </w:r>
      <w:r>
        <w:rPr>
          <w:rFonts w:hint="eastAsia"/>
          <w:color w:val="auto"/>
          <w:sz w:val="24"/>
          <w:lang w:eastAsia="zh-CN"/>
        </w:rPr>
        <w:t>和转移支付</w:t>
      </w:r>
      <w:r>
        <w:rPr>
          <w:color w:val="auto"/>
          <w:sz w:val="24"/>
        </w:rPr>
        <w:t>按照市财政局统一格式</w:t>
      </w:r>
      <w:r>
        <w:rPr>
          <w:rFonts w:hint="eastAsia"/>
          <w:color w:val="auto"/>
          <w:sz w:val="24"/>
        </w:rPr>
        <w:t>单独</w:t>
      </w:r>
      <w:r>
        <w:rPr>
          <w:color w:val="auto"/>
          <w:sz w:val="24"/>
        </w:rPr>
        <w:t>编制工作报告，报告正文包括评估对象基本情况、评估采用的方式方法、评估的主要内容及结论、相关建议及有关问题的说明等内容</w:t>
      </w:r>
      <w:r>
        <w:rPr>
          <w:rFonts w:hint="eastAsia"/>
          <w:color w:val="auto"/>
          <w:sz w:val="24"/>
        </w:rPr>
        <w:t>，报告撰写应依据充分、真实完整、数据准确、分析透彻、逻辑清晰、客观公正</w:t>
      </w:r>
      <w:r>
        <w:rPr>
          <w:color w:val="auto"/>
          <w:sz w:val="24"/>
        </w:rPr>
        <w:t>。事前</w:t>
      </w:r>
      <w:r>
        <w:rPr>
          <w:rFonts w:hint="eastAsia"/>
          <w:color w:val="auto"/>
          <w:sz w:val="24"/>
        </w:rPr>
        <w:t>绩效</w:t>
      </w:r>
      <w:r>
        <w:rPr>
          <w:color w:val="auto"/>
          <w:sz w:val="24"/>
        </w:rPr>
        <w:t>评估</w:t>
      </w:r>
      <w:r>
        <w:rPr>
          <w:rFonts w:hint="eastAsia"/>
          <w:color w:val="auto"/>
          <w:sz w:val="24"/>
        </w:rPr>
        <w:t>工作</w:t>
      </w:r>
      <w:r>
        <w:rPr>
          <w:color w:val="auto"/>
          <w:sz w:val="24"/>
        </w:rPr>
        <w:t>报告附件应包括项目、</w:t>
      </w:r>
      <w:r>
        <w:rPr>
          <w:rFonts w:hint="eastAsia"/>
          <w:color w:val="auto"/>
          <w:sz w:val="24"/>
          <w:lang w:eastAsia="zh-CN"/>
        </w:rPr>
        <w:t>转移支付</w:t>
      </w:r>
      <w:r>
        <w:rPr>
          <w:color w:val="auto"/>
          <w:sz w:val="24"/>
        </w:rPr>
        <w:t>的绩效目标申报表。</w:t>
      </w:r>
    </w:p>
    <w:p w14:paraId="2AFB4BB8">
      <w:pPr>
        <w:snapToGrid w:val="0"/>
        <w:spacing w:line="360" w:lineRule="auto"/>
        <w:ind w:firstLine="480" w:firstLineChars="200"/>
        <w:rPr>
          <w:color w:val="auto"/>
          <w:sz w:val="24"/>
        </w:rPr>
      </w:pPr>
      <w:r>
        <w:rPr>
          <w:color w:val="auto"/>
          <w:sz w:val="24"/>
        </w:rPr>
        <w:t>3.专家组</w:t>
      </w:r>
      <w:r>
        <w:rPr>
          <w:rFonts w:hint="eastAsia"/>
          <w:color w:val="auto"/>
          <w:sz w:val="24"/>
        </w:rPr>
        <w:t>事前绩效</w:t>
      </w:r>
      <w:r>
        <w:rPr>
          <w:color w:val="auto"/>
          <w:sz w:val="24"/>
        </w:rPr>
        <w:t>评估意见表</w:t>
      </w:r>
      <w:r>
        <w:rPr>
          <w:rFonts w:hint="eastAsia"/>
          <w:color w:val="auto"/>
          <w:sz w:val="24"/>
        </w:rPr>
        <w:t>。</w:t>
      </w:r>
    </w:p>
    <w:p w14:paraId="44588776">
      <w:pPr>
        <w:snapToGrid w:val="0"/>
        <w:spacing w:line="360" w:lineRule="auto"/>
        <w:ind w:firstLine="480" w:firstLineChars="200"/>
        <w:rPr>
          <w:color w:val="auto"/>
          <w:sz w:val="24"/>
        </w:rPr>
      </w:pPr>
      <w:r>
        <w:rPr>
          <w:color w:val="auto"/>
          <w:sz w:val="24"/>
        </w:rPr>
        <w:t>4.项目</w:t>
      </w:r>
      <w:r>
        <w:rPr>
          <w:rFonts w:hint="eastAsia"/>
          <w:color w:val="auto"/>
          <w:sz w:val="24"/>
        </w:rPr>
        <w:t>事前绩效</w:t>
      </w:r>
      <w:r>
        <w:rPr>
          <w:color w:val="auto"/>
          <w:sz w:val="24"/>
        </w:rPr>
        <w:t>评估结果汇总表</w:t>
      </w:r>
      <w:r>
        <w:rPr>
          <w:rFonts w:hint="eastAsia"/>
          <w:color w:val="auto"/>
          <w:sz w:val="24"/>
        </w:rPr>
        <w:t>。</w:t>
      </w:r>
    </w:p>
    <w:p w14:paraId="3D54B717">
      <w:pPr>
        <w:snapToGrid w:val="0"/>
        <w:spacing w:line="360" w:lineRule="auto"/>
        <w:ind w:firstLine="480" w:firstLineChars="200"/>
        <w:rPr>
          <w:color w:val="auto"/>
          <w:sz w:val="24"/>
        </w:rPr>
      </w:pPr>
      <w:r>
        <w:rPr>
          <w:color w:val="auto"/>
          <w:sz w:val="24"/>
        </w:rPr>
        <w:t>5.事前</w:t>
      </w:r>
      <w:r>
        <w:rPr>
          <w:rFonts w:hint="eastAsia"/>
          <w:color w:val="auto"/>
          <w:sz w:val="24"/>
        </w:rPr>
        <w:t>绩效</w:t>
      </w:r>
      <w:r>
        <w:rPr>
          <w:color w:val="auto"/>
          <w:sz w:val="24"/>
        </w:rPr>
        <w:t>评估资料汇编，</w:t>
      </w:r>
      <w:r>
        <w:rPr>
          <w:rFonts w:hint="eastAsia"/>
          <w:color w:val="auto"/>
          <w:sz w:val="24"/>
        </w:rPr>
        <w:t>按工作完成时限，分批出具资料汇编，</w:t>
      </w:r>
      <w:r>
        <w:rPr>
          <w:color w:val="auto"/>
          <w:sz w:val="24"/>
        </w:rPr>
        <w:t>包括但不限于项目单位提交的事前申报材料、预算绩效报告，以及评估过程中的评估专家意见等。</w:t>
      </w:r>
    </w:p>
    <w:p w14:paraId="519E5EDB">
      <w:pPr>
        <w:snapToGrid w:val="0"/>
        <w:spacing w:line="360" w:lineRule="auto"/>
        <w:outlineLvl w:val="2"/>
        <w:rPr>
          <w:b/>
          <w:bCs/>
          <w:color w:val="auto"/>
          <w:sz w:val="24"/>
        </w:rPr>
      </w:pPr>
      <w:r>
        <w:rPr>
          <w:rFonts w:hint="eastAsia"/>
          <w:b/>
          <w:bCs/>
          <w:color w:val="auto"/>
          <w:sz w:val="24"/>
        </w:rPr>
        <w:t>八</w:t>
      </w:r>
      <w:r>
        <w:rPr>
          <w:b/>
          <w:bCs/>
          <w:color w:val="auto"/>
          <w:sz w:val="24"/>
        </w:rPr>
        <w:t>、付款条件</w:t>
      </w:r>
    </w:p>
    <w:p w14:paraId="25F04AEB">
      <w:pPr>
        <w:snapToGrid w:val="0"/>
        <w:spacing w:line="360" w:lineRule="auto"/>
        <w:ind w:firstLine="480" w:firstLineChars="200"/>
        <w:rPr>
          <w:color w:val="auto"/>
          <w:sz w:val="24"/>
        </w:rPr>
      </w:pPr>
      <w:r>
        <w:rPr>
          <w:rFonts w:hint="eastAsia"/>
          <w:color w:val="auto"/>
          <w:sz w:val="24"/>
        </w:rPr>
        <w:t>1.</w:t>
      </w:r>
      <w:r>
        <w:rPr>
          <w:color w:val="auto"/>
          <w:sz w:val="24"/>
        </w:rPr>
        <w:t>1.事前绩效评估费用报酬的具体结算方式为：</w:t>
      </w:r>
      <w:r>
        <w:rPr>
          <w:rFonts w:hint="eastAsia"/>
          <w:bCs/>
          <w:color w:val="auto"/>
          <w:sz w:val="24"/>
        </w:rPr>
        <w:t>根据采购人验收合格的事前绩效评估报告的数量据实结算。</w:t>
      </w:r>
      <w:r>
        <w:rPr>
          <w:bCs/>
          <w:color w:val="auto"/>
          <w:sz w:val="24"/>
        </w:rPr>
        <w:t>若结算金额未超过封顶总价，以实际结算金额进行结算；若结算金额超过封顶总价，则以封顶总价金额进行结算，超出封顶总价的部分由乙方自行承担。本部分封顶金额为【¥</w:t>
      </w:r>
      <w:r>
        <w:rPr>
          <w:rFonts w:hint="eastAsia"/>
          <w:bCs/>
          <w:color w:val="auto"/>
          <w:sz w:val="24"/>
          <w:lang w:val="en-US" w:eastAsia="zh-CN"/>
        </w:rPr>
        <w:t>439380</w:t>
      </w:r>
      <w:r>
        <w:rPr>
          <w:bCs/>
          <w:color w:val="auto"/>
          <w:sz w:val="24"/>
        </w:rPr>
        <w:t>】（大写：人民币</w:t>
      </w:r>
      <w:r>
        <w:rPr>
          <w:rFonts w:hint="eastAsia"/>
          <w:bCs/>
          <w:color w:val="auto"/>
          <w:sz w:val="24"/>
        </w:rPr>
        <w:t>肆拾叁万玖仟</w:t>
      </w:r>
      <w:r>
        <w:rPr>
          <w:rFonts w:hint="eastAsia"/>
          <w:bCs/>
          <w:color w:val="auto"/>
          <w:sz w:val="24"/>
          <w:lang w:eastAsia="zh-CN"/>
        </w:rPr>
        <w:t>叁</w:t>
      </w:r>
      <w:r>
        <w:rPr>
          <w:rFonts w:hint="eastAsia"/>
          <w:bCs/>
          <w:color w:val="auto"/>
          <w:sz w:val="24"/>
        </w:rPr>
        <w:t>佰</w:t>
      </w:r>
      <w:r>
        <w:rPr>
          <w:rFonts w:hint="eastAsia"/>
          <w:bCs/>
          <w:color w:val="auto"/>
          <w:sz w:val="24"/>
          <w:lang w:eastAsia="zh-CN"/>
        </w:rPr>
        <w:t>捌拾</w:t>
      </w:r>
      <w:r>
        <w:rPr>
          <w:bCs/>
          <w:color w:val="auto"/>
          <w:sz w:val="24"/>
        </w:rPr>
        <w:t>元整）。</w:t>
      </w:r>
    </w:p>
    <w:p w14:paraId="51BA40E8">
      <w:pPr>
        <w:widowControl/>
        <w:shd w:val="clear" w:color="auto" w:fill="auto"/>
        <w:snapToGrid w:val="0"/>
        <w:spacing w:line="360" w:lineRule="auto"/>
        <w:ind w:firstLine="480" w:firstLineChars="200"/>
        <w:contextualSpacing w:val="0"/>
        <w:jc w:val="left"/>
        <w:rPr>
          <w:rFonts w:eastAsiaTheme="minorEastAsia"/>
          <w:color w:val="auto"/>
          <w:sz w:val="24"/>
        </w:rPr>
      </w:pPr>
      <w:r>
        <w:rPr>
          <w:rFonts w:hint="eastAsia"/>
          <w:color w:val="auto"/>
          <w:sz w:val="24"/>
        </w:rPr>
        <w:t>1.2</w:t>
      </w:r>
      <w:r>
        <w:rPr>
          <w:color w:val="auto"/>
          <w:sz w:val="24"/>
        </w:rPr>
        <w:t>.采购人</w:t>
      </w:r>
      <w:r>
        <w:rPr>
          <w:bCs/>
          <w:color w:val="auto"/>
          <w:sz w:val="24"/>
        </w:rPr>
        <w:t>在</w:t>
      </w:r>
      <w:r>
        <w:rPr>
          <w:rFonts w:hint="eastAsia"/>
          <w:bCs/>
          <w:color w:val="auto"/>
          <w:sz w:val="24"/>
        </w:rPr>
        <w:t>合同生效并收到供应商开具的发票后</w:t>
      </w:r>
      <w:r>
        <w:rPr>
          <w:bCs/>
          <w:color w:val="auto"/>
          <w:sz w:val="24"/>
        </w:rPr>
        <w:t>【</w:t>
      </w:r>
      <w:r>
        <w:rPr>
          <w:rFonts w:hint="eastAsia"/>
          <w:bCs/>
          <w:color w:val="auto"/>
          <w:sz w:val="24"/>
        </w:rPr>
        <w:t>10</w:t>
      </w:r>
      <w:r>
        <w:rPr>
          <w:bCs/>
          <w:color w:val="auto"/>
          <w:sz w:val="24"/>
        </w:rPr>
        <w:t>】个工作日内，</w:t>
      </w:r>
      <w:r>
        <w:rPr>
          <w:rFonts w:hint="eastAsia"/>
          <w:bCs/>
          <w:color w:val="auto"/>
          <w:sz w:val="24"/>
        </w:rPr>
        <w:t>采购人</w:t>
      </w:r>
      <w:r>
        <w:rPr>
          <w:bCs/>
          <w:color w:val="auto"/>
          <w:sz w:val="24"/>
        </w:rPr>
        <w:t>向</w:t>
      </w:r>
      <w:r>
        <w:rPr>
          <w:rFonts w:hint="eastAsia"/>
          <w:bCs/>
          <w:color w:val="auto"/>
          <w:sz w:val="24"/>
        </w:rPr>
        <w:t>供应商</w:t>
      </w:r>
      <w:r>
        <w:rPr>
          <w:bCs/>
          <w:color w:val="auto"/>
          <w:sz w:val="24"/>
        </w:rPr>
        <w:t>支付本部分合同报酬封顶总价的【50】%，</w:t>
      </w:r>
      <w:r>
        <w:rPr>
          <w:rFonts w:hint="eastAsia"/>
          <w:bCs/>
          <w:color w:val="auto"/>
          <w:sz w:val="24"/>
        </w:rPr>
        <w:t>供应商在合同服务期内</w:t>
      </w:r>
      <w:r>
        <w:rPr>
          <w:bCs/>
          <w:color w:val="auto"/>
          <w:sz w:val="24"/>
        </w:rPr>
        <w:t>交付全部成果</w:t>
      </w:r>
      <w:r>
        <w:rPr>
          <w:rFonts w:hint="eastAsia"/>
          <w:bCs/>
          <w:color w:val="auto"/>
          <w:sz w:val="24"/>
        </w:rPr>
        <w:t>，</w:t>
      </w:r>
      <w:r>
        <w:rPr>
          <w:bCs/>
          <w:color w:val="auto"/>
          <w:sz w:val="24"/>
        </w:rPr>
        <w:t>经</w:t>
      </w:r>
      <w:r>
        <w:rPr>
          <w:rFonts w:hint="eastAsia"/>
          <w:bCs/>
          <w:color w:val="auto"/>
          <w:sz w:val="24"/>
        </w:rPr>
        <w:t>采购人</w:t>
      </w:r>
      <w:r>
        <w:rPr>
          <w:bCs/>
          <w:color w:val="auto"/>
          <w:sz w:val="24"/>
        </w:rPr>
        <w:t>验收合格</w:t>
      </w:r>
      <w:r>
        <w:rPr>
          <w:rFonts w:hint="eastAsia"/>
          <w:bCs/>
          <w:color w:val="auto"/>
          <w:sz w:val="24"/>
        </w:rPr>
        <w:t>并收到供应商开具的发票</w:t>
      </w:r>
      <w:r>
        <w:rPr>
          <w:bCs/>
          <w:color w:val="auto"/>
          <w:sz w:val="24"/>
        </w:rPr>
        <w:t>后【</w:t>
      </w:r>
      <w:r>
        <w:rPr>
          <w:rFonts w:hint="eastAsia"/>
          <w:bCs/>
          <w:color w:val="auto"/>
          <w:sz w:val="24"/>
        </w:rPr>
        <w:t>1</w:t>
      </w:r>
      <w:r>
        <w:rPr>
          <w:bCs/>
          <w:color w:val="auto"/>
          <w:sz w:val="24"/>
        </w:rPr>
        <w:t>0】个工作日内，</w:t>
      </w:r>
      <w:r>
        <w:rPr>
          <w:rFonts w:hint="eastAsia"/>
          <w:color w:val="auto"/>
          <w:kern w:val="0"/>
          <w:sz w:val="24"/>
        </w:rPr>
        <w:t>采购人向供应商结算合同尾款，按照采购人验收合格的实际评估数量据实结算，</w:t>
      </w:r>
      <w:r>
        <w:rPr>
          <w:rFonts w:hint="eastAsia"/>
          <w:color w:val="auto"/>
          <w:kern w:val="0"/>
          <w:sz w:val="24"/>
          <w:lang w:eastAsia="zh-CN"/>
        </w:rPr>
        <w:t>结合</w:t>
      </w:r>
      <w:r>
        <w:rPr>
          <w:rFonts w:hint="eastAsia"/>
          <w:color w:val="auto"/>
          <w:kern w:val="0"/>
          <w:sz w:val="24"/>
        </w:rPr>
        <w:t>分项单价</w:t>
      </w:r>
      <w:r>
        <w:rPr>
          <w:rFonts w:hint="eastAsia"/>
          <w:color w:val="auto"/>
          <w:kern w:val="0"/>
          <w:sz w:val="24"/>
          <w:lang w:eastAsia="zh-CN"/>
        </w:rPr>
        <w:t>及</w:t>
      </w:r>
      <w:r>
        <w:rPr>
          <w:rFonts w:hint="eastAsia"/>
          <w:color w:val="auto"/>
          <w:kern w:val="0"/>
          <w:sz w:val="24"/>
        </w:rPr>
        <w:t>实际评估数量多退少补，若结算金额超过封顶总价，则以封顶总价金额进行结算。</w:t>
      </w:r>
      <w:r>
        <w:rPr>
          <w:rFonts w:hint="eastAsia"/>
          <w:bCs/>
          <w:color w:val="auto"/>
          <w:sz w:val="24"/>
        </w:rPr>
        <w:t>采购人</w:t>
      </w:r>
      <w:r>
        <w:rPr>
          <w:bCs/>
          <w:color w:val="auto"/>
          <w:sz w:val="24"/>
        </w:rPr>
        <w:t>每次付款前，</w:t>
      </w:r>
      <w:r>
        <w:rPr>
          <w:rFonts w:hint="eastAsia"/>
          <w:bCs/>
          <w:color w:val="auto"/>
          <w:sz w:val="24"/>
        </w:rPr>
        <w:t>供应商</w:t>
      </w:r>
      <w:r>
        <w:rPr>
          <w:bCs/>
          <w:color w:val="auto"/>
          <w:sz w:val="24"/>
        </w:rPr>
        <w:t>应向</w:t>
      </w:r>
      <w:r>
        <w:rPr>
          <w:rFonts w:hint="eastAsia"/>
          <w:bCs/>
          <w:color w:val="auto"/>
          <w:sz w:val="24"/>
        </w:rPr>
        <w:t>采购人</w:t>
      </w:r>
      <w:r>
        <w:rPr>
          <w:bCs/>
          <w:color w:val="auto"/>
          <w:sz w:val="24"/>
        </w:rPr>
        <w:t>开具等额正式税务</w:t>
      </w:r>
      <w:r>
        <w:rPr>
          <w:rFonts w:hint="eastAsia"/>
          <w:bCs/>
          <w:color w:val="auto"/>
          <w:sz w:val="24"/>
        </w:rPr>
        <w:t>普</w:t>
      </w:r>
      <w:r>
        <w:rPr>
          <w:bCs/>
          <w:color w:val="auto"/>
          <w:sz w:val="24"/>
        </w:rPr>
        <w:t>票。</w:t>
      </w:r>
      <w:r>
        <w:rPr>
          <w:rFonts w:hint="eastAsia"/>
          <w:bCs/>
          <w:color w:val="auto"/>
          <w:sz w:val="24"/>
        </w:rPr>
        <w:t>采购人</w:t>
      </w:r>
      <w:r>
        <w:rPr>
          <w:bCs/>
          <w:color w:val="auto"/>
          <w:sz w:val="24"/>
        </w:rPr>
        <w:t>付款如遇到国库财政预算支付的限制，可以顺延付款期限，</w:t>
      </w:r>
      <w:r>
        <w:rPr>
          <w:rFonts w:hint="eastAsia"/>
          <w:bCs/>
          <w:color w:val="auto"/>
          <w:sz w:val="24"/>
        </w:rPr>
        <w:t>采购人</w:t>
      </w:r>
      <w:r>
        <w:rPr>
          <w:bCs/>
          <w:color w:val="auto"/>
          <w:sz w:val="24"/>
        </w:rPr>
        <w:t>不承担违约责任，但</w:t>
      </w:r>
      <w:r>
        <w:rPr>
          <w:rFonts w:hint="eastAsia"/>
          <w:bCs/>
          <w:color w:val="auto"/>
          <w:sz w:val="24"/>
        </w:rPr>
        <w:t>采购人</w:t>
      </w:r>
      <w:r>
        <w:rPr>
          <w:bCs/>
          <w:color w:val="auto"/>
          <w:sz w:val="24"/>
        </w:rPr>
        <w:t>应当将延迟付款理由通知到</w:t>
      </w:r>
      <w:r>
        <w:rPr>
          <w:rFonts w:hint="eastAsia"/>
          <w:bCs/>
          <w:color w:val="auto"/>
          <w:sz w:val="24"/>
        </w:rPr>
        <w:t>供应商</w:t>
      </w:r>
      <w:r>
        <w:rPr>
          <w:bCs/>
          <w:color w:val="auto"/>
          <w:sz w:val="24"/>
        </w:rPr>
        <w:t>，且在支付限制解除后立即完成对</w:t>
      </w:r>
      <w:r>
        <w:rPr>
          <w:rFonts w:hint="eastAsia"/>
          <w:bCs/>
          <w:color w:val="auto"/>
          <w:sz w:val="24"/>
        </w:rPr>
        <w:t>供应商</w:t>
      </w:r>
      <w:r>
        <w:rPr>
          <w:bCs/>
          <w:color w:val="auto"/>
          <w:sz w:val="24"/>
        </w:rPr>
        <w:t>的付款。</w:t>
      </w:r>
      <w:r>
        <w:rPr>
          <w:rFonts w:hint="eastAsia"/>
          <w:bCs/>
          <w:color w:val="auto"/>
          <w:sz w:val="24"/>
        </w:rPr>
        <w:t>供应商</w:t>
      </w:r>
      <w:r>
        <w:rPr>
          <w:bCs/>
          <w:color w:val="auto"/>
          <w:sz w:val="24"/>
        </w:rPr>
        <w:t>不得因此暂停、终止、拒绝、延迟义务的履行。</w:t>
      </w:r>
    </w:p>
    <w:p w14:paraId="0B9FA94D">
      <w:pPr>
        <w:snapToGrid w:val="0"/>
        <w:spacing w:line="360" w:lineRule="auto"/>
        <w:ind w:firstLine="482" w:firstLineChars="200"/>
        <w:rPr>
          <w:rFonts w:hint="eastAsia" w:eastAsiaTheme="minorEastAsia"/>
          <w:b/>
          <w:bCs/>
          <w:color w:val="auto"/>
          <w:sz w:val="24"/>
          <w:lang w:eastAsia="zh-CN"/>
        </w:rPr>
      </w:pPr>
      <w:r>
        <w:rPr>
          <w:rFonts w:hint="eastAsia" w:eastAsiaTheme="minorEastAsia"/>
          <w:b/>
          <w:bCs/>
          <w:color w:val="auto"/>
          <w:sz w:val="24"/>
          <w:lang w:eastAsia="zh-CN"/>
        </w:rPr>
        <w:t>九、验收</w:t>
      </w:r>
    </w:p>
    <w:p w14:paraId="0BBEE53D">
      <w:pPr>
        <w:snapToGrid w:val="0"/>
        <w:spacing w:line="360" w:lineRule="auto"/>
        <w:ind w:firstLine="480" w:firstLineChars="200"/>
        <w:rPr>
          <w:color w:val="auto"/>
          <w:sz w:val="24"/>
        </w:rPr>
      </w:pPr>
      <w:r>
        <w:rPr>
          <w:color w:val="auto"/>
          <w:sz w:val="24"/>
        </w:rPr>
        <w:t>验收主体：采购人；</w:t>
      </w:r>
    </w:p>
    <w:p w14:paraId="3BC9F3CB">
      <w:pPr>
        <w:snapToGrid w:val="0"/>
        <w:spacing w:line="360" w:lineRule="auto"/>
        <w:ind w:firstLine="480" w:firstLineChars="200"/>
        <w:rPr>
          <w:color w:val="auto"/>
          <w:sz w:val="24"/>
        </w:rPr>
      </w:pPr>
      <w:r>
        <w:rPr>
          <w:color w:val="auto"/>
          <w:sz w:val="24"/>
        </w:rPr>
        <w:t>验收时间：</w:t>
      </w:r>
      <w:r>
        <w:rPr>
          <w:rFonts w:hint="eastAsia"/>
          <w:bCs/>
          <w:color w:val="auto"/>
          <w:sz w:val="24"/>
        </w:rPr>
        <w:t>合同服务期内</w:t>
      </w:r>
      <w:r>
        <w:rPr>
          <w:bCs/>
          <w:color w:val="auto"/>
          <w:sz w:val="24"/>
        </w:rPr>
        <w:t>完成合同项下所有工作后10个工作日内，</w:t>
      </w:r>
      <w:r>
        <w:rPr>
          <w:rFonts w:hint="eastAsia"/>
          <w:bCs/>
          <w:color w:val="auto"/>
          <w:sz w:val="24"/>
        </w:rPr>
        <w:t>供应商</w:t>
      </w:r>
      <w:r>
        <w:rPr>
          <w:bCs/>
          <w:color w:val="auto"/>
          <w:sz w:val="24"/>
        </w:rPr>
        <w:t>提出验收申请</w:t>
      </w:r>
      <w:r>
        <w:rPr>
          <w:rFonts w:hint="eastAsia"/>
          <w:color w:val="auto"/>
          <w:sz w:val="24"/>
        </w:rPr>
        <w:t>；</w:t>
      </w:r>
    </w:p>
    <w:p w14:paraId="1E0CC1B3">
      <w:pPr>
        <w:snapToGrid w:val="0"/>
        <w:spacing w:line="360" w:lineRule="auto"/>
        <w:ind w:firstLine="480" w:firstLineChars="200"/>
        <w:rPr>
          <w:color w:val="auto"/>
          <w:sz w:val="24"/>
        </w:rPr>
      </w:pPr>
      <w:r>
        <w:rPr>
          <w:color w:val="auto"/>
          <w:sz w:val="24"/>
        </w:rPr>
        <w:t>验收方式：采购人组织验收；</w:t>
      </w:r>
    </w:p>
    <w:p w14:paraId="283A3C79">
      <w:pPr>
        <w:snapToGrid w:val="0"/>
        <w:spacing w:line="360" w:lineRule="auto"/>
        <w:ind w:firstLine="480" w:firstLineChars="200"/>
        <w:rPr>
          <w:color w:val="auto"/>
          <w:sz w:val="24"/>
        </w:rPr>
      </w:pPr>
      <w:r>
        <w:rPr>
          <w:color w:val="auto"/>
          <w:sz w:val="24"/>
        </w:rPr>
        <w:t>验收程序：</w:t>
      </w:r>
    </w:p>
    <w:p w14:paraId="4CBDF5E2">
      <w:pPr>
        <w:snapToGrid w:val="0"/>
        <w:spacing w:line="360" w:lineRule="auto"/>
        <w:ind w:firstLine="480" w:firstLineChars="200"/>
        <w:rPr>
          <w:color w:val="auto"/>
          <w:sz w:val="24"/>
        </w:rPr>
      </w:pPr>
      <w:r>
        <w:rPr>
          <w:color w:val="auto"/>
          <w:sz w:val="24"/>
        </w:rPr>
        <w:t>1.合同执行完毕，成交供应商提供验收材料；</w:t>
      </w:r>
    </w:p>
    <w:p w14:paraId="1A86D8AB">
      <w:pPr>
        <w:snapToGrid w:val="0"/>
        <w:spacing w:line="360" w:lineRule="auto"/>
        <w:ind w:firstLine="480" w:firstLineChars="200"/>
        <w:rPr>
          <w:color w:val="auto"/>
          <w:sz w:val="24"/>
        </w:rPr>
      </w:pPr>
      <w:r>
        <w:rPr>
          <w:color w:val="auto"/>
          <w:sz w:val="24"/>
        </w:rPr>
        <w:t>2.</w:t>
      </w:r>
      <w:r>
        <w:rPr>
          <w:rFonts w:hint="eastAsia"/>
          <w:bCs/>
          <w:color w:val="auto"/>
          <w:sz w:val="24"/>
        </w:rPr>
        <w:t>采购人</w:t>
      </w:r>
      <w:r>
        <w:rPr>
          <w:bCs/>
          <w:color w:val="auto"/>
          <w:sz w:val="24"/>
        </w:rPr>
        <w:t>对</w:t>
      </w:r>
      <w:r>
        <w:rPr>
          <w:rFonts w:hint="eastAsia"/>
          <w:bCs/>
          <w:color w:val="auto"/>
          <w:sz w:val="24"/>
        </w:rPr>
        <w:t>供应商</w:t>
      </w:r>
      <w:r>
        <w:rPr>
          <w:bCs/>
          <w:color w:val="auto"/>
          <w:sz w:val="24"/>
        </w:rPr>
        <w:t>提供资料进行验收</w:t>
      </w:r>
      <w:r>
        <w:rPr>
          <w:color w:val="auto"/>
          <w:sz w:val="24"/>
        </w:rPr>
        <w:t>；</w:t>
      </w:r>
    </w:p>
    <w:p w14:paraId="4D8B73C9">
      <w:pPr>
        <w:snapToGrid w:val="0"/>
        <w:spacing w:line="360" w:lineRule="auto"/>
        <w:ind w:firstLine="480" w:firstLineChars="200"/>
        <w:rPr>
          <w:color w:val="auto"/>
          <w:sz w:val="24"/>
        </w:rPr>
      </w:pPr>
      <w:r>
        <w:rPr>
          <w:color w:val="auto"/>
          <w:sz w:val="24"/>
        </w:rPr>
        <w:t>3.采购人确认验收结果；</w:t>
      </w:r>
    </w:p>
    <w:p w14:paraId="730CF770">
      <w:pPr>
        <w:snapToGrid w:val="0"/>
        <w:spacing w:line="360" w:lineRule="auto"/>
        <w:ind w:firstLine="480" w:firstLineChars="200"/>
        <w:rPr>
          <w:color w:val="auto"/>
          <w:sz w:val="24"/>
        </w:rPr>
      </w:pPr>
      <w:r>
        <w:rPr>
          <w:color w:val="auto"/>
          <w:sz w:val="24"/>
        </w:rPr>
        <w:t>验收内容：合同项下所有内容，包括交付成果数量、质量、完成时间等；</w:t>
      </w:r>
    </w:p>
    <w:p w14:paraId="3903B433">
      <w:pPr>
        <w:snapToGrid w:val="0"/>
        <w:spacing w:line="360" w:lineRule="auto"/>
        <w:ind w:firstLine="480" w:firstLineChars="200"/>
        <w:rPr>
          <w:bCs/>
          <w:color w:val="auto"/>
          <w:sz w:val="24"/>
        </w:rPr>
      </w:pPr>
      <w:r>
        <w:rPr>
          <w:color w:val="auto"/>
          <w:sz w:val="24"/>
        </w:rPr>
        <w:t>验收标准：</w:t>
      </w:r>
      <w:r>
        <w:rPr>
          <w:rFonts w:hint="eastAsia"/>
          <w:bCs/>
          <w:color w:val="auto"/>
          <w:sz w:val="24"/>
        </w:rPr>
        <w:t>符合工作依据和标准的要求</w:t>
      </w:r>
      <w:r>
        <w:rPr>
          <w:bCs/>
          <w:color w:val="auto"/>
          <w:sz w:val="24"/>
        </w:rPr>
        <w:t>，</w:t>
      </w:r>
      <w:r>
        <w:rPr>
          <w:rFonts w:hint="eastAsia"/>
          <w:bCs/>
          <w:color w:val="auto"/>
          <w:sz w:val="24"/>
        </w:rPr>
        <w:t>按时</w:t>
      </w:r>
      <w:r>
        <w:rPr>
          <w:bCs/>
          <w:color w:val="auto"/>
          <w:sz w:val="24"/>
        </w:rPr>
        <w:t>提交各项符合要求的工作报告等相关材料。</w:t>
      </w:r>
    </w:p>
    <w:p w14:paraId="17EE6C37">
      <w:pPr>
        <w:snapToGrid w:val="0"/>
        <w:spacing w:line="360" w:lineRule="auto"/>
        <w:ind w:firstLine="482" w:firstLineChars="200"/>
        <w:rPr>
          <w:rFonts w:hint="eastAsia"/>
          <w:b/>
          <w:bCs/>
          <w:color w:val="auto"/>
          <w:sz w:val="24"/>
          <w:lang w:eastAsia="zh-CN"/>
        </w:rPr>
      </w:pPr>
      <w:r>
        <w:rPr>
          <w:rFonts w:hint="eastAsia"/>
          <w:b/>
          <w:bCs/>
          <w:color w:val="auto"/>
          <w:sz w:val="24"/>
          <w:lang w:eastAsia="zh-CN"/>
        </w:rPr>
        <w:t>十、保密措施</w:t>
      </w:r>
    </w:p>
    <w:p w14:paraId="3AA9290F">
      <w:pPr>
        <w:snapToGrid w:val="0"/>
        <w:spacing w:line="360" w:lineRule="auto"/>
        <w:ind w:firstLine="480" w:firstLineChars="200"/>
        <w:rPr>
          <w:color w:val="auto"/>
          <w:sz w:val="24"/>
        </w:rPr>
      </w:pPr>
      <w:r>
        <w:rPr>
          <w:color w:val="auto"/>
          <w:sz w:val="24"/>
        </w:rPr>
        <w:t>1.妥善保管文件资料。在事前绩效评估过程中，对项目单位提供的各项目</w:t>
      </w:r>
      <w:r>
        <w:rPr>
          <w:rFonts w:hint="eastAsia"/>
          <w:color w:val="auto"/>
          <w:sz w:val="24"/>
          <w:lang w:eastAsia="zh-CN"/>
        </w:rPr>
        <w:t>和转移支付</w:t>
      </w:r>
      <w:r>
        <w:rPr>
          <w:color w:val="auto"/>
          <w:sz w:val="24"/>
        </w:rPr>
        <w:t>申报资料、项目单位信息等各种重要资料，配备专人进行妥善保管。</w:t>
      </w:r>
    </w:p>
    <w:p w14:paraId="23260BA1">
      <w:pPr>
        <w:pStyle w:val="6"/>
        <w:adjustRightInd w:val="0"/>
        <w:spacing w:line="360" w:lineRule="auto"/>
        <w:ind w:firstLineChars="0"/>
        <w:contextualSpacing/>
        <w:jc w:val="left"/>
        <w:rPr>
          <w:color w:val="auto"/>
          <w:sz w:val="24"/>
        </w:rPr>
      </w:pPr>
      <w:r>
        <w:rPr>
          <w:color w:val="auto"/>
          <w:sz w:val="24"/>
        </w:rPr>
        <w:t>2.不随意对外泄露被事前绩效评估单位情况。供应商应遵守职业道德，对参加事前绩效评估的工作人员从严要求，对于被事前绩效评估单位的相关情况，不得随意对外泄露</w:t>
      </w:r>
      <w:r>
        <w:rPr>
          <w:rFonts w:hint="eastAsia"/>
          <w:color w:val="auto"/>
          <w:sz w:val="24"/>
        </w:rPr>
        <w:t>。</w:t>
      </w:r>
    </w:p>
    <w:p w14:paraId="1A0B65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A350E"/>
    <w:multiLevelType w:val="multilevel"/>
    <w:tmpl w:val="06CA350E"/>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D17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99"/>
    <w:pPr>
      <w:tabs>
        <w:tab w:val="left" w:pos="567"/>
      </w:tabs>
      <w:spacing w:before="120" w:line="22" w:lineRule="atLeast"/>
    </w:pPr>
    <w:rPr>
      <w:rFonts w:ascii="宋体" w:hAnsi="宋体"/>
      <w:sz w:val="24"/>
    </w:rPr>
  </w:style>
  <w:style w:type="paragraph" w:customStyle="1" w:styleId="3">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styleId="6">
    <w:name w:val="List Paragraph"/>
    <w:basedOn w:val="1"/>
    <w:qFormat/>
    <w:uiPriority w:val="34"/>
    <w:pPr>
      <w:ind w:firstLine="420" w:firstLineChars="200"/>
    </w:pPr>
    <w:rPr>
      <w:rFonts w:ascii="Calibri" w:hAnsi="Calibri"/>
      <w:szCs w:val="22"/>
    </w:rPr>
  </w:style>
  <w:style w:type="paragraph" w:customStyle="1" w:styleId="7">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2026-09-28T05:55:16Z</dcterms:created>
  <dc:creator>Lenovo</dc:creator>
  <cp:lastModifiedBy>侯…</cp:lastModifiedBy>
  <dcterms:modified xsi:type="dcterms:W3CDTF">2026-09-28T05:55:54Z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eyJoZGlkIjoiMDliYTE1YWVlODRmM2EyYTZkZDM1M2IzMWRlMzJjMzciLCJ1c2VySWQiOiI0Nzk1NTExODAifQ==</vt:lpwstr>
  </property>
  <property fmtid="{D5CDD505-2E9C-101B-9397-08002B2CF9AE}" pid="4" name="ICV">
    <vt:lpwstr>079943FB48F1446C8448341F98806417_12</vt:lpwstr>
  </property>
</Properties>
</file>