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C5CCD">
      <w:pPr>
        <w:spacing w:line="360" w:lineRule="auto"/>
        <w:jc w:val="center"/>
        <w:outlineLvl w:val="0"/>
        <w:rPr>
          <w:b/>
          <w:sz w:val="36"/>
          <w:szCs w:val="36"/>
          <w:highlight w:val="none"/>
        </w:rPr>
      </w:pPr>
      <w:bookmarkStart w:id="4" w:name="_GoBack"/>
      <w:bookmarkEnd w:id="4"/>
      <w:bookmarkStart w:id="0" w:name="_Toc99301424"/>
      <w:r>
        <w:rPr>
          <w:b/>
          <w:sz w:val="36"/>
          <w:szCs w:val="36"/>
          <w:highlight w:val="none"/>
        </w:rPr>
        <w:t>采购需求</w:t>
      </w:r>
      <w:bookmarkEnd w:id="0"/>
    </w:p>
    <w:p w14:paraId="75B1CBE6">
      <w:pPr>
        <w:widowControl/>
        <w:numPr>
          <w:ilvl w:val="0"/>
          <w:numId w:val="0"/>
        </w:numPr>
        <w:spacing w:line="360" w:lineRule="auto"/>
        <w:jc w:val="left"/>
        <w:rPr>
          <w:rFonts w:hint="eastAsia" w:ascii="宋体" w:hAnsi="宋体" w:cs="宋体"/>
          <w:b/>
          <w:kern w:val="0"/>
          <w:sz w:val="24"/>
          <w:szCs w:val="24"/>
          <w:highlight w:val="none"/>
          <w:lang w:val="en-US" w:eastAsia="zh-CN"/>
        </w:rPr>
      </w:pPr>
      <w:r>
        <w:rPr>
          <w:rFonts w:hint="eastAsia" w:ascii="宋体" w:hAnsi="宋体" w:cs="宋体"/>
          <w:b/>
          <w:kern w:val="0"/>
          <w:sz w:val="24"/>
          <w:szCs w:val="24"/>
          <w:highlight w:val="none"/>
          <w:lang w:val="en-US" w:eastAsia="zh-CN"/>
        </w:rPr>
        <w:t>一、采购标的</w:t>
      </w:r>
    </w:p>
    <w:p w14:paraId="1BEA83D8">
      <w:pPr>
        <w:spacing w:line="560" w:lineRule="exact"/>
        <w:ind w:firstLine="480" w:firstLineChars="200"/>
        <w:jc w:val="lef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1、采购标的</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2417"/>
        <w:gridCol w:w="4008"/>
        <w:gridCol w:w="1027"/>
        <w:gridCol w:w="1088"/>
      </w:tblGrid>
      <w:tr w14:paraId="36CF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41" w:type="dxa"/>
            <w:noWrap w:val="0"/>
            <w:vAlign w:val="center"/>
          </w:tcPr>
          <w:p w14:paraId="36A4C536">
            <w:pPr>
              <w:jc w:val="center"/>
              <w:rPr>
                <w:b/>
                <w:sz w:val="24"/>
                <w:szCs w:val="24"/>
                <w:highlight w:val="none"/>
              </w:rPr>
            </w:pPr>
            <w:r>
              <w:rPr>
                <w:rFonts w:hint="eastAsia"/>
                <w:b/>
                <w:sz w:val="24"/>
                <w:szCs w:val="24"/>
                <w:highlight w:val="none"/>
              </w:rPr>
              <w:t>序号</w:t>
            </w:r>
          </w:p>
        </w:tc>
        <w:tc>
          <w:tcPr>
            <w:tcW w:w="2417" w:type="dxa"/>
            <w:noWrap w:val="0"/>
            <w:vAlign w:val="center"/>
          </w:tcPr>
          <w:p w14:paraId="16EB82FF">
            <w:pPr>
              <w:jc w:val="center"/>
              <w:rPr>
                <w:b/>
                <w:sz w:val="24"/>
                <w:szCs w:val="24"/>
                <w:highlight w:val="none"/>
              </w:rPr>
            </w:pPr>
            <w:r>
              <w:rPr>
                <w:rFonts w:hint="eastAsia"/>
                <w:b/>
                <w:sz w:val="24"/>
                <w:szCs w:val="24"/>
                <w:highlight w:val="none"/>
              </w:rPr>
              <w:t>服务名称</w:t>
            </w:r>
          </w:p>
        </w:tc>
        <w:tc>
          <w:tcPr>
            <w:tcW w:w="4008" w:type="dxa"/>
            <w:noWrap w:val="0"/>
            <w:vAlign w:val="center"/>
          </w:tcPr>
          <w:p w14:paraId="38EBFBF0">
            <w:pPr>
              <w:jc w:val="center"/>
              <w:rPr>
                <w:rFonts w:hint="eastAsia" w:eastAsia="宋体"/>
                <w:b/>
                <w:sz w:val="24"/>
                <w:szCs w:val="24"/>
                <w:highlight w:val="none"/>
                <w:lang w:eastAsia="zh-CN"/>
              </w:rPr>
            </w:pPr>
            <w:r>
              <w:rPr>
                <w:rFonts w:hint="eastAsia"/>
                <w:b/>
                <w:sz w:val="24"/>
                <w:szCs w:val="24"/>
                <w:highlight w:val="none"/>
                <w:lang w:eastAsia="zh-CN"/>
              </w:rPr>
              <w:t>服务内容</w:t>
            </w:r>
          </w:p>
        </w:tc>
        <w:tc>
          <w:tcPr>
            <w:tcW w:w="1027" w:type="dxa"/>
            <w:noWrap w:val="0"/>
            <w:vAlign w:val="center"/>
          </w:tcPr>
          <w:p w14:paraId="5B1BBCFD">
            <w:pPr>
              <w:jc w:val="center"/>
              <w:rPr>
                <w:b/>
                <w:sz w:val="24"/>
                <w:szCs w:val="24"/>
                <w:highlight w:val="none"/>
              </w:rPr>
            </w:pPr>
            <w:r>
              <w:rPr>
                <w:rFonts w:hint="eastAsia"/>
                <w:b/>
                <w:sz w:val="24"/>
                <w:szCs w:val="24"/>
                <w:highlight w:val="none"/>
              </w:rPr>
              <w:t>数量</w:t>
            </w:r>
          </w:p>
        </w:tc>
        <w:tc>
          <w:tcPr>
            <w:tcW w:w="1088" w:type="dxa"/>
            <w:noWrap w:val="0"/>
            <w:vAlign w:val="center"/>
          </w:tcPr>
          <w:p w14:paraId="2D4D382E">
            <w:pPr>
              <w:jc w:val="center"/>
              <w:rPr>
                <w:b/>
                <w:sz w:val="24"/>
                <w:szCs w:val="24"/>
                <w:highlight w:val="none"/>
              </w:rPr>
            </w:pPr>
            <w:r>
              <w:rPr>
                <w:rFonts w:hint="eastAsia"/>
                <w:b/>
                <w:sz w:val="24"/>
                <w:szCs w:val="24"/>
                <w:highlight w:val="none"/>
              </w:rPr>
              <w:t>单位</w:t>
            </w:r>
          </w:p>
        </w:tc>
      </w:tr>
      <w:tr w14:paraId="60B5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41" w:type="dxa"/>
            <w:noWrap w:val="0"/>
            <w:vAlign w:val="center"/>
          </w:tcPr>
          <w:p w14:paraId="4F3B1792">
            <w:pPr>
              <w:jc w:val="center"/>
              <w:rPr>
                <w:rFonts w:hint="default" w:eastAsia="宋体"/>
                <w:sz w:val="24"/>
                <w:szCs w:val="24"/>
                <w:highlight w:val="none"/>
                <w:lang w:val="en-US" w:eastAsia="zh-CN"/>
              </w:rPr>
            </w:pPr>
            <w:r>
              <w:rPr>
                <w:rFonts w:hint="eastAsia"/>
                <w:sz w:val="24"/>
                <w:szCs w:val="24"/>
                <w:highlight w:val="none"/>
              </w:rPr>
              <w:t>1</w:t>
            </w:r>
          </w:p>
        </w:tc>
        <w:tc>
          <w:tcPr>
            <w:tcW w:w="2417" w:type="dxa"/>
            <w:vMerge w:val="restart"/>
            <w:noWrap w:val="0"/>
            <w:vAlign w:val="center"/>
          </w:tcPr>
          <w:p w14:paraId="3934007A">
            <w:pPr>
              <w:jc w:val="center"/>
              <w:rPr>
                <w:rFonts w:hint="eastAsia"/>
                <w:sz w:val="24"/>
                <w:highlight w:val="none"/>
              </w:rPr>
            </w:pPr>
            <w:r>
              <w:rPr>
                <w:rFonts w:hint="eastAsia"/>
                <w:sz w:val="24"/>
                <w:highlight w:val="none"/>
              </w:rPr>
              <w:t>北京小汤山医院2026年物业管理服务采购项目</w:t>
            </w:r>
          </w:p>
          <w:p w14:paraId="0AE01ACB">
            <w:pPr>
              <w:jc w:val="center"/>
              <w:rPr>
                <w:rFonts w:hint="eastAsia" w:eastAsia="宋体"/>
                <w:sz w:val="24"/>
                <w:szCs w:val="24"/>
                <w:highlight w:val="none"/>
                <w:lang w:eastAsia="zh-CN"/>
              </w:rPr>
            </w:pPr>
          </w:p>
        </w:tc>
        <w:tc>
          <w:tcPr>
            <w:tcW w:w="4008" w:type="dxa"/>
            <w:noWrap w:val="0"/>
            <w:vAlign w:val="center"/>
          </w:tcPr>
          <w:p w14:paraId="109CFD0A">
            <w:pPr>
              <w:spacing w:line="560" w:lineRule="exact"/>
              <w:ind w:firstLine="480" w:firstLineChars="200"/>
              <w:jc w:val="left"/>
              <w:rPr>
                <w:rFonts w:hint="eastAsia"/>
                <w:sz w:val="24"/>
                <w:szCs w:val="24"/>
                <w:highlight w:val="none"/>
                <w:lang w:val="en-US" w:eastAsia="zh-CN"/>
              </w:rPr>
            </w:pPr>
            <w:r>
              <w:rPr>
                <w:rFonts w:hint="eastAsia"/>
                <w:sz w:val="24"/>
                <w:szCs w:val="24"/>
                <w:highlight w:val="none"/>
                <w:lang w:eastAsia="zh-CN"/>
              </w:rPr>
              <w:t>东西院区室内外保洁：</w:t>
            </w:r>
            <w:r>
              <w:rPr>
                <w:rFonts w:hint="eastAsia" w:ascii="宋体" w:hAnsi="宋体" w:eastAsia="宋体" w:cs="宋体"/>
                <w:color w:val="000000"/>
                <w:sz w:val="24"/>
                <w:szCs w:val="24"/>
                <w:highlight w:val="none"/>
              </w:rPr>
              <w:t>负责病房、办公区域、门诊大厅、</w:t>
            </w:r>
            <w:r>
              <w:rPr>
                <w:rFonts w:hint="eastAsia" w:ascii="宋体" w:hAnsi="宋体" w:eastAsia="宋体" w:cs="宋体"/>
                <w:color w:val="000000"/>
                <w:sz w:val="24"/>
                <w:szCs w:val="24"/>
                <w:highlight w:val="none"/>
                <w:lang w:eastAsia="zh-CN"/>
              </w:rPr>
              <w:t>治疗大厅、</w:t>
            </w:r>
            <w:r>
              <w:rPr>
                <w:rFonts w:hint="eastAsia" w:ascii="宋体" w:hAnsi="宋体" w:eastAsia="宋体" w:cs="宋体"/>
                <w:color w:val="000000"/>
                <w:sz w:val="24"/>
                <w:szCs w:val="24"/>
                <w:highlight w:val="none"/>
              </w:rPr>
              <w:t>建筑外墙、院内道路、停车场及门前三包责任区全范围</w:t>
            </w:r>
            <w:r>
              <w:rPr>
                <w:rFonts w:hint="eastAsia" w:ascii="宋体" w:hAnsi="宋体" w:eastAsia="宋体" w:cs="宋体"/>
                <w:color w:val="000000"/>
                <w:sz w:val="24"/>
                <w:szCs w:val="24"/>
                <w:highlight w:val="none"/>
                <w:lang w:eastAsia="zh-CN"/>
              </w:rPr>
              <w:t>的</w:t>
            </w:r>
            <w:r>
              <w:rPr>
                <w:rFonts w:hint="eastAsia" w:ascii="宋体" w:hAnsi="宋体" w:eastAsia="宋体" w:cs="宋体"/>
                <w:color w:val="000000"/>
                <w:sz w:val="24"/>
                <w:szCs w:val="24"/>
                <w:highlight w:val="none"/>
              </w:rPr>
              <w:t>环境卫生清扫保洁、垃圾分类</w:t>
            </w:r>
            <w:r>
              <w:rPr>
                <w:rFonts w:hint="eastAsia" w:ascii="宋体" w:hAnsi="宋体" w:cs="宋体"/>
                <w:color w:val="000000"/>
                <w:sz w:val="24"/>
                <w:szCs w:val="24"/>
                <w:highlight w:val="none"/>
                <w:lang w:eastAsia="zh-CN"/>
              </w:rPr>
              <w:t>（包含生活垃圾、厨余垃圾、绿化垃圾、建筑垃圾）</w:t>
            </w:r>
            <w:r>
              <w:rPr>
                <w:rFonts w:hint="eastAsia" w:ascii="宋体" w:hAnsi="宋体" w:eastAsia="宋体" w:cs="宋体"/>
                <w:color w:val="000000"/>
                <w:sz w:val="24"/>
                <w:szCs w:val="24"/>
                <w:highlight w:val="none"/>
              </w:rPr>
              <w:t>管理工作；其中外围专项保洁包含</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室外道路巡回清扫、路面</w:t>
            </w:r>
            <w:r>
              <w:rPr>
                <w:rFonts w:hint="eastAsia" w:ascii="宋体" w:hAnsi="宋体" w:eastAsia="宋体" w:cs="宋体"/>
                <w:color w:val="000000"/>
                <w:sz w:val="24"/>
                <w:szCs w:val="24"/>
                <w:highlight w:val="none"/>
                <w:lang w:eastAsia="zh-CN"/>
              </w:rPr>
              <w:t>及砖缝</w:t>
            </w:r>
            <w:r>
              <w:rPr>
                <w:rFonts w:hint="eastAsia" w:ascii="宋体" w:hAnsi="宋体" w:eastAsia="宋体" w:cs="宋体"/>
                <w:color w:val="000000"/>
                <w:sz w:val="24"/>
                <w:szCs w:val="24"/>
                <w:highlight w:val="none"/>
              </w:rPr>
              <w:t>杂草清除、公共休闲座椅擦拭养护、雨篦子与排水沟清掏疏通、雨雪天气铲冰除雪防滑作业等。</w:t>
            </w:r>
          </w:p>
        </w:tc>
        <w:tc>
          <w:tcPr>
            <w:tcW w:w="1027" w:type="dxa"/>
            <w:noWrap w:val="0"/>
            <w:vAlign w:val="center"/>
          </w:tcPr>
          <w:p w14:paraId="64D41218">
            <w:pPr>
              <w:jc w:val="center"/>
              <w:rPr>
                <w:rFonts w:hint="eastAsia" w:eastAsia="宋体"/>
                <w:sz w:val="24"/>
                <w:szCs w:val="24"/>
                <w:highlight w:val="none"/>
                <w:lang w:val="en-US" w:eastAsia="zh-CN"/>
              </w:rPr>
            </w:pPr>
            <w:r>
              <w:rPr>
                <w:rFonts w:hint="eastAsia"/>
                <w:sz w:val="24"/>
                <w:szCs w:val="24"/>
                <w:highlight w:val="none"/>
                <w:lang w:val="en-US" w:eastAsia="zh-CN"/>
              </w:rPr>
              <w:t>1</w:t>
            </w:r>
          </w:p>
        </w:tc>
        <w:tc>
          <w:tcPr>
            <w:tcW w:w="1088" w:type="dxa"/>
            <w:noWrap w:val="0"/>
            <w:vAlign w:val="center"/>
          </w:tcPr>
          <w:p w14:paraId="7646F9E1">
            <w:pPr>
              <w:jc w:val="center"/>
              <w:rPr>
                <w:rFonts w:hint="eastAsia" w:eastAsia="宋体"/>
                <w:sz w:val="24"/>
                <w:szCs w:val="24"/>
                <w:highlight w:val="none"/>
                <w:lang w:eastAsia="zh-CN"/>
              </w:rPr>
            </w:pPr>
            <w:r>
              <w:rPr>
                <w:rFonts w:hint="eastAsia"/>
                <w:sz w:val="24"/>
                <w:szCs w:val="24"/>
                <w:highlight w:val="none"/>
                <w:lang w:eastAsia="zh-CN"/>
              </w:rPr>
              <w:t>项</w:t>
            </w:r>
          </w:p>
        </w:tc>
      </w:tr>
      <w:tr w14:paraId="687F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41" w:type="dxa"/>
            <w:noWrap w:val="0"/>
            <w:vAlign w:val="center"/>
          </w:tcPr>
          <w:p w14:paraId="0BB392EA">
            <w:pPr>
              <w:jc w:val="center"/>
              <w:rPr>
                <w:rFonts w:hint="eastAsia" w:eastAsia="宋体"/>
                <w:sz w:val="24"/>
                <w:szCs w:val="24"/>
                <w:highlight w:val="none"/>
                <w:lang w:eastAsia="zh-CN"/>
              </w:rPr>
            </w:pPr>
            <w:r>
              <w:rPr>
                <w:rFonts w:hint="eastAsia"/>
                <w:sz w:val="24"/>
                <w:szCs w:val="24"/>
                <w:highlight w:val="none"/>
                <w:lang w:val="en-US" w:eastAsia="zh-CN"/>
              </w:rPr>
              <w:t>2</w:t>
            </w:r>
          </w:p>
        </w:tc>
        <w:tc>
          <w:tcPr>
            <w:tcW w:w="2417" w:type="dxa"/>
            <w:vMerge w:val="continue"/>
            <w:noWrap w:val="0"/>
            <w:vAlign w:val="center"/>
          </w:tcPr>
          <w:p w14:paraId="17BC8648">
            <w:pPr>
              <w:jc w:val="center"/>
              <w:rPr>
                <w:rFonts w:hint="eastAsia" w:eastAsia="宋体"/>
                <w:sz w:val="24"/>
                <w:szCs w:val="24"/>
                <w:highlight w:val="none"/>
                <w:lang w:eastAsia="zh-CN"/>
              </w:rPr>
            </w:pPr>
          </w:p>
        </w:tc>
        <w:tc>
          <w:tcPr>
            <w:tcW w:w="4008" w:type="dxa"/>
            <w:noWrap w:val="0"/>
            <w:vAlign w:val="center"/>
          </w:tcPr>
          <w:p w14:paraId="01A8B104">
            <w:pPr>
              <w:spacing w:line="560" w:lineRule="exact"/>
              <w:ind w:firstLine="480" w:firstLineChars="200"/>
              <w:jc w:val="left"/>
              <w:rPr>
                <w:rFonts w:hint="eastAsia"/>
                <w:sz w:val="24"/>
                <w:szCs w:val="24"/>
                <w:highlight w:val="none"/>
                <w:lang w:val="en-US" w:eastAsia="zh-CN"/>
              </w:rPr>
            </w:pPr>
            <w:r>
              <w:rPr>
                <w:rFonts w:hint="eastAsia"/>
                <w:sz w:val="24"/>
                <w:szCs w:val="24"/>
                <w:highlight w:val="none"/>
                <w:lang w:eastAsia="zh-CN"/>
              </w:rPr>
              <w:t>东西院区设备运行维修：</w:t>
            </w:r>
            <w:r>
              <w:rPr>
                <w:rFonts w:hint="eastAsia" w:ascii="宋体" w:hAnsi="宋体" w:eastAsia="宋体" w:cs="宋体"/>
                <w:color w:val="000000"/>
                <w:sz w:val="24"/>
                <w:szCs w:val="24"/>
                <w:highlight w:val="none"/>
                <w:lang w:eastAsia="zh-CN"/>
              </w:rPr>
              <w:t>全院公共区域、诊疗区域、办公区域的日常维修维护</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承担东院区污水处理站、院内医疗气体系统</w:t>
            </w:r>
            <w:r>
              <w:rPr>
                <w:rFonts w:hint="eastAsia" w:ascii="宋体" w:hAnsi="宋体" w:eastAsia="宋体" w:cs="宋体"/>
                <w:color w:val="000000"/>
                <w:sz w:val="24"/>
                <w:szCs w:val="24"/>
                <w:highlight w:val="none"/>
                <w:lang w:eastAsia="zh-CN"/>
              </w:rPr>
              <w:t>的</w:t>
            </w:r>
            <w:r>
              <w:rPr>
                <w:rFonts w:hint="eastAsia" w:ascii="宋体" w:hAnsi="宋体" w:eastAsia="宋体" w:cs="宋体"/>
                <w:color w:val="000000"/>
                <w:sz w:val="24"/>
                <w:szCs w:val="24"/>
                <w:highlight w:val="none"/>
              </w:rPr>
              <w:t>日常运维管理；负责院内医疗废物垃圾定点转运，</w:t>
            </w:r>
            <w:r>
              <w:rPr>
                <w:rFonts w:hint="eastAsia" w:ascii="宋体" w:hAnsi="宋体" w:eastAsia="宋体" w:cs="宋体"/>
                <w:color w:val="000000"/>
                <w:sz w:val="24"/>
                <w:szCs w:val="24"/>
                <w:highlight w:val="none"/>
                <w:lang w:eastAsia="zh-CN"/>
              </w:rPr>
              <w:t>院内微公交（摆渡车）运营服务</w:t>
            </w:r>
            <w:r>
              <w:rPr>
                <w:rFonts w:hint="eastAsia" w:ascii="宋体" w:hAnsi="宋体" w:cs="宋体"/>
                <w:color w:val="000000"/>
                <w:sz w:val="24"/>
                <w:szCs w:val="24"/>
                <w:highlight w:val="none"/>
                <w:lang w:eastAsia="zh-CN"/>
              </w:rPr>
              <w:t>，体医融合中心服务</w:t>
            </w:r>
            <w:r>
              <w:rPr>
                <w:rFonts w:hint="eastAsia" w:ascii="宋体" w:hAnsi="宋体" w:eastAsia="宋体" w:cs="宋体"/>
                <w:color w:val="000000"/>
                <w:sz w:val="24"/>
                <w:szCs w:val="24"/>
                <w:highlight w:val="none"/>
              </w:rPr>
              <w:t>；提供水、电、木、瓦、空调设备全品类日常巡检与维修工作。</w:t>
            </w:r>
          </w:p>
        </w:tc>
        <w:tc>
          <w:tcPr>
            <w:tcW w:w="1027" w:type="dxa"/>
            <w:noWrap w:val="0"/>
            <w:vAlign w:val="center"/>
          </w:tcPr>
          <w:p w14:paraId="45B7D1EB">
            <w:pPr>
              <w:jc w:val="center"/>
              <w:rPr>
                <w:rFonts w:hint="eastAsia" w:eastAsia="宋体"/>
                <w:sz w:val="24"/>
                <w:szCs w:val="24"/>
                <w:highlight w:val="none"/>
                <w:lang w:val="en-US" w:eastAsia="zh-CN"/>
              </w:rPr>
            </w:pPr>
            <w:r>
              <w:rPr>
                <w:rFonts w:hint="eastAsia"/>
                <w:sz w:val="24"/>
                <w:szCs w:val="24"/>
                <w:highlight w:val="none"/>
                <w:lang w:val="en-US" w:eastAsia="zh-CN"/>
              </w:rPr>
              <w:t>1</w:t>
            </w:r>
          </w:p>
        </w:tc>
        <w:tc>
          <w:tcPr>
            <w:tcW w:w="1088" w:type="dxa"/>
            <w:noWrap w:val="0"/>
            <w:vAlign w:val="center"/>
          </w:tcPr>
          <w:p w14:paraId="2A834401">
            <w:pPr>
              <w:jc w:val="center"/>
              <w:rPr>
                <w:sz w:val="24"/>
                <w:szCs w:val="24"/>
                <w:highlight w:val="none"/>
              </w:rPr>
            </w:pPr>
            <w:r>
              <w:rPr>
                <w:rFonts w:hint="eastAsia"/>
                <w:sz w:val="24"/>
                <w:szCs w:val="24"/>
                <w:highlight w:val="none"/>
                <w:lang w:eastAsia="zh-CN"/>
              </w:rPr>
              <w:t>项</w:t>
            </w:r>
          </w:p>
        </w:tc>
      </w:tr>
    </w:tbl>
    <w:p w14:paraId="41A436C9">
      <w:pPr>
        <w:spacing w:line="560" w:lineRule="exact"/>
        <w:ind w:left="0" w:leftChars="0" w:firstLine="0" w:firstLineChars="0"/>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lang w:eastAsia="zh-CN"/>
        </w:rPr>
        <w:t>基本情况概述：</w:t>
      </w:r>
    </w:p>
    <w:p w14:paraId="306B0BB2">
      <w:pPr>
        <w:spacing w:line="560" w:lineRule="exact"/>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院区</w:t>
      </w:r>
      <w:r>
        <w:rPr>
          <w:rFonts w:hint="eastAsia" w:ascii="宋体" w:hAnsi="宋体" w:eastAsia="宋体" w:cs="宋体"/>
          <w:color w:val="000000"/>
          <w:sz w:val="24"/>
          <w:szCs w:val="24"/>
          <w:highlight w:val="none"/>
        </w:rPr>
        <w:t>总占地面积315730.787平方米，</w:t>
      </w:r>
      <w:r>
        <w:rPr>
          <w:rFonts w:hint="eastAsia" w:ascii="宋体" w:hAnsi="宋体" w:eastAsia="宋体" w:cs="宋体"/>
          <w:color w:val="000000"/>
          <w:sz w:val="24"/>
          <w:szCs w:val="24"/>
          <w:highlight w:val="none"/>
          <w:lang w:eastAsia="zh-CN"/>
        </w:rPr>
        <w:t>其中西院区</w:t>
      </w:r>
      <w:r>
        <w:rPr>
          <w:rFonts w:hint="eastAsia" w:ascii="宋体" w:hAnsi="宋体" w:eastAsia="宋体" w:cs="宋体"/>
          <w:color w:val="000000"/>
          <w:sz w:val="24"/>
          <w:szCs w:val="24"/>
          <w:highlight w:val="none"/>
          <w:lang w:val="en-US" w:eastAsia="zh-CN"/>
        </w:rPr>
        <w:t>37030.54平方米，东院区278700.247平方米。总</w:t>
      </w:r>
      <w:r>
        <w:rPr>
          <w:rFonts w:hint="eastAsia" w:ascii="宋体" w:hAnsi="宋体" w:eastAsia="宋体" w:cs="宋体"/>
          <w:color w:val="000000"/>
          <w:sz w:val="24"/>
          <w:szCs w:val="24"/>
          <w:highlight w:val="none"/>
        </w:rPr>
        <w:t>建筑面积82692.6平方米</w:t>
      </w:r>
      <w:r>
        <w:rPr>
          <w:rFonts w:hint="eastAsia" w:ascii="宋体" w:hAnsi="宋体" w:eastAsia="宋体" w:cs="宋体"/>
          <w:color w:val="000000"/>
          <w:sz w:val="24"/>
          <w:szCs w:val="24"/>
          <w:highlight w:val="none"/>
          <w:lang w:eastAsia="zh-CN"/>
        </w:rPr>
        <w:t>，其中东院区</w:t>
      </w:r>
      <w:r>
        <w:rPr>
          <w:rFonts w:hint="eastAsia" w:ascii="宋体" w:hAnsi="宋体" w:eastAsia="宋体" w:cs="宋体"/>
          <w:color w:val="000000"/>
          <w:sz w:val="24"/>
          <w:szCs w:val="24"/>
          <w:highlight w:val="none"/>
          <w:lang w:val="en-US" w:eastAsia="zh-CN"/>
        </w:rPr>
        <w:t>60668.98平方米，西院区22023.62平方米</w:t>
      </w:r>
      <w:r>
        <w:rPr>
          <w:rFonts w:hint="eastAsia" w:ascii="宋体" w:hAnsi="宋体" w:eastAsia="宋体" w:cs="宋体"/>
          <w:color w:val="000000"/>
          <w:sz w:val="24"/>
          <w:szCs w:val="24"/>
          <w:highlight w:val="none"/>
        </w:rPr>
        <w:t>。</w:t>
      </w:r>
      <w:bookmarkStart w:id="1" w:name="OLE_LINK3"/>
    </w:p>
    <w:p w14:paraId="21ACF5BC">
      <w:pPr>
        <w:widowControl/>
        <w:numPr>
          <w:ilvl w:val="0"/>
          <w:numId w:val="1"/>
        </w:numPr>
        <w:spacing w:line="360" w:lineRule="auto"/>
        <w:jc w:val="left"/>
        <w:rPr>
          <w:rFonts w:hint="eastAsia" w:ascii="宋体" w:hAnsi="宋体" w:cs="宋体"/>
          <w:b/>
          <w:kern w:val="0"/>
          <w:sz w:val="24"/>
          <w:szCs w:val="24"/>
          <w:highlight w:val="none"/>
          <w:lang w:eastAsia="zh-CN"/>
        </w:rPr>
      </w:pPr>
      <w:r>
        <w:rPr>
          <w:rFonts w:hint="eastAsia" w:ascii="宋体" w:hAnsi="宋体" w:cs="宋体"/>
          <w:b/>
          <w:kern w:val="0"/>
          <w:sz w:val="24"/>
          <w:szCs w:val="24"/>
          <w:highlight w:val="none"/>
          <w:lang w:eastAsia="zh-CN"/>
        </w:rPr>
        <w:t>商务要求</w:t>
      </w:r>
    </w:p>
    <w:p w14:paraId="09F29E73">
      <w:pPr>
        <w:widowControl/>
        <w:numPr>
          <w:ilvl w:val="0"/>
          <w:numId w:val="2"/>
        </w:numPr>
        <w:spacing w:line="360" w:lineRule="auto"/>
        <w:jc w:val="left"/>
        <w:rPr>
          <w:rFonts w:hint="default" w:ascii="宋体" w:hAnsi="宋体" w:cs="宋体"/>
          <w:kern w:val="0"/>
          <w:sz w:val="24"/>
          <w:szCs w:val="20"/>
          <w:highlight w:val="none"/>
          <w:lang w:val="en-US" w:eastAsia="zh-CN"/>
        </w:rPr>
      </w:pPr>
      <w:r>
        <w:rPr>
          <w:rFonts w:hint="eastAsia" w:ascii="宋体" w:hAnsi="宋体" w:cs="宋体"/>
          <w:b w:val="0"/>
          <w:bCs/>
          <w:kern w:val="0"/>
          <w:sz w:val="24"/>
          <w:szCs w:val="24"/>
          <w:highlight w:val="none"/>
          <w:lang w:val="en-US" w:eastAsia="zh-CN"/>
        </w:rPr>
        <w:t>实施地点范围：</w:t>
      </w:r>
      <w:r>
        <w:rPr>
          <w:rFonts w:hint="eastAsia" w:ascii="宋体" w:hAnsi="宋体" w:cs="宋体"/>
          <w:kern w:val="0"/>
          <w:sz w:val="24"/>
          <w:szCs w:val="20"/>
          <w:highlight w:val="none"/>
          <w:lang w:eastAsia="zh-CN"/>
        </w:rPr>
        <w:t>北京市昌平区小汤山镇北京小汤山医院</w:t>
      </w:r>
    </w:p>
    <w:p w14:paraId="41686E05">
      <w:pPr>
        <w:widowControl/>
        <w:numPr>
          <w:ilvl w:val="0"/>
          <w:numId w:val="2"/>
        </w:numPr>
        <w:spacing w:line="360" w:lineRule="auto"/>
        <w:jc w:val="left"/>
        <w:rPr>
          <w:rFonts w:hint="default" w:ascii="宋体" w:hAnsi="宋体" w:cs="宋体"/>
          <w:kern w:val="0"/>
          <w:sz w:val="24"/>
          <w:szCs w:val="20"/>
          <w:highlight w:val="none"/>
          <w:lang w:val="en-US" w:eastAsia="zh-CN"/>
        </w:rPr>
      </w:pPr>
      <w:r>
        <w:rPr>
          <w:rFonts w:hint="eastAsia" w:ascii="宋体" w:hAnsi="宋体" w:cs="宋体"/>
          <w:kern w:val="0"/>
          <w:sz w:val="24"/>
          <w:szCs w:val="20"/>
          <w:highlight w:val="none"/>
          <w:lang w:val="en-US" w:eastAsia="zh-CN"/>
        </w:rPr>
        <w:t>付款方式：合同生效后，</w:t>
      </w:r>
      <w:r>
        <w:rPr>
          <w:rFonts w:hint="eastAsia"/>
          <w:b w:val="0"/>
          <w:bCs/>
          <w:sz w:val="24"/>
          <w:highlight w:val="none"/>
          <w:lang w:val="en-US" w:eastAsia="zh-CN"/>
        </w:rPr>
        <w:t>采购人根据物业服务项目及满意度调查情况按月付款。满意度调查对象为医院主要职能科室、医疗业务科室，满意度未达到95%，扣除当月物业服务费的百分之二；满意度未达到90%，扣除当月物业服务费的百分之五。</w:t>
      </w:r>
      <w:r>
        <w:rPr>
          <w:rFonts w:hint="eastAsia" w:ascii="宋体" w:hAnsi="宋体"/>
          <w:sz w:val="24"/>
          <w:szCs w:val="24"/>
          <w:highlight w:val="none"/>
          <w:lang w:eastAsia="zh-CN"/>
        </w:rPr>
        <w:t>医院</w:t>
      </w:r>
      <w:r>
        <w:rPr>
          <w:rFonts w:hint="eastAsia" w:ascii="宋体" w:hAnsi="宋体" w:eastAsia="宋体"/>
          <w:color w:val="000000"/>
          <w:sz w:val="24"/>
          <w:szCs w:val="24"/>
          <w:highlight w:val="none"/>
        </w:rPr>
        <w:t>按月</w:t>
      </w:r>
      <w:r>
        <w:rPr>
          <w:rFonts w:hint="eastAsia" w:ascii="宋体" w:hAnsi="宋体" w:eastAsia="宋体"/>
          <w:sz w:val="24"/>
          <w:szCs w:val="24"/>
          <w:highlight w:val="none"/>
        </w:rPr>
        <w:t>支付</w:t>
      </w:r>
      <w:r>
        <w:rPr>
          <w:rFonts w:hint="eastAsia" w:ascii="宋体" w:hAnsi="宋体"/>
          <w:sz w:val="24"/>
          <w:szCs w:val="24"/>
          <w:highlight w:val="none"/>
          <w:lang w:eastAsia="zh-CN"/>
        </w:rPr>
        <w:t>物业服务供应商</w:t>
      </w:r>
      <w:r>
        <w:rPr>
          <w:rFonts w:hint="eastAsia" w:ascii="宋体" w:hAnsi="宋体" w:eastAsia="宋体"/>
          <w:sz w:val="24"/>
          <w:szCs w:val="24"/>
          <w:highlight w:val="none"/>
        </w:rPr>
        <w:t>服务费。</w:t>
      </w:r>
      <w:r>
        <w:rPr>
          <w:rFonts w:hint="eastAsia" w:ascii="宋体" w:hAnsi="宋体"/>
          <w:sz w:val="24"/>
          <w:szCs w:val="24"/>
          <w:highlight w:val="none"/>
          <w:lang w:eastAsia="zh-CN"/>
        </w:rPr>
        <w:t>物业服务供应商</w:t>
      </w:r>
      <w:r>
        <w:rPr>
          <w:rFonts w:hint="eastAsia" w:ascii="宋体" w:hAnsi="宋体" w:eastAsia="宋体"/>
          <w:sz w:val="24"/>
          <w:szCs w:val="24"/>
          <w:highlight w:val="none"/>
        </w:rPr>
        <w:t>须在次月开始的7</w:t>
      </w:r>
      <w:r>
        <w:rPr>
          <w:rFonts w:hint="eastAsia" w:ascii="宋体" w:hAnsi="宋体" w:eastAsia="宋体"/>
          <w:sz w:val="24"/>
          <w:szCs w:val="24"/>
          <w:highlight w:val="none"/>
          <w:lang w:eastAsia="zh-CN"/>
        </w:rPr>
        <w:t>个工作</w:t>
      </w:r>
      <w:r>
        <w:rPr>
          <w:rFonts w:hint="eastAsia" w:ascii="宋体" w:hAnsi="宋体" w:eastAsia="宋体"/>
          <w:sz w:val="24"/>
          <w:szCs w:val="24"/>
          <w:highlight w:val="none"/>
        </w:rPr>
        <w:t>日内向</w:t>
      </w:r>
      <w:r>
        <w:rPr>
          <w:rFonts w:hint="eastAsia" w:ascii="宋体" w:hAnsi="宋体"/>
          <w:sz w:val="24"/>
          <w:szCs w:val="24"/>
          <w:highlight w:val="none"/>
          <w:lang w:eastAsia="zh-CN"/>
        </w:rPr>
        <w:t>医院</w:t>
      </w:r>
      <w:r>
        <w:rPr>
          <w:rFonts w:hint="eastAsia" w:ascii="宋体" w:hAnsi="宋体" w:eastAsia="宋体"/>
          <w:sz w:val="24"/>
          <w:szCs w:val="24"/>
          <w:highlight w:val="none"/>
        </w:rPr>
        <w:t>提供增值税普通发票，</w:t>
      </w:r>
      <w:r>
        <w:rPr>
          <w:rFonts w:hint="eastAsia" w:ascii="宋体" w:hAnsi="宋体"/>
          <w:sz w:val="24"/>
          <w:szCs w:val="24"/>
          <w:highlight w:val="none"/>
          <w:lang w:eastAsia="zh-CN"/>
        </w:rPr>
        <w:t>医院</w:t>
      </w:r>
      <w:r>
        <w:rPr>
          <w:rFonts w:hint="eastAsia" w:ascii="宋体" w:hAnsi="宋体" w:eastAsia="宋体"/>
          <w:sz w:val="24"/>
          <w:szCs w:val="24"/>
          <w:highlight w:val="none"/>
        </w:rPr>
        <w:t>在收到发票后</w:t>
      </w:r>
      <w:r>
        <w:rPr>
          <w:rFonts w:hint="eastAsia" w:ascii="宋体" w:hAnsi="宋体" w:eastAsia="宋体"/>
          <w:sz w:val="24"/>
          <w:szCs w:val="24"/>
          <w:highlight w:val="none"/>
          <w:lang w:val="en-US" w:eastAsia="zh-CN"/>
        </w:rPr>
        <w:t>15个工作</w:t>
      </w:r>
      <w:r>
        <w:rPr>
          <w:rFonts w:hint="eastAsia" w:ascii="宋体" w:hAnsi="宋体" w:eastAsia="宋体"/>
          <w:sz w:val="24"/>
          <w:szCs w:val="24"/>
          <w:highlight w:val="none"/>
        </w:rPr>
        <w:t>日内向</w:t>
      </w:r>
      <w:r>
        <w:rPr>
          <w:rFonts w:hint="eastAsia" w:ascii="宋体" w:hAnsi="宋体"/>
          <w:sz w:val="24"/>
          <w:szCs w:val="24"/>
          <w:highlight w:val="none"/>
          <w:lang w:eastAsia="zh-CN"/>
        </w:rPr>
        <w:t>物业服务供应商</w:t>
      </w:r>
      <w:r>
        <w:rPr>
          <w:rFonts w:hint="eastAsia" w:ascii="宋体" w:hAnsi="宋体" w:eastAsia="宋体"/>
          <w:sz w:val="24"/>
          <w:szCs w:val="24"/>
          <w:highlight w:val="none"/>
        </w:rPr>
        <w:t>支付上月的服务费。</w:t>
      </w:r>
    </w:p>
    <w:p w14:paraId="68460E69">
      <w:pPr>
        <w:widowControl/>
        <w:numPr>
          <w:ilvl w:val="0"/>
          <w:numId w:val="2"/>
        </w:numPr>
        <w:spacing w:line="360" w:lineRule="auto"/>
        <w:jc w:val="left"/>
        <w:rPr>
          <w:rFonts w:hint="default" w:ascii="宋体" w:hAnsi="宋体" w:cs="宋体"/>
          <w:color w:val="auto"/>
          <w:kern w:val="0"/>
          <w:sz w:val="24"/>
          <w:szCs w:val="20"/>
          <w:highlight w:val="none"/>
          <w:lang w:val="en-US" w:eastAsia="zh-CN"/>
        </w:rPr>
      </w:pPr>
      <w:r>
        <w:rPr>
          <w:rFonts w:hint="eastAsia"/>
          <w:b w:val="0"/>
          <w:bCs/>
          <w:sz w:val="24"/>
          <w:highlight w:val="none"/>
          <w:lang w:val="en-US" w:eastAsia="zh-CN"/>
        </w:rPr>
        <w:t>人员配置要求：供应商需要为采购人</w:t>
      </w:r>
      <w:r>
        <w:rPr>
          <w:rFonts w:hint="eastAsia" w:ascii="宋体" w:hAnsi="宋体" w:cs="宋体"/>
          <w:color w:val="auto"/>
          <w:kern w:val="0"/>
          <w:sz w:val="24"/>
          <w:highlight w:val="none"/>
          <w:lang w:val="en-US" w:eastAsia="zh-CN"/>
        </w:rPr>
        <w:t xml:space="preserve">配备不少于111人的服务团队。其中行政管理服务人员不少于4人；保洁服务人员不少于61人；设备运行维修服务人员不少于36人；综合服务人员不少于10人。 </w:t>
      </w:r>
      <w:r>
        <w:rPr>
          <w:rFonts w:hint="eastAsia" w:ascii="宋体" w:hAnsi="宋体" w:eastAsia="宋体" w:cs="宋体"/>
          <w:color w:val="000000"/>
          <w:kern w:val="0"/>
          <w:sz w:val="24"/>
          <w:szCs w:val="24"/>
          <w:highlight w:val="none"/>
          <w:lang w:val="en-US" w:eastAsia="zh-CN" w:bidi="ar"/>
        </w:rPr>
        <w:t>如采购人认为服务人员不适应岗位要求或存在其他影响工作的，可要求供应商进行调换。如因供应商原因对服务人员进行调换，应当经采购人同意，更换比例不得超过本项目服务人员总数的 20%。本项目服务人员不得在其他项目兼职。</w:t>
      </w:r>
    </w:p>
    <w:p w14:paraId="0E5A473D">
      <w:pPr>
        <w:widowControl/>
        <w:numPr>
          <w:ilvl w:val="0"/>
          <w:numId w:val="2"/>
        </w:numPr>
        <w:spacing w:line="360" w:lineRule="auto"/>
        <w:jc w:val="left"/>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服务期限及控制价：项目服务期限3年，采用合同一年一签模式，年度预算600万元，三年总预算1800万元</w:t>
      </w:r>
    </w:p>
    <w:p w14:paraId="028E4C17">
      <w:pPr>
        <w:widowControl/>
        <w:numPr>
          <w:ilvl w:val="0"/>
          <w:numId w:val="2"/>
        </w:numPr>
        <w:spacing w:line="360" w:lineRule="auto"/>
        <w:jc w:val="left"/>
        <w:rPr>
          <w:rFonts w:hint="eastAsia" w:ascii="宋体" w:hAnsi="宋体" w:eastAsia="宋体" w:cs="宋体"/>
          <w:color w:val="000000"/>
          <w:sz w:val="24"/>
          <w:szCs w:val="24"/>
          <w:highlight w:val="none"/>
          <w:lang w:eastAsia="zh-CN"/>
        </w:rPr>
      </w:pPr>
      <w:r>
        <w:rPr>
          <w:rFonts w:hint="eastAsia" w:ascii="宋体" w:hAnsi="宋体" w:cs="宋体"/>
          <w:color w:val="auto"/>
          <w:kern w:val="0"/>
          <w:sz w:val="24"/>
          <w:highlight w:val="none"/>
          <w:lang w:val="en-US" w:eastAsia="zh-CN"/>
        </w:rPr>
        <w:t>售后服务及培训要求：物业公司根据物业服务具体项目要对人员要有岗位培训计划，有培训提纲内容，有考核标准，经考核合格并取得相应职业资格证书或特种作业证书的操作证书后才能上岗，上岗人员需提供无犯罪证明。</w:t>
      </w:r>
    </w:p>
    <w:bookmarkEnd w:id="1"/>
    <w:p w14:paraId="75EED253">
      <w:pPr>
        <w:widowControl/>
        <w:numPr>
          <w:ilvl w:val="0"/>
          <w:numId w:val="1"/>
        </w:numPr>
        <w:spacing w:line="360" w:lineRule="auto"/>
        <w:jc w:val="left"/>
        <w:rPr>
          <w:rFonts w:hint="eastAsia" w:ascii="宋体" w:hAnsi="宋体" w:cs="宋体"/>
          <w:b/>
          <w:kern w:val="0"/>
          <w:sz w:val="24"/>
          <w:szCs w:val="24"/>
          <w:highlight w:val="none"/>
          <w:lang w:eastAsia="zh-CN"/>
        </w:rPr>
      </w:pPr>
      <w:r>
        <w:rPr>
          <w:rFonts w:hint="eastAsia" w:ascii="宋体" w:hAnsi="宋体" w:cs="宋体"/>
          <w:b/>
          <w:kern w:val="0"/>
          <w:sz w:val="24"/>
          <w:szCs w:val="24"/>
          <w:highlight w:val="none"/>
          <w:lang w:eastAsia="zh-CN"/>
        </w:rPr>
        <w:t>物业服务岗位、人员配置表</w:t>
      </w:r>
    </w:p>
    <w:tbl>
      <w:tblPr>
        <w:tblStyle w:val="2"/>
        <w:tblW w:w="0" w:type="auto"/>
        <w:jc w:val="center"/>
        <w:tblLayout w:type="fixed"/>
        <w:tblCellMar>
          <w:top w:w="0" w:type="dxa"/>
          <w:left w:w="108" w:type="dxa"/>
          <w:bottom w:w="0" w:type="dxa"/>
          <w:right w:w="108" w:type="dxa"/>
        </w:tblCellMar>
      </w:tblPr>
      <w:tblGrid>
        <w:gridCol w:w="322"/>
        <w:gridCol w:w="1843"/>
        <w:gridCol w:w="2450"/>
        <w:gridCol w:w="1481"/>
        <w:gridCol w:w="2964"/>
      </w:tblGrid>
      <w:tr w14:paraId="64016726">
        <w:tblPrEx>
          <w:tblCellMar>
            <w:top w:w="0" w:type="dxa"/>
            <w:left w:w="108" w:type="dxa"/>
            <w:bottom w:w="0" w:type="dxa"/>
            <w:right w:w="108" w:type="dxa"/>
          </w:tblCellMar>
        </w:tblPrEx>
        <w:trPr>
          <w:trHeight w:val="0" w:hRule="atLeast"/>
          <w:jc w:val="center"/>
        </w:trPr>
        <w:tc>
          <w:tcPr>
            <w:tcW w:w="9060" w:type="dxa"/>
            <w:gridSpan w:val="5"/>
            <w:tcBorders>
              <w:top w:val="single" w:color="auto" w:sz="4" w:space="0"/>
              <w:left w:val="single" w:color="auto" w:sz="4" w:space="0"/>
              <w:bottom w:val="single" w:color="auto" w:sz="4" w:space="0"/>
              <w:right w:val="nil"/>
            </w:tcBorders>
            <w:noWrap w:val="0"/>
            <w:vAlign w:val="center"/>
          </w:tcPr>
          <w:p w14:paraId="537757A2">
            <w:pPr>
              <w:widowControl/>
              <w:snapToGrid w:val="0"/>
              <w:jc w:val="left"/>
              <w:rPr>
                <w:rFonts w:hint="eastAsia" w:ascii="宋体" w:hAnsi="宋体" w:eastAsia="宋体" w:cs="Tahoma"/>
                <w:b/>
                <w:bCs/>
                <w:color w:val="000000"/>
                <w:kern w:val="0"/>
                <w:szCs w:val="21"/>
                <w:highlight w:val="none"/>
              </w:rPr>
            </w:pPr>
          </w:p>
        </w:tc>
      </w:tr>
      <w:tr w14:paraId="4EA32E6F">
        <w:tblPrEx>
          <w:tblCellMar>
            <w:top w:w="0" w:type="dxa"/>
            <w:left w:w="108" w:type="dxa"/>
            <w:bottom w:w="0" w:type="dxa"/>
            <w:right w:w="108" w:type="dxa"/>
          </w:tblCellMar>
        </w:tblPrEx>
        <w:trPr>
          <w:trHeight w:val="0" w:hRule="atLeast"/>
          <w:jc w:val="center"/>
        </w:trPr>
        <w:tc>
          <w:tcPr>
            <w:tcW w:w="2165" w:type="dxa"/>
            <w:gridSpan w:val="2"/>
            <w:tcBorders>
              <w:top w:val="nil"/>
              <w:left w:val="single" w:color="auto" w:sz="4" w:space="0"/>
              <w:bottom w:val="single" w:color="000000" w:sz="4" w:space="0"/>
              <w:right w:val="single" w:color="auto" w:sz="4" w:space="0"/>
            </w:tcBorders>
            <w:noWrap w:val="0"/>
            <w:vAlign w:val="center"/>
          </w:tcPr>
          <w:p w14:paraId="44A751D6">
            <w:pPr>
              <w:widowControl/>
              <w:snapToGrid w:val="0"/>
              <w:jc w:val="center"/>
              <w:rPr>
                <w:rFonts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33F391CC">
            <w:pPr>
              <w:widowControl/>
              <w:snapToGrid w:val="0"/>
              <w:jc w:val="left"/>
              <w:rPr>
                <w:rFonts w:ascii="宋体" w:hAnsi="宋体" w:eastAsia="宋体" w:cs="Tahoma"/>
                <w:color w:val="000000"/>
                <w:kern w:val="0"/>
                <w:szCs w:val="21"/>
                <w:highlight w:val="none"/>
              </w:rPr>
            </w:pPr>
            <w:r>
              <w:rPr>
                <w:rFonts w:ascii="宋体" w:hAnsi="宋体" w:eastAsia="宋体" w:cs="Tahoma"/>
                <w:b/>
                <w:bCs/>
                <w:color w:val="000000"/>
                <w:kern w:val="0"/>
                <w:szCs w:val="21"/>
                <w:highlight w:val="none"/>
              </w:rPr>
              <w:t>岗位</w:t>
            </w:r>
          </w:p>
        </w:tc>
        <w:tc>
          <w:tcPr>
            <w:tcW w:w="1481" w:type="dxa"/>
            <w:tcBorders>
              <w:top w:val="nil"/>
              <w:left w:val="nil"/>
              <w:bottom w:val="single" w:color="auto" w:sz="4" w:space="0"/>
              <w:right w:val="single" w:color="auto" w:sz="4" w:space="0"/>
            </w:tcBorders>
            <w:noWrap/>
            <w:vAlign w:val="center"/>
          </w:tcPr>
          <w:p w14:paraId="16164706">
            <w:pPr>
              <w:widowControl/>
              <w:snapToGrid w:val="0"/>
              <w:jc w:val="center"/>
              <w:rPr>
                <w:rFonts w:ascii="Tahoma" w:hAnsi="Tahoma" w:eastAsia="宋体" w:cs="Tahoma"/>
                <w:color w:val="000000"/>
                <w:kern w:val="0"/>
                <w:sz w:val="22"/>
                <w:szCs w:val="22"/>
                <w:highlight w:val="none"/>
              </w:rPr>
            </w:pPr>
            <w:r>
              <w:rPr>
                <w:rFonts w:ascii="宋体" w:hAnsi="宋体" w:eastAsia="宋体" w:cs="Tahoma"/>
                <w:b/>
                <w:bCs/>
                <w:color w:val="000000"/>
                <w:kern w:val="0"/>
                <w:szCs w:val="21"/>
                <w:highlight w:val="none"/>
              </w:rPr>
              <w:t>计划编制人数</w:t>
            </w:r>
          </w:p>
        </w:tc>
        <w:tc>
          <w:tcPr>
            <w:tcW w:w="2964" w:type="dxa"/>
            <w:tcBorders>
              <w:top w:val="nil"/>
              <w:left w:val="nil"/>
              <w:bottom w:val="single" w:color="auto" w:sz="4" w:space="0"/>
              <w:right w:val="single" w:color="auto" w:sz="4" w:space="0"/>
            </w:tcBorders>
            <w:noWrap/>
            <w:vAlign w:val="center"/>
          </w:tcPr>
          <w:p w14:paraId="47B8540E">
            <w:pPr>
              <w:widowControl/>
              <w:snapToGrid w:val="0"/>
              <w:jc w:val="center"/>
              <w:rPr>
                <w:rFonts w:ascii="Tahoma" w:hAnsi="Tahoma" w:eastAsia="宋体" w:cs="Tahoma"/>
                <w:color w:val="000000"/>
                <w:kern w:val="0"/>
                <w:sz w:val="22"/>
                <w:szCs w:val="22"/>
                <w:highlight w:val="none"/>
              </w:rPr>
            </w:pPr>
            <w:r>
              <w:rPr>
                <w:rFonts w:ascii="宋体" w:hAnsi="宋体" w:eastAsia="宋体" w:cs="Tahoma"/>
                <w:b/>
                <w:bCs/>
                <w:color w:val="000000"/>
                <w:kern w:val="0"/>
                <w:szCs w:val="21"/>
                <w:highlight w:val="none"/>
              </w:rPr>
              <w:t>备注岗位工作时间</w:t>
            </w:r>
          </w:p>
        </w:tc>
      </w:tr>
      <w:tr w14:paraId="77991DAB">
        <w:tblPrEx>
          <w:tblCellMar>
            <w:top w:w="0" w:type="dxa"/>
            <w:left w:w="108" w:type="dxa"/>
            <w:bottom w:w="0" w:type="dxa"/>
            <w:right w:w="108" w:type="dxa"/>
          </w:tblCellMar>
        </w:tblPrEx>
        <w:trPr>
          <w:trHeight w:val="0" w:hRule="atLeast"/>
          <w:jc w:val="center"/>
        </w:trPr>
        <w:tc>
          <w:tcPr>
            <w:tcW w:w="9060" w:type="dxa"/>
            <w:gridSpan w:val="5"/>
            <w:tcBorders>
              <w:top w:val="nil"/>
              <w:left w:val="single" w:color="auto" w:sz="4" w:space="0"/>
              <w:bottom w:val="single" w:color="000000" w:sz="4" w:space="0"/>
              <w:right w:val="single" w:color="auto" w:sz="4" w:space="0"/>
            </w:tcBorders>
            <w:noWrap w:val="0"/>
            <w:vAlign w:val="center"/>
          </w:tcPr>
          <w:p w14:paraId="1E2B812D">
            <w:pPr>
              <w:widowControl/>
              <w:snapToGrid w:val="0"/>
              <w:rPr>
                <w:rFonts w:ascii="Tahoma" w:hAnsi="Tahoma" w:eastAsia="宋体" w:cs="Tahoma"/>
                <w:color w:val="000000"/>
                <w:kern w:val="0"/>
                <w:sz w:val="22"/>
                <w:szCs w:val="22"/>
                <w:highlight w:val="none"/>
              </w:rPr>
            </w:pPr>
            <w:r>
              <w:rPr>
                <w:rFonts w:ascii="宋体" w:hAnsi="宋体" w:eastAsia="宋体" w:cs="Tahoma"/>
                <w:b/>
                <w:bCs/>
                <w:color w:val="000000"/>
                <w:kern w:val="0"/>
                <w:szCs w:val="21"/>
                <w:highlight w:val="none"/>
              </w:rPr>
              <w:t>行政管理服务</w:t>
            </w:r>
          </w:p>
        </w:tc>
      </w:tr>
      <w:tr w14:paraId="6B17851E">
        <w:tblPrEx>
          <w:tblCellMar>
            <w:top w:w="0" w:type="dxa"/>
            <w:left w:w="108" w:type="dxa"/>
            <w:bottom w:w="0" w:type="dxa"/>
            <w:right w:w="108" w:type="dxa"/>
          </w:tblCellMar>
        </w:tblPrEx>
        <w:trPr>
          <w:trHeight w:val="0" w:hRule="atLeast"/>
          <w:jc w:val="center"/>
        </w:trPr>
        <w:tc>
          <w:tcPr>
            <w:tcW w:w="322" w:type="dxa"/>
            <w:vMerge w:val="restart"/>
            <w:tcBorders>
              <w:top w:val="nil"/>
              <w:left w:val="single" w:color="auto" w:sz="4" w:space="0"/>
              <w:bottom w:val="single" w:color="000000" w:sz="4" w:space="0"/>
              <w:right w:val="single" w:color="auto" w:sz="4" w:space="0"/>
            </w:tcBorders>
            <w:noWrap w:val="0"/>
            <w:vAlign w:val="center"/>
          </w:tcPr>
          <w:p w14:paraId="58C4A39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1</w:t>
            </w:r>
          </w:p>
        </w:tc>
        <w:tc>
          <w:tcPr>
            <w:tcW w:w="1843" w:type="dxa"/>
            <w:vMerge w:val="restart"/>
            <w:tcBorders>
              <w:top w:val="nil"/>
              <w:left w:val="single" w:color="auto" w:sz="4" w:space="0"/>
              <w:bottom w:val="single" w:color="000000" w:sz="4" w:space="0"/>
              <w:right w:val="single" w:color="auto" w:sz="4" w:space="0"/>
            </w:tcBorders>
            <w:noWrap w:val="0"/>
            <w:vAlign w:val="center"/>
          </w:tcPr>
          <w:p w14:paraId="76229B0D">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项目处   办公室</w:t>
            </w:r>
          </w:p>
        </w:tc>
        <w:tc>
          <w:tcPr>
            <w:tcW w:w="2450" w:type="dxa"/>
            <w:tcBorders>
              <w:top w:val="nil"/>
              <w:left w:val="nil"/>
              <w:bottom w:val="single" w:color="auto" w:sz="4" w:space="0"/>
              <w:right w:val="single" w:color="auto" w:sz="4" w:space="0"/>
            </w:tcBorders>
            <w:noWrap w:val="0"/>
            <w:vAlign w:val="center"/>
          </w:tcPr>
          <w:p w14:paraId="26729F99">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项目经理</w:t>
            </w:r>
          </w:p>
        </w:tc>
        <w:tc>
          <w:tcPr>
            <w:tcW w:w="1481" w:type="dxa"/>
            <w:tcBorders>
              <w:top w:val="nil"/>
              <w:left w:val="nil"/>
              <w:bottom w:val="single" w:color="auto" w:sz="4" w:space="0"/>
              <w:right w:val="single" w:color="auto" w:sz="4" w:space="0"/>
            </w:tcBorders>
            <w:noWrap/>
            <w:vAlign w:val="center"/>
          </w:tcPr>
          <w:p w14:paraId="7670754D">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w:t>
            </w:r>
          </w:p>
        </w:tc>
        <w:tc>
          <w:tcPr>
            <w:tcW w:w="2964" w:type="dxa"/>
            <w:tcBorders>
              <w:top w:val="nil"/>
              <w:left w:val="nil"/>
              <w:bottom w:val="single" w:color="auto" w:sz="4" w:space="0"/>
              <w:right w:val="single" w:color="auto" w:sz="4" w:space="0"/>
            </w:tcBorders>
            <w:noWrap/>
            <w:vAlign w:val="center"/>
          </w:tcPr>
          <w:p w14:paraId="1E8FDFF3">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8:00-17:00</w:t>
            </w:r>
          </w:p>
        </w:tc>
      </w:tr>
      <w:tr w14:paraId="7E21E1C3">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1A5670C">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04972835">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358C5E8F">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办公室文员</w:t>
            </w:r>
          </w:p>
        </w:tc>
        <w:tc>
          <w:tcPr>
            <w:tcW w:w="1481" w:type="dxa"/>
            <w:tcBorders>
              <w:top w:val="nil"/>
              <w:left w:val="nil"/>
              <w:bottom w:val="single" w:color="auto" w:sz="4" w:space="0"/>
              <w:right w:val="single" w:color="auto" w:sz="4" w:space="0"/>
            </w:tcBorders>
            <w:noWrap/>
            <w:vAlign w:val="center"/>
          </w:tcPr>
          <w:p w14:paraId="0B700B24">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w:t>
            </w:r>
          </w:p>
        </w:tc>
        <w:tc>
          <w:tcPr>
            <w:tcW w:w="2964" w:type="dxa"/>
            <w:tcBorders>
              <w:top w:val="nil"/>
              <w:left w:val="nil"/>
              <w:bottom w:val="single" w:color="auto" w:sz="4" w:space="0"/>
              <w:right w:val="single" w:color="auto" w:sz="4" w:space="0"/>
            </w:tcBorders>
            <w:noWrap/>
            <w:vAlign w:val="center"/>
          </w:tcPr>
          <w:p w14:paraId="01DF156C">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8:00-17:00</w:t>
            </w:r>
          </w:p>
        </w:tc>
      </w:tr>
      <w:tr w14:paraId="16B96010">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14BBF971">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1FC22DB4">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3A5208C">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部门经理</w:t>
            </w:r>
          </w:p>
        </w:tc>
        <w:tc>
          <w:tcPr>
            <w:tcW w:w="1481" w:type="dxa"/>
            <w:tcBorders>
              <w:top w:val="nil"/>
              <w:left w:val="nil"/>
              <w:bottom w:val="single" w:color="auto" w:sz="4" w:space="0"/>
              <w:right w:val="single" w:color="auto" w:sz="4" w:space="0"/>
            </w:tcBorders>
            <w:noWrap/>
            <w:vAlign w:val="center"/>
          </w:tcPr>
          <w:p w14:paraId="502AF522">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ign w:val="center"/>
          </w:tcPr>
          <w:p w14:paraId="42FA08DE">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8:00-17:00</w:t>
            </w:r>
          </w:p>
        </w:tc>
      </w:tr>
      <w:tr w14:paraId="73FDA5D1">
        <w:tblPrEx>
          <w:tblCellMar>
            <w:top w:w="0" w:type="dxa"/>
            <w:left w:w="108" w:type="dxa"/>
            <w:bottom w:w="0" w:type="dxa"/>
            <w:right w:w="108" w:type="dxa"/>
          </w:tblCellMar>
        </w:tblPrEx>
        <w:trPr>
          <w:trHeight w:val="0" w:hRule="atLeast"/>
          <w:jc w:val="center"/>
        </w:trPr>
        <w:tc>
          <w:tcPr>
            <w:tcW w:w="4615" w:type="dxa"/>
            <w:gridSpan w:val="3"/>
            <w:tcBorders>
              <w:top w:val="single" w:color="auto" w:sz="4" w:space="0"/>
              <w:left w:val="single" w:color="auto" w:sz="4" w:space="0"/>
              <w:bottom w:val="nil"/>
              <w:right w:val="single" w:color="000000" w:sz="4" w:space="0"/>
            </w:tcBorders>
            <w:noWrap w:val="0"/>
            <w:vAlign w:val="center"/>
          </w:tcPr>
          <w:p w14:paraId="08DC197E">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小计</w:t>
            </w:r>
          </w:p>
        </w:tc>
        <w:tc>
          <w:tcPr>
            <w:tcW w:w="1481" w:type="dxa"/>
            <w:tcBorders>
              <w:top w:val="nil"/>
              <w:left w:val="nil"/>
              <w:bottom w:val="nil"/>
              <w:right w:val="single" w:color="auto" w:sz="4" w:space="0"/>
            </w:tcBorders>
            <w:noWrap/>
            <w:vAlign w:val="center"/>
          </w:tcPr>
          <w:p w14:paraId="47E5A114">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4</w:t>
            </w:r>
          </w:p>
        </w:tc>
        <w:tc>
          <w:tcPr>
            <w:tcW w:w="2964" w:type="dxa"/>
            <w:tcBorders>
              <w:top w:val="nil"/>
              <w:left w:val="nil"/>
              <w:bottom w:val="nil"/>
              <w:right w:val="single" w:color="auto" w:sz="4" w:space="0"/>
            </w:tcBorders>
            <w:noWrap w:val="0"/>
            <w:vAlign w:val="center"/>
          </w:tcPr>
          <w:p w14:paraId="1DC0DCCB">
            <w:pPr>
              <w:widowControl/>
              <w:snapToGrid w:val="0"/>
              <w:jc w:val="left"/>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　</w:t>
            </w:r>
          </w:p>
        </w:tc>
      </w:tr>
      <w:tr w14:paraId="567B079A">
        <w:tblPrEx>
          <w:tblCellMar>
            <w:top w:w="0" w:type="dxa"/>
            <w:left w:w="108" w:type="dxa"/>
            <w:bottom w:w="0" w:type="dxa"/>
            <w:right w:w="108" w:type="dxa"/>
          </w:tblCellMar>
        </w:tblPrEx>
        <w:trPr>
          <w:trHeight w:val="0" w:hRule="atLeast"/>
          <w:jc w:val="center"/>
        </w:trPr>
        <w:tc>
          <w:tcPr>
            <w:tcW w:w="9060" w:type="dxa"/>
            <w:gridSpan w:val="5"/>
            <w:tcBorders>
              <w:top w:val="single" w:color="000000" w:sz="4" w:space="0"/>
              <w:left w:val="single" w:color="000000" w:sz="4" w:space="0"/>
              <w:bottom w:val="single" w:color="000000" w:sz="4" w:space="0"/>
              <w:right w:val="nil"/>
            </w:tcBorders>
            <w:noWrap w:val="0"/>
            <w:vAlign w:val="center"/>
          </w:tcPr>
          <w:p w14:paraId="5FCDBF0F">
            <w:pPr>
              <w:widowControl/>
              <w:snapToGrid w:val="0"/>
              <w:jc w:val="left"/>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保洁服务</w:t>
            </w:r>
          </w:p>
        </w:tc>
      </w:tr>
      <w:tr w14:paraId="017E805F">
        <w:tblPrEx>
          <w:tblCellMar>
            <w:top w:w="0" w:type="dxa"/>
            <w:left w:w="108" w:type="dxa"/>
            <w:bottom w:w="0" w:type="dxa"/>
            <w:right w:w="108" w:type="dxa"/>
          </w:tblCellMar>
        </w:tblPrEx>
        <w:trPr>
          <w:trHeight w:val="0" w:hRule="atLeast"/>
          <w:jc w:val="center"/>
        </w:trPr>
        <w:tc>
          <w:tcPr>
            <w:tcW w:w="322" w:type="dxa"/>
            <w:vMerge w:val="restart"/>
            <w:tcBorders>
              <w:top w:val="nil"/>
              <w:left w:val="single" w:color="auto" w:sz="4" w:space="0"/>
              <w:bottom w:val="single" w:color="000000" w:sz="4" w:space="0"/>
              <w:right w:val="single" w:color="auto" w:sz="4" w:space="0"/>
            </w:tcBorders>
            <w:noWrap w:val="0"/>
            <w:vAlign w:val="center"/>
          </w:tcPr>
          <w:p w14:paraId="36980E94">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2</w:t>
            </w:r>
          </w:p>
        </w:tc>
        <w:tc>
          <w:tcPr>
            <w:tcW w:w="1843" w:type="dxa"/>
            <w:vMerge w:val="restart"/>
            <w:tcBorders>
              <w:top w:val="nil"/>
              <w:left w:val="single" w:color="auto" w:sz="4" w:space="0"/>
              <w:bottom w:val="single" w:color="000000" w:sz="4" w:space="0"/>
              <w:right w:val="single" w:color="auto" w:sz="4" w:space="0"/>
            </w:tcBorders>
            <w:noWrap w:val="0"/>
            <w:vAlign w:val="center"/>
          </w:tcPr>
          <w:p w14:paraId="422EBF5D">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保洁</w:t>
            </w:r>
          </w:p>
        </w:tc>
        <w:tc>
          <w:tcPr>
            <w:tcW w:w="2450" w:type="dxa"/>
            <w:tcBorders>
              <w:top w:val="nil"/>
              <w:left w:val="nil"/>
              <w:bottom w:val="nil"/>
              <w:right w:val="single" w:color="auto" w:sz="4" w:space="0"/>
            </w:tcBorders>
            <w:noWrap w:val="0"/>
            <w:vAlign w:val="center"/>
          </w:tcPr>
          <w:p w14:paraId="3D9682AF">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保洁部班长</w:t>
            </w:r>
          </w:p>
        </w:tc>
        <w:tc>
          <w:tcPr>
            <w:tcW w:w="1481" w:type="dxa"/>
            <w:tcBorders>
              <w:top w:val="nil"/>
              <w:left w:val="nil"/>
              <w:bottom w:val="single" w:color="auto" w:sz="4" w:space="0"/>
              <w:right w:val="single" w:color="auto" w:sz="4" w:space="0"/>
            </w:tcBorders>
            <w:noWrap/>
            <w:vAlign w:val="center"/>
          </w:tcPr>
          <w:p w14:paraId="18552438">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ign w:val="center"/>
          </w:tcPr>
          <w:p w14:paraId="3BD00540">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8:00-17:00</w:t>
            </w:r>
          </w:p>
        </w:tc>
      </w:tr>
      <w:tr w14:paraId="4C61E46C">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55AEE29">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1ABF033">
            <w:pPr>
              <w:widowControl/>
              <w:snapToGrid w:val="0"/>
              <w:jc w:val="left"/>
              <w:rPr>
                <w:rFonts w:hint="eastAsia" w:ascii="宋体" w:hAnsi="宋体" w:eastAsia="宋体" w:cs="Tahoma"/>
                <w:b/>
                <w:bCs/>
                <w:color w:val="000000"/>
                <w:kern w:val="0"/>
                <w:szCs w:val="21"/>
                <w:highlight w:val="none"/>
              </w:rPr>
            </w:pPr>
          </w:p>
        </w:tc>
        <w:tc>
          <w:tcPr>
            <w:tcW w:w="2450" w:type="dxa"/>
            <w:tcBorders>
              <w:top w:val="single" w:color="auto" w:sz="4" w:space="0"/>
              <w:left w:val="nil"/>
              <w:bottom w:val="nil"/>
              <w:right w:val="single" w:color="auto" w:sz="4" w:space="0"/>
            </w:tcBorders>
            <w:noWrap w:val="0"/>
            <w:vAlign w:val="center"/>
          </w:tcPr>
          <w:p w14:paraId="0ED8A60D">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综合服务部（A区）</w:t>
            </w:r>
          </w:p>
        </w:tc>
        <w:tc>
          <w:tcPr>
            <w:tcW w:w="1481" w:type="dxa"/>
            <w:tcBorders>
              <w:top w:val="nil"/>
              <w:left w:val="nil"/>
              <w:bottom w:val="single" w:color="auto" w:sz="4" w:space="0"/>
              <w:right w:val="single" w:color="auto" w:sz="4" w:space="0"/>
            </w:tcBorders>
            <w:noWrap w:val="0"/>
            <w:vAlign w:val="center"/>
          </w:tcPr>
          <w:p w14:paraId="77B93A1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2</w:t>
            </w:r>
          </w:p>
        </w:tc>
        <w:tc>
          <w:tcPr>
            <w:tcW w:w="2964" w:type="dxa"/>
            <w:tcBorders>
              <w:top w:val="nil"/>
              <w:left w:val="nil"/>
              <w:bottom w:val="single" w:color="auto" w:sz="4" w:space="0"/>
              <w:right w:val="single" w:color="auto" w:sz="4" w:space="0"/>
            </w:tcBorders>
            <w:noWrap/>
            <w:vAlign w:val="center"/>
          </w:tcPr>
          <w:p w14:paraId="15773178">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1AF4876B">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7D55DFD">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78AEFC63">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1A7615BB">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综合服务部（C区）</w:t>
            </w:r>
          </w:p>
        </w:tc>
        <w:tc>
          <w:tcPr>
            <w:tcW w:w="1481" w:type="dxa"/>
            <w:tcBorders>
              <w:top w:val="nil"/>
              <w:left w:val="nil"/>
              <w:bottom w:val="single" w:color="auto" w:sz="4" w:space="0"/>
              <w:right w:val="single" w:color="auto" w:sz="4" w:space="0"/>
            </w:tcBorders>
            <w:noWrap w:val="0"/>
            <w:vAlign w:val="center"/>
          </w:tcPr>
          <w:p w14:paraId="26C8851B">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2</w:t>
            </w:r>
          </w:p>
        </w:tc>
        <w:tc>
          <w:tcPr>
            <w:tcW w:w="2964" w:type="dxa"/>
            <w:tcBorders>
              <w:top w:val="nil"/>
              <w:left w:val="nil"/>
              <w:bottom w:val="single" w:color="auto" w:sz="4" w:space="0"/>
              <w:right w:val="single" w:color="auto" w:sz="4" w:space="0"/>
            </w:tcBorders>
            <w:noWrap/>
            <w:vAlign w:val="center"/>
          </w:tcPr>
          <w:p w14:paraId="67D7AF47">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7:30-15:30</w:t>
            </w:r>
          </w:p>
        </w:tc>
      </w:tr>
      <w:tr w14:paraId="2519F2DA">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33A79126">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7651D29">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2C488FF">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物理治疗科</w:t>
            </w:r>
          </w:p>
        </w:tc>
        <w:tc>
          <w:tcPr>
            <w:tcW w:w="1481" w:type="dxa"/>
            <w:tcBorders>
              <w:top w:val="nil"/>
              <w:left w:val="nil"/>
              <w:bottom w:val="single" w:color="auto" w:sz="4" w:space="0"/>
              <w:right w:val="single" w:color="auto" w:sz="4" w:space="0"/>
            </w:tcBorders>
            <w:noWrap w:val="0"/>
            <w:vAlign w:val="center"/>
          </w:tcPr>
          <w:p w14:paraId="1384D4B4">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4</w:t>
            </w:r>
          </w:p>
        </w:tc>
        <w:tc>
          <w:tcPr>
            <w:tcW w:w="2964" w:type="dxa"/>
            <w:tcBorders>
              <w:top w:val="nil"/>
              <w:left w:val="nil"/>
              <w:bottom w:val="single" w:color="auto" w:sz="4" w:space="0"/>
              <w:right w:val="single" w:color="auto" w:sz="4" w:space="0"/>
            </w:tcBorders>
            <w:noWrap/>
            <w:vAlign w:val="center"/>
          </w:tcPr>
          <w:p w14:paraId="4ADD8A11">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17D53E0D">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53762B7B">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379663AE">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3BF5B178">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综合内科</w:t>
            </w:r>
          </w:p>
        </w:tc>
        <w:tc>
          <w:tcPr>
            <w:tcW w:w="1481" w:type="dxa"/>
            <w:tcBorders>
              <w:top w:val="nil"/>
              <w:left w:val="nil"/>
              <w:bottom w:val="single" w:color="auto" w:sz="4" w:space="0"/>
              <w:right w:val="single" w:color="auto" w:sz="4" w:space="0"/>
            </w:tcBorders>
            <w:noWrap w:val="0"/>
            <w:vAlign w:val="center"/>
          </w:tcPr>
          <w:p w14:paraId="49236B49">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2</w:t>
            </w:r>
          </w:p>
        </w:tc>
        <w:tc>
          <w:tcPr>
            <w:tcW w:w="2964" w:type="dxa"/>
            <w:tcBorders>
              <w:top w:val="nil"/>
              <w:left w:val="nil"/>
              <w:bottom w:val="single" w:color="auto" w:sz="4" w:space="0"/>
              <w:right w:val="single" w:color="auto" w:sz="4" w:space="0"/>
            </w:tcBorders>
            <w:noWrap/>
            <w:vAlign w:val="center"/>
          </w:tcPr>
          <w:p w14:paraId="4EB47788">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4F9781D0">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71081B01">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72D1A33F">
            <w:pPr>
              <w:widowControl/>
              <w:snapToGrid w:val="0"/>
              <w:jc w:val="left"/>
              <w:rPr>
                <w:rFonts w:hint="eastAsia" w:ascii="宋体" w:hAnsi="宋体" w:eastAsia="宋体" w:cs="Tahoma"/>
                <w:b/>
                <w:bCs/>
                <w:color w:val="000000"/>
                <w:kern w:val="0"/>
                <w:szCs w:val="21"/>
                <w:highlight w:val="none"/>
              </w:rPr>
            </w:pPr>
          </w:p>
        </w:tc>
        <w:tc>
          <w:tcPr>
            <w:tcW w:w="2450" w:type="dxa"/>
            <w:vMerge w:val="restart"/>
            <w:tcBorders>
              <w:top w:val="nil"/>
              <w:left w:val="nil"/>
              <w:bottom w:val="single" w:color="000000" w:sz="4" w:space="0"/>
              <w:right w:val="single" w:color="auto" w:sz="4" w:space="0"/>
            </w:tcBorders>
            <w:noWrap w:val="0"/>
            <w:vAlign w:val="center"/>
          </w:tcPr>
          <w:p w14:paraId="78D6C15D">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运动康复</w:t>
            </w:r>
          </w:p>
        </w:tc>
        <w:tc>
          <w:tcPr>
            <w:tcW w:w="1481" w:type="dxa"/>
            <w:vMerge w:val="restart"/>
            <w:tcBorders>
              <w:top w:val="nil"/>
              <w:left w:val="single" w:color="auto" w:sz="4" w:space="0"/>
              <w:bottom w:val="single" w:color="000000" w:sz="4" w:space="0"/>
              <w:right w:val="single" w:color="auto" w:sz="4" w:space="0"/>
            </w:tcBorders>
            <w:noWrap w:val="0"/>
            <w:vAlign w:val="center"/>
          </w:tcPr>
          <w:p w14:paraId="6E2ACB96">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kern w:val="0"/>
                <w:szCs w:val="21"/>
                <w:highlight w:val="none"/>
                <w:lang w:val="en-US" w:eastAsia="zh-CN"/>
              </w:rPr>
              <w:t>4</w:t>
            </w:r>
          </w:p>
        </w:tc>
        <w:tc>
          <w:tcPr>
            <w:tcW w:w="2964" w:type="dxa"/>
            <w:tcBorders>
              <w:top w:val="nil"/>
              <w:left w:val="nil"/>
              <w:bottom w:val="single" w:color="auto" w:sz="4" w:space="0"/>
              <w:right w:val="single" w:color="auto" w:sz="4" w:space="0"/>
            </w:tcBorders>
            <w:noWrap/>
            <w:vAlign w:val="center"/>
          </w:tcPr>
          <w:p w14:paraId="5E0C874E">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1B39616D">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2F05C5BF">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8F90177">
            <w:pPr>
              <w:widowControl/>
              <w:snapToGrid w:val="0"/>
              <w:jc w:val="left"/>
              <w:rPr>
                <w:rFonts w:hint="eastAsia" w:ascii="宋体" w:hAnsi="宋体" w:eastAsia="宋体" w:cs="Tahoma"/>
                <w:b/>
                <w:bCs/>
                <w:color w:val="000000"/>
                <w:kern w:val="0"/>
                <w:szCs w:val="21"/>
                <w:highlight w:val="none"/>
              </w:rPr>
            </w:pPr>
          </w:p>
        </w:tc>
        <w:tc>
          <w:tcPr>
            <w:tcW w:w="2450" w:type="dxa"/>
            <w:vMerge w:val="continue"/>
            <w:tcBorders>
              <w:top w:val="nil"/>
              <w:left w:val="nil"/>
              <w:bottom w:val="single" w:color="000000" w:sz="4" w:space="0"/>
              <w:right w:val="single" w:color="auto" w:sz="4" w:space="0"/>
            </w:tcBorders>
            <w:noWrap w:val="0"/>
            <w:vAlign w:val="center"/>
          </w:tcPr>
          <w:p w14:paraId="55F69A52">
            <w:pPr>
              <w:widowControl/>
              <w:snapToGrid w:val="0"/>
              <w:jc w:val="left"/>
              <w:rPr>
                <w:rFonts w:hint="eastAsia" w:ascii="宋体" w:hAnsi="宋体" w:eastAsia="宋体" w:cs="Tahoma"/>
                <w:color w:val="000000"/>
                <w:kern w:val="0"/>
                <w:szCs w:val="21"/>
                <w:highlight w:val="none"/>
              </w:rPr>
            </w:pPr>
          </w:p>
        </w:tc>
        <w:tc>
          <w:tcPr>
            <w:tcW w:w="1481" w:type="dxa"/>
            <w:vMerge w:val="continue"/>
            <w:tcBorders>
              <w:top w:val="nil"/>
              <w:left w:val="single" w:color="auto" w:sz="4" w:space="0"/>
              <w:bottom w:val="single" w:color="000000" w:sz="4" w:space="0"/>
              <w:right w:val="single" w:color="auto" w:sz="4" w:space="0"/>
            </w:tcBorders>
            <w:noWrap w:val="0"/>
            <w:vAlign w:val="center"/>
          </w:tcPr>
          <w:p w14:paraId="1D5D2C73">
            <w:pPr>
              <w:widowControl/>
              <w:snapToGrid w:val="0"/>
              <w:jc w:val="left"/>
              <w:rPr>
                <w:rFonts w:hint="eastAsia" w:ascii="宋体" w:hAnsi="宋体" w:eastAsia="宋体" w:cs="Tahoma"/>
                <w:b/>
                <w:bCs/>
                <w:color w:val="000000"/>
                <w:kern w:val="0"/>
                <w:szCs w:val="21"/>
                <w:highlight w:val="none"/>
              </w:rPr>
            </w:pPr>
          </w:p>
        </w:tc>
        <w:tc>
          <w:tcPr>
            <w:tcW w:w="2964" w:type="dxa"/>
            <w:tcBorders>
              <w:top w:val="nil"/>
              <w:left w:val="nil"/>
              <w:bottom w:val="single" w:color="auto" w:sz="4" w:space="0"/>
              <w:right w:val="single" w:color="auto" w:sz="4" w:space="0"/>
            </w:tcBorders>
            <w:noWrap/>
            <w:vAlign w:val="center"/>
          </w:tcPr>
          <w:p w14:paraId="36113990">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42C6D935">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2FF233EB">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5309908">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1653BCDA">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儿科、心肺</w:t>
            </w:r>
          </w:p>
        </w:tc>
        <w:tc>
          <w:tcPr>
            <w:tcW w:w="1481" w:type="dxa"/>
            <w:tcBorders>
              <w:top w:val="nil"/>
              <w:left w:val="nil"/>
              <w:bottom w:val="single" w:color="auto" w:sz="4" w:space="0"/>
              <w:right w:val="single" w:color="auto" w:sz="4" w:space="0"/>
            </w:tcBorders>
            <w:noWrap w:val="0"/>
            <w:vAlign w:val="center"/>
          </w:tcPr>
          <w:p w14:paraId="1E45EB8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2</w:t>
            </w:r>
          </w:p>
        </w:tc>
        <w:tc>
          <w:tcPr>
            <w:tcW w:w="2964" w:type="dxa"/>
            <w:tcBorders>
              <w:top w:val="nil"/>
              <w:left w:val="nil"/>
              <w:bottom w:val="single" w:color="auto" w:sz="4" w:space="0"/>
              <w:right w:val="single" w:color="auto" w:sz="4" w:space="0"/>
            </w:tcBorders>
            <w:noWrap/>
            <w:vAlign w:val="center"/>
          </w:tcPr>
          <w:p w14:paraId="03629253">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38CC952D">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12A7E76">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CCBBDB7">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365B6DE6">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神经康复—</w:t>
            </w:r>
          </w:p>
        </w:tc>
        <w:tc>
          <w:tcPr>
            <w:tcW w:w="1481" w:type="dxa"/>
            <w:tcBorders>
              <w:top w:val="nil"/>
              <w:left w:val="nil"/>
              <w:bottom w:val="single" w:color="auto" w:sz="4" w:space="0"/>
              <w:right w:val="single" w:color="auto" w:sz="4" w:space="0"/>
            </w:tcBorders>
            <w:noWrap w:val="0"/>
            <w:vAlign w:val="center"/>
          </w:tcPr>
          <w:p w14:paraId="06009001">
            <w:pPr>
              <w:widowControl/>
              <w:snapToGrid w:val="0"/>
              <w:jc w:val="center"/>
              <w:rPr>
                <w:rFonts w:hint="eastAsia" w:ascii="宋体" w:hAnsi="宋体" w:eastAsia="宋体" w:cs="Tahoma"/>
                <w:b/>
                <w:bCs/>
                <w:kern w:val="0"/>
                <w:szCs w:val="21"/>
                <w:highlight w:val="none"/>
              </w:rPr>
            </w:pPr>
            <w:r>
              <w:rPr>
                <w:rFonts w:ascii="宋体" w:hAnsi="宋体" w:eastAsia="宋体" w:cs="Tahoma"/>
                <w:b/>
                <w:bCs/>
                <w:kern w:val="0"/>
                <w:szCs w:val="21"/>
                <w:highlight w:val="none"/>
              </w:rPr>
              <w:t>3</w:t>
            </w:r>
          </w:p>
        </w:tc>
        <w:tc>
          <w:tcPr>
            <w:tcW w:w="2964" w:type="dxa"/>
            <w:tcBorders>
              <w:top w:val="nil"/>
              <w:left w:val="nil"/>
              <w:bottom w:val="single" w:color="auto" w:sz="4" w:space="0"/>
              <w:right w:val="single" w:color="auto" w:sz="4" w:space="0"/>
            </w:tcBorders>
            <w:noWrap/>
            <w:vAlign w:val="center"/>
          </w:tcPr>
          <w:p w14:paraId="6FC7285E">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6:30-16:30</w:t>
            </w:r>
          </w:p>
        </w:tc>
      </w:tr>
      <w:tr w14:paraId="147F4273">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2800626A">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75146098">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CECE2E0">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神经康复二</w:t>
            </w:r>
          </w:p>
        </w:tc>
        <w:tc>
          <w:tcPr>
            <w:tcW w:w="1481" w:type="dxa"/>
            <w:tcBorders>
              <w:top w:val="nil"/>
              <w:left w:val="nil"/>
              <w:bottom w:val="single" w:color="auto" w:sz="4" w:space="0"/>
              <w:right w:val="single" w:color="auto" w:sz="4" w:space="0"/>
            </w:tcBorders>
            <w:noWrap w:val="0"/>
            <w:vAlign w:val="center"/>
          </w:tcPr>
          <w:p w14:paraId="3947CDA3">
            <w:pPr>
              <w:widowControl/>
              <w:snapToGrid w:val="0"/>
              <w:jc w:val="center"/>
              <w:rPr>
                <w:rFonts w:hint="eastAsia" w:ascii="宋体" w:hAnsi="宋体" w:eastAsia="宋体" w:cs="Tahoma"/>
                <w:b/>
                <w:bCs/>
                <w:kern w:val="0"/>
                <w:szCs w:val="21"/>
                <w:highlight w:val="none"/>
                <w:lang w:eastAsia="zh-CN"/>
              </w:rPr>
            </w:pPr>
            <w:r>
              <w:rPr>
                <w:rFonts w:hint="eastAsia" w:ascii="宋体" w:hAnsi="宋体" w:eastAsia="宋体" w:cs="Tahoma"/>
                <w:b/>
                <w:bCs/>
                <w:kern w:val="0"/>
                <w:szCs w:val="21"/>
                <w:highlight w:val="none"/>
                <w:lang w:val="en-US" w:eastAsia="zh-CN"/>
              </w:rPr>
              <w:t>2</w:t>
            </w:r>
          </w:p>
        </w:tc>
        <w:tc>
          <w:tcPr>
            <w:tcW w:w="2964" w:type="dxa"/>
            <w:tcBorders>
              <w:top w:val="nil"/>
              <w:left w:val="nil"/>
              <w:bottom w:val="single" w:color="auto" w:sz="4" w:space="0"/>
              <w:right w:val="single" w:color="auto" w:sz="4" w:space="0"/>
            </w:tcBorders>
            <w:noWrap/>
            <w:vAlign w:val="center"/>
          </w:tcPr>
          <w:p w14:paraId="5DCE8F7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6:30-16:30</w:t>
            </w:r>
          </w:p>
        </w:tc>
      </w:tr>
      <w:tr w14:paraId="62964C8C">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1CC440F8">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97BB603">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nil"/>
              <w:right w:val="single" w:color="auto" w:sz="4" w:space="0"/>
            </w:tcBorders>
            <w:noWrap w:val="0"/>
            <w:vAlign w:val="center"/>
          </w:tcPr>
          <w:p w14:paraId="614052A2">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中西医</w:t>
            </w:r>
          </w:p>
        </w:tc>
        <w:tc>
          <w:tcPr>
            <w:tcW w:w="1481" w:type="dxa"/>
            <w:tcBorders>
              <w:top w:val="nil"/>
              <w:left w:val="nil"/>
              <w:bottom w:val="nil"/>
              <w:right w:val="single" w:color="auto" w:sz="4" w:space="0"/>
            </w:tcBorders>
            <w:noWrap w:val="0"/>
            <w:vAlign w:val="center"/>
          </w:tcPr>
          <w:p w14:paraId="130C605C">
            <w:pPr>
              <w:widowControl/>
              <w:snapToGrid w:val="0"/>
              <w:jc w:val="center"/>
              <w:rPr>
                <w:rFonts w:hint="eastAsia" w:ascii="宋体" w:hAnsi="宋体" w:eastAsia="宋体" w:cs="Tahoma"/>
                <w:b/>
                <w:bCs/>
                <w:kern w:val="0"/>
                <w:szCs w:val="21"/>
                <w:highlight w:val="none"/>
                <w:lang w:eastAsia="zh-CN"/>
              </w:rPr>
            </w:pPr>
            <w:r>
              <w:rPr>
                <w:rFonts w:hint="eastAsia" w:ascii="宋体" w:hAnsi="宋体" w:eastAsia="宋体" w:cs="Tahoma"/>
                <w:b/>
                <w:bCs/>
                <w:kern w:val="0"/>
                <w:szCs w:val="21"/>
                <w:highlight w:val="none"/>
                <w:lang w:val="en-US" w:eastAsia="zh-CN"/>
              </w:rPr>
              <w:t>4</w:t>
            </w:r>
          </w:p>
        </w:tc>
        <w:tc>
          <w:tcPr>
            <w:tcW w:w="2964" w:type="dxa"/>
            <w:tcBorders>
              <w:top w:val="nil"/>
              <w:left w:val="nil"/>
              <w:bottom w:val="single" w:color="auto" w:sz="4" w:space="0"/>
              <w:right w:val="single" w:color="auto" w:sz="4" w:space="0"/>
            </w:tcBorders>
            <w:noWrap/>
            <w:vAlign w:val="center"/>
          </w:tcPr>
          <w:p w14:paraId="3CE9D213">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12ECE932">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C764893">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138FDD37">
            <w:pPr>
              <w:widowControl/>
              <w:snapToGrid w:val="0"/>
              <w:jc w:val="left"/>
              <w:rPr>
                <w:rFonts w:hint="eastAsia" w:ascii="宋体" w:hAnsi="宋体" w:eastAsia="宋体" w:cs="Tahoma"/>
                <w:b/>
                <w:bCs/>
                <w:color w:val="000000"/>
                <w:kern w:val="0"/>
                <w:szCs w:val="21"/>
                <w:highlight w:val="none"/>
              </w:rPr>
            </w:pPr>
          </w:p>
        </w:tc>
        <w:tc>
          <w:tcPr>
            <w:tcW w:w="2450" w:type="dxa"/>
            <w:tcBorders>
              <w:top w:val="single" w:color="auto" w:sz="4" w:space="0"/>
              <w:left w:val="nil"/>
              <w:bottom w:val="single" w:color="auto" w:sz="4" w:space="0"/>
              <w:right w:val="single" w:color="auto" w:sz="4" w:space="0"/>
            </w:tcBorders>
            <w:noWrap w:val="0"/>
            <w:vAlign w:val="center"/>
          </w:tcPr>
          <w:p w14:paraId="6EF8F3D6">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新办公区</w:t>
            </w:r>
          </w:p>
        </w:tc>
        <w:tc>
          <w:tcPr>
            <w:tcW w:w="1481" w:type="dxa"/>
            <w:tcBorders>
              <w:top w:val="single" w:color="auto" w:sz="4" w:space="0"/>
              <w:left w:val="nil"/>
              <w:bottom w:val="single" w:color="auto" w:sz="4" w:space="0"/>
              <w:right w:val="single" w:color="auto" w:sz="4" w:space="0"/>
            </w:tcBorders>
            <w:noWrap w:val="0"/>
            <w:vAlign w:val="center"/>
          </w:tcPr>
          <w:p w14:paraId="3337094F">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1</w:t>
            </w:r>
          </w:p>
        </w:tc>
        <w:tc>
          <w:tcPr>
            <w:tcW w:w="2964" w:type="dxa"/>
            <w:tcBorders>
              <w:top w:val="nil"/>
              <w:left w:val="nil"/>
              <w:bottom w:val="single" w:color="auto" w:sz="4" w:space="0"/>
              <w:right w:val="single" w:color="auto" w:sz="4" w:space="0"/>
            </w:tcBorders>
            <w:noWrap/>
            <w:vAlign w:val="center"/>
          </w:tcPr>
          <w:p w14:paraId="052ADC5B">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6:00-16:00</w:t>
            </w:r>
          </w:p>
        </w:tc>
      </w:tr>
      <w:tr w14:paraId="777F7306">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915A7DF">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44B5A8F">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49E24E37">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血液中心</w:t>
            </w:r>
          </w:p>
        </w:tc>
        <w:tc>
          <w:tcPr>
            <w:tcW w:w="1481" w:type="dxa"/>
            <w:tcBorders>
              <w:top w:val="nil"/>
              <w:left w:val="nil"/>
              <w:bottom w:val="single" w:color="auto" w:sz="4" w:space="0"/>
              <w:right w:val="single" w:color="auto" w:sz="4" w:space="0"/>
            </w:tcBorders>
            <w:noWrap w:val="0"/>
            <w:vAlign w:val="center"/>
          </w:tcPr>
          <w:p w14:paraId="34CE1097">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1</w:t>
            </w:r>
          </w:p>
        </w:tc>
        <w:tc>
          <w:tcPr>
            <w:tcW w:w="2964" w:type="dxa"/>
            <w:tcBorders>
              <w:top w:val="nil"/>
              <w:left w:val="nil"/>
              <w:bottom w:val="single" w:color="auto" w:sz="4" w:space="0"/>
              <w:right w:val="single" w:color="auto" w:sz="4" w:space="0"/>
            </w:tcBorders>
            <w:noWrap/>
            <w:vAlign w:val="center"/>
          </w:tcPr>
          <w:p w14:paraId="7ECB7690">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7:00-19:00</w:t>
            </w:r>
          </w:p>
        </w:tc>
      </w:tr>
      <w:tr w14:paraId="39CCB410">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78BB4413">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EEF5BD8">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2B63DC4F">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健管中心</w:t>
            </w:r>
          </w:p>
        </w:tc>
        <w:tc>
          <w:tcPr>
            <w:tcW w:w="1481" w:type="dxa"/>
            <w:tcBorders>
              <w:top w:val="nil"/>
              <w:left w:val="nil"/>
              <w:bottom w:val="single" w:color="auto" w:sz="4" w:space="0"/>
              <w:right w:val="single" w:color="auto" w:sz="4" w:space="0"/>
            </w:tcBorders>
            <w:noWrap w:val="0"/>
            <w:vAlign w:val="center"/>
          </w:tcPr>
          <w:p w14:paraId="625ABB63">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color w:val="000000"/>
                <w:kern w:val="0"/>
                <w:szCs w:val="21"/>
                <w:highlight w:val="none"/>
                <w:lang w:val="en-US" w:eastAsia="zh-CN"/>
              </w:rPr>
              <w:t>4</w:t>
            </w:r>
          </w:p>
        </w:tc>
        <w:tc>
          <w:tcPr>
            <w:tcW w:w="2964" w:type="dxa"/>
            <w:tcBorders>
              <w:top w:val="nil"/>
              <w:left w:val="nil"/>
              <w:bottom w:val="single" w:color="auto" w:sz="4" w:space="0"/>
              <w:right w:val="single" w:color="auto" w:sz="4" w:space="0"/>
            </w:tcBorders>
            <w:noWrap/>
            <w:vAlign w:val="center"/>
          </w:tcPr>
          <w:p w14:paraId="5A25659B">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7B914E59">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326790BC">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1CFAF5E">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01BA0C9">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新建病区管理部</w:t>
            </w:r>
          </w:p>
        </w:tc>
        <w:tc>
          <w:tcPr>
            <w:tcW w:w="1481" w:type="dxa"/>
            <w:tcBorders>
              <w:top w:val="nil"/>
              <w:left w:val="nil"/>
              <w:bottom w:val="single" w:color="auto" w:sz="4" w:space="0"/>
              <w:right w:val="single" w:color="auto" w:sz="4" w:space="0"/>
            </w:tcBorders>
            <w:noWrap w:val="0"/>
            <w:vAlign w:val="center"/>
          </w:tcPr>
          <w:p w14:paraId="6877FBD2">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1</w:t>
            </w:r>
          </w:p>
        </w:tc>
        <w:tc>
          <w:tcPr>
            <w:tcW w:w="2964" w:type="dxa"/>
            <w:tcBorders>
              <w:top w:val="nil"/>
              <w:left w:val="nil"/>
              <w:bottom w:val="single" w:color="auto" w:sz="4" w:space="0"/>
              <w:right w:val="single" w:color="auto" w:sz="4" w:space="0"/>
            </w:tcBorders>
            <w:noWrap/>
            <w:vAlign w:val="center"/>
          </w:tcPr>
          <w:p w14:paraId="0C2BEE8C">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5508F00C">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6A7606FC">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84F3401">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3F6AB3D">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体医融合中心</w:t>
            </w:r>
          </w:p>
        </w:tc>
        <w:tc>
          <w:tcPr>
            <w:tcW w:w="1481" w:type="dxa"/>
            <w:tcBorders>
              <w:top w:val="nil"/>
              <w:left w:val="nil"/>
              <w:bottom w:val="single" w:color="auto" w:sz="4" w:space="0"/>
              <w:right w:val="single" w:color="auto" w:sz="4" w:space="0"/>
            </w:tcBorders>
            <w:noWrap w:val="0"/>
            <w:vAlign w:val="center"/>
          </w:tcPr>
          <w:p w14:paraId="387DDF40">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color w:val="000000"/>
                <w:kern w:val="0"/>
                <w:szCs w:val="21"/>
                <w:highlight w:val="none"/>
                <w:lang w:val="en-US" w:eastAsia="zh-CN"/>
              </w:rPr>
              <w:t>2</w:t>
            </w:r>
          </w:p>
        </w:tc>
        <w:tc>
          <w:tcPr>
            <w:tcW w:w="2964" w:type="dxa"/>
            <w:tcBorders>
              <w:top w:val="nil"/>
              <w:left w:val="nil"/>
              <w:bottom w:val="single" w:color="auto" w:sz="4" w:space="0"/>
              <w:right w:val="single" w:color="auto" w:sz="4" w:space="0"/>
            </w:tcBorders>
            <w:noWrap/>
            <w:vAlign w:val="center"/>
          </w:tcPr>
          <w:p w14:paraId="4EA2D5BB">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1DC9C46E">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CD1F445">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B2636E7">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58408239">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医学检验科</w:t>
            </w:r>
          </w:p>
        </w:tc>
        <w:tc>
          <w:tcPr>
            <w:tcW w:w="1481" w:type="dxa"/>
            <w:tcBorders>
              <w:top w:val="nil"/>
              <w:left w:val="nil"/>
              <w:bottom w:val="single" w:color="auto" w:sz="4" w:space="0"/>
              <w:right w:val="single" w:color="auto" w:sz="4" w:space="0"/>
            </w:tcBorders>
            <w:noWrap w:val="0"/>
            <w:vAlign w:val="center"/>
          </w:tcPr>
          <w:p w14:paraId="2BD2BFAE">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1</w:t>
            </w:r>
          </w:p>
        </w:tc>
        <w:tc>
          <w:tcPr>
            <w:tcW w:w="2964" w:type="dxa"/>
            <w:tcBorders>
              <w:top w:val="nil"/>
              <w:left w:val="nil"/>
              <w:bottom w:val="single" w:color="auto" w:sz="4" w:space="0"/>
              <w:right w:val="single" w:color="auto" w:sz="4" w:space="0"/>
            </w:tcBorders>
            <w:noWrap/>
            <w:vAlign w:val="center"/>
          </w:tcPr>
          <w:p w14:paraId="26284346">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6E9A585C">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4F7228C6">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65C45438">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nil"/>
              <w:right w:val="single" w:color="auto" w:sz="4" w:space="0"/>
            </w:tcBorders>
            <w:noWrap w:val="0"/>
            <w:vAlign w:val="center"/>
          </w:tcPr>
          <w:p w14:paraId="77BFF632">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高原中心</w:t>
            </w:r>
          </w:p>
        </w:tc>
        <w:tc>
          <w:tcPr>
            <w:tcW w:w="1481" w:type="dxa"/>
            <w:tcBorders>
              <w:top w:val="nil"/>
              <w:left w:val="nil"/>
              <w:bottom w:val="single" w:color="auto" w:sz="4" w:space="0"/>
              <w:right w:val="single" w:color="auto" w:sz="4" w:space="0"/>
            </w:tcBorders>
            <w:noWrap/>
            <w:vAlign w:val="center"/>
          </w:tcPr>
          <w:p w14:paraId="36053867">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w:t>
            </w:r>
          </w:p>
        </w:tc>
        <w:tc>
          <w:tcPr>
            <w:tcW w:w="2964" w:type="dxa"/>
            <w:tcBorders>
              <w:top w:val="nil"/>
              <w:left w:val="nil"/>
              <w:bottom w:val="single" w:color="auto" w:sz="4" w:space="0"/>
              <w:right w:val="single" w:color="auto" w:sz="4" w:space="0"/>
            </w:tcBorders>
            <w:noWrap/>
            <w:vAlign w:val="center"/>
          </w:tcPr>
          <w:p w14:paraId="1314FAA0">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0AB2C7D4">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538D3DC6">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3845AC4B">
            <w:pPr>
              <w:widowControl/>
              <w:snapToGrid w:val="0"/>
              <w:jc w:val="left"/>
              <w:rPr>
                <w:rFonts w:hint="eastAsia" w:ascii="宋体" w:hAnsi="宋体" w:eastAsia="宋体" w:cs="Tahoma"/>
                <w:b/>
                <w:bCs/>
                <w:color w:val="000000"/>
                <w:kern w:val="0"/>
                <w:szCs w:val="21"/>
                <w:highlight w:val="none"/>
              </w:rPr>
            </w:pPr>
          </w:p>
        </w:tc>
        <w:tc>
          <w:tcPr>
            <w:tcW w:w="2450" w:type="dxa"/>
            <w:vMerge w:val="restart"/>
            <w:tcBorders>
              <w:top w:val="single" w:color="auto" w:sz="4" w:space="0"/>
              <w:left w:val="nil"/>
              <w:bottom w:val="single" w:color="000000" w:sz="4" w:space="0"/>
              <w:right w:val="single" w:color="auto" w:sz="4" w:space="0"/>
            </w:tcBorders>
            <w:noWrap w:val="0"/>
            <w:vAlign w:val="center"/>
          </w:tcPr>
          <w:p w14:paraId="5DCDD9DF">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门诊</w:t>
            </w:r>
          </w:p>
        </w:tc>
        <w:tc>
          <w:tcPr>
            <w:tcW w:w="1481" w:type="dxa"/>
            <w:vMerge w:val="restart"/>
            <w:tcBorders>
              <w:top w:val="nil"/>
              <w:left w:val="single" w:color="auto" w:sz="4" w:space="0"/>
              <w:bottom w:val="single" w:color="000000" w:sz="4" w:space="0"/>
              <w:right w:val="single" w:color="auto" w:sz="4" w:space="0"/>
            </w:tcBorders>
            <w:noWrap w:val="0"/>
            <w:vAlign w:val="center"/>
          </w:tcPr>
          <w:p w14:paraId="022218F1">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color w:val="000000"/>
                <w:kern w:val="0"/>
                <w:szCs w:val="21"/>
                <w:highlight w:val="none"/>
                <w:lang w:val="en-US" w:eastAsia="zh-CN"/>
              </w:rPr>
              <w:t>6</w:t>
            </w:r>
          </w:p>
        </w:tc>
        <w:tc>
          <w:tcPr>
            <w:tcW w:w="2964" w:type="dxa"/>
            <w:tcBorders>
              <w:top w:val="nil"/>
              <w:left w:val="nil"/>
              <w:bottom w:val="single" w:color="auto" w:sz="4" w:space="0"/>
              <w:right w:val="single" w:color="auto" w:sz="4" w:space="0"/>
            </w:tcBorders>
            <w:noWrap/>
            <w:vAlign w:val="center"/>
          </w:tcPr>
          <w:p w14:paraId="02B5B0C3">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0F15988F">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7AD3D0F2">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4507C51F">
            <w:pPr>
              <w:widowControl/>
              <w:snapToGrid w:val="0"/>
              <w:jc w:val="left"/>
              <w:rPr>
                <w:rFonts w:hint="eastAsia" w:ascii="宋体" w:hAnsi="宋体" w:eastAsia="宋体" w:cs="Tahoma"/>
                <w:b/>
                <w:bCs/>
                <w:color w:val="000000"/>
                <w:kern w:val="0"/>
                <w:szCs w:val="21"/>
                <w:highlight w:val="none"/>
              </w:rPr>
            </w:pPr>
          </w:p>
        </w:tc>
        <w:tc>
          <w:tcPr>
            <w:tcW w:w="2450" w:type="dxa"/>
            <w:vMerge w:val="continue"/>
            <w:tcBorders>
              <w:top w:val="single" w:color="auto" w:sz="4" w:space="0"/>
              <w:left w:val="nil"/>
              <w:bottom w:val="single" w:color="000000" w:sz="4" w:space="0"/>
              <w:right w:val="single" w:color="auto" w:sz="4" w:space="0"/>
            </w:tcBorders>
            <w:noWrap w:val="0"/>
            <w:vAlign w:val="center"/>
          </w:tcPr>
          <w:p w14:paraId="4AB0561E">
            <w:pPr>
              <w:widowControl/>
              <w:snapToGrid w:val="0"/>
              <w:jc w:val="left"/>
              <w:rPr>
                <w:rFonts w:hint="eastAsia" w:ascii="宋体" w:hAnsi="宋体" w:eastAsia="宋体" w:cs="Tahoma"/>
                <w:color w:val="000000"/>
                <w:kern w:val="0"/>
                <w:szCs w:val="21"/>
                <w:highlight w:val="none"/>
              </w:rPr>
            </w:pPr>
          </w:p>
        </w:tc>
        <w:tc>
          <w:tcPr>
            <w:tcW w:w="1481" w:type="dxa"/>
            <w:vMerge w:val="continue"/>
            <w:tcBorders>
              <w:top w:val="nil"/>
              <w:left w:val="single" w:color="auto" w:sz="4" w:space="0"/>
              <w:bottom w:val="single" w:color="000000" w:sz="4" w:space="0"/>
              <w:right w:val="single" w:color="auto" w:sz="4" w:space="0"/>
            </w:tcBorders>
            <w:noWrap w:val="0"/>
            <w:vAlign w:val="center"/>
          </w:tcPr>
          <w:p w14:paraId="6AA02F2E">
            <w:pPr>
              <w:widowControl/>
              <w:snapToGrid w:val="0"/>
              <w:jc w:val="left"/>
              <w:rPr>
                <w:rFonts w:hint="eastAsia" w:ascii="宋体" w:hAnsi="宋体" w:eastAsia="宋体" w:cs="Tahoma"/>
                <w:b/>
                <w:bCs/>
                <w:color w:val="000000"/>
                <w:kern w:val="0"/>
                <w:szCs w:val="21"/>
                <w:highlight w:val="none"/>
              </w:rPr>
            </w:pPr>
          </w:p>
        </w:tc>
        <w:tc>
          <w:tcPr>
            <w:tcW w:w="2964" w:type="dxa"/>
            <w:tcBorders>
              <w:top w:val="nil"/>
              <w:left w:val="nil"/>
              <w:bottom w:val="single" w:color="auto" w:sz="4" w:space="0"/>
              <w:right w:val="single" w:color="auto" w:sz="4" w:space="0"/>
            </w:tcBorders>
            <w:noWrap/>
            <w:vAlign w:val="center"/>
          </w:tcPr>
          <w:p w14:paraId="3840619D">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7:00-16:30</w:t>
            </w:r>
          </w:p>
        </w:tc>
      </w:tr>
      <w:tr w14:paraId="3DC30DFB">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4B326D07">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70CA53FE">
            <w:pPr>
              <w:widowControl/>
              <w:snapToGrid w:val="0"/>
              <w:jc w:val="left"/>
              <w:rPr>
                <w:rFonts w:hint="eastAsia" w:ascii="宋体" w:hAnsi="宋体" w:eastAsia="宋体" w:cs="Tahoma"/>
                <w:b/>
                <w:bCs/>
                <w:color w:val="000000"/>
                <w:kern w:val="0"/>
                <w:szCs w:val="21"/>
                <w:highlight w:val="none"/>
              </w:rPr>
            </w:pPr>
          </w:p>
        </w:tc>
        <w:tc>
          <w:tcPr>
            <w:tcW w:w="2450" w:type="dxa"/>
            <w:vMerge w:val="continue"/>
            <w:tcBorders>
              <w:top w:val="single" w:color="auto" w:sz="4" w:space="0"/>
              <w:left w:val="nil"/>
              <w:bottom w:val="single" w:color="000000" w:sz="4" w:space="0"/>
              <w:right w:val="single" w:color="auto" w:sz="4" w:space="0"/>
            </w:tcBorders>
            <w:noWrap w:val="0"/>
            <w:vAlign w:val="center"/>
          </w:tcPr>
          <w:p w14:paraId="261D0A7D">
            <w:pPr>
              <w:widowControl/>
              <w:snapToGrid w:val="0"/>
              <w:jc w:val="left"/>
              <w:rPr>
                <w:rFonts w:hint="eastAsia" w:ascii="宋体" w:hAnsi="宋体" w:eastAsia="宋体" w:cs="Tahoma"/>
                <w:color w:val="000000"/>
                <w:kern w:val="0"/>
                <w:szCs w:val="21"/>
                <w:highlight w:val="none"/>
              </w:rPr>
            </w:pPr>
          </w:p>
        </w:tc>
        <w:tc>
          <w:tcPr>
            <w:tcW w:w="1481" w:type="dxa"/>
            <w:vMerge w:val="continue"/>
            <w:tcBorders>
              <w:top w:val="nil"/>
              <w:left w:val="single" w:color="auto" w:sz="4" w:space="0"/>
              <w:bottom w:val="single" w:color="000000" w:sz="4" w:space="0"/>
              <w:right w:val="single" w:color="auto" w:sz="4" w:space="0"/>
            </w:tcBorders>
            <w:noWrap w:val="0"/>
            <w:vAlign w:val="center"/>
          </w:tcPr>
          <w:p w14:paraId="5D4F60E5">
            <w:pPr>
              <w:widowControl/>
              <w:snapToGrid w:val="0"/>
              <w:jc w:val="left"/>
              <w:rPr>
                <w:rFonts w:hint="eastAsia" w:ascii="宋体" w:hAnsi="宋体" w:eastAsia="宋体" w:cs="Tahoma"/>
                <w:b/>
                <w:bCs/>
                <w:color w:val="000000"/>
                <w:kern w:val="0"/>
                <w:szCs w:val="21"/>
                <w:highlight w:val="none"/>
              </w:rPr>
            </w:pPr>
          </w:p>
        </w:tc>
        <w:tc>
          <w:tcPr>
            <w:tcW w:w="2964" w:type="dxa"/>
            <w:tcBorders>
              <w:top w:val="nil"/>
              <w:left w:val="nil"/>
              <w:bottom w:val="single" w:color="auto" w:sz="4" w:space="0"/>
              <w:right w:val="single" w:color="auto" w:sz="4" w:space="0"/>
            </w:tcBorders>
            <w:noWrap/>
            <w:vAlign w:val="center"/>
          </w:tcPr>
          <w:p w14:paraId="5EB17399">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3B872C5B">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53A294CF">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B327335">
            <w:pPr>
              <w:widowControl/>
              <w:snapToGrid w:val="0"/>
              <w:jc w:val="left"/>
              <w:rPr>
                <w:rFonts w:hint="eastAsia" w:ascii="宋体" w:hAnsi="宋体" w:eastAsia="宋体" w:cs="Tahoma"/>
                <w:b/>
                <w:bCs/>
                <w:color w:val="000000"/>
                <w:kern w:val="0"/>
                <w:szCs w:val="21"/>
                <w:highlight w:val="none"/>
              </w:rPr>
            </w:pPr>
          </w:p>
        </w:tc>
        <w:tc>
          <w:tcPr>
            <w:tcW w:w="2450" w:type="dxa"/>
            <w:vMerge w:val="continue"/>
            <w:tcBorders>
              <w:top w:val="single" w:color="auto" w:sz="4" w:space="0"/>
              <w:left w:val="nil"/>
              <w:bottom w:val="single" w:color="000000" w:sz="4" w:space="0"/>
              <w:right w:val="single" w:color="auto" w:sz="4" w:space="0"/>
            </w:tcBorders>
            <w:noWrap w:val="0"/>
            <w:vAlign w:val="center"/>
          </w:tcPr>
          <w:p w14:paraId="3952E3DF">
            <w:pPr>
              <w:widowControl/>
              <w:snapToGrid w:val="0"/>
              <w:jc w:val="left"/>
              <w:rPr>
                <w:rFonts w:hint="eastAsia" w:ascii="宋体" w:hAnsi="宋体" w:eastAsia="宋体" w:cs="Tahoma"/>
                <w:color w:val="000000"/>
                <w:kern w:val="0"/>
                <w:szCs w:val="21"/>
                <w:highlight w:val="none"/>
              </w:rPr>
            </w:pPr>
          </w:p>
        </w:tc>
        <w:tc>
          <w:tcPr>
            <w:tcW w:w="1481" w:type="dxa"/>
            <w:vMerge w:val="continue"/>
            <w:tcBorders>
              <w:top w:val="nil"/>
              <w:left w:val="single" w:color="auto" w:sz="4" w:space="0"/>
              <w:bottom w:val="single" w:color="000000" w:sz="4" w:space="0"/>
              <w:right w:val="single" w:color="auto" w:sz="4" w:space="0"/>
            </w:tcBorders>
            <w:noWrap w:val="0"/>
            <w:vAlign w:val="center"/>
          </w:tcPr>
          <w:p w14:paraId="1A67DE18">
            <w:pPr>
              <w:widowControl/>
              <w:snapToGrid w:val="0"/>
              <w:jc w:val="left"/>
              <w:rPr>
                <w:rFonts w:hint="eastAsia" w:ascii="宋体" w:hAnsi="宋体" w:eastAsia="宋体" w:cs="Tahoma"/>
                <w:b/>
                <w:bCs/>
                <w:color w:val="000000"/>
                <w:kern w:val="0"/>
                <w:szCs w:val="21"/>
                <w:highlight w:val="none"/>
              </w:rPr>
            </w:pPr>
          </w:p>
        </w:tc>
        <w:tc>
          <w:tcPr>
            <w:tcW w:w="2964" w:type="dxa"/>
            <w:tcBorders>
              <w:top w:val="nil"/>
              <w:left w:val="nil"/>
              <w:bottom w:val="single" w:color="auto" w:sz="4" w:space="0"/>
              <w:right w:val="single" w:color="auto" w:sz="4" w:space="0"/>
            </w:tcBorders>
            <w:noWrap/>
            <w:vAlign w:val="center"/>
          </w:tcPr>
          <w:p w14:paraId="45252B2C">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31B31D6E">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2A5C8D23">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0A2C49A">
            <w:pPr>
              <w:widowControl/>
              <w:snapToGrid w:val="0"/>
              <w:jc w:val="left"/>
              <w:rPr>
                <w:rFonts w:hint="eastAsia" w:ascii="宋体" w:hAnsi="宋体" w:eastAsia="宋体" w:cs="Tahoma"/>
                <w:b/>
                <w:bCs/>
                <w:color w:val="000000"/>
                <w:kern w:val="0"/>
                <w:szCs w:val="21"/>
                <w:highlight w:val="none"/>
              </w:rPr>
            </w:pPr>
          </w:p>
        </w:tc>
        <w:tc>
          <w:tcPr>
            <w:tcW w:w="2450" w:type="dxa"/>
            <w:vMerge w:val="continue"/>
            <w:tcBorders>
              <w:top w:val="single" w:color="auto" w:sz="4" w:space="0"/>
              <w:left w:val="nil"/>
              <w:bottom w:val="single" w:color="000000" w:sz="4" w:space="0"/>
              <w:right w:val="single" w:color="auto" w:sz="4" w:space="0"/>
            </w:tcBorders>
            <w:noWrap w:val="0"/>
            <w:vAlign w:val="center"/>
          </w:tcPr>
          <w:p w14:paraId="295FCB73">
            <w:pPr>
              <w:widowControl/>
              <w:snapToGrid w:val="0"/>
              <w:jc w:val="left"/>
              <w:rPr>
                <w:rFonts w:hint="eastAsia" w:ascii="宋体" w:hAnsi="宋体" w:eastAsia="宋体" w:cs="Tahoma"/>
                <w:color w:val="000000"/>
                <w:kern w:val="0"/>
                <w:szCs w:val="21"/>
                <w:highlight w:val="none"/>
              </w:rPr>
            </w:pPr>
          </w:p>
        </w:tc>
        <w:tc>
          <w:tcPr>
            <w:tcW w:w="1481" w:type="dxa"/>
            <w:vMerge w:val="continue"/>
            <w:tcBorders>
              <w:top w:val="nil"/>
              <w:left w:val="single" w:color="auto" w:sz="4" w:space="0"/>
              <w:bottom w:val="single" w:color="000000" w:sz="4" w:space="0"/>
              <w:right w:val="single" w:color="auto" w:sz="4" w:space="0"/>
            </w:tcBorders>
            <w:noWrap w:val="0"/>
            <w:vAlign w:val="center"/>
          </w:tcPr>
          <w:p w14:paraId="04F0EA4D">
            <w:pPr>
              <w:widowControl/>
              <w:snapToGrid w:val="0"/>
              <w:jc w:val="left"/>
              <w:rPr>
                <w:rFonts w:hint="eastAsia" w:ascii="宋体" w:hAnsi="宋体" w:eastAsia="宋体" w:cs="Tahoma"/>
                <w:b/>
                <w:bCs/>
                <w:color w:val="000000"/>
                <w:kern w:val="0"/>
                <w:szCs w:val="21"/>
                <w:highlight w:val="none"/>
              </w:rPr>
            </w:pPr>
          </w:p>
        </w:tc>
        <w:tc>
          <w:tcPr>
            <w:tcW w:w="2964" w:type="dxa"/>
            <w:tcBorders>
              <w:top w:val="nil"/>
              <w:left w:val="nil"/>
              <w:bottom w:val="single" w:color="auto" w:sz="4" w:space="0"/>
              <w:right w:val="single" w:color="auto" w:sz="4" w:space="0"/>
            </w:tcBorders>
            <w:noWrap/>
            <w:vAlign w:val="center"/>
          </w:tcPr>
          <w:p w14:paraId="5278C0A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4649C9B6">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69ABDC71">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4B546B94">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55189A59">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医废转运</w:t>
            </w:r>
          </w:p>
        </w:tc>
        <w:tc>
          <w:tcPr>
            <w:tcW w:w="1481" w:type="dxa"/>
            <w:tcBorders>
              <w:top w:val="nil"/>
              <w:left w:val="nil"/>
              <w:bottom w:val="single" w:color="auto" w:sz="4" w:space="0"/>
              <w:right w:val="single" w:color="auto" w:sz="4" w:space="0"/>
            </w:tcBorders>
            <w:noWrap/>
            <w:vAlign w:val="center"/>
          </w:tcPr>
          <w:p w14:paraId="5969A396">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ign w:val="center"/>
          </w:tcPr>
          <w:p w14:paraId="3569CBAB">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7:00-19</w:t>
            </w:r>
            <w:r>
              <w:rPr>
                <w:rFonts w:hint="eastAsia" w:ascii="Tahoma" w:hAnsi="Tahoma" w:eastAsia="宋体" w:cs="Tahoma"/>
                <w:color w:val="000000"/>
                <w:kern w:val="0"/>
                <w:sz w:val="22"/>
                <w:szCs w:val="22"/>
                <w:highlight w:val="none"/>
                <w:lang w:eastAsia="zh-CN"/>
              </w:rPr>
              <w:t>：</w:t>
            </w:r>
            <w:r>
              <w:rPr>
                <w:rFonts w:ascii="Tahoma" w:hAnsi="Tahoma" w:eastAsia="宋体" w:cs="Tahoma"/>
                <w:color w:val="000000"/>
                <w:kern w:val="0"/>
                <w:sz w:val="22"/>
                <w:szCs w:val="22"/>
                <w:highlight w:val="none"/>
              </w:rPr>
              <w:t>00</w:t>
            </w:r>
          </w:p>
        </w:tc>
      </w:tr>
      <w:tr w14:paraId="116972BC">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7D33E885">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35A78B5F">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3F812B04">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洗消间</w:t>
            </w:r>
          </w:p>
        </w:tc>
        <w:tc>
          <w:tcPr>
            <w:tcW w:w="1481" w:type="dxa"/>
            <w:tcBorders>
              <w:top w:val="nil"/>
              <w:left w:val="nil"/>
              <w:bottom w:val="single" w:color="auto" w:sz="4" w:space="0"/>
              <w:right w:val="single" w:color="auto" w:sz="4" w:space="0"/>
            </w:tcBorders>
            <w:noWrap/>
            <w:vAlign w:val="center"/>
          </w:tcPr>
          <w:p w14:paraId="029BFCA4">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ign w:val="center"/>
          </w:tcPr>
          <w:p w14:paraId="7C2A172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7:00-19</w:t>
            </w:r>
            <w:r>
              <w:rPr>
                <w:rFonts w:ascii="宋体" w:hAnsi="宋体" w:eastAsia="宋体" w:cs="Tahoma"/>
                <w:color w:val="000000"/>
                <w:kern w:val="0"/>
                <w:sz w:val="22"/>
                <w:szCs w:val="22"/>
                <w:highlight w:val="none"/>
              </w:rPr>
              <w:t>：</w:t>
            </w:r>
            <w:r>
              <w:rPr>
                <w:rFonts w:ascii="Tahoma" w:hAnsi="Tahoma" w:eastAsia="宋体" w:cs="Tahoma"/>
                <w:color w:val="000000"/>
                <w:kern w:val="0"/>
                <w:sz w:val="22"/>
                <w:szCs w:val="22"/>
                <w:highlight w:val="none"/>
              </w:rPr>
              <w:t>00</w:t>
            </w:r>
          </w:p>
        </w:tc>
      </w:tr>
      <w:tr w14:paraId="45356162">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568BC6D0">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05AE1621">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738D0CF1">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外围保洁</w:t>
            </w:r>
          </w:p>
        </w:tc>
        <w:tc>
          <w:tcPr>
            <w:tcW w:w="1481" w:type="dxa"/>
            <w:tcBorders>
              <w:top w:val="nil"/>
              <w:left w:val="nil"/>
              <w:bottom w:val="single" w:color="auto" w:sz="4" w:space="0"/>
              <w:right w:val="single" w:color="auto" w:sz="4" w:space="0"/>
            </w:tcBorders>
            <w:noWrap w:val="0"/>
            <w:vAlign w:val="center"/>
          </w:tcPr>
          <w:p w14:paraId="177D6A95">
            <w:pPr>
              <w:widowControl/>
              <w:snapToGrid w:val="0"/>
              <w:jc w:val="center"/>
              <w:rPr>
                <w:rFonts w:hint="eastAsia" w:ascii="宋体" w:hAnsi="宋体" w:eastAsia="宋体" w:cs="Tahoma"/>
                <w:b/>
                <w:bCs/>
                <w:color w:val="000000"/>
                <w:kern w:val="0"/>
                <w:szCs w:val="21"/>
                <w:highlight w:val="none"/>
              </w:rPr>
            </w:pPr>
            <w:r>
              <w:rPr>
                <w:rFonts w:hint="eastAsia" w:ascii="宋体" w:hAnsi="宋体" w:eastAsia="宋体" w:cs="Tahoma"/>
                <w:b/>
                <w:bCs/>
                <w:kern w:val="0"/>
                <w:szCs w:val="21"/>
                <w:highlight w:val="none"/>
              </w:rPr>
              <w:t>7</w:t>
            </w:r>
          </w:p>
        </w:tc>
        <w:tc>
          <w:tcPr>
            <w:tcW w:w="2964" w:type="dxa"/>
            <w:tcBorders>
              <w:top w:val="nil"/>
              <w:left w:val="nil"/>
              <w:bottom w:val="single" w:color="auto" w:sz="4" w:space="0"/>
              <w:right w:val="single" w:color="auto" w:sz="4" w:space="0"/>
            </w:tcBorders>
            <w:noWrap/>
            <w:vAlign w:val="center"/>
          </w:tcPr>
          <w:p w14:paraId="76FFD53A">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6:30-16:30</w:t>
            </w:r>
          </w:p>
        </w:tc>
      </w:tr>
      <w:tr w14:paraId="692992CF">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27E22021">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0A20F4A8">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5102930B">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机动</w:t>
            </w:r>
            <w:r>
              <w:rPr>
                <w:rFonts w:hint="eastAsia" w:ascii="宋体" w:hAnsi="宋体" w:eastAsia="宋体" w:cs="Tahoma"/>
                <w:color w:val="000000"/>
                <w:kern w:val="0"/>
                <w:szCs w:val="21"/>
                <w:highlight w:val="none"/>
              </w:rPr>
              <w:t>保洁</w:t>
            </w:r>
          </w:p>
        </w:tc>
        <w:tc>
          <w:tcPr>
            <w:tcW w:w="1481" w:type="dxa"/>
            <w:tcBorders>
              <w:top w:val="nil"/>
              <w:left w:val="nil"/>
              <w:bottom w:val="single" w:color="auto" w:sz="4" w:space="0"/>
              <w:right w:val="single" w:color="auto" w:sz="4" w:space="0"/>
            </w:tcBorders>
            <w:noWrap w:val="0"/>
            <w:vAlign w:val="center"/>
          </w:tcPr>
          <w:p w14:paraId="006E6D3D">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color w:val="000000"/>
                <w:kern w:val="0"/>
                <w:szCs w:val="21"/>
                <w:highlight w:val="none"/>
                <w:lang w:val="en-US" w:eastAsia="zh-CN"/>
              </w:rPr>
              <w:t>0</w:t>
            </w:r>
          </w:p>
        </w:tc>
        <w:tc>
          <w:tcPr>
            <w:tcW w:w="2964" w:type="dxa"/>
            <w:tcBorders>
              <w:top w:val="nil"/>
              <w:left w:val="nil"/>
              <w:bottom w:val="single" w:color="auto" w:sz="4" w:space="0"/>
              <w:right w:val="single" w:color="auto" w:sz="4" w:space="0"/>
            </w:tcBorders>
            <w:noWrap/>
            <w:vAlign w:val="center"/>
          </w:tcPr>
          <w:p w14:paraId="3B2C1D97">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6:30-16:30</w:t>
            </w:r>
          </w:p>
        </w:tc>
      </w:tr>
      <w:tr w14:paraId="298A174E">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1F950000">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5414E32B">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19BCB141">
            <w:pPr>
              <w:widowControl/>
              <w:snapToGrid w:val="0"/>
              <w:jc w:val="left"/>
              <w:rPr>
                <w:rFonts w:hint="eastAsia" w:ascii="宋体" w:hAnsi="宋体" w:eastAsia="宋体" w:cs="Tahoma"/>
                <w:color w:val="000000"/>
                <w:kern w:val="0"/>
                <w:szCs w:val="21"/>
                <w:highlight w:val="none"/>
              </w:rPr>
            </w:pPr>
            <w:r>
              <w:rPr>
                <w:rFonts w:hint="eastAsia" w:ascii="宋体" w:hAnsi="宋体" w:eastAsia="宋体" w:cs="Tahoma"/>
                <w:color w:val="000000"/>
                <w:kern w:val="0"/>
                <w:szCs w:val="21"/>
                <w:highlight w:val="none"/>
              </w:rPr>
              <w:t>夜班保洁</w:t>
            </w:r>
          </w:p>
        </w:tc>
        <w:tc>
          <w:tcPr>
            <w:tcW w:w="1481" w:type="dxa"/>
            <w:tcBorders>
              <w:top w:val="nil"/>
              <w:left w:val="nil"/>
              <w:bottom w:val="single" w:color="auto" w:sz="4" w:space="0"/>
              <w:right w:val="single" w:color="auto" w:sz="4" w:space="0"/>
            </w:tcBorders>
            <w:noWrap w:val="0"/>
            <w:vAlign w:val="center"/>
          </w:tcPr>
          <w:p w14:paraId="27E06403">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color w:val="000000"/>
                <w:kern w:val="0"/>
                <w:szCs w:val="21"/>
                <w:highlight w:val="none"/>
                <w:lang w:val="en-US" w:eastAsia="zh-CN"/>
              </w:rPr>
              <w:t>1</w:t>
            </w:r>
          </w:p>
        </w:tc>
        <w:tc>
          <w:tcPr>
            <w:tcW w:w="2964" w:type="dxa"/>
            <w:tcBorders>
              <w:top w:val="nil"/>
              <w:left w:val="nil"/>
              <w:bottom w:val="single" w:color="auto" w:sz="4" w:space="0"/>
              <w:right w:val="single" w:color="auto" w:sz="4" w:space="0"/>
            </w:tcBorders>
            <w:noWrap/>
            <w:vAlign w:val="center"/>
          </w:tcPr>
          <w:p w14:paraId="01FCBF97">
            <w:pPr>
              <w:widowControl/>
              <w:snapToGrid w:val="0"/>
              <w:jc w:val="center"/>
              <w:rPr>
                <w:rFonts w:ascii="Tahoma" w:hAnsi="Tahoma" w:eastAsia="宋体" w:cs="Tahoma"/>
                <w:color w:val="000000"/>
                <w:kern w:val="0"/>
                <w:sz w:val="22"/>
                <w:szCs w:val="22"/>
                <w:highlight w:val="none"/>
              </w:rPr>
            </w:pPr>
            <w:r>
              <w:rPr>
                <w:rFonts w:hint="eastAsia" w:ascii="Tahoma" w:hAnsi="Tahoma" w:eastAsia="宋体" w:cs="Tahoma"/>
                <w:color w:val="000000"/>
                <w:kern w:val="0"/>
                <w:sz w:val="22"/>
                <w:szCs w:val="22"/>
                <w:highlight w:val="none"/>
              </w:rPr>
              <w:t>16.30</w:t>
            </w:r>
            <w:r>
              <w:rPr>
                <w:rFonts w:ascii="Tahoma" w:hAnsi="Tahoma" w:eastAsia="宋体" w:cs="Tahoma"/>
                <w:color w:val="000000"/>
                <w:kern w:val="0"/>
                <w:sz w:val="22"/>
                <w:szCs w:val="22"/>
                <w:highlight w:val="none"/>
              </w:rPr>
              <w:t>-</w:t>
            </w:r>
            <w:r>
              <w:rPr>
                <w:rFonts w:hint="eastAsia" w:ascii="Tahoma" w:hAnsi="Tahoma" w:eastAsia="宋体" w:cs="Tahoma"/>
                <w:color w:val="000000"/>
                <w:kern w:val="0"/>
                <w:sz w:val="22"/>
                <w:szCs w:val="22"/>
                <w:highlight w:val="none"/>
              </w:rPr>
              <w:t>22:30/22:30-6:30</w:t>
            </w:r>
          </w:p>
        </w:tc>
      </w:tr>
      <w:tr w14:paraId="6C7BF286">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57F62B4F">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22494B2A">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2621F158">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垃圾分类</w:t>
            </w:r>
          </w:p>
        </w:tc>
        <w:tc>
          <w:tcPr>
            <w:tcW w:w="1481" w:type="dxa"/>
            <w:tcBorders>
              <w:top w:val="nil"/>
              <w:left w:val="nil"/>
              <w:bottom w:val="single" w:color="auto" w:sz="4" w:space="0"/>
              <w:right w:val="single" w:color="auto" w:sz="4" w:space="0"/>
            </w:tcBorders>
            <w:noWrap w:val="0"/>
            <w:vAlign w:val="center"/>
          </w:tcPr>
          <w:p w14:paraId="5C7C9BB4">
            <w:pPr>
              <w:widowControl/>
              <w:snapToGrid w:val="0"/>
              <w:jc w:val="center"/>
              <w:rPr>
                <w:rFonts w:hint="eastAsia" w:ascii="宋体" w:hAnsi="宋体" w:eastAsia="宋体" w:cs="Tahoma"/>
                <w:b/>
                <w:bCs/>
                <w:color w:val="000000"/>
                <w:kern w:val="0"/>
                <w:szCs w:val="21"/>
                <w:highlight w:val="none"/>
                <w:lang w:eastAsia="zh-CN"/>
              </w:rPr>
            </w:pPr>
            <w:r>
              <w:rPr>
                <w:rFonts w:hint="eastAsia" w:ascii="宋体" w:hAnsi="宋体" w:eastAsia="宋体" w:cs="Tahoma"/>
                <w:b/>
                <w:bCs/>
                <w:color w:val="000000"/>
                <w:kern w:val="0"/>
                <w:szCs w:val="21"/>
                <w:highlight w:val="none"/>
                <w:lang w:val="en-US" w:eastAsia="zh-CN"/>
              </w:rPr>
              <w:t>3</w:t>
            </w:r>
          </w:p>
        </w:tc>
        <w:tc>
          <w:tcPr>
            <w:tcW w:w="2964" w:type="dxa"/>
            <w:tcBorders>
              <w:top w:val="nil"/>
              <w:left w:val="nil"/>
              <w:bottom w:val="single" w:color="auto" w:sz="4" w:space="0"/>
              <w:right w:val="single" w:color="auto" w:sz="4" w:space="0"/>
            </w:tcBorders>
            <w:noWrap/>
            <w:vAlign w:val="center"/>
          </w:tcPr>
          <w:p w14:paraId="0FF93352">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54D65980">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40AD05BB">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0FAFD480">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7A30905E">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家属院</w:t>
            </w:r>
          </w:p>
        </w:tc>
        <w:tc>
          <w:tcPr>
            <w:tcW w:w="1481" w:type="dxa"/>
            <w:tcBorders>
              <w:top w:val="nil"/>
              <w:left w:val="nil"/>
              <w:bottom w:val="single" w:color="auto" w:sz="4" w:space="0"/>
              <w:right w:val="single" w:color="auto" w:sz="4" w:space="0"/>
            </w:tcBorders>
            <w:noWrap/>
            <w:vAlign w:val="center"/>
          </w:tcPr>
          <w:p w14:paraId="7B2E26EA">
            <w:pPr>
              <w:widowControl/>
              <w:snapToGrid w:val="0"/>
              <w:jc w:val="center"/>
              <w:rPr>
                <w:rFonts w:hint="eastAsia" w:ascii="Tahoma" w:hAnsi="Tahoma" w:eastAsia="宋体" w:cs="Tahoma"/>
                <w:color w:val="000000"/>
                <w:kern w:val="0"/>
                <w:sz w:val="22"/>
                <w:szCs w:val="22"/>
                <w:highlight w:val="none"/>
                <w:lang w:eastAsia="zh-CN"/>
              </w:rPr>
            </w:pPr>
            <w:r>
              <w:rPr>
                <w:rFonts w:hint="eastAsia" w:ascii="Tahoma" w:hAnsi="Tahoma" w:eastAsia="宋体" w:cs="Tahoma"/>
                <w:color w:val="000000"/>
                <w:kern w:val="0"/>
                <w:sz w:val="22"/>
                <w:szCs w:val="22"/>
                <w:highlight w:val="none"/>
                <w:lang w:val="en-US" w:eastAsia="zh-CN"/>
              </w:rPr>
              <w:t>2</w:t>
            </w:r>
          </w:p>
        </w:tc>
        <w:tc>
          <w:tcPr>
            <w:tcW w:w="2964" w:type="dxa"/>
            <w:tcBorders>
              <w:top w:val="nil"/>
              <w:left w:val="nil"/>
              <w:bottom w:val="single" w:color="auto" w:sz="4" w:space="0"/>
              <w:right w:val="single" w:color="auto" w:sz="4" w:space="0"/>
            </w:tcBorders>
            <w:noWrap/>
            <w:vAlign w:val="center"/>
          </w:tcPr>
          <w:p w14:paraId="71598554">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6:30-18:30</w:t>
            </w:r>
          </w:p>
        </w:tc>
      </w:tr>
      <w:tr w14:paraId="776592E6">
        <w:tblPrEx>
          <w:tblCellMar>
            <w:top w:w="0" w:type="dxa"/>
            <w:left w:w="108" w:type="dxa"/>
            <w:bottom w:w="0" w:type="dxa"/>
            <w:right w:w="108" w:type="dxa"/>
          </w:tblCellMar>
        </w:tblPrEx>
        <w:trPr>
          <w:trHeight w:val="0" w:hRule="atLeast"/>
          <w:jc w:val="center"/>
        </w:trPr>
        <w:tc>
          <w:tcPr>
            <w:tcW w:w="4615" w:type="dxa"/>
            <w:gridSpan w:val="3"/>
            <w:tcBorders>
              <w:top w:val="single" w:color="auto" w:sz="4" w:space="0"/>
              <w:left w:val="single" w:color="auto" w:sz="4" w:space="0"/>
              <w:bottom w:val="single" w:color="auto" w:sz="4" w:space="0"/>
              <w:right w:val="single" w:color="000000" w:sz="4" w:space="0"/>
            </w:tcBorders>
            <w:noWrap w:val="0"/>
            <w:vAlign w:val="center"/>
          </w:tcPr>
          <w:p w14:paraId="2F638E46">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小计</w:t>
            </w:r>
          </w:p>
        </w:tc>
        <w:tc>
          <w:tcPr>
            <w:tcW w:w="1481" w:type="dxa"/>
            <w:tcBorders>
              <w:top w:val="nil"/>
              <w:left w:val="nil"/>
              <w:bottom w:val="single" w:color="auto" w:sz="4" w:space="0"/>
              <w:right w:val="single" w:color="auto" w:sz="4" w:space="0"/>
            </w:tcBorders>
            <w:noWrap/>
            <w:vAlign w:val="center"/>
          </w:tcPr>
          <w:p w14:paraId="4734BD51">
            <w:pPr>
              <w:widowControl/>
              <w:snapToGrid w:val="0"/>
              <w:jc w:val="center"/>
              <w:rPr>
                <w:rFonts w:hint="default" w:ascii="Tahoma" w:hAnsi="Tahoma" w:eastAsia="宋体" w:cs="Tahoma"/>
                <w:color w:val="000000"/>
                <w:kern w:val="0"/>
                <w:sz w:val="22"/>
                <w:szCs w:val="22"/>
                <w:highlight w:val="none"/>
                <w:lang w:val="en-US" w:eastAsia="zh-CN"/>
              </w:rPr>
            </w:pPr>
            <w:r>
              <w:rPr>
                <w:rFonts w:hint="eastAsia" w:ascii="Tahoma" w:hAnsi="Tahoma" w:eastAsia="宋体" w:cs="Tahoma"/>
                <w:kern w:val="0"/>
                <w:sz w:val="22"/>
                <w:szCs w:val="22"/>
                <w:highlight w:val="none"/>
                <w:lang w:val="en-US" w:eastAsia="zh-CN"/>
              </w:rPr>
              <w:t>61</w:t>
            </w:r>
          </w:p>
        </w:tc>
        <w:tc>
          <w:tcPr>
            <w:tcW w:w="2964" w:type="dxa"/>
            <w:tcBorders>
              <w:top w:val="nil"/>
              <w:left w:val="nil"/>
              <w:bottom w:val="single" w:color="auto" w:sz="4" w:space="0"/>
              <w:right w:val="single" w:color="auto" w:sz="4" w:space="0"/>
            </w:tcBorders>
            <w:noWrap w:val="0"/>
            <w:vAlign w:val="center"/>
          </w:tcPr>
          <w:p w14:paraId="39FCBFAC">
            <w:pPr>
              <w:widowControl/>
              <w:snapToGrid w:val="0"/>
              <w:jc w:val="left"/>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　</w:t>
            </w:r>
          </w:p>
        </w:tc>
      </w:tr>
      <w:tr w14:paraId="487FA5D8">
        <w:tblPrEx>
          <w:tblCellMar>
            <w:top w:w="0" w:type="dxa"/>
            <w:left w:w="108" w:type="dxa"/>
            <w:bottom w:w="0" w:type="dxa"/>
            <w:right w:w="108" w:type="dxa"/>
          </w:tblCellMar>
        </w:tblPrEx>
        <w:trPr>
          <w:trHeight w:val="0" w:hRule="atLeast"/>
          <w:jc w:val="center"/>
        </w:trPr>
        <w:tc>
          <w:tcPr>
            <w:tcW w:w="322" w:type="dxa"/>
            <w:vMerge w:val="restart"/>
            <w:tcBorders>
              <w:top w:val="nil"/>
              <w:left w:val="single" w:color="auto" w:sz="4" w:space="0"/>
              <w:bottom w:val="single" w:color="000000" w:sz="4" w:space="0"/>
              <w:right w:val="single" w:color="auto" w:sz="4" w:space="0"/>
            </w:tcBorders>
            <w:noWrap w:val="0"/>
            <w:vAlign w:val="center"/>
          </w:tcPr>
          <w:p w14:paraId="2A37F3C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3</w:t>
            </w:r>
          </w:p>
        </w:tc>
        <w:tc>
          <w:tcPr>
            <w:tcW w:w="1843" w:type="dxa"/>
            <w:vMerge w:val="restart"/>
            <w:tcBorders>
              <w:top w:val="nil"/>
              <w:left w:val="single" w:color="auto" w:sz="4" w:space="0"/>
              <w:bottom w:val="single" w:color="000000" w:sz="4" w:space="0"/>
              <w:right w:val="single" w:color="auto" w:sz="4" w:space="0"/>
            </w:tcBorders>
            <w:noWrap w:val="0"/>
            <w:vAlign w:val="center"/>
          </w:tcPr>
          <w:p w14:paraId="7A094958">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综合服务</w:t>
            </w:r>
          </w:p>
        </w:tc>
        <w:tc>
          <w:tcPr>
            <w:tcW w:w="2450" w:type="dxa"/>
            <w:tcBorders>
              <w:top w:val="nil"/>
              <w:left w:val="nil"/>
              <w:bottom w:val="single" w:color="auto" w:sz="4" w:space="0"/>
              <w:right w:val="single" w:color="auto" w:sz="4" w:space="0"/>
            </w:tcBorders>
            <w:noWrap w:val="0"/>
            <w:vAlign w:val="center"/>
          </w:tcPr>
          <w:p w14:paraId="26801965">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体医融合中心前台接待生</w:t>
            </w:r>
          </w:p>
        </w:tc>
        <w:tc>
          <w:tcPr>
            <w:tcW w:w="1481" w:type="dxa"/>
            <w:tcBorders>
              <w:top w:val="nil"/>
              <w:left w:val="nil"/>
              <w:bottom w:val="single" w:color="auto" w:sz="4" w:space="0"/>
              <w:right w:val="single" w:color="auto" w:sz="4" w:space="0"/>
            </w:tcBorders>
            <w:noWrap/>
            <w:vAlign w:val="center"/>
          </w:tcPr>
          <w:p w14:paraId="7EE90B98">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4</w:t>
            </w:r>
          </w:p>
        </w:tc>
        <w:tc>
          <w:tcPr>
            <w:tcW w:w="2964" w:type="dxa"/>
            <w:tcBorders>
              <w:top w:val="nil"/>
              <w:left w:val="nil"/>
              <w:bottom w:val="single" w:color="auto" w:sz="4" w:space="0"/>
              <w:right w:val="single" w:color="auto" w:sz="4" w:space="0"/>
            </w:tcBorders>
            <w:noWrap w:val="0"/>
            <w:vAlign w:val="center"/>
          </w:tcPr>
          <w:p w14:paraId="7DB7FDA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14:30-22:00/8:00-</w:t>
            </w:r>
            <w:r>
              <w:rPr>
                <w:rFonts w:ascii="宋体" w:hAnsi="宋体" w:eastAsia="宋体" w:cs="Tahoma"/>
                <w:color w:val="000000"/>
                <w:kern w:val="0"/>
                <w:sz w:val="22"/>
                <w:szCs w:val="22"/>
                <w:highlight w:val="none"/>
              </w:rPr>
              <w:t>次日</w:t>
            </w:r>
            <w:r>
              <w:rPr>
                <w:rFonts w:ascii="Tahoma" w:hAnsi="Tahoma" w:eastAsia="宋体" w:cs="Tahoma"/>
                <w:color w:val="000000"/>
                <w:kern w:val="0"/>
                <w:sz w:val="22"/>
                <w:szCs w:val="22"/>
                <w:highlight w:val="none"/>
              </w:rPr>
              <w:t>8:00</w:t>
            </w:r>
          </w:p>
        </w:tc>
      </w:tr>
      <w:tr w14:paraId="793507F6">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60C816F8">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179C9B7A">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41DE32D">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微公交</w:t>
            </w:r>
          </w:p>
        </w:tc>
        <w:tc>
          <w:tcPr>
            <w:tcW w:w="1481" w:type="dxa"/>
            <w:tcBorders>
              <w:top w:val="nil"/>
              <w:left w:val="nil"/>
              <w:bottom w:val="single" w:color="auto" w:sz="4" w:space="0"/>
              <w:right w:val="single" w:color="auto" w:sz="4" w:space="0"/>
            </w:tcBorders>
            <w:noWrap/>
            <w:vAlign w:val="center"/>
          </w:tcPr>
          <w:p w14:paraId="7A562466">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4</w:t>
            </w:r>
          </w:p>
        </w:tc>
        <w:tc>
          <w:tcPr>
            <w:tcW w:w="2964" w:type="dxa"/>
            <w:tcBorders>
              <w:top w:val="nil"/>
              <w:left w:val="nil"/>
              <w:bottom w:val="single" w:color="auto" w:sz="4" w:space="0"/>
              <w:right w:val="single" w:color="auto" w:sz="4" w:space="0"/>
            </w:tcBorders>
            <w:noWrap/>
            <w:vAlign w:val="center"/>
          </w:tcPr>
          <w:p w14:paraId="3E500318">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7:00-18:00</w:t>
            </w:r>
          </w:p>
        </w:tc>
      </w:tr>
      <w:tr w14:paraId="0A4A6940">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single" w:color="000000" w:sz="4" w:space="0"/>
              <w:right w:val="single" w:color="auto" w:sz="4" w:space="0"/>
            </w:tcBorders>
            <w:noWrap w:val="0"/>
            <w:vAlign w:val="center"/>
          </w:tcPr>
          <w:p w14:paraId="050CCEB9">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single" w:color="000000" w:sz="4" w:space="0"/>
              <w:right w:val="single" w:color="auto" w:sz="4" w:space="0"/>
            </w:tcBorders>
            <w:noWrap w:val="0"/>
            <w:vAlign w:val="center"/>
          </w:tcPr>
          <w:p w14:paraId="036CDAAB">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777842D0">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摆渡车</w:t>
            </w:r>
          </w:p>
        </w:tc>
        <w:tc>
          <w:tcPr>
            <w:tcW w:w="1481" w:type="dxa"/>
            <w:tcBorders>
              <w:top w:val="nil"/>
              <w:left w:val="nil"/>
              <w:bottom w:val="single" w:color="auto" w:sz="4" w:space="0"/>
              <w:right w:val="single" w:color="auto" w:sz="4" w:space="0"/>
            </w:tcBorders>
            <w:noWrap/>
            <w:vAlign w:val="center"/>
          </w:tcPr>
          <w:p w14:paraId="02614C7A">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ign w:val="center"/>
          </w:tcPr>
          <w:p w14:paraId="132CE27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7:00-17:00</w:t>
            </w:r>
          </w:p>
        </w:tc>
      </w:tr>
      <w:tr w14:paraId="079DB07D">
        <w:tblPrEx>
          <w:tblCellMar>
            <w:top w:w="0" w:type="dxa"/>
            <w:left w:w="108" w:type="dxa"/>
            <w:bottom w:w="0" w:type="dxa"/>
            <w:right w:w="108" w:type="dxa"/>
          </w:tblCellMar>
        </w:tblPrEx>
        <w:trPr>
          <w:trHeight w:val="0" w:hRule="atLeast"/>
          <w:jc w:val="center"/>
        </w:trPr>
        <w:tc>
          <w:tcPr>
            <w:tcW w:w="4615" w:type="dxa"/>
            <w:gridSpan w:val="3"/>
            <w:tcBorders>
              <w:top w:val="single" w:color="auto" w:sz="4" w:space="0"/>
              <w:left w:val="single" w:color="auto" w:sz="4" w:space="0"/>
              <w:bottom w:val="nil"/>
              <w:right w:val="single" w:color="000000" w:sz="4" w:space="0"/>
            </w:tcBorders>
            <w:noWrap w:val="0"/>
            <w:vAlign w:val="center"/>
          </w:tcPr>
          <w:p w14:paraId="49E5BB64">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小计</w:t>
            </w:r>
          </w:p>
        </w:tc>
        <w:tc>
          <w:tcPr>
            <w:tcW w:w="1481" w:type="dxa"/>
            <w:tcBorders>
              <w:top w:val="nil"/>
              <w:left w:val="nil"/>
              <w:bottom w:val="nil"/>
              <w:right w:val="single" w:color="auto" w:sz="4" w:space="0"/>
            </w:tcBorders>
            <w:noWrap/>
            <w:vAlign w:val="center"/>
          </w:tcPr>
          <w:p w14:paraId="02CA3E7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10</w:t>
            </w:r>
          </w:p>
        </w:tc>
        <w:tc>
          <w:tcPr>
            <w:tcW w:w="2964" w:type="dxa"/>
            <w:tcBorders>
              <w:top w:val="nil"/>
              <w:left w:val="nil"/>
              <w:bottom w:val="nil"/>
              <w:right w:val="single" w:color="auto" w:sz="4" w:space="0"/>
            </w:tcBorders>
            <w:noWrap w:val="0"/>
            <w:vAlign w:val="center"/>
          </w:tcPr>
          <w:p w14:paraId="65B73B19">
            <w:pPr>
              <w:widowControl/>
              <w:snapToGrid w:val="0"/>
              <w:jc w:val="left"/>
              <w:rPr>
                <w:rFonts w:hint="eastAsia" w:ascii="宋体" w:hAnsi="宋体" w:eastAsia="宋体" w:cs="Tahoma"/>
                <w:b/>
                <w:bCs/>
                <w:color w:val="000000"/>
                <w:kern w:val="0"/>
                <w:szCs w:val="21"/>
                <w:highlight w:val="none"/>
              </w:rPr>
            </w:pPr>
          </w:p>
        </w:tc>
      </w:tr>
      <w:tr w14:paraId="1D710B4C">
        <w:tblPrEx>
          <w:tblCellMar>
            <w:top w:w="0" w:type="dxa"/>
            <w:left w:w="108" w:type="dxa"/>
            <w:bottom w:w="0" w:type="dxa"/>
            <w:right w:w="108" w:type="dxa"/>
          </w:tblCellMar>
        </w:tblPrEx>
        <w:trPr>
          <w:trHeight w:val="0" w:hRule="atLeast"/>
          <w:jc w:val="center"/>
        </w:trPr>
        <w:tc>
          <w:tcPr>
            <w:tcW w:w="9060" w:type="dxa"/>
            <w:gridSpan w:val="5"/>
            <w:tcBorders>
              <w:top w:val="single" w:color="000000" w:sz="4" w:space="0"/>
              <w:left w:val="single" w:color="000000" w:sz="4" w:space="0"/>
              <w:bottom w:val="single" w:color="000000" w:sz="4" w:space="0"/>
              <w:right w:val="nil"/>
            </w:tcBorders>
            <w:noWrap w:val="0"/>
            <w:vAlign w:val="center"/>
          </w:tcPr>
          <w:p w14:paraId="4E4DB48A">
            <w:pPr>
              <w:widowControl/>
              <w:snapToGrid w:val="0"/>
              <w:jc w:val="left"/>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设备运行维修服务</w:t>
            </w:r>
          </w:p>
        </w:tc>
      </w:tr>
      <w:tr w14:paraId="0D21BF64">
        <w:tblPrEx>
          <w:tblCellMar>
            <w:top w:w="0" w:type="dxa"/>
            <w:left w:w="108" w:type="dxa"/>
            <w:bottom w:w="0" w:type="dxa"/>
            <w:right w:w="108" w:type="dxa"/>
          </w:tblCellMar>
        </w:tblPrEx>
        <w:trPr>
          <w:trHeight w:val="0" w:hRule="atLeast"/>
          <w:jc w:val="center"/>
        </w:trPr>
        <w:tc>
          <w:tcPr>
            <w:tcW w:w="322" w:type="dxa"/>
            <w:vMerge w:val="restart"/>
            <w:tcBorders>
              <w:top w:val="nil"/>
              <w:left w:val="single" w:color="auto" w:sz="4" w:space="0"/>
              <w:bottom w:val="nil"/>
              <w:right w:val="single" w:color="auto" w:sz="4" w:space="0"/>
            </w:tcBorders>
            <w:noWrap w:val="0"/>
            <w:vAlign w:val="center"/>
          </w:tcPr>
          <w:p w14:paraId="7A3E8B10">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4</w:t>
            </w:r>
          </w:p>
        </w:tc>
        <w:tc>
          <w:tcPr>
            <w:tcW w:w="1843" w:type="dxa"/>
            <w:vMerge w:val="restart"/>
            <w:tcBorders>
              <w:top w:val="nil"/>
              <w:left w:val="single" w:color="auto" w:sz="4" w:space="0"/>
              <w:bottom w:val="nil"/>
              <w:right w:val="single" w:color="auto" w:sz="4" w:space="0"/>
            </w:tcBorders>
            <w:noWrap w:val="0"/>
            <w:vAlign w:val="center"/>
          </w:tcPr>
          <w:p w14:paraId="35B3974E">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设备运行维修服务</w:t>
            </w:r>
          </w:p>
        </w:tc>
        <w:tc>
          <w:tcPr>
            <w:tcW w:w="2450" w:type="dxa"/>
            <w:tcBorders>
              <w:top w:val="nil"/>
              <w:left w:val="nil"/>
              <w:bottom w:val="single" w:color="auto" w:sz="4" w:space="0"/>
              <w:right w:val="single" w:color="auto" w:sz="4" w:space="0"/>
            </w:tcBorders>
            <w:noWrap w:val="0"/>
            <w:vAlign w:val="center"/>
          </w:tcPr>
          <w:p w14:paraId="182471D9">
            <w:pPr>
              <w:widowControl/>
              <w:snapToGrid w:val="0"/>
              <w:jc w:val="left"/>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工程部班长</w:t>
            </w:r>
          </w:p>
        </w:tc>
        <w:tc>
          <w:tcPr>
            <w:tcW w:w="1481" w:type="dxa"/>
            <w:tcBorders>
              <w:top w:val="nil"/>
              <w:left w:val="nil"/>
              <w:bottom w:val="single" w:color="auto" w:sz="4" w:space="0"/>
              <w:right w:val="single" w:color="auto" w:sz="4" w:space="0"/>
            </w:tcBorders>
            <w:noWrap/>
            <w:vAlign w:val="center"/>
          </w:tcPr>
          <w:p w14:paraId="1E4BC68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w:t>
            </w:r>
          </w:p>
        </w:tc>
        <w:tc>
          <w:tcPr>
            <w:tcW w:w="2964" w:type="dxa"/>
            <w:tcBorders>
              <w:top w:val="nil"/>
              <w:left w:val="nil"/>
              <w:bottom w:val="single" w:color="auto" w:sz="4" w:space="0"/>
              <w:right w:val="single" w:color="auto" w:sz="4" w:space="0"/>
            </w:tcBorders>
            <w:noWrap w:val="0"/>
            <w:vAlign w:val="center"/>
          </w:tcPr>
          <w:p w14:paraId="66D5C9DA">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16531B39">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34213F17">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3C24A40B">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6D457501">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调度（库管）</w:t>
            </w:r>
          </w:p>
        </w:tc>
        <w:tc>
          <w:tcPr>
            <w:tcW w:w="1481" w:type="dxa"/>
            <w:tcBorders>
              <w:top w:val="nil"/>
              <w:left w:val="nil"/>
              <w:bottom w:val="single" w:color="auto" w:sz="4" w:space="0"/>
              <w:right w:val="single" w:color="auto" w:sz="4" w:space="0"/>
            </w:tcBorders>
            <w:noWrap/>
            <w:vAlign w:val="center"/>
          </w:tcPr>
          <w:p w14:paraId="51DA607C">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1</w:t>
            </w:r>
          </w:p>
        </w:tc>
        <w:tc>
          <w:tcPr>
            <w:tcW w:w="2964" w:type="dxa"/>
            <w:tcBorders>
              <w:top w:val="nil"/>
              <w:left w:val="nil"/>
              <w:bottom w:val="single" w:color="auto" w:sz="4" w:space="0"/>
              <w:right w:val="single" w:color="auto" w:sz="4" w:space="0"/>
            </w:tcBorders>
            <w:noWrap w:val="0"/>
            <w:vAlign w:val="center"/>
          </w:tcPr>
          <w:p w14:paraId="46BC4171">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11BD660D">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05A6098C">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6184656B">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2FED11F2">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水暖维修</w:t>
            </w:r>
          </w:p>
        </w:tc>
        <w:tc>
          <w:tcPr>
            <w:tcW w:w="1481" w:type="dxa"/>
            <w:tcBorders>
              <w:top w:val="nil"/>
              <w:left w:val="nil"/>
              <w:bottom w:val="single" w:color="auto" w:sz="4" w:space="0"/>
              <w:right w:val="single" w:color="auto" w:sz="4" w:space="0"/>
            </w:tcBorders>
            <w:noWrap/>
            <w:vAlign w:val="center"/>
          </w:tcPr>
          <w:p w14:paraId="26234E7E">
            <w:pPr>
              <w:widowControl/>
              <w:snapToGrid w:val="0"/>
              <w:jc w:val="center"/>
              <w:rPr>
                <w:rFonts w:hint="default" w:ascii="Tahoma" w:hAnsi="Tahoma" w:eastAsia="宋体" w:cs="Tahoma"/>
                <w:color w:val="000000"/>
                <w:kern w:val="0"/>
                <w:sz w:val="22"/>
                <w:szCs w:val="22"/>
                <w:highlight w:val="none"/>
                <w:lang w:val="en-US" w:eastAsia="zh-CN"/>
              </w:rPr>
            </w:pPr>
            <w:r>
              <w:rPr>
                <w:rFonts w:hint="eastAsia" w:ascii="Tahoma" w:hAnsi="Tahoma" w:eastAsia="宋体" w:cs="Tahoma"/>
                <w:color w:val="000000"/>
                <w:kern w:val="0"/>
                <w:sz w:val="22"/>
                <w:szCs w:val="22"/>
                <w:highlight w:val="none"/>
                <w:lang w:val="en-US" w:eastAsia="zh-CN"/>
              </w:rPr>
              <w:t>16</w:t>
            </w:r>
          </w:p>
        </w:tc>
        <w:tc>
          <w:tcPr>
            <w:tcW w:w="2964" w:type="dxa"/>
            <w:tcBorders>
              <w:top w:val="nil"/>
              <w:left w:val="nil"/>
              <w:bottom w:val="single" w:color="auto" w:sz="4" w:space="0"/>
              <w:right w:val="single" w:color="auto" w:sz="4" w:space="0"/>
            </w:tcBorders>
            <w:noWrap w:val="0"/>
            <w:vAlign w:val="center"/>
          </w:tcPr>
          <w:p w14:paraId="49033FC9">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6EBDE9CA">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152CB7AF">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49EC29B3">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DD4A4AD">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空调维修</w:t>
            </w:r>
          </w:p>
        </w:tc>
        <w:tc>
          <w:tcPr>
            <w:tcW w:w="1481" w:type="dxa"/>
            <w:tcBorders>
              <w:top w:val="nil"/>
              <w:left w:val="nil"/>
              <w:bottom w:val="single" w:color="auto" w:sz="4" w:space="0"/>
              <w:right w:val="single" w:color="auto" w:sz="4" w:space="0"/>
            </w:tcBorders>
            <w:noWrap/>
            <w:vAlign w:val="center"/>
          </w:tcPr>
          <w:p w14:paraId="58446AEA">
            <w:pPr>
              <w:widowControl/>
              <w:snapToGrid w:val="0"/>
              <w:jc w:val="center"/>
              <w:rPr>
                <w:rFonts w:hint="eastAsia" w:ascii="Tahoma" w:hAnsi="Tahoma" w:eastAsia="宋体" w:cs="Tahoma"/>
                <w:color w:val="000000"/>
                <w:kern w:val="0"/>
                <w:sz w:val="22"/>
                <w:szCs w:val="22"/>
                <w:highlight w:val="none"/>
                <w:lang w:eastAsia="zh-CN"/>
              </w:rPr>
            </w:pPr>
            <w:r>
              <w:rPr>
                <w:rFonts w:hint="eastAsia" w:ascii="Tahoma" w:hAnsi="Tahoma" w:eastAsia="宋体" w:cs="Tahoma"/>
                <w:color w:val="000000"/>
                <w:kern w:val="0"/>
                <w:sz w:val="22"/>
                <w:szCs w:val="22"/>
                <w:highlight w:val="none"/>
                <w:lang w:val="en-US" w:eastAsia="zh-CN"/>
              </w:rPr>
              <w:t>4</w:t>
            </w:r>
          </w:p>
        </w:tc>
        <w:tc>
          <w:tcPr>
            <w:tcW w:w="2964" w:type="dxa"/>
            <w:tcBorders>
              <w:top w:val="nil"/>
              <w:left w:val="nil"/>
              <w:bottom w:val="single" w:color="auto" w:sz="4" w:space="0"/>
              <w:right w:val="single" w:color="auto" w:sz="4" w:space="0"/>
            </w:tcBorders>
            <w:noWrap w:val="0"/>
            <w:vAlign w:val="center"/>
          </w:tcPr>
          <w:p w14:paraId="13B716B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245ED118">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76063F8A">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2245B859">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5A025653">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木工</w:t>
            </w:r>
          </w:p>
        </w:tc>
        <w:tc>
          <w:tcPr>
            <w:tcW w:w="1481" w:type="dxa"/>
            <w:tcBorders>
              <w:top w:val="nil"/>
              <w:left w:val="nil"/>
              <w:bottom w:val="single" w:color="auto" w:sz="4" w:space="0"/>
              <w:right w:val="single" w:color="auto" w:sz="4" w:space="0"/>
            </w:tcBorders>
            <w:noWrap/>
            <w:vAlign w:val="center"/>
          </w:tcPr>
          <w:p w14:paraId="0D48F577">
            <w:pPr>
              <w:widowControl/>
              <w:snapToGrid w:val="0"/>
              <w:jc w:val="center"/>
              <w:rPr>
                <w:rFonts w:hint="eastAsia" w:ascii="Tahoma" w:hAnsi="Tahoma" w:eastAsia="宋体" w:cs="Tahoma"/>
                <w:color w:val="000000"/>
                <w:kern w:val="0"/>
                <w:sz w:val="22"/>
                <w:szCs w:val="22"/>
                <w:highlight w:val="none"/>
                <w:lang w:eastAsia="zh-CN"/>
              </w:rPr>
            </w:pPr>
            <w:r>
              <w:rPr>
                <w:rFonts w:hint="eastAsia" w:ascii="Tahoma" w:hAnsi="Tahoma" w:eastAsia="宋体" w:cs="Tahoma"/>
                <w:color w:val="000000"/>
                <w:kern w:val="0"/>
                <w:sz w:val="22"/>
                <w:szCs w:val="22"/>
                <w:highlight w:val="none"/>
                <w:lang w:val="en-US" w:eastAsia="zh-CN"/>
              </w:rPr>
              <w:t>1</w:t>
            </w:r>
          </w:p>
        </w:tc>
        <w:tc>
          <w:tcPr>
            <w:tcW w:w="2964" w:type="dxa"/>
            <w:tcBorders>
              <w:top w:val="nil"/>
              <w:left w:val="nil"/>
              <w:bottom w:val="single" w:color="auto" w:sz="4" w:space="0"/>
              <w:right w:val="single" w:color="auto" w:sz="4" w:space="0"/>
            </w:tcBorders>
            <w:noWrap w:val="0"/>
            <w:vAlign w:val="center"/>
          </w:tcPr>
          <w:p w14:paraId="3AB2B3C8">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430A1D03">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1084F5B6">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548B4543">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079A2025">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瓦工</w:t>
            </w:r>
          </w:p>
        </w:tc>
        <w:tc>
          <w:tcPr>
            <w:tcW w:w="1481" w:type="dxa"/>
            <w:tcBorders>
              <w:top w:val="nil"/>
              <w:left w:val="nil"/>
              <w:bottom w:val="single" w:color="auto" w:sz="4" w:space="0"/>
              <w:right w:val="single" w:color="auto" w:sz="4" w:space="0"/>
            </w:tcBorders>
            <w:noWrap/>
            <w:vAlign w:val="center"/>
          </w:tcPr>
          <w:p w14:paraId="6DDB42DC">
            <w:pPr>
              <w:widowControl/>
              <w:snapToGrid w:val="0"/>
              <w:jc w:val="center"/>
              <w:rPr>
                <w:rFonts w:hint="eastAsia" w:ascii="Tahoma" w:hAnsi="Tahoma" w:eastAsia="宋体" w:cs="Tahoma"/>
                <w:color w:val="000000"/>
                <w:kern w:val="0"/>
                <w:sz w:val="22"/>
                <w:szCs w:val="22"/>
                <w:highlight w:val="none"/>
                <w:lang w:eastAsia="zh-CN"/>
              </w:rPr>
            </w:pPr>
            <w:r>
              <w:rPr>
                <w:rFonts w:hint="eastAsia" w:ascii="Tahoma" w:hAnsi="Tahoma" w:eastAsia="宋体" w:cs="Tahoma"/>
                <w:color w:val="000000"/>
                <w:kern w:val="0"/>
                <w:sz w:val="22"/>
                <w:szCs w:val="22"/>
                <w:highlight w:val="none"/>
                <w:lang w:val="en-US" w:eastAsia="zh-CN"/>
              </w:rPr>
              <w:t>1</w:t>
            </w:r>
          </w:p>
        </w:tc>
        <w:tc>
          <w:tcPr>
            <w:tcW w:w="2964" w:type="dxa"/>
            <w:tcBorders>
              <w:top w:val="nil"/>
              <w:left w:val="nil"/>
              <w:bottom w:val="single" w:color="auto" w:sz="4" w:space="0"/>
              <w:right w:val="single" w:color="auto" w:sz="4" w:space="0"/>
            </w:tcBorders>
            <w:noWrap w:val="0"/>
            <w:vAlign w:val="center"/>
          </w:tcPr>
          <w:p w14:paraId="6DD1104B">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39FD0F0E">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504065B6">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6599EB6B">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4855CAE3">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夜间值班</w:t>
            </w:r>
          </w:p>
        </w:tc>
        <w:tc>
          <w:tcPr>
            <w:tcW w:w="1481" w:type="dxa"/>
            <w:tcBorders>
              <w:top w:val="nil"/>
              <w:left w:val="nil"/>
              <w:bottom w:val="single" w:color="auto" w:sz="4" w:space="0"/>
              <w:right w:val="single" w:color="auto" w:sz="4" w:space="0"/>
            </w:tcBorders>
            <w:noWrap/>
            <w:vAlign w:val="center"/>
          </w:tcPr>
          <w:p w14:paraId="4F8A596B">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4</w:t>
            </w:r>
          </w:p>
        </w:tc>
        <w:tc>
          <w:tcPr>
            <w:tcW w:w="2964" w:type="dxa"/>
            <w:tcBorders>
              <w:top w:val="nil"/>
              <w:left w:val="nil"/>
              <w:bottom w:val="single" w:color="auto" w:sz="4" w:space="0"/>
              <w:right w:val="single" w:color="auto" w:sz="4" w:space="0"/>
            </w:tcBorders>
            <w:noWrap w:val="0"/>
            <w:vAlign w:val="center"/>
          </w:tcPr>
          <w:p w14:paraId="41E5E073">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17:00-8:00</w:t>
            </w:r>
          </w:p>
        </w:tc>
      </w:tr>
      <w:tr w14:paraId="7EE73569">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6B921F39">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121255E2">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7814F04E">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电工、司机班班长</w:t>
            </w:r>
          </w:p>
        </w:tc>
        <w:tc>
          <w:tcPr>
            <w:tcW w:w="1481" w:type="dxa"/>
            <w:tcBorders>
              <w:top w:val="nil"/>
              <w:left w:val="nil"/>
              <w:bottom w:val="single" w:color="auto" w:sz="4" w:space="0"/>
              <w:right w:val="single" w:color="auto" w:sz="4" w:space="0"/>
            </w:tcBorders>
            <w:noWrap/>
            <w:vAlign w:val="center"/>
          </w:tcPr>
          <w:p w14:paraId="7EAAB1EF">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0"/>
            <w:vAlign w:val="center"/>
          </w:tcPr>
          <w:p w14:paraId="2DB9DA41">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8:00-17:00</w:t>
            </w:r>
          </w:p>
        </w:tc>
      </w:tr>
      <w:tr w14:paraId="6042A711">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44A65265">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39133C54">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5F178D76">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高</w:t>
            </w:r>
            <w:r>
              <w:rPr>
                <w:rFonts w:hint="eastAsia" w:ascii="宋体" w:hAnsi="宋体" w:eastAsia="宋体" w:cs="Tahoma"/>
                <w:color w:val="000000"/>
                <w:kern w:val="0"/>
                <w:szCs w:val="21"/>
                <w:highlight w:val="none"/>
              </w:rPr>
              <w:t>、低</w:t>
            </w:r>
            <w:r>
              <w:rPr>
                <w:rFonts w:ascii="宋体" w:hAnsi="宋体" w:eastAsia="宋体" w:cs="Tahoma"/>
                <w:color w:val="000000"/>
                <w:kern w:val="0"/>
                <w:szCs w:val="21"/>
                <w:highlight w:val="none"/>
              </w:rPr>
              <w:t>压电工值守</w:t>
            </w:r>
          </w:p>
        </w:tc>
        <w:tc>
          <w:tcPr>
            <w:tcW w:w="1481" w:type="dxa"/>
            <w:tcBorders>
              <w:top w:val="nil"/>
              <w:left w:val="nil"/>
              <w:bottom w:val="single" w:color="auto" w:sz="4" w:space="0"/>
              <w:right w:val="single" w:color="auto" w:sz="4" w:space="0"/>
            </w:tcBorders>
            <w:noWrap/>
            <w:vAlign w:val="center"/>
          </w:tcPr>
          <w:p w14:paraId="052FBE2C">
            <w:pPr>
              <w:widowControl/>
              <w:snapToGrid w:val="0"/>
              <w:jc w:val="center"/>
              <w:rPr>
                <w:rFonts w:hint="eastAsia" w:ascii="Tahoma" w:hAnsi="Tahoma" w:eastAsia="宋体" w:cs="Tahoma"/>
                <w:color w:val="000000"/>
                <w:kern w:val="0"/>
                <w:sz w:val="22"/>
                <w:szCs w:val="22"/>
                <w:highlight w:val="none"/>
                <w:lang w:eastAsia="zh-CN"/>
              </w:rPr>
            </w:pPr>
            <w:r>
              <w:rPr>
                <w:rFonts w:hint="eastAsia" w:ascii="Tahoma" w:hAnsi="Tahoma" w:eastAsia="宋体" w:cs="Tahoma"/>
                <w:color w:val="000000"/>
                <w:kern w:val="0"/>
                <w:sz w:val="22"/>
                <w:szCs w:val="22"/>
                <w:highlight w:val="none"/>
                <w:lang w:val="en-US" w:eastAsia="zh-CN"/>
              </w:rPr>
              <w:t>2</w:t>
            </w:r>
          </w:p>
        </w:tc>
        <w:tc>
          <w:tcPr>
            <w:tcW w:w="2964" w:type="dxa"/>
            <w:tcBorders>
              <w:top w:val="nil"/>
              <w:left w:val="nil"/>
              <w:bottom w:val="single" w:color="auto" w:sz="4" w:space="0"/>
              <w:right w:val="single" w:color="auto" w:sz="4" w:space="0"/>
            </w:tcBorders>
            <w:noWrap w:val="0"/>
            <w:vAlign w:val="center"/>
          </w:tcPr>
          <w:p w14:paraId="1302D45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四班一运转</w:t>
            </w:r>
          </w:p>
        </w:tc>
      </w:tr>
      <w:tr w14:paraId="1B6F7651">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79A03807">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2D400C33">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4B0C6B4A">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液氧站</w:t>
            </w:r>
          </w:p>
        </w:tc>
        <w:tc>
          <w:tcPr>
            <w:tcW w:w="1481" w:type="dxa"/>
            <w:tcBorders>
              <w:top w:val="nil"/>
              <w:left w:val="nil"/>
              <w:bottom w:val="single" w:color="auto" w:sz="4" w:space="0"/>
              <w:right w:val="single" w:color="auto" w:sz="4" w:space="0"/>
            </w:tcBorders>
            <w:noWrap/>
            <w:vAlign w:val="center"/>
          </w:tcPr>
          <w:p w14:paraId="644B8D5D">
            <w:pPr>
              <w:widowControl/>
              <w:snapToGrid w:val="0"/>
              <w:jc w:val="center"/>
              <w:rPr>
                <w:rFonts w:hint="default" w:ascii="Tahoma" w:hAnsi="Tahoma" w:eastAsia="宋体" w:cs="Tahoma"/>
                <w:color w:val="000000"/>
                <w:kern w:val="0"/>
                <w:sz w:val="22"/>
                <w:szCs w:val="22"/>
                <w:highlight w:val="none"/>
                <w:lang w:val="en-US" w:eastAsia="zh-CN"/>
              </w:rPr>
            </w:pPr>
            <w:r>
              <w:rPr>
                <w:rFonts w:hint="eastAsia" w:ascii="Tahoma" w:hAnsi="Tahoma" w:eastAsia="宋体" w:cs="Tahoma"/>
                <w:color w:val="000000"/>
                <w:kern w:val="0"/>
                <w:sz w:val="22"/>
                <w:szCs w:val="22"/>
                <w:highlight w:val="none"/>
                <w:lang w:val="en-US" w:eastAsia="zh-CN"/>
              </w:rPr>
              <w:t>2</w:t>
            </w:r>
          </w:p>
        </w:tc>
        <w:tc>
          <w:tcPr>
            <w:tcW w:w="2964" w:type="dxa"/>
            <w:tcBorders>
              <w:top w:val="nil"/>
              <w:left w:val="nil"/>
              <w:bottom w:val="single" w:color="auto" w:sz="4" w:space="0"/>
              <w:right w:val="single" w:color="auto" w:sz="4" w:space="0"/>
            </w:tcBorders>
            <w:noWrap w:val="0"/>
            <w:vAlign w:val="center"/>
          </w:tcPr>
          <w:p w14:paraId="669F05A3">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四班一运转</w:t>
            </w:r>
          </w:p>
        </w:tc>
      </w:tr>
      <w:tr w14:paraId="1951BC2F">
        <w:tblPrEx>
          <w:tblCellMar>
            <w:top w:w="0" w:type="dxa"/>
            <w:left w:w="108" w:type="dxa"/>
            <w:bottom w:w="0" w:type="dxa"/>
            <w:right w:w="108" w:type="dxa"/>
          </w:tblCellMar>
        </w:tblPrEx>
        <w:trPr>
          <w:trHeight w:val="0" w:hRule="atLeast"/>
          <w:jc w:val="center"/>
        </w:trPr>
        <w:tc>
          <w:tcPr>
            <w:tcW w:w="322" w:type="dxa"/>
            <w:vMerge w:val="continue"/>
            <w:tcBorders>
              <w:top w:val="nil"/>
              <w:left w:val="single" w:color="auto" w:sz="4" w:space="0"/>
              <w:bottom w:val="nil"/>
              <w:right w:val="single" w:color="auto" w:sz="4" w:space="0"/>
            </w:tcBorders>
            <w:noWrap w:val="0"/>
            <w:vAlign w:val="center"/>
          </w:tcPr>
          <w:p w14:paraId="6EAA47C7">
            <w:pPr>
              <w:widowControl/>
              <w:snapToGrid w:val="0"/>
              <w:jc w:val="left"/>
              <w:rPr>
                <w:rFonts w:hint="eastAsia" w:ascii="宋体" w:hAnsi="宋体" w:eastAsia="宋体" w:cs="Tahoma"/>
                <w:b/>
                <w:bCs/>
                <w:color w:val="000000"/>
                <w:kern w:val="0"/>
                <w:szCs w:val="21"/>
                <w:highlight w:val="none"/>
              </w:rPr>
            </w:pPr>
          </w:p>
        </w:tc>
        <w:tc>
          <w:tcPr>
            <w:tcW w:w="1843" w:type="dxa"/>
            <w:vMerge w:val="continue"/>
            <w:tcBorders>
              <w:top w:val="nil"/>
              <w:left w:val="single" w:color="auto" w:sz="4" w:space="0"/>
              <w:bottom w:val="nil"/>
              <w:right w:val="single" w:color="auto" w:sz="4" w:space="0"/>
            </w:tcBorders>
            <w:noWrap w:val="0"/>
            <w:vAlign w:val="center"/>
          </w:tcPr>
          <w:p w14:paraId="6C754C1B">
            <w:pPr>
              <w:widowControl/>
              <w:snapToGrid w:val="0"/>
              <w:jc w:val="left"/>
              <w:rPr>
                <w:rFonts w:hint="eastAsia" w:ascii="宋体" w:hAnsi="宋体" w:eastAsia="宋体" w:cs="Tahoma"/>
                <w:b/>
                <w:bCs/>
                <w:color w:val="000000"/>
                <w:kern w:val="0"/>
                <w:szCs w:val="21"/>
                <w:highlight w:val="none"/>
              </w:rPr>
            </w:pPr>
          </w:p>
        </w:tc>
        <w:tc>
          <w:tcPr>
            <w:tcW w:w="2450" w:type="dxa"/>
            <w:tcBorders>
              <w:top w:val="nil"/>
              <w:left w:val="nil"/>
              <w:bottom w:val="single" w:color="auto" w:sz="4" w:space="0"/>
              <w:right w:val="single" w:color="auto" w:sz="4" w:space="0"/>
            </w:tcBorders>
            <w:noWrap w:val="0"/>
            <w:vAlign w:val="center"/>
          </w:tcPr>
          <w:p w14:paraId="560DEBF9">
            <w:pPr>
              <w:widowControl/>
              <w:snapToGrid w:val="0"/>
              <w:jc w:val="left"/>
              <w:rPr>
                <w:rFonts w:hint="eastAsia" w:ascii="宋体" w:hAnsi="宋体" w:eastAsia="宋体" w:cs="Tahoma"/>
                <w:color w:val="000000"/>
                <w:kern w:val="0"/>
                <w:szCs w:val="21"/>
                <w:highlight w:val="none"/>
              </w:rPr>
            </w:pPr>
            <w:r>
              <w:rPr>
                <w:rFonts w:ascii="宋体" w:hAnsi="宋体" w:eastAsia="宋体" w:cs="Tahoma"/>
                <w:color w:val="000000"/>
                <w:kern w:val="0"/>
                <w:szCs w:val="21"/>
                <w:highlight w:val="none"/>
              </w:rPr>
              <w:t>污水站</w:t>
            </w:r>
          </w:p>
        </w:tc>
        <w:tc>
          <w:tcPr>
            <w:tcW w:w="1481" w:type="dxa"/>
            <w:tcBorders>
              <w:top w:val="nil"/>
              <w:left w:val="nil"/>
              <w:bottom w:val="single" w:color="auto" w:sz="4" w:space="0"/>
              <w:right w:val="single" w:color="auto" w:sz="4" w:space="0"/>
            </w:tcBorders>
            <w:noWrap/>
            <w:vAlign w:val="center"/>
          </w:tcPr>
          <w:p w14:paraId="51E46505">
            <w:pPr>
              <w:widowControl/>
              <w:snapToGrid w:val="0"/>
              <w:jc w:val="center"/>
              <w:rPr>
                <w:rFonts w:ascii="Tahoma" w:hAnsi="Tahoma" w:eastAsia="宋体" w:cs="Tahoma"/>
                <w:color w:val="000000"/>
                <w:kern w:val="0"/>
                <w:sz w:val="22"/>
                <w:szCs w:val="22"/>
                <w:highlight w:val="none"/>
              </w:rPr>
            </w:pPr>
            <w:r>
              <w:rPr>
                <w:rFonts w:ascii="Tahoma" w:hAnsi="Tahoma" w:eastAsia="宋体" w:cs="Tahoma"/>
                <w:color w:val="000000"/>
                <w:kern w:val="0"/>
                <w:sz w:val="22"/>
                <w:szCs w:val="22"/>
                <w:highlight w:val="none"/>
              </w:rPr>
              <w:t>2</w:t>
            </w:r>
          </w:p>
        </w:tc>
        <w:tc>
          <w:tcPr>
            <w:tcW w:w="2964" w:type="dxa"/>
            <w:tcBorders>
              <w:top w:val="nil"/>
              <w:left w:val="nil"/>
              <w:bottom w:val="single" w:color="auto" w:sz="4" w:space="0"/>
              <w:right w:val="single" w:color="auto" w:sz="4" w:space="0"/>
            </w:tcBorders>
            <w:noWrap w:val="0"/>
            <w:vAlign w:val="center"/>
          </w:tcPr>
          <w:p w14:paraId="031AD1D4">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四班一运转</w:t>
            </w:r>
          </w:p>
        </w:tc>
      </w:tr>
      <w:tr w14:paraId="1CBAC5FC">
        <w:tblPrEx>
          <w:tblCellMar>
            <w:top w:w="0" w:type="dxa"/>
            <w:left w:w="108" w:type="dxa"/>
            <w:bottom w:w="0" w:type="dxa"/>
            <w:right w:w="108" w:type="dxa"/>
          </w:tblCellMar>
        </w:tblPrEx>
        <w:trPr>
          <w:trHeight w:val="0" w:hRule="atLeast"/>
          <w:jc w:val="center"/>
        </w:trPr>
        <w:tc>
          <w:tcPr>
            <w:tcW w:w="4615" w:type="dxa"/>
            <w:gridSpan w:val="3"/>
            <w:tcBorders>
              <w:top w:val="single" w:color="auto" w:sz="4" w:space="0"/>
              <w:left w:val="single" w:color="auto" w:sz="4" w:space="0"/>
              <w:bottom w:val="single" w:color="auto" w:sz="4" w:space="0"/>
              <w:right w:val="single" w:color="000000" w:sz="4" w:space="0"/>
            </w:tcBorders>
            <w:noWrap w:val="0"/>
            <w:vAlign w:val="center"/>
          </w:tcPr>
          <w:p w14:paraId="0BE6BF9C">
            <w:pPr>
              <w:widowControl/>
              <w:snapToGrid w:val="0"/>
              <w:jc w:val="center"/>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小计</w:t>
            </w:r>
          </w:p>
        </w:tc>
        <w:tc>
          <w:tcPr>
            <w:tcW w:w="1481" w:type="dxa"/>
            <w:tcBorders>
              <w:top w:val="nil"/>
              <w:left w:val="nil"/>
              <w:bottom w:val="single" w:color="auto" w:sz="4" w:space="0"/>
              <w:right w:val="single" w:color="auto" w:sz="4" w:space="0"/>
            </w:tcBorders>
            <w:noWrap w:val="0"/>
            <w:vAlign w:val="center"/>
          </w:tcPr>
          <w:p w14:paraId="2804A703">
            <w:pPr>
              <w:widowControl/>
              <w:snapToGrid w:val="0"/>
              <w:jc w:val="center"/>
              <w:rPr>
                <w:rFonts w:hint="default" w:ascii="宋体" w:hAnsi="宋体" w:eastAsia="宋体" w:cs="Tahoma"/>
                <w:b/>
                <w:bCs/>
                <w:color w:val="000000"/>
                <w:kern w:val="0"/>
                <w:szCs w:val="21"/>
                <w:highlight w:val="none"/>
                <w:lang w:val="en-US" w:eastAsia="zh-CN"/>
              </w:rPr>
            </w:pPr>
            <w:r>
              <w:rPr>
                <w:rFonts w:hint="eastAsia" w:ascii="宋体" w:hAnsi="宋体" w:eastAsia="宋体" w:cs="Tahoma"/>
                <w:b/>
                <w:bCs/>
                <w:color w:val="000000"/>
                <w:kern w:val="0"/>
                <w:szCs w:val="21"/>
                <w:highlight w:val="none"/>
                <w:lang w:val="en-US" w:eastAsia="zh-CN"/>
              </w:rPr>
              <w:t>36</w:t>
            </w:r>
          </w:p>
        </w:tc>
        <w:tc>
          <w:tcPr>
            <w:tcW w:w="2964" w:type="dxa"/>
            <w:tcBorders>
              <w:top w:val="nil"/>
              <w:left w:val="nil"/>
              <w:bottom w:val="single" w:color="auto" w:sz="4" w:space="0"/>
              <w:right w:val="single" w:color="auto" w:sz="4" w:space="0"/>
            </w:tcBorders>
            <w:noWrap w:val="0"/>
            <w:vAlign w:val="center"/>
          </w:tcPr>
          <w:p w14:paraId="308CB4CD">
            <w:pPr>
              <w:widowControl/>
              <w:snapToGrid w:val="0"/>
              <w:jc w:val="left"/>
              <w:rPr>
                <w:rFonts w:hint="eastAsia" w:ascii="宋体" w:hAnsi="宋体" w:eastAsia="宋体" w:cs="Tahoma"/>
                <w:b/>
                <w:bCs/>
                <w:color w:val="000000"/>
                <w:kern w:val="0"/>
                <w:szCs w:val="21"/>
                <w:highlight w:val="none"/>
              </w:rPr>
            </w:pPr>
            <w:r>
              <w:rPr>
                <w:rFonts w:ascii="宋体" w:hAnsi="宋体" w:eastAsia="宋体" w:cs="Tahoma"/>
                <w:b/>
                <w:bCs/>
                <w:color w:val="000000"/>
                <w:kern w:val="0"/>
                <w:szCs w:val="21"/>
                <w:highlight w:val="none"/>
              </w:rPr>
              <w:t>　</w:t>
            </w:r>
          </w:p>
        </w:tc>
      </w:tr>
      <w:tr w14:paraId="285A2AD4">
        <w:tblPrEx>
          <w:tblCellMar>
            <w:top w:w="0" w:type="dxa"/>
            <w:left w:w="108" w:type="dxa"/>
            <w:bottom w:w="0" w:type="dxa"/>
            <w:right w:w="108" w:type="dxa"/>
          </w:tblCellMar>
        </w:tblPrEx>
        <w:trPr>
          <w:trHeight w:val="0" w:hRule="atLeast"/>
          <w:jc w:val="center"/>
        </w:trPr>
        <w:tc>
          <w:tcPr>
            <w:tcW w:w="9060" w:type="dxa"/>
            <w:gridSpan w:val="5"/>
            <w:tcBorders>
              <w:top w:val="single" w:color="auto" w:sz="4" w:space="0"/>
              <w:left w:val="single" w:color="auto" w:sz="4" w:space="0"/>
              <w:bottom w:val="single" w:color="auto" w:sz="4" w:space="0"/>
              <w:right w:val="single" w:color="000000" w:sz="4" w:space="0"/>
            </w:tcBorders>
            <w:noWrap w:val="0"/>
            <w:vAlign w:val="center"/>
          </w:tcPr>
          <w:p w14:paraId="72DB6C63">
            <w:pPr>
              <w:widowControl/>
              <w:snapToGrid w:val="0"/>
              <w:jc w:val="center"/>
              <w:rPr>
                <w:rFonts w:hint="default" w:ascii="宋体" w:hAnsi="宋体" w:eastAsia="宋体" w:cs="Tahoma"/>
                <w:b/>
                <w:bCs/>
                <w:color w:val="000000"/>
                <w:kern w:val="0"/>
                <w:szCs w:val="21"/>
                <w:highlight w:val="none"/>
                <w:lang w:val="en-US" w:eastAsia="zh-CN"/>
              </w:rPr>
            </w:pPr>
            <w:r>
              <w:rPr>
                <w:rFonts w:ascii="宋体" w:hAnsi="宋体" w:eastAsia="宋体" w:cs="Tahoma"/>
                <w:b/>
                <w:bCs/>
                <w:kern w:val="0"/>
                <w:sz w:val="32"/>
                <w:szCs w:val="32"/>
                <w:highlight w:val="none"/>
              </w:rPr>
              <w:t>物业服务人员总计</w:t>
            </w:r>
            <w:r>
              <w:rPr>
                <w:rFonts w:hint="eastAsia" w:ascii="宋体" w:hAnsi="宋体" w:eastAsia="宋体" w:cs="Tahoma"/>
                <w:b/>
                <w:bCs/>
                <w:kern w:val="0"/>
                <w:sz w:val="32"/>
                <w:szCs w:val="32"/>
                <w:highlight w:val="none"/>
                <w:lang w:val="en-US" w:eastAsia="zh-CN"/>
              </w:rPr>
              <w:t>111</w:t>
            </w:r>
            <w:r>
              <w:rPr>
                <w:rFonts w:ascii="宋体" w:hAnsi="宋体" w:eastAsia="宋体" w:cs="Tahoma"/>
                <w:b/>
                <w:bCs/>
                <w:kern w:val="0"/>
                <w:sz w:val="32"/>
                <w:szCs w:val="32"/>
                <w:highlight w:val="none"/>
              </w:rPr>
              <w:t>人</w:t>
            </w:r>
          </w:p>
        </w:tc>
      </w:tr>
    </w:tbl>
    <w:p w14:paraId="144AA416">
      <w:pPr>
        <w:spacing w:line="560" w:lineRule="exact"/>
        <w:ind w:firstLine="482" w:firstLineChars="200"/>
        <w:jc w:val="left"/>
        <w:rPr>
          <w:rFonts w:hint="eastAsia" w:ascii="宋体" w:hAnsi="宋体" w:eastAsia="宋体" w:cs="宋体"/>
          <w:sz w:val="24"/>
          <w:szCs w:val="24"/>
          <w:highlight w:val="none"/>
          <w:lang w:eastAsia="zh-CN"/>
        </w:rPr>
      </w:pPr>
      <w:r>
        <w:rPr>
          <w:rFonts w:hint="eastAsia" w:ascii="宋体" w:hAnsi="宋体" w:eastAsia="宋体" w:cs="宋体"/>
          <w:b/>
          <w:bCs/>
          <w:color w:val="000000"/>
          <w:sz w:val="24"/>
          <w:szCs w:val="24"/>
          <w:highlight w:val="none"/>
          <w:lang w:eastAsia="zh-CN"/>
        </w:rPr>
        <w:t>设备运行维修服务约定</w:t>
      </w:r>
      <w:r>
        <w:rPr>
          <w:rFonts w:hint="eastAsia" w:ascii="宋体" w:hAnsi="宋体" w:eastAsia="宋体" w:cs="宋体"/>
          <w:b w:val="0"/>
          <w:bCs w:val="0"/>
          <w:color w:val="000000"/>
          <w:sz w:val="24"/>
          <w:szCs w:val="24"/>
          <w:highlight w:val="none"/>
          <w:lang w:eastAsia="zh-CN"/>
        </w:rPr>
        <w:t>：</w:t>
      </w:r>
      <w:r>
        <w:rPr>
          <w:rFonts w:hint="eastAsia" w:ascii="宋体" w:hAnsi="宋体" w:eastAsia="宋体" w:cs="宋体"/>
          <w:color w:val="000000"/>
          <w:sz w:val="24"/>
          <w:szCs w:val="24"/>
          <w:highlight w:val="none"/>
          <w:lang w:eastAsia="zh-CN"/>
        </w:rPr>
        <w:t>中标物业公司负责全院公共区域、诊疗区域、办公区域的日常维修维护；单项维修人工+材料费用800元（含）以下由物业公司全额承担；</w:t>
      </w:r>
    </w:p>
    <w:p w14:paraId="219F3E08">
      <w:pPr>
        <w:widowControl/>
        <w:numPr>
          <w:ilvl w:val="0"/>
          <w:numId w:val="1"/>
        </w:numPr>
        <w:spacing w:line="360" w:lineRule="auto"/>
        <w:jc w:val="left"/>
        <w:rPr>
          <w:rFonts w:hint="eastAsia" w:ascii="宋体" w:hAnsi="宋体" w:cs="宋体"/>
          <w:b/>
          <w:kern w:val="0"/>
          <w:sz w:val="24"/>
          <w:szCs w:val="24"/>
          <w:highlight w:val="none"/>
          <w:lang w:eastAsia="zh-CN"/>
        </w:rPr>
      </w:pPr>
      <w:r>
        <w:rPr>
          <w:rFonts w:hint="eastAsia" w:ascii="宋体" w:hAnsi="宋体" w:cs="宋体"/>
          <w:b/>
          <w:kern w:val="0"/>
          <w:sz w:val="24"/>
          <w:szCs w:val="24"/>
          <w:highlight w:val="none"/>
          <w:lang w:eastAsia="zh-CN"/>
        </w:rPr>
        <w:t>服务内容</w:t>
      </w:r>
    </w:p>
    <w:p w14:paraId="2314F616">
      <w:pPr>
        <w:spacing w:line="560" w:lineRule="exact"/>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本项目服务覆盖医院东、西两院区，整体服务划分为保洁服务、</w:t>
      </w:r>
      <w:r>
        <w:rPr>
          <w:rFonts w:hint="eastAsia" w:ascii="宋体" w:hAnsi="宋体" w:eastAsia="宋体" w:cs="宋体"/>
          <w:color w:val="000000"/>
          <w:sz w:val="24"/>
          <w:szCs w:val="24"/>
          <w:highlight w:val="none"/>
          <w:lang w:eastAsia="zh-CN"/>
        </w:rPr>
        <w:t>设备运行维修</w:t>
      </w:r>
      <w:r>
        <w:rPr>
          <w:rFonts w:hint="eastAsia" w:ascii="宋体" w:hAnsi="宋体" w:eastAsia="宋体" w:cs="宋体"/>
          <w:color w:val="000000"/>
          <w:sz w:val="24"/>
          <w:szCs w:val="24"/>
          <w:highlight w:val="none"/>
        </w:rPr>
        <w:t xml:space="preserve">服务两大板块，具体内容如下：  </w:t>
      </w:r>
    </w:p>
    <w:p w14:paraId="6978892E">
      <w:pPr>
        <w:spacing w:line="560" w:lineRule="exact"/>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负责病房、办公区域、门诊大厅、</w:t>
      </w:r>
      <w:r>
        <w:rPr>
          <w:rFonts w:hint="eastAsia" w:ascii="宋体" w:hAnsi="宋体" w:eastAsia="宋体" w:cs="宋体"/>
          <w:color w:val="000000"/>
          <w:sz w:val="24"/>
          <w:szCs w:val="24"/>
          <w:highlight w:val="none"/>
          <w:lang w:eastAsia="zh-CN"/>
        </w:rPr>
        <w:t>治疗大厅、</w:t>
      </w:r>
      <w:r>
        <w:rPr>
          <w:rFonts w:hint="eastAsia" w:ascii="宋体" w:hAnsi="宋体" w:eastAsia="宋体" w:cs="宋体"/>
          <w:color w:val="000000"/>
          <w:sz w:val="24"/>
          <w:szCs w:val="24"/>
          <w:highlight w:val="none"/>
        </w:rPr>
        <w:t>建筑外墙、院内道路、停车场及门前三包责任区全范围</w:t>
      </w:r>
      <w:r>
        <w:rPr>
          <w:rFonts w:hint="eastAsia" w:ascii="宋体" w:hAnsi="宋体" w:eastAsia="宋体" w:cs="宋体"/>
          <w:color w:val="000000"/>
          <w:sz w:val="24"/>
          <w:szCs w:val="24"/>
          <w:highlight w:val="none"/>
          <w:lang w:eastAsia="zh-CN"/>
        </w:rPr>
        <w:t>的</w:t>
      </w:r>
      <w:r>
        <w:rPr>
          <w:rFonts w:hint="eastAsia" w:ascii="宋体" w:hAnsi="宋体" w:eastAsia="宋体" w:cs="宋体"/>
          <w:color w:val="000000"/>
          <w:sz w:val="24"/>
          <w:szCs w:val="24"/>
          <w:highlight w:val="none"/>
        </w:rPr>
        <w:t>环境卫生清扫保洁、垃圾分类</w:t>
      </w:r>
      <w:r>
        <w:rPr>
          <w:rFonts w:hint="eastAsia" w:ascii="宋体" w:hAnsi="宋体" w:cs="宋体"/>
          <w:color w:val="000000"/>
          <w:sz w:val="24"/>
          <w:szCs w:val="24"/>
          <w:highlight w:val="none"/>
          <w:lang w:eastAsia="zh-CN"/>
        </w:rPr>
        <w:t>（包含生活垃圾、厨余垃圾、绿化垃圾、建筑垃圾）</w:t>
      </w:r>
      <w:r>
        <w:rPr>
          <w:rFonts w:hint="eastAsia" w:ascii="宋体" w:hAnsi="宋体" w:eastAsia="宋体" w:cs="宋体"/>
          <w:color w:val="000000"/>
          <w:sz w:val="24"/>
          <w:szCs w:val="24"/>
          <w:highlight w:val="none"/>
        </w:rPr>
        <w:t>管理工作；</w:t>
      </w:r>
    </w:p>
    <w:p w14:paraId="5C524966">
      <w:pPr>
        <w:spacing w:line="560" w:lineRule="exact"/>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其中外围专项保洁包含</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室外道路巡回清扫、路面</w:t>
      </w:r>
      <w:r>
        <w:rPr>
          <w:rFonts w:hint="eastAsia" w:ascii="宋体" w:hAnsi="宋体" w:eastAsia="宋体" w:cs="宋体"/>
          <w:color w:val="000000"/>
          <w:sz w:val="24"/>
          <w:szCs w:val="24"/>
          <w:highlight w:val="none"/>
          <w:lang w:eastAsia="zh-CN"/>
        </w:rPr>
        <w:t>及砖缝</w:t>
      </w:r>
      <w:r>
        <w:rPr>
          <w:rFonts w:hint="eastAsia" w:ascii="宋体" w:hAnsi="宋体" w:eastAsia="宋体" w:cs="宋体"/>
          <w:color w:val="000000"/>
          <w:sz w:val="24"/>
          <w:szCs w:val="24"/>
          <w:highlight w:val="none"/>
        </w:rPr>
        <w:t>杂草清除、公共休闲座椅擦拭养护、雨篦子与排水沟清掏疏通、雨雪天气铲冰除雪防滑作业等。</w:t>
      </w:r>
    </w:p>
    <w:p w14:paraId="5D473B4A">
      <w:pPr>
        <w:spacing w:line="560" w:lineRule="exact"/>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承担东院区污水处理站、院内医疗气体系统</w:t>
      </w:r>
      <w:r>
        <w:rPr>
          <w:rFonts w:hint="eastAsia" w:ascii="宋体" w:hAnsi="宋体" w:eastAsia="宋体" w:cs="宋体"/>
          <w:color w:val="000000"/>
          <w:sz w:val="24"/>
          <w:szCs w:val="24"/>
          <w:highlight w:val="none"/>
          <w:lang w:eastAsia="zh-CN"/>
        </w:rPr>
        <w:t>的</w:t>
      </w:r>
      <w:r>
        <w:rPr>
          <w:rFonts w:hint="eastAsia" w:ascii="宋体" w:hAnsi="宋体" w:eastAsia="宋体" w:cs="宋体"/>
          <w:color w:val="000000"/>
          <w:sz w:val="24"/>
          <w:szCs w:val="24"/>
          <w:highlight w:val="none"/>
        </w:rPr>
        <w:t>日常运维管理；负责院内医疗废物定点转运，</w:t>
      </w:r>
      <w:r>
        <w:rPr>
          <w:rFonts w:hint="eastAsia" w:ascii="宋体" w:hAnsi="宋体" w:eastAsia="宋体" w:cs="宋体"/>
          <w:color w:val="000000"/>
          <w:sz w:val="24"/>
          <w:szCs w:val="24"/>
          <w:highlight w:val="none"/>
          <w:lang w:eastAsia="zh-CN"/>
        </w:rPr>
        <w:t>院内微公交（摆渡车）运营服务</w:t>
      </w:r>
      <w:r>
        <w:rPr>
          <w:rFonts w:hint="eastAsia" w:ascii="宋体" w:hAnsi="宋体" w:cs="宋体"/>
          <w:color w:val="000000"/>
          <w:sz w:val="24"/>
          <w:szCs w:val="24"/>
          <w:highlight w:val="none"/>
          <w:lang w:eastAsia="zh-CN"/>
        </w:rPr>
        <w:t>，体医融合中心服务</w:t>
      </w:r>
      <w:r>
        <w:rPr>
          <w:rFonts w:hint="eastAsia" w:ascii="宋体" w:hAnsi="宋体" w:eastAsia="宋体" w:cs="宋体"/>
          <w:color w:val="000000"/>
          <w:sz w:val="24"/>
          <w:szCs w:val="24"/>
          <w:highlight w:val="none"/>
        </w:rPr>
        <w:t>；提供水、电、木、瓦、空调设备全品类日常巡检与维修工作。</w:t>
      </w:r>
    </w:p>
    <w:p w14:paraId="12B836A1">
      <w:pPr>
        <w:widowControl/>
        <w:numPr>
          <w:ilvl w:val="0"/>
          <w:numId w:val="1"/>
        </w:numPr>
        <w:spacing w:line="360" w:lineRule="auto"/>
        <w:jc w:val="left"/>
        <w:rPr>
          <w:rFonts w:hint="eastAsia" w:ascii="宋体" w:hAnsi="宋体" w:cs="宋体"/>
          <w:b/>
          <w:kern w:val="0"/>
          <w:sz w:val="24"/>
          <w:szCs w:val="24"/>
          <w:highlight w:val="none"/>
          <w:lang w:eastAsia="zh-CN"/>
        </w:rPr>
      </w:pPr>
      <w:r>
        <w:rPr>
          <w:rFonts w:hint="eastAsia" w:ascii="宋体" w:hAnsi="宋体" w:cs="宋体"/>
          <w:b/>
          <w:kern w:val="0"/>
          <w:sz w:val="24"/>
          <w:szCs w:val="24"/>
          <w:highlight w:val="none"/>
          <w:lang w:eastAsia="zh-CN"/>
        </w:rPr>
        <w:t>保洁服务标准</w:t>
      </w:r>
    </w:p>
    <w:p w14:paraId="3292E1AE">
      <w:pPr>
        <w:numPr>
          <w:ilvl w:val="0"/>
          <w:numId w:val="0"/>
        </w:numPr>
        <w:spacing w:line="560" w:lineRule="exact"/>
        <w:ind w:left="320" w:leftChars="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（一）基本要求</w:t>
      </w:r>
    </w:p>
    <w:p w14:paraId="528106D0">
      <w:pPr>
        <w:numPr>
          <w:ilvl w:val="0"/>
          <w:numId w:val="0"/>
        </w:numPr>
        <w:spacing w:line="560" w:lineRule="exact"/>
        <w:ind w:firstLine="482" w:firstLineChars="200"/>
        <w:jc w:val="left"/>
        <w:rPr>
          <w:rFonts w:hint="eastAsia" w:ascii="宋体" w:hAnsi="宋体" w:eastAsia="宋体" w:cs="宋体"/>
          <w:sz w:val="24"/>
          <w:szCs w:val="24"/>
          <w:highlight w:val="none"/>
          <w:lang w:eastAsia="zh-CN"/>
        </w:rPr>
      </w:pPr>
      <w:r>
        <w:rPr>
          <w:rFonts w:hint="eastAsia" w:ascii="宋体" w:hAnsi="宋体" w:eastAsia="宋体" w:cs="宋体"/>
          <w:b/>
          <w:bCs/>
          <w:color w:val="000000"/>
          <w:kern w:val="2"/>
          <w:sz w:val="24"/>
          <w:szCs w:val="24"/>
          <w:highlight w:val="none"/>
          <w:lang w:val="en-US" w:eastAsia="zh-CN" w:bidi="ar-SA"/>
        </w:rPr>
        <w:t>1.建立并完善保洁服务工作制度及详细工作计划</w:t>
      </w:r>
      <w:r>
        <w:rPr>
          <w:rFonts w:hint="eastAsia" w:ascii="宋体" w:hAnsi="宋体" w:eastAsia="宋体" w:cs="宋体"/>
          <w:color w:val="000000"/>
          <w:kern w:val="2"/>
          <w:sz w:val="24"/>
          <w:szCs w:val="24"/>
          <w:highlight w:val="none"/>
          <w:lang w:val="en-US" w:eastAsia="zh-CN" w:bidi="ar-SA"/>
        </w:rPr>
        <w:t>，形成体系化管理规范，确保各项保洁任务有章可循、有据可依。制度与计划需涵盖不同区域、不同频次的作业标准、人员排班、物料使用规范以及应急预案等内容，需严格遵照执行，不得随意更改或简化流程。同时，需按要求做好日常保洁的详细记录，涵盖作业时间、区域、人员、完成情况、发现问题及处理结果等内容，确保记录填写规范、内容真实准确、保存完好，便于追溯与考核。作业过程中，工作人员需按规定采取必要的安全防护措施，包括穿戴防护服、手套、防滑鞋，设置警示标识，规范操作设备等，避免对自身或院内其他人员造成意外伤害。此外，本次服务涉及的相关耗材，包括生活垃圾袋、各类清洁剂、消毒用品以及劳保用品等，均由物业中标方负责提供，且环保性能、安全标准、质量等级都应当符合国家现行相关法律法规与行业规定要求，确保使用安全、环保达标，避免对医院环境及人员健康产生负面影响。</w:t>
      </w:r>
    </w:p>
    <w:p w14:paraId="248B2C69">
      <w:pPr>
        <w:widowControl w:val="0"/>
        <w:numPr>
          <w:ilvl w:val="0"/>
          <w:numId w:val="0"/>
        </w:numPr>
        <w:spacing w:line="560" w:lineRule="exact"/>
        <w:ind w:firstLine="482" w:firstLineChars="20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2.办公用房区域保洁：</w:t>
      </w:r>
    </w:p>
    <w:p w14:paraId="02190765">
      <w:pPr>
        <w:widowControl w:val="0"/>
        <w:numPr>
          <w:ilvl w:val="0"/>
          <w:numId w:val="0"/>
        </w:numPr>
        <w:spacing w:line="560" w:lineRule="exact"/>
        <w:ind w:firstLine="482" w:firstLineChars="20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大厅、楼内公共通道</w:t>
      </w:r>
    </w:p>
    <w:p w14:paraId="2200C6BF">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（1）公共通道保持干净，无异味、无杂物、无积水，每日至少开展1次清洁作业。指示牌保持干净，无污渍，每日至少开展1次清洁作业。</w:t>
      </w:r>
    </w:p>
    <w:p w14:paraId="41EFBB59">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（2）地面：各大厅地面每日全面清洁三次（上班前、中午及合适时段），做到干净、光亮、无脚印、无水迹、无陈旧性垃圾；每月用专用设备清洗、保养一次，每半年对地面进行一次专业抛光处理。</w:t>
      </w:r>
    </w:p>
    <w:p w14:paraId="64523B60">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办公用房区域、公共场所区域及周边环境需开展预防性卫生消毒，消毒后及时通风，每周至少开展1次消毒作业。</w:t>
      </w:r>
    </w:p>
    <w:p w14:paraId="4D52C671">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（3）墙面及玻璃：每日清洁擦抹一次，做到光亮、目视无污渍；玻璃门、玻璃幕墙循环保洁，保持无印迹、无粘附物。</w:t>
      </w:r>
    </w:p>
    <w:p w14:paraId="40D23EB5">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（4）烟痰桶：每日清洁擦抹二次，每日更换沙盘，循环保洁、清理烟头痰迹，桶内垃圾日产日清，烟痰桶保持光亮、无污迹、无粘附物、无异味。</w:t>
      </w:r>
    </w:p>
    <w:p w14:paraId="4908E458">
      <w:pPr>
        <w:widowControl w:val="0"/>
        <w:numPr>
          <w:ilvl w:val="0"/>
          <w:numId w:val="0"/>
        </w:numPr>
        <w:spacing w:line="560" w:lineRule="exact"/>
        <w:ind w:left="638" w:leftChars="304" w:firstLine="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（5）标识牌：每日清洁擦抹一次，做到无尘、无粘附物；</w:t>
      </w:r>
    </w:p>
    <w:p w14:paraId="067C4B6A">
      <w:pPr>
        <w:widowControl w:val="0"/>
        <w:numPr>
          <w:ilvl w:val="0"/>
          <w:numId w:val="0"/>
        </w:numPr>
        <w:spacing w:line="560" w:lineRule="exact"/>
        <w:ind w:left="638" w:leftChars="304" w:firstLine="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（6）顶部玻璃、墙面等每季度清洗一次。</w:t>
      </w:r>
    </w:p>
    <w:p w14:paraId="0BA79154">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（7）休息区：每日对沙发、茶几清洁擦抹二次，随时保洁。</w:t>
      </w:r>
    </w:p>
    <w:p w14:paraId="60647AAE">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（8）地垫的清洁：雨天设置“小心地滑”提示牌，每周清洗一次，保证无污渍。</w:t>
      </w:r>
    </w:p>
    <w:p w14:paraId="64476159">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（9）绿色草垫：每月清洗一次，随时保洁。</w:t>
      </w:r>
    </w:p>
    <w:p w14:paraId="7C6E8393">
      <w:pPr>
        <w:widowControl w:val="0"/>
        <w:numPr>
          <w:ilvl w:val="0"/>
          <w:numId w:val="0"/>
        </w:numPr>
        <w:spacing w:line="560" w:lineRule="exact"/>
        <w:ind w:left="0" w:leftChars="0" w:firstLine="480" w:firstLineChars="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电器、消防等设施设备</w:t>
      </w:r>
    </w:p>
    <w:p w14:paraId="610D6053">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（1）配电箱、设备机房、会议室音视频设备、消防栓及开关插座等保持表面干净，无尘无污迹，每月至少开展1次清洁作业。</w:t>
      </w:r>
    </w:p>
    <w:p w14:paraId="1FBCC7B3">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（2）监控摄像头、门禁系统等表面光亮，无尘、无斑点，每月至少开展1次清洁作业。</w:t>
      </w:r>
    </w:p>
    <w:p w14:paraId="1087C31D">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（3）消防栓（箱）、应急灯、灭火器、电源开关盒、踢脚线、楼道梁肩等部位每周清洁擦抹一次，做到整洁、无灰尘、标识清晰。</w:t>
      </w:r>
    </w:p>
    <w:p w14:paraId="661CD86B">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楼层保洁</w:t>
      </w:r>
    </w:p>
    <w:p w14:paraId="14CCC1F8">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（1）楼梯及楼梯间保持干净、无异味、无杂物、无积水，每日至少开展1次清洁作业。</w:t>
      </w:r>
    </w:p>
    <w:p w14:paraId="10D54B37">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（2）开水间保持干净、无异味、无杂物、无积水，每日至少开展1次清洁作业。</w:t>
      </w:r>
    </w:p>
    <w:p w14:paraId="22502D56">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（3）作业工具间：保持干净，无异味、无杂物、无积水，每日至少开展1次清洁作业。</w:t>
      </w:r>
    </w:p>
    <w:p w14:paraId="2F4AF9D0">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作业工具摆放整齐有序，表面干净无渍，每日消毒。</w:t>
      </w:r>
    </w:p>
    <w:p w14:paraId="53099164">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（4）地面：每日二次彻底清洁地面卫生；其余时间循环保洁，做到干净、整洁、光亮、无陈旧性垃圾。</w:t>
      </w:r>
    </w:p>
    <w:p w14:paraId="4AF4B35B">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（5）天花顶：定期清洁除尘，保持无灰尘、无蜘蛛网。</w:t>
      </w:r>
    </w:p>
    <w:p w14:paraId="65D275D4">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（6）办公室门及公共区域玻璃：每周清洁擦抹一次，做到光亮、目视无污渍；窗台每日保洁，保持无灰尘、无污迹。门窗玻璃干净无尘，透光性好，每周至少开展1次清洁作业。</w:t>
      </w:r>
    </w:p>
    <w:p w14:paraId="7A8AD165">
      <w:pPr>
        <w:widowControl w:val="0"/>
        <w:numPr>
          <w:ilvl w:val="0"/>
          <w:numId w:val="0"/>
        </w:numPr>
        <w:spacing w:line="560" w:lineRule="exact"/>
        <w:ind w:left="0" w:leftChars="0" w:firstLine="480" w:firstLineChars="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公共卫生间</w:t>
      </w:r>
    </w:p>
    <w:p w14:paraId="268C8B83">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（1）保持干净无异味，垃圾无溢出，每日至少开展1次清洁作业，及时补充厕纸等必要用品。</w:t>
      </w:r>
    </w:p>
    <w:p w14:paraId="5AFC6C52">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（2）卫生间保洁时设置“工作进行中”提示牌，提供人性化服务。</w:t>
      </w:r>
    </w:p>
    <w:p w14:paraId="0F3E24C2">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（3）大（小）便器：每日清洁二次，循环保洁，做到干净、整洁、光亮、无污渍、无异味；</w:t>
      </w:r>
    </w:p>
    <w:p w14:paraId="64D086B5">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（4）洗手台盆及水龙头：用镜布每日清洁二次，循环保洁，做到干净、明亮、无印迹。</w:t>
      </w:r>
    </w:p>
    <w:p w14:paraId="0F56CE28">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（5）台盆面板及镜子：用镜布每日清洁，循环保洁，保持台面整洁卫生、用品摆放整齐、无水迹，镜面光亮、无印迹、无粘附物。</w:t>
      </w:r>
    </w:p>
    <w:p w14:paraId="390FCCE5">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（6）地面：每日定时清洁，循环保洁，保持无水迹、无脚印、无卫生死角。</w:t>
      </w:r>
    </w:p>
    <w:p w14:paraId="518C76C6">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（7）墙面：每周清洁墙面一次，保持墙面光亮、无印迹。</w:t>
      </w:r>
    </w:p>
    <w:p w14:paraId="78A30184">
      <w:pPr>
        <w:widowControl w:val="0"/>
        <w:numPr>
          <w:ilvl w:val="0"/>
          <w:numId w:val="0"/>
        </w:numPr>
        <w:spacing w:line="560" w:lineRule="exact"/>
        <w:ind w:left="0" w:leftChars="0" w:firstLine="480" w:firstLineChars="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电梯间</w:t>
      </w:r>
    </w:p>
    <w:p w14:paraId="4832621A">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（1）电梯轿厢：保持干净，无污渍、无粘贴物、无异味，每日至少开展1次清洁作业。灯具、操作指示板保持明亮，定期对轿厢内按键进行清洁和消毒。</w:t>
      </w:r>
    </w:p>
    <w:p w14:paraId="7B49D1C4">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（2）电梯轿厢地面：每日避开使用高峰期清洁，循环保洁，做到干净、无印迹、无陈旧性垃圾。轿厢地毯每日更换、每日清洗。</w:t>
      </w:r>
    </w:p>
    <w:p w14:paraId="7F4FB38D">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（3）电梯外门：随时保洁，做到光亮、整洁，无手印、无粘附物。</w:t>
      </w:r>
    </w:p>
    <w:p w14:paraId="330778C0">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（4）电梯门轨道沟槽：每日用刷子、抹布去除沟槽中的杂物、泥沙，保持干净。</w:t>
      </w:r>
    </w:p>
    <w:p w14:paraId="22FC4408">
      <w:pPr>
        <w:widowControl w:val="0"/>
        <w:numPr>
          <w:ilvl w:val="0"/>
          <w:numId w:val="0"/>
        </w:numPr>
        <w:spacing w:line="560" w:lineRule="exact"/>
        <w:ind w:firstLine="482" w:firstLineChars="200"/>
        <w:jc w:val="left"/>
        <w:rPr>
          <w:rFonts w:hint="eastAsia" w:ascii="宋体" w:hAnsi="宋体" w:eastAsia="宋体" w:cs="宋体"/>
          <w:sz w:val="24"/>
          <w:szCs w:val="24"/>
          <w:highlight w:val="none"/>
          <w:lang w:eastAsia="zh-CN"/>
        </w:rPr>
      </w:pPr>
      <w:r>
        <w:rPr>
          <w:rFonts w:hint="eastAsia" w:ascii="宋体" w:hAnsi="宋体" w:eastAsia="宋体" w:cs="宋体"/>
          <w:b/>
          <w:bCs/>
          <w:color w:val="000000"/>
          <w:kern w:val="2"/>
          <w:sz w:val="24"/>
          <w:szCs w:val="24"/>
          <w:highlight w:val="none"/>
          <w:lang w:val="en-US" w:eastAsia="zh-CN" w:bidi="ar-SA"/>
        </w:rPr>
        <w:t>3.平台、屋顶、天沟保持干净，有杂物及时清扫，每月至少开展1次清洁作业。</w:t>
      </w:r>
    </w:p>
    <w:p w14:paraId="5CA23E92">
      <w:pPr>
        <w:widowControl w:val="0"/>
        <w:numPr>
          <w:ilvl w:val="0"/>
          <w:numId w:val="0"/>
        </w:numPr>
        <w:spacing w:line="560" w:lineRule="exact"/>
        <w:ind w:left="0" w:leftChars="0" w:firstLine="480" w:firstLineChars="0"/>
        <w:jc w:val="left"/>
        <w:rPr>
          <w:rFonts w:hint="eastAsia" w:ascii="宋体" w:hAnsi="宋体" w:eastAsia="宋体" w:cs="宋体"/>
          <w:b/>
          <w:bCs/>
          <w:sz w:val="24"/>
          <w:szCs w:val="24"/>
          <w:highlight w:val="none"/>
          <w:lang w:eastAsia="zh-CN"/>
        </w:rPr>
      </w:pPr>
      <w:r>
        <w:rPr>
          <w:rFonts w:hint="eastAsia" w:ascii="宋体" w:hAnsi="宋体" w:eastAsia="宋体" w:cs="宋体"/>
          <w:b/>
          <w:bCs/>
          <w:color w:val="000000"/>
          <w:kern w:val="2"/>
          <w:sz w:val="24"/>
          <w:szCs w:val="24"/>
          <w:highlight w:val="none"/>
          <w:lang w:val="en-US" w:eastAsia="zh-CN" w:bidi="ar-SA"/>
        </w:rPr>
        <w:t>4.石材地面、内墙做好养护工作，每季度开展1次清洁作业。</w:t>
      </w:r>
    </w:p>
    <w:p w14:paraId="22D63B10">
      <w:pPr>
        <w:widowControl w:val="0"/>
        <w:numPr>
          <w:ilvl w:val="0"/>
          <w:numId w:val="0"/>
        </w:numPr>
        <w:spacing w:line="560" w:lineRule="exact"/>
        <w:ind w:left="0" w:leftChars="0" w:firstLine="480" w:firstLineChars="0"/>
        <w:jc w:val="left"/>
        <w:rPr>
          <w:rFonts w:hint="eastAsia" w:ascii="宋体" w:hAnsi="宋体" w:eastAsia="宋体" w:cs="宋体"/>
          <w:b/>
          <w:bCs/>
          <w:sz w:val="24"/>
          <w:szCs w:val="24"/>
          <w:highlight w:val="none"/>
          <w:lang w:eastAsia="zh-CN"/>
        </w:rPr>
      </w:pPr>
      <w:r>
        <w:rPr>
          <w:rFonts w:hint="eastAsia" w:ascii="宋体" w:hAnsi="宋体" w:eastAsia="宋体" w:cs="宋体"/>
          <w:b/>
          <w:bCs/>
          <w:color w:val="000000"/>
          <w:kern w:val="2"/>
          <w:sz w:val="24"/>
          <w:szCs w:val="24"/>
          <w:highlight w:val="none"/>
          <w:lang w:val="en-US" w:eastAsia="zh-CN" w:bidi="ar-SA"/>
        </w:rPr>
        <w:t>5.地毯保持干净、无油渍、无污渍、无褪色，每月至少开展1次清洁作业。</w:t>
      </w:r>
    </w:p>
    <w:p w14:paraId="48D5200E">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6.公共场地区域保洁</w:t>
      </w:r>
      <w:r>
        <w:rPr>
          <w:rFonts w:hint="eastAsia" w:ascii="宋体" w:hAnsi="宋体" w:eastAsia="宋体" w:cs="宋体"/>
          <w:color w:val="000000"/>
          <w:kern w:val="2"/>
          <w:sz w:val="24"/>
          <w:szCs w:val="24"/>
          <w:highlight w:val="none"/>
          <w:lang w:val="en-US" w:eastAsia="zh-CN" w:bidi="ar-SA"/>
        </w:rPr>
        <w:t xml:space="preserve"> </w:t>
      </w:r>
    </w:p>
    <w:p w14:paraId="76C36874">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6.1每日清扫道路地面、停车场等公共区域2次，保持干净、无杂物、无积水。</w:t>
      </w:r>
    </w:p>
    <w:p w14:paraId="71061277">
      <w:pPr>
        <w:spacing w:line="560" w:lineRule="exact"/>
        <w:ind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6.2雪、冰冻等恶劣天气时及时清扫积水、积雪，并采取安全防护措施，负责</w:t>
      </w:r>
      <w:r>
        <w:rPr>
          <w:rFonts w:hint="eastAsia" w:ascii="宋体" w:hAnsi="宋体" w:eastAsia="宋体" w:cs="宋体"/>
          <w:color w:val="000000"/>
          <w:sz w:val="24"/>
          <w:szCs w:val="24"/>
          <w:highlight w:val="none"/>
        </w:rPr>
        <w:t>雨雪天气</w:t>
      </w:r>
      <w:r>
        <w:rPr>
          <w:rFonts w:hint="eastAsia" w:ascii="宋体" w:hAnsi="宋体" w:eastAsia="宋体" w:cs="宋体"/>
          <w:color w:val="000000"/>
          <w:sz w:val="24"/>
          <w:szCs w:val="24"/>
          <w:highlight w:val="none"/>
          <w:lang w:eastAsia="zh-CN"/>
        </w:rPr>
        <w:t>的</w:t>
      </w:r>
      <w:r>
        <w:rPr>
          <w:rFonts w:hint="eastAsia" w:ascii="宋体" w:hAnsi="宋体" w:eastAsia="宋体" w:cs="宋体"/>
          <w:color w:val="000000"/>
          <w:sz w:val="24"/>
          <w:szCs w:val="24"/>
          <w:highlight w:val="none"/>
        </w:rPr>
        <w:t>铲冰除雪防滑作业。</w:t>
      </w:r>
    </w:p>
    <w:p w14:paraId="3569666D">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6.3各种路标、宣传栏等保持干净，每月至少开展1次清洁作业。</w:t>
      </w:r>
    </w:p>
    <w:p w14:paraId="6D89ECA6">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6.4清洁室外照明设备，每月至少开展1次清洁作业。</w:t>
      </w:r>
    </w:p>
    <w:p w14:paraId="7642E8FF">
      <w:p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6.5绿地内无杂物，步行砖缝与</w:t>
      </w:r>
      <w:r>
        <w:rPr>
          <w:rFonts w:hint="eastAsia" w:ascii="宋体" w:hAnsi="宋体" w:eastAsia="宋体" w:cs="宋体"/>
          <w:color w:val="000000"/>
          <w:sz w:val="24"/>
          <w:szCs w:val="24"/>
          <w:highlight w:val="none"/>
          <w:lang w:val="en-US" w:eastAsia="zh-CN"/>
        </w:rPr>
        <w:t>室外道路巡回清扫、路面及砖缝杂草清除、公共休闲座椅擦拭养护，每日开展1次；</w:t>
      </w:r>
    </w:p>
    <w:p w14:paraId="4BD83D0E">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6.6办公区外立面定期清洗，2米以上外窗玻璃擦拭，每年至少开展1次清洗。</w:t>
      </w:r>
    </w:p>
    <w:p w14:paraId="524F3519">
      <w:pPr>
        <w:widowControl w:val="0"/>
        <w:numPr>
          <w:ilvl w:val="0"/>
          <w:numId w:val="0"/>
        </w:numPr>
        <w:spacing w:line="560" w:lineRule="exact"/>
        <w:ind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6.7室外设施、标志：每日清洁擦抹一次，做到无灰尘、无污渍。</w:t>
      </w:r>
    </w:p>
    <w:p w14:paraId="5AAD7F0D">
      <w:pPr>
        <w:widowControl w:val="0"/>
        <w:numPr>
          <w:ilvl w:val="0"/>
          <w:numId w:val="0"/>
        </w:numPr>
        <w:spacing w:line="560" w:lineRule="exact"/>
        <w:ind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6.8下水道口：定期清理烟头、树叶等杂物，确保排水口通畅，防止堵塞；每月定期对污水排水沟渠进行消毒。</w:t>
      </w:r>
    </w:p>
    <w:p w14:paraId="1D488DE8">
      <w:pPr>
        <w:widowControl w:val="0"/>
        <w:numPr>
          <w:ilvl w:val="0"/>
          <w:numId w:val="0"/>
        </w:numPr>
        <w:spacing w:line="560" w:lineRule="exact"/>
        <w:ind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6.9露天水池：每日清洁一次，做到水池中无杂物，保持水池干净、无异味。</w:t>
      </w:r>
    </w:p>
    <w:p w14:paraId="2BB32E50">
      <w:pPr>
        <w:widowControl w:val="0"/>
        <w:numPr>
          <w:ilvl w:val="0"/>
          <w:numId w:val="0"/>
        </w:numPr>
        <w:spacing w:line="560" w:lineRule="exact"/>
        <w:ind w:left="0" w:leftChars="0" w:firstLine="480" w:firstLineChars="0"/>
        <w:jc w:val="left"/>
        <w:rPr>
          <w:rFonts w:hint="eastAsia" w:ascii="宋体" w:hAnsi="宋体" w:cs="宋体"/>
          <w:color w:val="000000"/>
          <w:sz w:val="24"/>
          <w:szCs w:val="24"/>
          <w:highlight w:val="none"/>
          <w:lang w:eastAsia="zh-CN"/>
        </w:rPr>
      </w:pPr>
      <w:r>
        <w:rPr>
          <w:rFonts w:hint="eastAsia" w:ascii="宋体" w:hAnsi="宋体" w:eastAsia="宋体" w:cs="宋体"/>
          <w:color w:val="000000"/>
          <w:kern w:val="2"/>
          <w:sz w:val="24"/>
          <w:szCs w:val="24"/>
          <w:highlight w:val="none"/>
          <w:lang w:val="en-US" w:eastAsia="zh-CN" w:bidi="ar-SA"/>
        </w:rPr>
        <w:t>7.</w:t>
      </w:r>
      <w:r>
        <w:rPr>
          <w:rFonts w:hint="eastAsia" w:ascii="宋体" w:hAnsi="宋体" w:eastAsia="宋体" w:cs="宋体"/>
          <w:b/>
          <w:bCs/>
          <w:color w:val="000000"/>
          <w:kern w:val="2"/>
          <w:sz w:val="24"/>
          <w:szCs w:val="24"/>
          <w:highlight w:val="none"/>
          <w:lang w:val="en-US" w:eastAsia="zh-CN" w:bidi="ar-SA"/>
        </w:rPr>
        <w:t>垃圾</w:t>
      </w:r>
      <w:r>
        <w:rPr>
          <w:rFonts w:hint="eastAsia" w:ascii="宋体" w:hAnsi="宋体" w:cs="宋体"/>
          <w:b/>
          <w:bCs/>
          <w:color w:val="000000"/>
          <w:kern w:val="2"/>
          <w:sz w:val="24"/>
          <w:szCs w:val="24"/>
          <w:highlight w:val="none"/>
          <w:lang w:val="en-US" w:eastAsia="zh-CN" w:bidi="ar-SA"/>
        </w:rPr>
        <w:t>分类管理</w:t>
      </w:r>
      <w:r>
        <w:rPr>
          <w:rFonts w:hint="eastAsia" w:ascii="宋体" w:hAnsi="宋体" w:cs="宋体"/>
          <w:color w:val="000000"/>
          <w:sz w:val="24"/>
          <w:szCs w:val="24"/>
          <w:highlight w:val="none"/>
          <w:lang w:eastAsia="zh-CN"/>
        </w:rPr>
        <w:t>（包含生活垃圾、厨余垃圾、绿化垃圾、建筑垃圾）</w:t>
      </w:r>
    </w:p>
    <w:p w14:paraId="1FC0E14C">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（1）在指定位置摆放分类垃圾桶，并在显著位置张贴垃圾分类标识，分类垃圾桶和垃圾分类标识按北京市要求设置。</w:t>
      </w:r>
    </w:p>
    <w:p w14:paraId="2EF06EA4">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（2）桶身表面干净无污渍，每日开展至少1次清洁作业。</w:t>
      </w:r>
    </w:p>
    <w:p w14:paraId="51C46F34">
      <w:pPr>
        <w:widowControl w:val="0"/>
        <w:numPr>
          <w:ilvl w:val="0"/>
          <w:numId w:val="0"/>
        </w:numPr>
        <w:spacing w:line="560" w:lineRule="exact"/>
        <w:ind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（3）定期进行消毒灭菌处理，保持垃圾桶无异味、无粘附物、无污迹、无陈旧性垃圾。</w:t>
      </w:r>
    </w:p>
    <w:p w14:paraId="3AA14CE4">
      <w:pPr>
        <w:widowControl w:val="0"/>
        <w:numPr>
          <w:ilvl w:val="0"/>
          <w:numId w:val="0"/>
        </w:numPr>
        <w:spacing w:line="560" w:lineRule="exact"/>
        <w:ind w:left="0" w:leftChars="0" w:firstLine="480" w:firstLineChars="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（4）垃圾中转房保持整洁，无明显异味，每日至少开展1次清洁作业。</w:t>
      </w:r>
    </w:p>
    <w:p w14:paraId="410A9922">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（5）做好垃圾分类管理的宣传工作，督促并引导全员参与垃圾分类投放。</w:t>
      </w:r>
    </w:p>
    <w:p w14:paraId="51BF2726">
      <w:pPr>
        <w:widowControl w:val="0"/>
        <w:numPr>
          <w:ilvl w:val="0"/>
          <w:numId w:val="0"/>
        </w:numPr>
        <w:spacing w:line="560" w:lineRule="exact"/>
        <w:ind w:left="0" w:leftChars="0" w:firstLine="480" w:firstLineChars="0"/>
        <w:jc w:val="left"/>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（6）垃圾分类投放管理工作的执行标准，按北京市的要求执行。</w:t>
      </w:r>
    </w:p>
    <w:p w14:paraId="7F2643F3">
      <w:pPr>
        <w:widowControl w:val="0"/>
        <w:numPr>
          <w:ilvl w:val="0"/>
          <w:numId w:val="0"/>
        </w:numPr>
        <w:spacing w:line="560" w:lineRule="exact"/>
        <w:ind w:firstLine="480" w:firstLineChars="200"/>
        <w:jc w:val="left"/>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8.</w:t>
      </w:r>
      <w:r>
        <w:rPr>
          <w:rFonts w:hint="eastAsia" w:ascii="宋体" w:hAnsi="宋体" w:eastAsia="宋体" w:cs="宋体"/>
          <w:b/>
          <w:bCs/>
          <w:color w:val="000000"/>
          <w:kern w:val="2"/>
          <w:sz w:val="24"/>
          <w:szCs w:val="24"/>
          <w:highlight w:val="none"/>
          <w:lang w:val="en-US" w:eastAsia="zh-CN" w:bidi="ar-SA"/>
        </w:rPr>
        <w:t>化粪池清掏消毒</w:t>
      </w:r>
      <w:r>
        <w:rPr>
          <w:rFonts w:hint="eastAsia" w:ascii="宋体" w:hAnsi="宋体" w:eastAsia="宋体" w:cs="宋体"/>
          <w:color w:val="000000"/>
          <w:kern w:val="2"/>
          <w:sz w:val="24"/>
          <w:szCs w:val="24"/>
          <w:highlight w:val="none"/>
          <w:lang w:val="en-US" w:eastAsia="zh-CN" w:bidi="ar-SA"/>
        </w:rPr>
        <w:t>：完成化粪池清掏，保持无明显异味，每半年至少开展1次清洁作业。定期对化粪池进行检查，及时清掏，保持化粪池通畅，严禁化粪池外溢。每半年对化粪池进行消毒。</w:t>
      </w:r>
    </w:p>
    <w:p w14:paraId="593F4751">
      <w:pPr>
        <w:pStyle w:val="4"/>
        <w:tabs>
          <w:tab w:val="left" w:pos="906"/>
        </w:tabs>
        <w:spacing w:line="473" w:lineRule="exact"/>
        <w:ind w:left="0" w:leftChars="0" w:firstLine="482" w:firstLineChars="200"/>
        <w:jc w:val="left"/>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六、设备运行维修服务</w:t>
      </w:r>
    </w:p>
    <w:p w14:paraId="28570E4C">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kern w:val="0"/>
          <w:sz w:val="24"/>
          <w:szCs w:val="24"/>
          <w:highlight w:val="none"/>
        </w:rPr>
        <w:t>服务内容</w:t>
      </w:r>
      <w:r>
        <w:rPr>
          <w:rFonts w:hint="eastAsia" w:ascii="宋体" w:hAnsi="宋体" w:eastAsia="宋体" w:cs="宋体"/>
          <w:kern w:val="0"/>
          <w:sz w:val="24"/>
          <w:szCs w:val="24"/>
          <w:highlight w:val="none"/>
        </w:rPr>
        <w:t>：</w:t>
      </w:r>
      <w:r>
        <w:rPr>
          <w:rFonts w:hint="eastAsia" w:ascii="宋体" w:hAnsi="宋体" w:eastAsia="宋体" w:cs="宋体"/>
          <w:color w:val="000000"/>
          <w:kern w:val="2"/>
          <w:sz w:val="24"/>
          <w:szCs w:val="24"/>
          <w:highlight w:val="none"/>
          <w:lang w:val="en-US" w:eastAsia="zh-CN" w:bidi="ar-SA"/>
        </w:rPr>
        <w:t>东院区污水站管理、医疗气体管理、医疗废物转运、生活垃圾分类、院内微公交（摆渡车）运营服务、</w:t>
      </w:r>
      <w:r>
        <w:rPr>
          <w:rFonts w:hint="eastAsia" w:ascii="宋体" w:hAnsi="宋体" w:cs="宋体"/>
          <w:color w:val="000000"/>
          <w:kern w:val="2"/>
          <w:sz w:val="24"/>
          <w:szCs w:val="24"/>
          <w:highlight w:val="none"/>
          <w:lang w:val="en-US" w:eastAsia="zh-CN" w:bidi="ar-SA"/>
        </w:rPr>
        <w:t>体医融合中心服务、</w:t>
      </w:r>
      <w:r>
        <w:rPr>
          <w:rFonts w:hint="eastAsia" w:ascii="宋体" w:hAnsi="宋体" w:eastAsia="宋体" w:cs="宋体"/>
          <w:color w:val="000000"/>
          <w:kern w:val="2"/>
          <w:sz w:val="24"/>
          <w:szCs w:val="24"/>
          <w:highlight w:val="none"/>
          <w:lang w:val="en-US" w:eastAsia="zh-CN" w:bidi="ar-SA"/>
        </w:rPr>
        <w:t>物品搬运与配送，以及东西院区的水、电、木、瓦、空调综合维修等。</w:t>
      </w:r>
      <w:r>
        <w:rPr>
          <w:rFonts w:hint="eastAsia" w:ascii="宋体" w:hAnsi="宋体" w:eastAsia="宋体" w:cs="宋体"/>
          <w:b/>
          <w:bCs/>
          <w:color w:val="000000"/>
          <w:kern w:val="2"/>
          <w:sz w:val="24"/>
          <w:szCs w:val="24"/>
          <w:highlight w:val="none"/>
          <w:lang w:val="en-US" w:eastAsia="zh-CN" w:bidi="ar-SA"/>
        </w:rPr>
        <w:t>具体内容包括：</w:t>
      </w:r>
    </w:p>
    <w:p w14:paraId="7B27CFD5">
      <w:pPr>
        <w:spacing w:line="440" w:lineRule="exact"/>
        <w:ind w:firstLine="426"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b/>
          <w:bCs/>
          <w:kern w:val="0"/>
          <w:sz w:val="24"/>
          <w:szCs w:val="24"/>
          <w:highlight w:val="none"/>
          <w:lang w:val="en-US" w:eastAsia="zh-CN"/>
        </w:rPr>
        <w:t>1.</w:t>
      </w:r>
      <w:r>
        <w:rPr>
          <w:rFonts w:hint="eastAsia" w:ascii="宋体" w:hAnsi="宋体" w:eastAsia="宋体" w:cs="宋体"/>
          <w:b/>
          <w:bCs/>
          <w:kern w:val="0"/>
          <w:sz w:val="24"/>
          <w:szCs w:val="24"/>
          <w:highlight w:val="none"/>
          <w:lang w:val="en-US" w:eastAsia="zh-CN" w:bidi="ar-SA"/>
        </w:rPr>
        <w:t>污水站管理</w:t>
      </w:r>
      <w:r>
        <w:rPr>
          <w:rFonts w:hint="eastAsia" w:ascii="宋体" w:hAnsi="宋体" w:eastAsia="宋体" w:cs="宋体"/>
          <w:kern w:val="0"/>
          <w:sz w:val="24"/>
          <w:szCs w:val="24"/>
          <w:highlight w:val="none"/>
          <w:lang w:val="en-US" w:eastAsia="zh-CN" w:bidi="ar-SA"/>
        </w:rPr>
        <w:t>：</w:t>
      </w:r>
      <w:r>
        <w:rPr>
          <w:rFonts w:hint="eastAsia" w:ascii="宋体" w:hAnsi="宋体" w:eastAsia="宋体" w:cs="宋体"/>
          <w:color w:val="000000"/>
          <w:kern w:val="2"/>
          <w:sz w:val="24"/>
          <w:szCs w:val="24"/>
          <w:highlight w:val="none"/>
          <w:lang w:val="en-US" w:eastAsia="zh-CN" w:bidi="ar-SA"/>
        </w:rPr>
        <w:t>承担医院东院区病区污水处理工作，实行24小时运行值班值守。提供6个月运维服务周期，待接到甲方告知终止污水站运维服务时间为准。乙方需无条件配合甲方完成污水站运维工作交接，在甲方发出终止污水分项服务通知后，按时完成台账、设备、药剂、运行记录、环保资料完整移交，配合第三方代维单位现场对接，不得推诿、拖延。负责所辖范围内的日常养护、运行、管理工作。严格制定药剂配比制度，并根据污水排放量按小时及时调整，每半年提交一次次氯酸钠及其他药剂的第三方检测报告。提供的管理服务需符合国家和地方现行标准要求，出水水质满足《医疗机构水污染物排放标准》（GB18466-2005）中的预处理标准及《污水排入城镇下水道水质标准》（CJ 343-2010）要求。根据国家有关法律、法规，制定运营服务规章制度、岗位职责、操作规范、维修流程、应急预案、安全管理制度、年度工作计划，严格遵守医院规章制度及文件要求，按时参加会议、接受培训与考核，接受医院监督检查，配合医院完成迎检工作等。</w:t>
      </w:r>
    </w:p>
    <w:p w14:paraId="7B9C8983">
      <w:pPr>
        <w:spacing w:line="440" w:lineRule="exact"/>
        <w:ind w:firstLine="426"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2.氧气站房及供氧系统日常运行服务</w:t>
      </w:r>
      <w:r>
        <w:rPr>
          <w:rFonts w:hint="eastAsia" w:ascii="宋体" w:hAnsi="宋体" w:eastAsia="宋体" w:cs="宋体"/>
          <w:color w:val="000000"/>
          <w:kern w:val="2"/>
          <w:sz w:val="24"/>
          <w:szCs w:val="24"/>
          <w:highlight w:val="none"/>
          <w:lang w:val="en-US" w:eastAsia="zh-CN" w:bidi="ar-SA"/>
        </w:rPr>
        <w:t>：负责A区、B区、D区、E区、门诊、高原训练中心、瓶氧存放库房及液氧站内设施设备高低压表、安全阀的检测与更换，以及所有区域机房的氧气、空气、负压吸引、压缩空气管道和相关设施设备的运转维护、维修工作。提供6个月运维服务周期，待接到甲方告知终止氧气站运维服务时间为准。乙方需无条件配合甲方完成氧气站运维工作交接，配合第三方代维单位现场对接，不得推诿、拖延。</w:t>
      </w:r>
    </w:p>
    <w:p w14:paraId="6214C277">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3.综合维修：</w:t>
      </w:r>
    </w:p>
    <w:p w14:paraId="2A3BA9A8">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3.1水暖维修内容：要求执行24小时值班制度，接到跑水抢修任务后，第一时间组织人员抢修，保证24小时内恢复正常供水。负责上下水管线、用水设备的维修及更换；各类水表、截门的更换；管线的巡查；室内外管线的维修及小型管线更换；室内外下水管道的疏通及更换；化粪池及隔油池的清掏及疏通；各类提升泵及深井泵的保养及更换；各类铁架焊接工作。</w:t>
      </w:r>
    </w:p>
    <w:p w14:paraId="07747CDB">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3.2木工维修内容：负责东西院区所有门窗、桌椅、更衣柜的维修；各类窗帘、围帘轨道的维修及更换；各类木制设施钉装；各类锁具的修理及更换；所有门窗的修理。</w:t>
      </w:r>
    </w:p>
    <w:p w14:paraId="41353238">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3.3 瓦工维修内容：负责东西院区屋顶防水的修缮及小型防水更换；室内外墙面修补及粉刷；所有天沟的清理；损坏路面及各类沟井的修缮；室内外损坏墙砖地砖的修缮。</w:t>
      </w:r>
    </w:p>
    <w:p w14:paraId="0517D78D">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3.4空调维修服务：对东西院区所有分体空调、柜式空调、多联机空调，以及医用净化空调机组、新风机组、精密恒温恒湿空调、工业空调等进行日常巡检、清洗、维护保养等服务，需保障温湿度达标，防范院感风险。</w:t>
      </w:r>
    </w:p>
    <w:p w14:paraId="0705F6D6">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3.5低压电工维修内容：负责东西院区相关工作，要求执行24小时值班制度，承担低压线路、电机和电气设备的安装、修理、保养与巡查工作。</w:t>
      </w:r>
    </w:p>
    <w:p w14:paraId="7A541E3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3.6其它相关工作：编制相关维修物资申购计划；协助完成相关设备检修及验收，提出合理化建议；严格执行安防设备检查制度，定时对管辖范围内的消防器材、灭火器、安全出口、应急照明进行巡查、测试；每日巡检一次并做好记录；做好辖区内工作，配合卫生水暖、木工、瓦工三个工种完成各类维修，承接院内各部门临时性搬运清理等任务；完成相关临时和应急工作及简单维护保养。</w:t>
      </w:r>
    </w:p>
    <w:p w14:paraId="1EC86B6F">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3.7弱电线路硬件维修：负责医院网络通信、安防监控、医疗设备弱电系统的日常巡检与故障维修，保障手术室、ICU等关键区域设备稳定运行。</w:t>
      </w:r>
    </w:p>
    <w:p w14:paraId="7F2C7295">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3.8医废垃圾院内转运：每日前往各医疗科室，按照医院指定线路和地点及时回收、清运医疗废物至医院指定地点，完成高压灭菌消毒。负责医废垃圾的收集、分类、转运和处置，保障医废垃圾处理安全。</w:t>
      </w:r>
    </w:p>
    <w:p w14:paraId="1CC11DCE">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3.9院内微公交（摆渡车）运营服务：主要包括体检客人、住院患者的院内陪检、咨询服务；标本取送；医疗单据传送；带领新病人入病房、引领体检客人、院内零星搬家等服务；院内微公交（摆渡车）驾驶运营、乘客引导、车内保洁与定期消杀工作。车辆由采购人提供，乙方配备合格驾驶员，严格按照医院指定线路、时间运行，优先保障患者出行；驾驶员须持证上岗，遵守院内交通管理规定，做好车辆出车前后安全检查，妥善处置运营突发事件。因乙方操作、管理不当产生的安全责任由乙方承担，相关费用全部包含在物业服务总价内。</w:t>
      </w:r>
    </w:p>
    <w:p w14:paraId="5DE53515">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3.10垃圾分类</w:t>
      </w:r>
      <w:r>
        <w:rPr>
          <w:rFonts w:hint="eastAsia" w:ascii="宋体" w:hAnsi="宋体" w:cs="宋体"/>
          <w:color w:val="000000"/>
          <w:kern w:val="2"/>
          <w:sz w:val="24"/>
          <w:szCs w:val="24"/>
          <w:highlight w:val="none"/>
          <w:lang w:val="en-US" w:eastAsia="zh-CN" w:bidi="ar-SA"/>
        </w:rPr>
        <w:t>服务</w:t>
      </w:r>
      <w:r>
        <w:rPr>
          <w:rFonts w:hint="eastAsia" w:ascii="宋体" w:hAnsi="宋体" w:eastAsia="宋体" w:cs="宋体"/>
          <w:color w:val="000000"/>
          <w:kern w:val="2"/>
          <w:sz w:val="24"/>
          <w:szCs w:val="24"/>
          <w:highlight w:val="none"/>
          <w:lang w:val="en-US" w:eastAsia="zh-CN" w:bidi="ar-SA"/>
        </w:rPr>
        <w:t>：（垃圾清运由采购人统一安排）对东西院区</w:t>
      </w:r>
      <w:r>
        <w:rPr>
          <w:rFonts w:hint="eastAsia" w:ascii="宋体" w:hAnsi="宋体" w:cs="宋体"/>
          <w:color w:val="000000"/>
          <w:sz w:val="24"/>
          <w:szCs w:val="24"/>
          <w:highlight w:val="none"/>
          <w:lang w:eastAsia="zh-CN"/>
        </w:rPr>
        <w:t>生活垃圾、厨余垃圾、绿化垃圾、建筑垃圾</w:t>
      </w:r>
      <w:r>
        <w:rPr>
          <w:rFonts w:hint="eastAsia" w:ascii="宋体" w:hAnsi="宋体" w:eastAsia="宋体" w:cs="宋体"/>
          <w:color w:val="000000"/>
          <w:kern w:val="2"/>
          <w:sz w:val="24"/>
          <w:szCs w:val="24"/>
          <w:highlight w:val="none"/>
          <w:lang w:val="en-US" w:eastAsia="zh-CN" w:bidi="ar-SA"/>
        </w:rPr>
        <w:t>进行分类、收集和转运</w:t>
      </w:r>
      <w:r>
        <w:rPr>
          <w:rFonts w:hint="eastAsia" w:ascii="宋体" w:hAnsi="宋体" w:cs="宋体"/>
          <w:color w:val="000000"/>
          <w:kern w:val="2"/>
          <w:sz w:val="24"/>
          <w:szCs w:val="24"/>
          <w:highlight w:val="none"/>
          <w:lang w:val="en-US" w:eastAsia="zh-CN" w:bidi="ar-SA"/>
        </w:rPr>
        <w:t>至院内指定地点</w:t>
      </w:r>
      <w:r>
        <w:rPr>
          <w:rFonts w:hint="eastAsia" w:ascii="宋体" w:hAnsi="宋体" w:eastAsia="宋体" w:cs="宋体"/>
          <w:color w:val="000000"/>
          <w:kern w:val="2"/>
          <w:sz w:val="24"/>
          <w:szCs w:val="24"/>
          <w:highlight w:val="none"/>
          <w:lang w:val="en-US" w:eastAsia="zh-CN" w:bidi="ar-SA"/>
        </w:rPr>
        <w:t>，提高垃圾分类的准确性和效率。</w:t>
      </w:r>
    </w:p>
    <w:p w14:paraId="662C8A4C">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3.11体医融合中心服务：负责全馆日常接待工作、24小时值班，承担全馆水电消防安全巡查巡视、责任服务区的卫生打清扫、健身设备维护，每天工作时间8小时。</w:t>
      </w:r>
    </w:p>
    <w:p w14:paraId="6422E058">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服务标准</w:t>
      </w:r>
    </w:p>
    <w:p w14:paraId="62E20ED4">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1 污水站管理与服务</w:t>
      </w:r>
    </w:p>
    <w:p w14:paraId="7C0B7CA5">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1.1 负责污水处理站系统的日常运行、管理、维护、维修、检测和记录等工作，所有工作需符合国家及行业相关标准；</w:t>
      </w:r>
    </w:p>
    <w:p w14:paraId="7A7E270C">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1.2 负责污泥、栅渣的清掏、处理，所有工作需符合国家及行业相关标准；</w:t>
      </w:r>
    </w:p>
    <w:p w14:paraId="1918B96F">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1.3 负责采购污水处理站所需的药剂、净水剂、试剂等物资，相关费用由物业服务供应商承担。</w:t>
      </w:r>
    </w:p>
    <w:p w14:paraId="131AC1E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1.4 负责污水处理站药剂运输、储存、使用过程中的安全管理，以及设备运行操作的安全管理；</w:t>
      </w:r>
    </w:p>
    <w:p w14:paraId="14490E9C">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1.5 负责污水处理站、全院污水池及预处理设备的巡查、保养、维修工作；</w:t>
      </w:r>
    </w:p>
    <w:p w14:paraId="1915453D">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1.6 负责污水处理站所有运行记录、档案及资料的管理；</w:t>
      </w:r>
    </w:p>
    <w:p w14:paraId="58C50A0D">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 xml:space="preserve">1.7 负责污水处理站水质及尾气检测，检测项目及频次需满足北京市排污许可要求，检测所需相关费用已包含在合同总价中； </w:t>
      </w:r>
    </w:p>
    <w:p w14:paraId="47D5E697">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1.8 协助采购人办理排污许可证的复审工作，以及取得排污许可证后的管理工作（包括但不限于：平台维护、数据上报等），同时负责污水处理站在线监测系统的维护工作；</w:t>
      </w:r>
    </w:p>
    <w:p w14:paraId="2E39F15C">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1.9 因污水处理系统水质不达标造成的罚款，若属中标人责任，相关费用由中标人承担；</w:t>
      </w:r>
    </w:p>
    <w:p w14:paraId="49ADAD92">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1.10 完成医院临时安排的其他工作。</w:t>
      </w:r>
    </w:p>
    <w:p w14:paraId="65CEEBCD">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1.11 承担污泥清掏处置费用（即污水站每年进行一次清底）。</w:t>
      </w:r>
    </w:p>
    <w:p w14:paraId="35BB3C99">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1.12 相关人员需持证上岗，项目负责人每天在岗；白天保证≥2人在岗值守，晚上≥1人在岗值守(特殊情况安排2人值班)，实行365天×24小时（全年无休息日）在岗运维值守，值班电话及项目负责人通讯需24小时畅通。</w:t>
      </w:r>
    </w:p>
    <w:p w14:paraId="7A533449">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 氧气站房及供氧系统日常运行服务</w:t>
      </w:r>
    </w:p>
    <w:p w14:paraId="13BCAF42">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2.1 A区采用瓶装氧供氧方式供氧，床位不低于90张，需24小时随叫随到运送瓶氧。</w:t>
      </w:r>
    </w:p>
    <w:p w14:paraId="3389B10C">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2.2 B区负责不少于150张床位及配套设施治疗带底座的维护、楼层管道气体竖井的巡视检查；B区汇流排区域面积约50平方米，需每天打扫卫生一次，配置2组气体自动切换接口气瓶，每组10个气瓶；实行每天24小时值守，每3小时巡查一次，巡查项目包括：查看各个压力表数值是否处于安全范围、安全阀是否存在异常、机组运转声音是否异常；B区空气机房面积约50平方米，需每天打扫卫生一次，配置2组空压机设备，实行每天24小时值守，每3小时巡查一次，巡查项目包括：查看各个压力表数值是否处于安全范围、安全阀是否存在异常、机组运转声音是否异常；B区负压机房面积约45平方米，需每天打扫卫生一次，配置三组负压设备，实行每天24小时值守，每3小时巡查一次，巡查项目包括：查看各个压力表数值是否处于安全范围、安全阀是否存在异常、机组运转声音是否异常。（2020年启用，总计维修次数30余次）</w:t>
      </w:r>
    </w:p>
    <w:p w14:paraId="5E67F5FB">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2.3 D区病区汇流排面积10平方米，需每天打扫卫生一次，负责不少于110张床位及配套设施治疗带底座的维护；D区氧气机房配置四口单排汇流排、175升液氧储罐3组，同时使用3口，实行每天24小时值守，每3小时巡查一次；D区负压机房面积约11平方米，需每天打扫卫生一次，负责不少于15张床位及配套设施治疗带底座的维护。（D区因设计施工较早，病人使用呼吸机较为频繁，所有呼吸机均使用带压氧气，经常出现呼吸机报警氧压力不足、设备无法正常运转的情况，该区在特殊情况下采用瓶装氧供氧方式供氧，需24小时随叫随到运送瓶氧。）</w:t>
      </w:r>
    </w:p>
    <w:p w14:paraId="47C9055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2.4 E区使用瓶装氧供氧方式供氧，床位不低于120张，需24小时随叫随到运送瓶氧。</w:t>
      </w:r>
    </w:p>
    <w:p w14:paraId="4D0A29D1">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2.5 门诊使用瓶装氧供氧方式供氧，需24小时随叫随到运送瓶氧。</w:t>
      </w:r>
    </w:p>
    <w:p w14:paraId="42C20E8A">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2.6 高原训练中心使用瓶装氧供氧方式供氧，需24小时随叫随到运送瓶氧。</w:t>
      </w:r>
    </w:p>
    <w:p w14:paraId="54EFF91D">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2.7 瓶氧存放库房：所有瓶装氧存放区域面积约40平方米，需每天打扫一次；实行每天24小时值守，每3每小时巡查一次；检查库房及库房周边有无明火，是否存放易燃易爆危险物品；负责全院高低压表、安全阀的检测与更换（全院共有高低压表31块，每半年检验更换一次；设备安全阀33个，每年检验更换一次）。对全院瓶氧进行登记，详细记录发放更换情况。</w:t>
      </w:r>
    </w:p>
    <w:p w14:paraId="16354BD7">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2.8其他相关工作：为液氧站、高压氧舱（包括氧气、负压吸引、压缩空气管道、设备带及带上气体终端、电器部分、氧气站房内设备及管道、负压吸引站内设备及管道、压缩空气站内设备及管道）提供日常运行服务，制定相关气体申购计划；协助完成相关设备的检修及验收工作，提出合理化建议；严格执行安防设备检查制度，定时对污水站内消防器材、灭火器、安全出口、应急照明进行巡查、测试，每日巡检一次并做好记录；服从工作安排，完成相关临时、应急工作，开展简单维护保养。</w:t>
      </w:r>
    </w:p>
    <w:p w14:paraId="41B221FE">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2.9人员要求：熟悉中心供氧、中心吸氧系统，掌握中心供氧系统、中心吸引系统的操作知识及维修技能，持有快开门式压力容器操作证（R1），具备较高职业道德素质，顾全大局，遵守岗位规章制度，服从日常工作安排。实行24小时轮流值班，双人在岗，确保医用供气系统不间断运行。</w:t>
      </w:r>
    </w:p>
    <w:p w14:paraId="2C77BC55">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2.10制定系统事故应急操作、救援方案，并按方案组织演练，确保事故发生时能够及时快速反应，避免和减少损失。</w:t>
      </w:r>
    </w:p>
    <w:p w14:paraId="128D28AB">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2.11每天采集各供气系统的供气压力、设备运行监控等数据，详细记录备查；接受医院后勤主管部门监督，遵纪守法，严格依照医院规章制度，履行服务协议约定范围内的职责。</w:t>
      </w:r>
    </w:p>
    <w:p w14:paraId="0F11CFD1">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 综合维修服务</w:t>
      </w:r>
    </w:p>
    <w:p w14:paraId="32FA728C">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3.1给排水设施日常养护、维修</w:t>
      </w:r>
    </w:p>
    <w:p w14:paraId="4D6BBE2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对保障楼宇给水、污水设施正常使用开展日常养护维修，即对管道、管件、阀门、水嘴、卫生洁具、排水管、透气管及疏通、水封设备等的正常使用进行日常养护维修。根据水暖配件、土建道路、房屋办公室、屋面、窗玻璃、窗帘、铝合金门等的年均损耗量制定年度工作计划。</w:t>
      </w:r>
    </w:p>
    <w:p w14:paraId="4B1C42E9">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3.2加强日常检查巡视，保证给排水系统正常运行使用，防止跑、冒、滴、漏；</w:t>
      </w:r>
    </w:p>
    <w:p w14:paraId="6E9AD3D1">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3.3对室内外给排水系统的设备、设施，如水泵、水箱、气压给水装置、水处理设备、管道、管件、阀门、水嘴、卫生洁具、排水管等的正常运行使用进行日常养护；</w:t>
      </w:r>
    </w:p>
    <w:p w14:paraId="6119EC2E">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3.4定期对水箱进行清洗消毒；</w:t>
      </w:r>
    </w:p>
    <w:p w14:paraId="6CBFF26E">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3.5对供水系统管路、阀门等进行日常维护和定期检修；</w:t>
      </w:r>
    </w:p>
    <w:p w14:paraId="7C7729F4">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3.6定期对排水管道进行清通、养护及清除污垢，保证室内外排水系统畅通；</w:t>
      </w:r>
    </w:p>
    <w:p w14:paraId="597F73C5">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3.7设备出现故障时，维修人员应在20分钟内到达现场，零星维修合格率达到100%，一般性故障排除不过夜；</w:t>
      </w:r>
    </w:p>
    <w:p w14:paraId="2B2D89CF">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3.8定期检查院区化粪池、隔油池，发现沉淀池沉积物达到对应水位及时上报医院相关部门；</w:t>
      </w:r>
    </w:p>
    <w:p w14:paraId="7F279BC7">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3.9化粪池清掏消毒：定期和不定期对院区化粪池进行检查、及时清掏，保持化粪池通畅，严禁发生化粪池外溢。每半年对化粪池进行消毒；化粪池清掏后无明显异味，每半年至少开展1次清洁作业。</w:t>
      </w:r>
    </w:p>
    <w:p w14:paraId="34499032">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3.10配合医院做好节约用水工作，满足市政府规定的节水要求。</w:t>
      </w:r>
    </w:p>
    <w:p w14:paraId="3CA39266">
      <w:pPr>
        <w:spacing w:line="440" w:lineRule="exact"/>
        <w:ind w:firstLine="426"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4 空调设备维修维护</w:t>
      </w:r>
    </w:p>
    <w:p w14:paraId="0ED06A2A">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服务内容包含分体空调、柜式空调、多联机空调及医用净化空调机组、新风机组、精密恒温恒湿空调、工业空调的日常巡检、清洗、维护保养等。</w:t>
      </w:r>
    </w:p>
    <w:p w14:paraId="4279C1F3">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4.1维修工定期巡查检修，保障设备运行时室内无超标噪音和滴漏水现象；</w:t>
      </w:r>
    </w:p>
    <w:p w14:paraId="3014A9BE">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4.2空调系统防尘罩每年清洗一次，确保空调设备、设施处于良好运行状态；</w:t>
      </w:r>
    </w:p>
    <w:p w14:paraId="139C46D0">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4.3设备出现故障时，维修人员应在20分钟内到达现场，零星维修合格率达到100％，一般性维修24小时内完成。</w:t>
      </w:r>
    </w:p>
    <w:p w14:paraId="35C39197">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4.4 空调机组过滤器、底盘积尘检查频次为1次/月；盘管过滤网、翅片和托水盘积尘积水检查频次为3-4次/年；集中空调通风系统的管理责任人应建立卫生档案、卫生管理制度和应急预案。</w:t>
      </w:r>
    </w:p>
    <w:p w14:paraId="3E7B84B6">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5 水电木瓦等日常保障性维修</w:t>
      </w:r>
    </w:p>
    <w:p w14:paraId="439B1BB3">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包括对房屋建筑的日常养护维修；包括但不限于建筑物内外公共设施设备、门窗、桌椅、玻璃等的维修，办公家具维修、食堂设备维修、水电气暖日常运行中的零星维修，以及损坏零配件的更换。</w:t>
      </w:r>
    </w:p>
    <w:p w14:paraId="389E1971">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5.1房屋建筑的日常养护维修</w:t>
      </w:r>
    </w:p>
    <w:p w14:paraId="47984C36">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及时完成各项零星维修任务，零星维修合格率100%。遇有紧急修补需求，必须及时采取处置措施，一般维修响应处置不得超过24小时；</w:t>
      </w:r>
    </w:p>
    <w:p w14:paraId="064F0734">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对房屋共用部位进行日常管理和维修养护，检修记录和保养记录齐全；</w:t>
      </w:r>
    </w:p>
    <w:p w14:paraId="7AB10C89">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每日开展1次巡查，对本条款工作范围规定的区域进行巡检，发现建筑物破损及时记录并上报；</w:t>
      </w:r>
    </w:p>
    <w:p w14:paraId="2B80D71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爱护楼内设施，未经批准，不得改动楼宇结构、设施等；</w:t>
      </w:r>
    </w:p>
    <w:p w14:paraId="5AAD5C08">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大风、大雨、大雪、冰雹等恶劣天气条件下，增加日常巡视的次数与频率，建立相关应急预案和约束机制；</w:t>
      </w:r>
    </w:p>
    <w:p w14:paraId="4800EC66">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建立日常房屋维修、报修、巡检制度，负责零星维修的接报、工作任务分配、任务完成情况记录，制定每周巡检工作计划及定期检查计划，向医院报送工作月报、半年报、年报；</w:t>
      </w:r>
    </w:p>
    <w:p w14:paraId="7F8845A1">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保证建筑物屋面雨水排泄通畅。</w:t>
      </w:r>
    </w:p>
    <w:p w14:paraId="34419CD7">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5.2房屋土建及设备小修标准</w:t>
      </w:r>
    </w:p>
    <w:p w14:paraId="741A8D52">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急迫性小修项目包括：楼房厕浴间排污管道堵塞；室内给水系统小修、换管；烟道堵塞等；</w:t>
      </w:r>
    </w:p>
    <w:p w14:paraId="4FCC540E">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时限要求：自接到报修之时起20分钟到达现场。除急迫性小修外，其余零修项目均为维护性小修：自接到报修之日起，三日内处理或与服务对象预约修复日期。</w:t>
      </w:r>
    </w:p>
    <w:p w14:paraId="480BFE0D">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检修门窗：门窗框松动、门窗扇开关不灵活、小五金缺损的，应及时修补；质量标准：修复后的门窗应开关灵活不松动，框与墙体结合牢固，五金配件齐全；玻璃装钉牢固，窗纱绷紧，不露纱头。</w:t>
      </w:r>
    </w:p>
    <w:p w14:paraId="017B8A68">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清扫屋面、采光井、雨落管等：每年应清扫干净屋面、雨水口及采光井积存的杂物；雨落管局部残缺、破损应予以更换；质量标准：屋面、采光井应清扫干净，雨落管修缮后应补齐五金配件。</w:t>
      </w:r>
    </w:p>
    <w:p w14:paraId="3F41BD43">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5.3上下水系统小修标准</w:t>
      </w:r>
    </w:p>
    <w:p w14:paraId="0E04685B">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室内给水系统小修、局部换管：室内管道锈蚀脱皮的，应清理干净后做防锈处理；管道锈蚀严重的，予以更换；给水系统漏水的，应进行修理，漏水严重的予以更换，零件残缺的应予以补齐；质量标准：修缮后的给水系统畅通，部件配备齐全，无跑、冒、滴、漏现象，可正常使用。</w:t>
      </w:r>
    </w:p>
    <w:p w14:paraId="1B50D826">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卫生设备：卫生设备及配件残缺的应配齐，破损的应维修；质量标准：修缮后做到给排水畅通，各部位零件齐全、动作灵活、功能有效，无跑、冒、滴、漏现象，可正常使用。</w:t>
      </w:r>
    </w:p>
    <w:p w14:paraId="686D2558">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排水管道、化粪池，检查井等：楼房排污管道堵塞、排污不畅通的应疏通；化粪池、隔油池、检查井满溢或积存较多污物影响使用的，应疏通或清掏，配件残缺应补齐。质量标准：楼房排污管道疏通后，排污保持畅通、不滴水；化粪池、检查井满溢清掏应清除全部污物，化粪池、检查井局部损坏的应修复，保证井体、池体、井圈、井盖、池盖完好。</w:t>
      </w:r>
    </w:p>
    <w:p w14:paraId="25E0F2AD">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5.4低压电气设备维修标准</w:t>
      </w:r>
    </w:p>
    <w:p w14:paraId="014CD306">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严格遵守部颁电路技术规程与安全规程，保证安全供电，保障电气设备正常运转。每天巡查院内供电设备情况，发现故障及时维修，维修后及时清理工作现场。接到报修任务，做到随叫随到，当日必须排除故障。严格遵守电工操作规程，按照规范作业，定期对低压配电间、低压用电设备、发电机等进行巡视、清洁，做好防火、防潮工作，防范事故发生。对临时性、季节性使用的用电设备加强巡视，做好相关记录。遇紧急维修任务，维修人员接到通知后20分钟内到达现场。</w:t>
      </w:r>
    </w:p>
    <w:p w14:paraId="5739C0D3">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6医废垃圾院内转运</w:t>
      </w:r>
    </w:p>
    <w:p w14:paraId="3133C483">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6.1医废垃圾院内转运要求</w:t>
      </w:r>
    </w:p>
    <w:p w14:paraId="6A3CDF7F">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6.2医疗垃圾的清运必须指定专人，做好专业防护，佩戴专用手套、帽子，穿隔离衣，按照采购人规定的时间、路线及操作规程开展工作。</w:t>
      </w:r>
    </w:p>
    <w:p w14:paraId="767B5B72">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6.3运送人员在运送医疗废物前，应检查包装袋或容器的标识、标签及封口是否符合要求，不得将不符合要求的医疗废物运送至暂时储存地点。</w:t>
      </w:r>
    </w:p>
    <w:p w14:paraId="5687F9E8">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6.4运送医疗废物应当使用防渗漏、防遗撒、无锐利边角、易于装卸和清洁的专用运送工具。</w:t>
      </w:r>
    </w:p>
    <w:p w14:paraId="535571DC">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6.5每日运送工工作结束后，应当对运送工具进行清洁和消毒。</w:t>
      </w:r>
    </w:p>
    <w:p w14:paraId="3E7C2F80">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6.6隔离的传染病人产生的感染性废物应当使用双层包装物，并及时封存。</w:t>
      </w:r>
    </w:p>
    <w:p w14:paraId="751082F7">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6.7包装袋内的废物不应超过袋子容量的3/4，需包扎完好，每个包装袋或容器上应标明废物产生单位、产生日期、主要内容物、运送目的地及特别说明。</w:t>
      </w:r>
    </w:p>
    <w:p w14:paraId="6048356A">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6.8医疗垃圾站的管理</w:t>
      </w:r>
    </w:p>
    <w:p w14:paraId="2CCA5C17">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6.8.1严格遵守医疗废物管理相关法规和规定，每日前往医疗科室，按照医院指定的线路、地点，及时回收、清运各科室医疗废物。不准随便乱堆、乱放、乱倒，不准混装、混倒医疗废物。</w:t>
      </w:r>
    </w:p>
    <w:p w14:paraId="639A6175">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6.8.2清运医疗废物前需做好必要的防护准备，落实保护措施，必须穿工作服，戴帽子、口罩、防刺手套，做到勤洗手、勤洗衣、勤消毒。</w:t>
      </w:r>
    </w:p>
    <w:p w14:paraId="59DE683D">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6.8.3到科室或病房清运医疗废物，必须与护士长或当班护士（现场工作主管人员）双方确认废物数量、标签和标识是否明确。确认准确无误后，双方签字确认。</w:t>
      </w:r>
    </w:p>
    <w:p w14:paraId="47ABCD89">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6.8.4清运医疗废物要使用专业周转箱进行封闭装运，不得遗撒、暴露和污染环境。运输车辆实行专人专管，不准随便转借、转让、换人或挪作他用。车辆行驶前必须先行检查，确保无故障行车。发现问题，应及时修理或汇报主管领导解决。</w:t>
      </w:r>
    </w:p>
    <w:p w14:paraId="1B9F0F84">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6.8.5清运回的医疗废物应及时放入医疗废物贮存室，不得随意在室外堆放或丢弃，严禁向外转运和倒卖医疗废物。</w:t>
      </w:r>
    </w:p>
    <w:p w14:paraId="296C8F4B">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6.8.6熟练掌握应急预案，发生污染时需及时启动相应预案。如发现包装破损、渗漏，应立即加袋封装或采取严格的补救措施。使用过的手套、帽子、口罩等用品应一同视为医疗废物，放入医疗废物包装袋中处理。</w:t>
      </w:r>
    </w:p>
    <w:p w14:paraId="5658EC41">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6.8.7贮存间、工作场所均应随时清理、冲刷和消毒，清运车辆、工具使用后都要进行清洗、消毒。</w:t>
      </w:r>
    </w:p>
    <w:p w14:paraId="7A89813B">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6.8.8严格遵守操作规程，避免身体直接接触垃圾袋，谨防利器擦伤。发生擦伤及意外后，应及时上报有关领导并前往门、急诊诊治，随后到感染管理科进行上报登记。</w:t>
      </w:r>
    </w:p>
    <w:p w14:paraId="48D9C745">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6.8.9清运人员必须遵守各项交通规则和国家法律法规，装运行驶要做到一看、二慢、三通过，坚持宁停三分不抢一秒。</w:t>
      </w:r>
    </w:p>
    <w:p w14:paraId="36510109">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6.8.10不得回收存放易燃易爆等危险品。发现化学、放射、腐蚀等危险品应及时上报主管领导或保卫处进行处理。</w:t>
      </w:r>
    </w:p>
    <w:p w14:paraId="53FD2616">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6.8.11不准在室内吸烟，做到人走断电拔插销，关好门窗上好锁，贮存间要随走随上锁，确保医疗废物不丢失、不外流、不污染环境。坚持每日早晚岗位自检、自查、自纠制度。</w:t>
      </w:r>
    </w:p>
    <w:p w14:paraId="20EFB598">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6.8.12医疗废物需按照国家规定交给有资质的指定单位处置。医疗废物交接应及时，做到日产日清，对清运交接的具体种类和数据，要有准确的文字记录和签字交接手续，严格进行清点、检斤过称，交接凭证记录手续必须保存三年。</w:t>
      </w:r>
      <w:bookmarkStart w:id="2" w:name="_Toc360518103"/>
      <w:bookmarkStart w:id="3" w:name="_Toc472846646"/>
    </w:p>
    <w:p w14:paraId="79F5B09D">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6.8.13负责医疗垃圾的收集、运送至院内暂存处，提供消耗品和医疗垃圾袋（其中锐器盒由医院提供）。</w:t>
      </w:r>
      <w:bookmarkEnd w:id="2"/>
      <w:bookmarkEnd w:id="3"/>
    </w:p>
    <w:p w14:paraId="36EE95CC">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6.8.14处理突发事件应急能力</w:t>
      </w:r>
    </w:p>
    <w:p w14:paraId="45586A72">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6.8.14.1当发生医疗垃圾泄漏事件时，应能启动相关应急预案做好泄漏区域的消毒处置，同时报告医院总务处和感控处并填写登记表。</w:t>
      </w:r>
    </w:p>
    <w:p w14:paraId="3281362F">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6.8.14.2当清运医疗垃圾发生锐器意外刺伤时，应能启动相关应急预案进行初步处理，同时报告医院总务处和感控处并填写登记表。</w:t>
      </w:r>
    </w:p>
    <w:p w14:paraId="7EFB5EF6">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6.8.14.3当发生重大事件时，应能及时向医院总务处和感控处报告，并及时协调应对，确保本部门工作有序开展，为医疗环境提供保障。</w:t>
      </w:r>
    </w:p>
    <w:p w14:paraId="6038D637">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6.8.14.4对医院废弃物的处置按照院感规定的标准执行，落实消毒隔离规定，做到有制度、有标准、有措施。</w:t>
      </w:r>
    </w:p>
    <w:p w14:paraId="14847B09">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7.院内微公交（摆渡车）运营服务</w:t>
      </w:r>
      <w:r>
        <w:rPr>
          <w:rFonts w:hint="eastAsia" w:ascii="宋体" w:hAnsi="宋体" w:cs="宋体"/>
          <w:b/>
          <w:bCs/>
          <w:color w:val="000000"/>
          <w:kern w:val="2"/>
          <w:sz w:val="24"/>
          <w:szCs w:val="24"/>
          <w:highlight w:val="none"/>
          <w:lang w:val="en-US" w:eastAsia="zh-CN" w:bidi="ar-SA"/>
        </w:rPr>
        <w:t>（仅限院区内部道路行驶，不上市政道路）</w:t>
      </w:r>
    </w:p>
    <w:p w14:paraId="11FA319B">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7.1按照</w:t>
      </w:r>
      <w:r>
        <w:rPr>
          <w:rFonts w:hint="eastAsia" w:ascii="宋体" w:hAnsi="宋体" w:cs="宋体"/>
          <w:color w:val="000000"/>
          <w:kern w:val="2"/>
          <w:sz w:val="24"/>
          <w:szCs w:val="24"/>
          <w:highlight w:val="none"/>
          <w:lang w:val="en-US" w:eastAsia="zh-CN" w:bidi="ar-SA"/>
        </w:rPr>
        <w:t>院内微公交（摆渡车）</w:t>
      </w:r>
      <w:r>
        <w:rPr>
          <w:rFonts w:hint="eastAsia" w:ascii="宋体" w:hAnsi="宋体" w:eastAsia="宋体" w:cs="宋体"/>
          <w:color w:val="000000"/>
          <w:kern w:val="2"/>
          <w:sz w:val="24"/>
          <w:szCs w:val="24"/>
          <w:highlight w:val="none"/>
          <w:lang w:val="en-US" w:eastAsia="zh-CN" w:bidi="ar-SA"/>
        </w:rPr>
        <w:t>用车部门的要求，将病人安全转运到目的地。转运车司机应当遵守采购人各项规定，按照采购人规定的行车路线和速度行驶。</w:t>
      </w:r>
    </w:p>
    <w:p w14:paraId="342454C9">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7.2未经采购人同意不得擅自更改车辆用途，否则供应商将失去车辆的使用权。</w:t>
      </w:r>
    </w:p>
    <w:p w14:paraId="558E18E7">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7.3车辆在使用期间所产生的任何费用由供应商自行承担。</w:t>
      </w:r>
    </w:p>
    <w:p w14:paraId="1AD887B4">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7.4供应商在使用此车辆期间，承担所有交通责任事故的全部责任。</w:t>
      </w:r>
    </w:p>
    <w:p w14:paraId="434E6E7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7.5该车辆使用期间发生交通事故，由交通部门确认事故责任：若因供应商责任导致所使用车辆受损，且保险无法承担或报销相关损失的，由</w:t>
      </w:r>
      <w:r>
        <w:rPr>
          <w:rFonts w:hint="eastAsia" w:ascii="宋体" w:hAnsi="宋体" w:eastAsia="宋体" w:cs="宋体"/>
          <w:b w:val="0"/>
          <w:bCs w:val="0"/>
          <w:color w:val="000000"/>
          <w:sz w:val="24"/>
          <w:szCs w:val="24"/>
          <w:highlight w:val="none"/>
          <w:lang w:val="en-US" w:eastAsia="zh-CN"/>
        </w:rPr>
        <w:t>供应商</w:t>
      </w:r>
      <w:r>
        <w:rPr>
          <w:rFonts w:hint="eastAsia" w:ascii="宋体" w:hAnsi="宋体" w:eastAsia="宋体" w:cs="宋体"/>
          <w:color w:val="000000"/>
          <w:kern w:val="2"/>
          <w:sz w:val="24"/>
          <w:szCs w:val="24"/>
          <w:highlight w:val="none"/>
          <w:lang w:val="en-US" w:eastAsia="zh-CN" w:bidi="ar-SA"/>
        </w:rPr>
        <w:t>承担该损失；若因</w:t>
      </w:r>
      <w:r>
        <w:rPr>
          <w:rFonts w:hint="eastAsia" w:ascii="宋体" w:hAnsi="宋体" w:eastAsia="宋体" w:cs="宋体"/>
          <w:b w:val="0"/>
          <w:bCs w:val="0"/>
          <w:color w:val="000000"/>
          <w:sz w:val="24"/>
          <w:szCs w:val="24"/>
          <w:highlight w:val="none"/>
          <w:lang w:val="en-US" w:eastAsia="zh-CN"/>
        </w:rPr>
        <w:t>供应商</w:t>
      </w:r>
      <w:r>
        <w:rPr>
          <w:rFonts w:hint="eastAsia" w:ascii="宋体" w:hAnsi="宋体" w:eastAsia="宋体" w:cs="宋体"/>
          <w:color w:val="000000"/>
          <w:kern w:val="2"/>
          <w:sz w:val="24"/>
          <w:szCs w:val="24"/>
          <w:highlight w:val="none"/>
          <w:lang w:val="en-US" w:eastAsia="zh-CN" w:bidi="ar-SA"/>
        </w:rPr>
        <w:t>责任导致第三方受损，且保险无法承担或报销相关损失的，同样由</w:t>
      </w:r>
      <w:r>
        <w:rPr>
          <w:rFonts w:hint="eastAsia" w:ascii="宋体" w:hAnsi="宋体" w:eastAsia="宋体" w:cs="宋体"/>
          <w:b w:val="0"/>
          <w:bCs w:val="0"/>
          <w:color w:val="000000"/>
          <w:sz w:val="24"/>
          <w:szCs w:val="24"/>
          <w:highlight w:val="none"/>
          <w:lang w:val="en-US" w:eastAsia="zh-CN"/>
        </w:rPr>
        <w:t>供应商</w:t>
      </w:r>
      <w:r>
        <w:rPr>
          <w:rFonts w:hint="eastAsia" w:ascii="宋体" w:hAnsi="宋体" w:eastAsia="宋体" w:cs="宋体"/>
          <w:color w:val="000000"/>
          <w:kern w:val="2"/>
          <w:sz w:val="24"/>
          <w:szCs w:val="24"/>
          <w:highlight w:val="none"/>
          <w:lang w:val="en-US" w:eastAsia="zh-CN" w:bidi="ar-SA"/>
        </w:rPr>
        <w:t>承担。</w:t>
      </w:r>
    </w:p>
    <w:p w14:paraId="6CEDCA91">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7.6</w:t>
      </w:r>
      <w:r>
        <w:rPr>
          <w:rFonts w:hint="eastAsia" w:ascii="宋体" w:hAnsi="宋体" w:eastAsia="宋体" w:cs="宋体"/>
          <w:b w:val="0"/>
          <w:bCs w:val="0"/>
          <w:color w:val="000000"/>
          <w:sz w:val="24"/>
          <w:szCs w:val="24"/>
          <w:highlight w:val="none"/>
          <w:lang w:val="en-US" w:eastAsia="zh-CN"/>
        </w:rPr>
        <w:t>供应商</w:t>
      </w:r>
      <w:r>
        <w:rPr>
          <w:rFonts w:hint="eastAsia" w:ascii="宋体" w:hAnsi="宋体" w:eastAsia="宋体" w:cs="宋体"/>
          <w:color w:val="000000"/>
          <w:kern w:val="2"/>
          <w:sz w:val="24"/>
          <w:szCs w:val="24"/>
          <w:highlight w:val="none"/>
          <w:lang w:val="en-US" w:eastAsia="zh-CN" w:bidi="ar-SA"/>
        </w:rPr>
        <w:t>在合同期内不得私自将该车辆转借、转租、转让给他人。</w:t>
      </w:r>
    </w:p>
    <w:p w14:paraId="6DE3B000">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7.7转运轮椅患者的车辆仅用于门诊、病房患者的陪检服务。</w:t>
      </w:r>
    </w:p>
    <w:p w14:paraId="2E3DB966">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7.8所有电瓶车行驶速度不得高于5英里/小时。</w:t>
      </w:r>
    </w:p>
    <w:p w14:paraId="3E5C11A5">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7.9所有电瓶车仅限在北京小汤山医院院区内使用。</w:t>
      </w:r>
    </w:p>
    <w:p w14:paraId="782A4DF5">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7.10针对可转运轮椅患者的转运车，</w:t>
      </w:r>
      <w:r>
        <w:rPr>
          <w:rFonts w:hint="eastAsia" w:ascii="宋体" w:hAnsi="宋体" w:eastAsia="宋体" w:cs="宋体"/>
          <w:b w:val="0"/>
          <w:bCs w:val="0"/>
          <w:color w:val="000000"/>
          <w:sz w:val="24"/>
          <w:szCs w:val="24"/>
          <w:highlight w:val="none"/>
          <w:lang w:val="en-US" w:eastAsia="zh-CN"/>
        </w:rPr>
        <w:t>供应商</w:t>
      </w:r>
      <w:r>
        <w:rPr>
          <w:rFonts w:hint="eastAsia" w:ascii="宋体" w:hAnsi="宋体" w:eastAsia="宋体" w:cs="宋体"/>
          <w:color w:val="000000"/>
          <w:kern w:val="2"/>
          <w:sz w:val="24"/>
          <w:szCs w:val="24"/>
          <w:highlight w:val="none"/>
          <w:lang w:val="en-US" w:eastAsia="zh-CN" w:bidi="ar-SA"/>
        </w:rPr>
        <w:t>应严格按照采购人相关部门要求，保证行驶速度和路线符合采购人规定，如发现违规，将酌情予以处罚。</w:t>
      </w:r>
    </w:p>
    <w:p w14:paraId="15E5273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7.11驾驶车辆的司机必须持有机动车驾驶证。电瓶车须在采购人指定位置充电，充电时必须有人看管。</w:t>
      </w:r>
    </w:p>
    <w:p w14:paraId="2F96A0C9">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7.12合同到期后，采购人检查车辆现状，除正常磨损外，所有故障均由</w:t>
      </w:r>
      <w:r>
        <w:rPr>
          <w:rFonts w:hint="eastAsia" w:ascii="宋体" w:hAnsi="宋体" w:eastAsia="宋体" w:cs="宋体"/>
          <w:b w:val="0"/>
          <w:bCs w:val="0"/>
          <w:color w:val="000000"/>
          <w:sz w:val="24"/>
          <w:szCs w:val="24"/>
          <w:highlight w:val="none"/>
          <w:lang w:val="en-US" w:eastAsia="zh-CN"/>
        </w:rPr>
        <w:t>供应商</w:t>
      </w:r>
      <w:r>
        <w:rPr>
          <w:rFonts w:hint="eastAsia" w:ascii="宋体" w:hAnsi="宋体" w:eastAsia="宋体" w:cs="宋体"/>
          <w:color w:val="000000"/>
          <w:kern w:val="2"/>
          <w:sz w:val="24"/>
          <w:szCs w:val="24"/>
          <w:highlight w:val="none"/>
          <w:lang w:val="en-US" w:eastAsia="zh-CN" w:bidi="ar-SA"/>
        </w:rPr>
        <w:t>负责修复后，如期归还采购人。</w:t>
      </w:r>
    </w:p>
    <w:p w14:paraId="49956FFD">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8 东西院区垃圾分类工作</w:t>
      </w:r>
      <w:r>
        <w:rPr>
          <w:rFonts w:hint="eastAsia" w:ascii="宋体" w:hAnsi="宋体" w:cs="宋体"/>
          <w:color w:val="000000"/>
          <w:sz w:val="24"/>
          <w:szCs w:val="24"/>
          <w:highlight w:val="none"/>
          <w:lang w:eastAsia="zh-CN"/>
        </w:rPr>
        <w:t>（包含生活垃圾、厨余垃圾、绿化垃圾、建筑垃圾）</w:t>
      </w:r>
      <w:r>
        <w:rPr>
          <w:rFonts w:hint="eastAsia" w:ascii="宋体" w:hAnsi="宋体" w:eastAsia="宋体" w:cs="宋体"/>
          <w:b/>
          <w:bCs/>
          <w:color w:val="000000"/>
          <w:kern w:val="2"/>
          <w:sz w:val="24"/>
          <w:szCs w:val="24"/>
          <w:highlight w:val="none"/>
          <w:lang w:val="en-US" w:eastAsia="zh-CN" w:bidi="ar-SA"/>
        </w:rPr>
        <w:t>：</w:t>
      </w:r>
    </w:p>
    <w:p w14:paraId="6990AFCD">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8.1东西院区室内外垃圾桶外观无污渍，桶内垃圾无满溢。</w:t>
      </w:r>
    </w:p>
    <w:p w14:paraId="32A56368">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8.2东西院区需按垃圾分类标准管理垃圾桶。</w:t>
      </w:r>
    </w:p>
    <w:p w14:paraId="21C1647B">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8.3东西院区需做好垃圾分类清运记录。</w:t>
      </w:r>
    </w:p>
    <w:p w14:paraId="35A99784">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8.4东西院区需定期冲洗垃圾桶。</w:t>
      </w:r>
    </w:p>
    <w:p w14:paraId="692106B6">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8.5负责西院区垃圾分类桶站的值守工作。</w:t>
      </w:r>
    </w:p>
    <w:p w14:paraId="307A994E">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8.6工作人员需掌握垃圾分类知识，确保生活垃圾桶干净整洁，垃圾投放分类正确。</w:t>
      </w:r>
    </w:p>
    <w:p w14:paraId="4BA44917">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8.7配合采购人完成垃圾分类其他相关工作。</w:t>
      </w:r>
    </w:p>
    <w:p w14:paraId="559938CF">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9 体医融合中心服务</w:t>
      </w:r>
    </w:p>
    <w:p w14:paraId="2548A989">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9.1负责全馆日常接待工作</w:t>
      </w:r>
    </w:p>
    <w:p w14:paraId="60622874">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9.2执行24小时值班制度，开展全馆水电消防安全检查巡视</w:t>
      </w:r>
    </w:p>
    <w:p w14:paraId="22CEFDB9">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9.3负责责任服务区的卫生清扫，以及健身设备维护工作</w:t>
      </w:r>
    </w:p>
    <w:p w14:paraId="01B7AD13">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9.4每日工作时长为8小时</w:t>
      </w:r>
    </w:p>
    <w:p w14:paraId="69153783">
      <w:pPr>
        <w:spacing w:line="440" w:lineRule="exact"/>
        <w:ind w:firstLine="426" w:firstLineChars="177"/>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10.其他说明</w:t>
      </w:r>
    </w:p>
    <w:p w14:paraId="15180D51">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10.1承包方工作人员的住宿、就餐、医疗、工伤、意外保险、治安等问题由物业公司自行解决，与采购人无任何关系。</w:t>
      </w:r>
    </w:p>
    <w:p w14:paraId="516B041B">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10.2承包方日常维修所需物料须符合国家及行业标准，满足设备安全运行要求，更换物料应匹配原设备技术参数；无法匹配原技术参数的，须经采购人同意后方可</w:t>
      </w:r>
      <w:r>
        <w:rPr>
          <w:rFonts w:hint="eastAsia" w:ascii="宋体" w:hAnsi="宋体" w:cs="宋体"/>
          <w:color w:val="000000"/>
          <w:kern w:val="2"/>
          <w:sz w:val="24"/>
          <w:szCs w:val="24"/>
          <w:highlight w:val="none"/>
          <w:lang w:val="en-US" w:eastAsia="zh-CN" w:bidi="ar-SA"/>
        </w:rPr>
        <w:t>。</w:t>
      </w:r>
    </w:p>
    <w:p w14:paraId="60DEFA32">
      <w:pPr>
        <w:spacing w:line="440" w:lineRule="exact"/>
        <w:ind w:firstLine="424" w:firstLineChars="177"/>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10.3承包方的工作人员必须统一着装，服从医院日常临时工作安排。</w:t>
      </w:r>
    </w:p>
    <w:p w14:paraId="0BBAC9B5">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10.4承包方的工作人员必须遵守医院各项规章制度，严禁工作人员进入与本职工作无关的区域、动用无关物品。</w:t>
      </w:r>
    </w:p>
    <w:p w14:paraId="4538F6EE">
      <w:pPr>
        <w:spacing w:line="440" w:lineRule="exact"/>
        <w:ind w:firstLine="424" w:firstLineChars="177"/>
        <w:rPr>
          <w:rFonts w:hint="eastAsia" w:ascii="宋体" w:hAnsi="宋体" w:eastAsia="宋体" w:cs="宋体"/>
          <w:sz w:val="24"/>
          <w:szCs w:val="24"/>
          <w:highlight w:val="none"/>
          <w:lang w:eastAsia="zh-CN"/>
        </w:rPr>
      </w:pPr>
      <w:r>
        <w:rPr>
          <w:rFonts w:hint="eastAsia" w:ascii="宋体" w:hAnsi="宋体" w:eastAsia="宋体" w:cs="宋体"/>
          <w:color w:val="000000"/>
          <w:kern w:val="2"/>
          <w:sz w:val="24"/>
          <w:szCs w:val="24"/>
          <w:highlight w:val="none"/>
          <w:lang w:val="en-US" w:eastAsia="zh-CN" w:bidi="ar-SA"/>
        </w:rPr>
        <w:t>10.5以上设备运行及维修维护要求，是依据采购人现有运行状态制定，如遇疫情、其他突发性公共卫生事件，或采购人医疗任务调整，可根据具体情况进行增减，具体安排由采购人决定。</w:t>
      </w:r>
    </w:p>
    <w:p w14:paraId="3D9BDBF2">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 xml:space="preserve"> </w:t>
      </w:r>
      <w:r>
        <w:rPr>
          <w:rFonts w:hint="eastAsia" w:ascii="宋体" w:hAnsi="宋体" w:cs="宋体"/>
          <w:color w:val="000000"/>
          <w:kern w:val="2"/>
          <w:sz w:val="24"/>
          <w:szCs w:val="24"/>
          <w:highlight w:val="none"/>
          <w:lang w:val="en-US" w:eastAsia="zh-CN" w:bidi="ar-SA"/>
        </w:rPr>
        <w:t>七、信用要求：</w:t>
      </w:r>
    </w:p>
    <w:p w14:paraId="68EE46BD">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投标人或报价人承诺投标或报价截止日前3年内未发生以下事项：</w:t>
      </w:r>
    </w:p>
    <w:p w14:paraId="5A16C809">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1.在招标（交易发起）文件规定的投标（交易响应）截止日起的投标（交易响应）有效期内撤销其投标（交易响应）的；</w:t>
      </w:r>
    </w:p>
    <w:p w14:paraId="3B4A83BC">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2.因供应商自身原因或其他客观情况造成合同履约超期，或经过采购人催告后仍故意或拒绝履行合同义务的；</w:t>
      </w:r>
    </w:p>
    <w:p w14:paraId="010ADFAE">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3.因供应商其自身严重或持续的履约缺陷，导致合同被提前终止、索赔或其他类似制裁的；</w:t>
      </w:r>
    </w:p>
    <w:p w14:paraId="584BA133">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4.存在拖欠工资的；</w:t>
      </w:r>
    </w:p>
    <w:p w14:paraId="51BA0B11">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5.存在《京津冀政府采购负面行为清单》（冀财采〔2024〕18号）规定的供应商负面行为的：</w:t>
      </w:r>
    </w:p>
    <w:p w14:paraId="252B0675">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（1）具有关联或存在利益冲突的供应商违规参加同一政府采购项目；</w:t>
      </w:r>
    </w:p>
    <w:p w14:paraId="4C010DA7">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（2）供应商不公平竞争；</w:t>
      </w:r>
    </w:p>
    <w:p w14:paraId="06C9B612">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（3）供应商恶意串通；</w:t>
      </w:r>
    </w:p>
    <w:p w14:paraId="2B86C978">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（4）其他串通行为；</w:t>
      </w:r>
    </w:p>
    <w:p w14:paraId="2A0776EE">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（5）未按规定签订合同；</w:t>
      </w:r>
    </w:p>
    <w:p w14:paraId="700BB034">
      <w:pPr>
        <w:widowControl w:val="0"/>
        <w:numPr>
          <w:ilvl w:val="0"/>
          <w:numId w:val="0"/>
        </w:numPr>
        <w:spacing w:line="560" w:lineRule="exact"/>
        <w:ind w:firstLine="480" w:firstLineChars="200"/>
        <w:jc w:val="left"/>
        <w:rPr>
          <w:rFonts w:hint="eastAsia" w:ascii="宋体" w:hAnsi="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（6）未按规定履行合同；</w:t>
      </w:r>
    </w:p>
    <w:p w14:paraId="72F00191">
      <w:pPr>
        <w:widowControl w:val="0"/>
        <w:numPr>
          <w:ilvl w:val="0"/>
          <w:numId w:val="0"/>
        </w:numPr>
        <w:spacing w:line="560" w:lineRule="exact"/>
        <w:ind w:firstLine="480" w:firstLineChars="200"/>
        <w:jc w:val="left"/>
        <w:rPr>
          <w:rFonts w:hint="eastAsia" w:ascii="宋体" w:hAnsi="宋体" w:eastAsia="宋体" w:cs="宋体"/>
          <w:color w:val="000000"/>
          <w:kern w:val="2"/>
          <w:sz w:val="24"/>
          <w:szCs w:val="24"/>
          <w:highlight w:val="none"/>
          <w:lang w:val="en-US" w:eastAsia="zh-CN" w:bidi="ar-SA"/>
        </w:rPr>
      </w:pPr>
      <w:r>
        <w:rPr>
          <w:rFonts w:hint="eastAsia" w:ascii="宋体" w:hAnsi="宋体" w:cs="宋体"/>
          <w:color w:val="000000"/>
          <w:kern w:val="2"/>
          <w:sz w:val="24"/>
          <w:szCs w:val="24"/>
          <w:highlight w:val="none"/>
          <w:lang w:val="en-US" w:eastAsia="zh-CN" w:bidi="ar-SA"/>
        </w:rPr>
        <w:t>（7）在监督检查和投诉处理中提供虚假材料。</w:t>
      </w:r>
    </w:p>
    <w:p w14:paraId="01EA39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30D09"/>
    <w:multiLevelType w:val="singleLevel"/>
    <w:tmpl w:val="A8E30D09"/>
    <w:lvl w:ilvl="0" w:tentative="0">
      <w:start w:val="1"/>
      <w:numFmt w:val="decimal"/>
      <w:suff w:val="nothing"/>
      <w:lvlText w:val="%1、"/>
      <w:lvlJc w:val="left"/>
    </w:lvl>
  </w:abstractNum>
  <w:abstractNum w:abstractNumId="1">
    <w:nsid w:val="523C350D"/>
    <w:multiLevelType w:val="singleLevel"/>
    <w:tmpl w:val="523C350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0C1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Body text|1"/>
    <w:basedOn w:val="1"/>
    <w:qFormat/>
    <w:uiPriority w:val="0"/>
    <w:pPr>
      <w:adjustRightInd/>
      <w:spacing w:line="437" w:lineRule="auto"/>
      <w:ind w:firstLine="400"/>
      <w:jc w:val="both"/>
      <w:textAlignment w:val="auto"/>
    </w:pPr>
    <w:rPr>
      <w:rFonts w:ascii="宋体" w:hAnsi="宋体" w:cs="宋体"/>
      <w:kern w:val="2"/>
      <w:sz w:val="22"/>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2026-09-11T06:23:55Z</dcterms:created>
  <dc:creator>luozhao</dc:creator>
  <cp:lastModifiedBy>LZ</cp:lastModifiedBy>
  <dcterms:modified xsi:type="dcterms:W3CDTF">2026-09-11T06:24:32Z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17AC184076EF40B1BB9D2471D7AAE050_12</vt:lpwstr>
  </property>
</Properties>
</file>