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EF1C7">
      <w:pPr>
        <w:spacing w:line="360" w:lineRule="auto"/>
        <w:jc w:val="center"/>
        <w:outlineLvl w:val="0"/>
        <w:rPr>
          <w:b/>
          <w:color w:val="auto"/>
          <w:sz w:val="36"/>
          <w:szCs w:val="36"/>
          <w:highlight w:val="none"/>
        </w:rPr>
      </w:pPr>
      <w:bookmarkStart w:id="0" w:name="_Toc99301424"/>
      <w:r>
        <w:rPr>
          <w:b/>
          <w:color w:val="auto"/>
          <w:sz w:val="36"/>
          <w:szCs w:val="36"/>
          <w:highlight w:val="none"/>
        </w:rPr>
        <w:t>第五章   采购需求</w:t>
      </w:r>
      <w:bookmarkEnd w:id="0"/>
    </w:p>
    <w:p w14:paraId="1F9848F9">
      <w:pPr>
        <w:adjustRightInd w:val="0"/>
        <w:spacing w:line="360" w:lineRule="auto"/>
        <w:jc w:val="left"/>
        <w:textAlignment w:val="baseline"/>
        <w:rPr>
          <w:rFonts w:ascii="仿宋_GB2312" w:hAnsi="仿宋_GB2312" w:eastAsia="仿宋_GB2312" w:cs="仿宋_GB2312"/>
          <w:b/>
          <w:color w:val="auto"/>
          <w:kern w:val="0"/>
          <w:sz w:val="32"/>
          <w:szCs w:val="32"/>
          <w:highlight w:val="none"/>
        </w:rPr>
      </w:pPr>
      <w:bookmarkStart w:id="1" w:name="OLE_LINK8"/>
      <w:bookmarkStart w:id="2" w:name="OLE_LINK7"/>
      <w:r>
        <w:rPr>
          <w:rFonts w:hint="eastAsia" w:ascii="仿宋_GB2312" w:hAnsi="仿宋_GB2312" w:eastAsia="仿宋_GB2312" w:cs="仿宋_GB2312"/>
          <w:b/>
          <w:color w:val="auto"/>
          <w:kern w:val="0"/>
          <w:sz w:val="32"/>
          <w:szCs w:val="32"/>
          <w:highlight w:val="none"/>
        </w:rPr>
        <w:t>一、采购标的</w:t>
      </w:r>
    </w:p>
    <w:p w14:paraId="6113463A">
      <w:pPr>
        <w:adjustRightInd w:val="0"/>
        <w:spacing w:line="360" w:lineRule="auto"/>
        <w:ind w:firstLine="640" w:firstLineChars="200"/>
        <w:jc w:val="left"/>
        <w:textAlignment w:val="baseline"/>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bCs/>
          <w:color w:val="auto"/>
          <w:kern w:val="0"/>
          <w:sz w:val="32"/>
          <w:szCs w:val="32"/>
          <w:highlight w:val="none"/>
        </w:rPr>
        <w:t>（一）采购清单</w:t>
      </w:r>
    </w:p>
    <w:tbl>
      <w:tblPr>
        <w:tblStyle w:val="5"/>
        <w:tblW w:w="996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89"/>
        <w:gridCol w:w="3895"/>
        <w:gridCol w:w="1928"/>
        <w:gridCol w:w="3056"/>
      </w:tblGrid>
      <w:tr w14:paraId="789B5D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4" w:hRule="atLeast"/>
        </w:trPr>
        <w:tc>
          <w:tcPr>
            <w:tcW w:w="1089" w:type="dxa"/>
            <w:noWrap w:val="0"/>
            <w:vAlign w:val="center"/>
          </w:tcPr>
          <w:p w14:paraId="0F4DD5FE">
            <w:pPr>
              <w:adjustRightInd w:val="0"/>
              <w:jc w:val="center"/>
              <w:textAlignment w:val="baseline"/>
              <w:rPr>
                <w:rFonts w:ascii="仿宋_GB2312" w:hAnsi="仿宋_GB2312" w:eastAsia="仿宋_GB2312" w:cs="仿宋_GB2312"/>
                <w:b/>
                <w:color w:val="auto"/>
                <w:kern w:val="0"/>
                <w:sz w:val="28"/>
                <w:szCs w:val="28"/>
                <w:highlight w:val="none"/>
              </w:rPr>
            </w:pPr>
            <w:r>
              <w:rPr>
                <w:rFonts w:ascii="仿宋_GB2312" w:hAnsi="仿宋_GB2312" w:eastAsia="仿宋_GB2312" w:cs="仿宋_GB2312"/>
                <w:b/>
                <w:color w:val="auto"/>
                <w:kern w:val="0"/>
                <w:sz w:val="28"/>
                <w:szCs w:val="28"/>
                <w:highlight w:val="none"/>
              </w:rPr>
              <w:t>包号</w:t>
            </w:r>
          </w:p>
        </w:tc>
        <w:tc>
          <w:tcPr>
            <w:tcW w:w="3895" w:type="dxa"/>
            <w:noWrap w:val="0"/>
            <w:vAlign w:val="center"/>
          </w:tcPr>
          <w:p w14:paraId="4528D89C">
            <w:pPr>
              <w:adjustRightInd w:val="0"/>
              <w:jc w:val="center"/>
              <w:textAlignment w:val="baseline"/>
              <w:rPr>
                <w:rFonts w:ascii="仿宋_GB2312" w:hAnsi="仿宋_GB2312" w:eastAsia="仿宋_GB2312" w:cs="仿宋_GB2312"/>
                <w:b/>
                <w:color w:val="auto"/>
                <w:kern w:val="0"/>
                <w:sz w:val="28"/>
                <w:szCs w:val="28"/>
                <w:highlight w:val="none"/>
              </w:rPr>
            </w:pPr>
            <w:r>
              <w:rPr>
                <w:rFonts w:ascii="仿宋_GB2312" w:hAnsi="仿宋_GB2312" w:eastAsia="仿宋_GB2312" w:cs="仿宋_GB2312"/>
                <w:b/>
                <w:color w:val="auto"/>
                <w:kern w:val="0"/>
                <w:sz w:val="28"/>
                <w:szCs w:val="28"/>
                <w:highlight w:val="none"/>
              </w:rPr>
              <w:t>标的名称</w:t>
            </w:r>
          </w:p>
        </w:tc>
        <w:tc>
          <w:tcPr>
            <w:tcW w:w="1928" w:type="dxa"/>
            <w:noWrap w:val="0"/>
            <w:vAlign w:val="center"/>
          </w:tcPr>
          <w:p w14:paraId="6DEF972D">
            <w:pPr>
              <w:adjustRightInd w:val="0"/>
              <w:jc w:val="center"/>
              <w:textAlignment w:val="baseline"/>
              <w:rPr>
                <w:rFonts w:ascii="仿宋_GB2312" w:hAnsi="仿宋_GB2312" w:eastAsia="仿宋_GB2312" w:cs="仿宋_GB2312"/>
                <w:b/>
                <w:color w:val="auto"/>
                <w:kern w:val="0"/>
                <w:sz w:val="28"/>
                <w:szCs w:val="28"/>
                <w:highlight w:val="none"/>
              </w:rPr>
            </w:pPr>
            <w:r>
              <w:rPr>
                <w:rFonts w:ascii="仿宋_GB2312" w:hAnsi="仿宋_GB2312" w:eastAsia="仿宋_GB2312" w:cs="仿宋_GB2312"/>
                <w:b/>
                <w:color w:val="auto"/>
                <w:kern w:val="0"/>
                <w:sz w:val="28"/>
                <w:szCs w:val="28"/>
                <w:highlight w:val="none"/>
              </w:rPr>
              <w:t>数量</w:t>
            </w:r>
          </w:p>
        </w:tc>
        <w:tc>
          <w:tcPr>
            <w:tcW w:w="3056" w:type="dxa"/>
            <w:noWrap w:val="0"/>
            <w:vAlign w:val="center"/>
          </w:tcPr>
          <w:p w14:paraId="50B938B5">
            <w:pPr>
              <w:adjustRightInd w:val="0"/>
              <w:jc w:val="center"/>
              <w:textAlignment w:val="baseline"/>
              <w:rPr>
                <w:rFonts w:ascii="仿宋_GB2312" w:hAnsi="仿宋_GB2312" w:eastAsia="仿宋_GB2312" w:cs="仿宋_GB2312"/>
                <w:b/>
                <w:color w:val="auto"/>
                <w:kern w:val="0"/>
                <w:sz w:val="28"/>
                <w:szCs w:val="28"/>
                <w:highlight w:val="none"/>
              </w:rPr>
            </w:pPr>
            <w:r>
              <w:rPr>
                <w:rFonts w:ascii="仿宋_GB2312" w:hAnsi="仿宋_GB2312" w:eastAsia="仿宋_GB2312" w:cs="仿宋_GB2312"/>
                <w:b/>
                <w:color w:val="auto"/>
                <w:kern w:val="0"/>
                <w:sz w:val="28"/>
                <w:szCs w:val="28"/>
                <w:highlight w:val="none"/>
              </w:rPr>
              <w:t>是否接受进口产品</w:t>
            </w:r>
          </w:p>
        </w:tc>
      </w:tr>
      <w:tr w14:paraId="7A033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7" w:hRule="atLeast"/>
        </w:trPr>
        <w:tc>
          <w:tcPr>
            <w:tcW w:w="1089" w:type="dxa"/>
            <w:noWrap w:val="0"/>
            <w:vAlign w:val="center"/>
          </w:tcPr>
          <w:p w14:paraId="134F2829">
            <w:pPr>
              <w:adjustRightInd w:val="0"/>
              <w:jc w:val="center"/>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w:t>
            </w:r>
          </w:p>
        </w:tc>
        <w:tc>
          <w:tcPr>
            <w:tcW w:w="3895" w:type="dxa"/>
            <w:noWrap w:val="0"/>
            <w:vAlign w:val="center"/>
          </w:tcPr>
          <w:p w14:paraId="7A8778AB">
            <w:pPr>
              <w:adjustRightInd w:val="0"/>
              <w:jc w:val="center"/>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u w:val="none"/>
              </w:rPr>
              <w:t>车辆管理所2026-2027年度专网平台服务器租用和云服务采购项目</w:t>
            </w:r>
          </w:p>
        </w:tc>
        <w:tc>
          <w:tcPr>
            <w:tcW w:w="1928" w:type="dxa"/>
            <w:noWrap w:val="0"/>
            <w:vAlign w:val="center"/>
          </w:tcPr>
          <w:p w14:paraId="0610D1EC">
            <w:pPr>
              <w:adjustRightInd w:val="0"/>
              <w:jc w:val="center"/>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1项</w:t>
            </w:r>
          </w:p>
        </w:tc>
        <w:tc>
          <w:tcPr>
            <w:tcW w:w="3056" w:type="dxa"/>
            <w:noWrap w:val="0"/>
            <w:vAlign w:val="center"/>
          </w:tcPr>
          <w:p w14:paraId="316A5DC5">
            <w:pPr>
              <w:adjustRightInd w:val="0"/>
              <w:jc w:val="center"/>
              <w:textAlignment w:val="baseline"/>
              <w:rPr>
                <w:rFonts w:ascii="仿宋_GB2312" w:hAnsi="仿宋_GB2312" w:eastAsia="仿宋_GB2312" w:cs="仿宋_GB2312"/>
                <w:color w:val="auto"/>
                <w:kern w:val="0"/>
                <w:sz w:val="28"/>
                <w:szCs w:val="28"/>
                <w:highlight w:val="none"/>
              </w:rPr>
            </w:pPr>
            <w:r>
              <w:rPr>
                <w:rFonts w:ascii="仿宋_GB2312" w:hAnsi="仿宋_GB2312" w:eastAsia="仿宋_GB2312" w:cs="仿宋_GB2312"/>
                <w:color w:val="auto"/>
                <w:kern w:val="0"/>
                <w:sz w:val="28"/>
                <w:szCs w:val="28"/>
                <w:highlight w:val="none"/>
              </w:rPr>
              <w:t>否</w:t>
            </w:r>
          </w:p>
        </w:tc>
      </w:tr>
    </w:tbl>
    <w:p w14:paraId="03517E39">
      <w:pPr>
        <w:adjustRightInd w:val="0"/>
        <w:spacing w:line="360" w:lineRule="auto"/>
        <w:ind w:firstLine="560" w:firstLineChars="200"/>
        <w:jc w:val="left"/>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（二）项目背景或简况</w:t>
      </w:r>
    </w:p>
    <w:p w14:paraId="61AFC43F">
      <w:pPr>
        <w:adjustRightInd w:val="0"/>
        <w:spacing w:line="360" w:lineRule="auto"/>
        <w:ind w:firstLine="560" w:firstLineChars="200"/>
        <w:jc w:val="left"/>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北京市公安局交通管理局车辆管理所是北京市公安局交通管理局下属机构，负责办理机动车注册登记，变更登记，转让登记、抵押/解除抵押登记，注销登记，申请检验合格标志，行驶证、登记证书，申请临时行驶车号牌，补（换）领号牌等机动车业务；负责办理初次申请机动车驾驶证，期满换证及审验，补（换）领机动车驾驶证，机动车驾驶人联系方式变更备案等驾驶证业务。</w:t>
      </w:r>
    </w:p>
    <w:p w14:paraId="4EE9E77B">
      <w:pPr>
        <w:adjustRightInd w:val="0"/>
        <w:spacing w:line="360" w:lineRule="auto"/>
        <w:ind w:firstLine="560" w:firstLineChars="200"/>
        <w:jc w:val="left"/>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目前，车辆管理所已实现业务上云，为保障专网平台、考试监管系统等云上业务的有序运行，需得到云平台云资源服务、运维服务、安全服务等服务支持。</w:t>
      </w:r>
    </w:p>
    <w:p w14:paraId="1F6F9877">
      <w:pPr>
        <w:adjustRightInd w:val="0"/>
        <w:spacing w:line="360" w:lineRule="auto"/>
        <w:ind w:firstLine="560" w:firstLineChars="200"/>
        <w:jc w:val="left"/>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依据《北京市市级政务云管理办法（试行）》（京经信函[2019]150号）、《北京市经济和信息化局关于加快政务云工作的函》、《关于进一步做好政务信息系统入云工作的函》的政策要求，按照文件要求，本项目计划采购政务云相关资源以提供安全稳定高效的运行环境，通过配置各类安全防护和备份，解决业务系统可能存在的网络安全隐患，确保系统安全、稳定地运行，充分保证系统整体健壮性和可靠性。</w:t>
      </w:r>
    </w:p>
    <w:p w14:paraId="525DE40F">
      <w:pPr>
        <w:adjustRightInd w:val="0"/>
        <w:spacing w:line="360" w:lineRule="auto"/>
        <w:jc w:val="left"/>
        <w:textAlignment w:val="baseline"/>
        <w:rPr>
          <w:rFonts w:ascii="仿宋_GB2312" w:hAnsi="仿宋_GB2312" w:eastAsia="仿宋_GB2312" w:cs="仿宋_GB2312"/>
          <w:b/>
          <w:color w:val="auto"/>
          <w:kern w:val="0"/>
          <w:sz w:val="28"/>
          <w:szCs w:val="28"/>
          <w:highlight w:val="none"/>
        </w:rPr>
      </w:pPr>
      <w:bookmarkStart w:id="3" w:name="_Toc405219162"/>
      <w:bookmarkStart w:id="4" w:name="_Toc341361580"/>
      <w:bookmarkStart w:id="5" w:name="_Toc340002866"/>
      <w:r>
        <w:rPr>
          <w:rFonts w:hint="eastAsia" w:ascii="仿宋_GB2312" w:hAnsi="仿宋_GB2312" w:eastAsia="仿宋_GB2312" w:cs="仿宋_GB2312"/>
          <w:b/>
          <w:color w:val="auto"/>
          <w:kern w:val="0"/>
          <w:sz w:val="28"/>
          <w:szCs w:val="28"/>
          <w:highlight w:val="none"/>
        </w:rPr>
        <w:t>二、商务要求</w:t>
      </w:r>
    </w:p>
    <w:p w14:paraId="078472F8">
      <w:pPr>
        <w:adjustRightInd w:val="0"/>
        <w:spacing w:line="360" w:lineRule="auto"/>
        <w:ind w:firstLine="560" w:firstLineChars="200"/>
        <w:jc w:val="left"/>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（一）交付（实施）的时间（期限）和地点（范围）</w:t>
      </w:r>
    </w:p>
    <w:p w14:paraId="04ACA46B">
      <w:pPr>
        <w:adjustRightInd w:val="0"/>
        <w:spacing w:line="360" w:lineRule="auto"/>
        <w:ind w:firstLine="560" w:firstLineChars="200"/>
        <w:jc w:val="left"/>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交付时间：</w:t>
      </w:r>
      <w:r>
        <w:rPr>
          <w:rFonts w:hint="eastAsia" w:ascii="仿宋_GB2312" w:hAnsi="仿宋_GB2312" w:eastAsia="仿宋_GB2312" w:cs="仿宋_GB2312"/>
          <w:bCs/>
          <w:color w:val="auto"/>
          <w:kern w:val="0"/>
          <w:sz w:val="28"/>
          <w:szCs w:val="28"/>
          <w:highlight w:val="none"/>
        </w:rPr>
        <w:t>本项目服务时间为自合同签订之日起壹年</w:t>
      </w:r>
      <w:r>
        <w:rPr>
          <w:rFonts w:hint="eastAsia" w:ascii="仿宋_GB2312" w:hAnsi="仿宋_GB2312" w:eastAsia="仿宋_GB2312" w:cs="仿宋_GB2312"/>
          <w:color w:val="auto"/>
          <w:kern w:val="0"/>
          <w:sz w:val="28"/>
          <w:szCs w:val="28"/>
          <w:highlight w:val="none"/>
        </w:rPr>
        <w:t>。</w:t>
      </w:r>
    </w:p>
    <w:p w14:paraId="2AC0BF42">
      <w:pPr>
        <w:adjustRightInd w:val="0"/>
        <w:spacing w:line="360" w:lineRule="auto"/>
        <w:ind w:firstLine="560" w:firstLineChars="200"/>
        <w:jc w:val="left"/>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交付地点：采购人指定地点。</w:t>
      </w:r>
    </w:p>
    <w:p w14:paraId="50C99A44">
      <w:pPr>
        <w:adjustRightInd w:val="0"/>
        <w:spacing w:line="360" w:lineRule="auto"/>
        <w:ind w:firstLine="560" w:firstLineChars="200"/>
        <w:jc w:val="left"/>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二）付款条件：采购人于本合同生效之日起30个工作日内，向中标人支付服务费用的50%首付款；服务满半年后，向中标人支付剩余尾款。采购人付款前，中标人先行向采购人提交合同总价5%，期限不低于合同期的银行保函作为履约保函。</w:t>
      </w:r>
    </w:p>
    <w:bookmarkEnd w:id="3"/>
    <w:bookmarkEnd w:id="4"/>
    <w:bookmarkEnd w:id="5"/>
    <w:p w14:paraId="793264CA">
      <w:pPr>
        <w:adjustRightInd w:val="0"/>
        <w:spacing w:line="360" w:lineRule="auto"/>
        <w:jc w:val="left"/>
        <w:textAlignment w:val="baseline"/>
        <w:rPr>
          <w:rFonts w:ascii="仿宋_GB2312" w:hAnsi="仿宋_GB2312" w:eastAsia="仿宋_GB2312" w:cs="仿宋_GB2312"/>
          <w:b/>
          <w:color w:val="auto"/>
          <w:kern w:val="0"/>
          <w:sz w:val="28"/>
          <w:szCs w:val="28"/>
          <w:highlight w:val="none"/>
        </w:rPr>
      </w:pPr>
      <w:bookmarkStart w:id="6" w:name="_Toc341361582"/>
      <w:bookmarkStart w:id="7" w:name="_Toc275699232"/>
      <w:bookmarkStart w:id="8" w:name="_Toc275698868"/>
      <w:bookmarkStart w:id="9" w:name="_Toc340002868"/>
      <w:r>
        <w:rPr>
          <w:rFonts w:hint="eastAsia" w:ascii="仿宋_GB2312" w:hAnsi="仿宋_GB2312" w:eastAsia="仿宋_GB2312" w:cs="仿宋_GB2312"/>
          <w:b/>
          <w:color w:val="auto"/>
          <w:kern w:val="0"/>
          <w:sz w:val="28"/>
          <w:szCs w:val="28"/>
          <w:highlight w:val="none"/>
        </w:rPr>
        <w:t>三、</w:t>
      </w:r>
      <w:bookmarkEnd w:id="6"/>
      <w:bookmarkEnd w:id="7"/>
      <w:bookmarkEnd w:id="8"/>
      <w:bookmarkEnd w:id="9"/>
      <w:bookmarkStart w:id="10" w:name="_Toc405219164"/>
      <w:r>
        <w:rPr>
          <w:rFonts w:hint="eastAsia" w:ascii="仿宋_GB2312" w:hAnsi="仿宋_GB2312" w:eastAsia="仿宋_GB2312" w:cs="仿宋_GB2312"/>
          <w:b/>
          <w:color w:val="auto"/>
          <w:kern w:val="0"/>
          <w:sz w:val="28"/>
          <w:szCs w:val="28"/>
          <w:highlight w:val="none"/>
        </w:rPr>
        <w:t>技术参数要求和服务要求</w:t>
      </w:r>
    </w:p>
    <w:p w14:paraId="6677D3A3">
      <w:pPr>
        <w:adjustRightInd w:val="0"/>
        <w:spacing w:line="360" w:lineRule="auto"/>
        <w:ind w:firstLine="560" w:firstLineChars="200"/>
        <w:jc w:val="left"/>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（一）技术参数要求</w:t>
      </w:r>
    </w:p>
    <w:tbl>
      <w:tblPr>
        <w:tblStyle w:val="5"/>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276"/>
        <w:gridCol w:w="4252"/>
        <w:gridCol w:w="1276"/>
        <w:gridCol w:w="992"/>
        <w:gridCol w:w="1276"/>
      </w:tblGrid>
      <w:tr w14:paraId="5FDF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817" w:type="dxa"/>
            <w:noWrap w:val="0"/>
            <w:vAlign w:val="center"/>
          </w:tcPr>
          <w:p w14:paraId="24E1F7D6">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编号</w:t>
            </w:r>
          </w:p>
        </w:tc>
        <w:tc>
          <w:tcPr>
            <w:tcW w:w="1276" w:type="dxa"/>
            <w:noWrap w:val="0"/>
            <w:vAlign w:val="center"/>
          </w:tcPr>
          <w:p w14:paraId="6319D493">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服务类别</w:t>
            </w:r>
          </w:p>
        </w:tc>
        <w:tc>
          <w:tcPr>
            <w:tcW w:w="4252" w:type="dxa"/>
            <w:noWrap w:val="0"/>
            <w:vAlign w:val="center"/>
          </w:tcPr>
          <w:p w14:paraId="5AAE3656">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服务项</w:t>
            </w:r>
          </w:p>
        </w:tc>
        <w:tc>
          <w:tcPr>
            <w:tcW w:w="1276" w:type="dxa"/>
            <w:noWrap w:val="0"/>
            <w:vAlign w:val="center"/>
          </w:tcPr>
          <w:p w14:paraId="1715FF3C">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报价单位</w:t>
            </w:r>
          </w:p>
        </w:tc>
        <w:tc>
          <w:tcPr>
            <w:tcW w:w="992" w:type="dxa"/>
            <w:noWrap w:val="0"/>
            <w:vAlign w:val="center"/>
          </w:tcPr>
          <w:p w14:paraId="6662A841">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数量</w:t>
            </w:r>
          </w:p>
        </w:tc>
        <w:tc>
          <w:tcPr>
            <w:tcW w:w="1276" w:type="dxa"/>
            <w:noWrap w:val="0"/>
            <w:vAlign w:val="center"/>
          </w:tcPr>
          <w:p w14:paraId="4937A5E0">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租用期限（月）</w:t>
            </w:r>
          </w:p>
        </w:tc>
      </w:tr>
      <w:tr w14:paraId="2E6C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17" w:type="dxa"/>
            <w:noWrap w:val="0"/>
            <w:vAlign w:val="center"/>
          </w:tcPr>
          <w:p w14:paraId="15935ABC">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w:t>
            </w:r>
          </w:p>
        </w:tc>
        <w:tc>
          <w:tcPr>
            <w:tcW w:w="1276" w:type="dxa"/>
            <w:vMerge w:val="restart"/>
            <w:noWrap w:val="0"/>
            <w:vAlign w:val="center"/>
          </w:tcPr>
          <w:p w14:paraId="110C9CEE">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x86物理服务器租用服务</w:t>
            </w:r>
          </w:p>
        </w:tc>
        <w:tc>
          <w:tcPr>
            <w:tcW w:w="4252" w:type="dxa"/>
            <w:noWrap w:val="0"/>
            <w:vAlign w:val="center"/>
          </w:tcPr>
          <w:p w14:paraId="7046CEB0">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不低于x86 物理服务器配置1：</w:t>
            </w:r>
            <w:r>
              <w:rPr>
                <w:rFonts w:hint="eastAsia" w:ascii="仿宋" w:hAnsi="仿宋" w:eastAsia="仿宋" w:cs="仿宋_GB2312"/>
                <w:color w:val="auto"/>
                <w:sz w:val="24"/>
                <w:highlight w:val="none"/>
                <w:lang w:eastAsia="zh-CN"/>
              </w:rPr>
              <w:t>双路每</w:t>
            </w:r>
            <w:r>
              <w:rPr>
                <w:rFonts w:hint="eastAsia" w:ascii="仿宋" w:hAnsi="仿宋" w:eastAsia="仿宋" w:cs="仿宋_GB2312"/>
                <w:color w:val="auto"/>
                <w:sz w:val="24"/>
                <w:highlight w:val="none"/>
                <w:lang w:val="en-US" w:eastAsia="zh-CN"/>
              </w:rPr>
              <w:t>CPU核数≥32核，主频≥2.0GHz，128</w:t>
            </w:r>
            <w:r>
              <w:rPr>
                <w:rFonts w:hint="eastAsia" w:ascii="仿宋" w:hAnsi="仿宋" w:eastAsia="仿宋" w:cs="仿宋_GB2312"/>
                <w:color w:val="auto"/>
                <w:sz w:val="24"/>
                <w:highlight w:val="none"/>
              </w:rPr>
              <w:t>G内存，2 块600G SAS 硬盘,2 个HBA 卡，2 个万兆端口</w:t>
            </w:r>
          </w:p>
        </w:tc>
        <w:tc>
          <w:tcPr>
            <w:tcW w:w="1276" w:type="dxa"/>
            <w:noWrap w:val="0"/>
            <w:vAlign w:val="center"/>
          </w:tcPr>
          <w:p w14:paraId="12693C35">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台/月</w:t>
            </w:r>
          </w:p>
        </w:tc>
        <w:tc>
          <w:tcPr>
            <w:tcW w:w="992" w:type="dxa"/>
            <w:noWrap w:val="0"/>
            <w:vAlign w:val="center"/>
          </w:tcPr>
          <w:p w14:paraId="6FBA40E2">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11</w:t>
            </w:r>
          </w:p>
        </w:tc>
        <w:tc>
          <w:tcPr>
            <w:tcW w:w="1276" w:type="dxa"/>
            <w:noWrap w:val="0"/>
            <w:vAlign w:val="center"/>
          </w:tcPr>
          <w:p w14:paraId="691CEE64">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12</w:t>
            </w:r>
          </w:p>
        </w:tc>
      </w:tr>
      <w:tr w14:paraId="6EB3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17" w:type="dxa"/>
            <w:noWrap w:val="0"/>
            <w:vAlign w:val="center"/>
          </w:tcPr>
          <w:p w14:paraId="1B2CFA1E">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2</w:t>
            </w:r>
          </w:p>
        </w:tc>
        <w:tc>
          <w:tcPr>
            <w:tcW w:w="1276" w:type="dxa"/>
            <w:vMerge w:val="continue"/>
            <w:noWrap w:val="0"/>
            <w:vAlign w:val="center"/>
          </w:tcPr>
          <w:p w14:paraId="55C3E042">
            <w:pPr>
              <w:jc w:val="center"/>
              <w:rPr>
                <w:rFonts w:ascii="仿宋" w:hAnsi="仿宋" w:eastAsia="仿宋" w:cs="仿宋_GB2312"/>
                <w:color w:val="auto"/>
                <w:sz w:val="24"/>
                <w:highlight w:val="none"/>
              </w:rPr>
            </w:pPr>
          </w:p>
        </w:tc>
        <w:tc>
          <w:tcPr>
            <w:tcW w:w="4252" w:type="dxa"/>
            <w:noWrap w:val="0"/>
            <w:vAlign w:val="center"/>
          </w:tcPr>
          <w:p w14:paraId="68DB6973">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不低于x86物理服务器配置2：</w:t>
            </w:r>
            <w:r>
              <w:rPr>
                <w:rFonts w:hint="eastAsia" w:ascii="仿宋" w:hAnsi="仿宋" w:eastAsia="仿宋" w:cs="仿宋_GB2312"/>
                <w:color w:val="auto"/>
                <w:sz w:val="24"/>
                <w:highlight w:val="none"/>
                <w:lang w:eastAsia="zh-CN"/>
              </w:rPr>
              <w:t>四路每</w:t>
            </w:r>
            <w:r>
              <w:rPr>
                <w:rFonts w:hint="eastAsia" w:ascii="仿宋" w:hAnsi="仿宋" w:eastAsia="仿宋" w:cs="仿宋_GB2312"/>
                <w:color w:val="auto"/>
                <w:sz w:val="24"/>
                <w:highlight w:val="none"/>
                <w:lang w:val="en-US" w:eastAsia="zh-CN"/>
              </w:rPr>
              <w:t>CPU核数≥48核，主频≥2.6GHz</w:t>
            </w:r>
            <w:r>
              <w:rPr>
                <w:rFonts w:hint="eastAsia" w:ascii="仿宋" w:hAnsi="仿宋" w:eastAsia="仿宋" w:cs="仿宋_GB2312"/>
                <w:color w:val="auto"/>
                <w:sz w:val="24"/>
                <w:highlight w:val="none"/>
              </w:rPr>
              <w:t>，</w:t>
            </w:r>
            <w:r>
              <w:rPr>
                <w:rFonts w:hint="eastAsia" w:ascii="仿宋" w:hAnsi="仿宋" w:eastAsia="仿宋" w:cs="仿宋_GB2312"/>
                <w:color w:val="auto"/>
                <w:sz w:val="24"/>
                <w:highlight w:val="none"/>
                <w:lang w:val="en-US" w:eastAsia="zh-CN"/>
              </w:rPr>
              <w:t>256</w:t>
            </w:r>
            <w:r>
              <w:rPr>
                <w:rFonts w:hint="eastAsia" w:ascii="仿宋" w:hAnsi="仿宋" w:eastAsia="仿宋" w:cs="仿宋_GB2312"/>
                <w:color w:val="auto"/>
                <w:sz w:val="24"/>
                <w:highlight w:val="none"/>
              </w:rPr>
              <w:t>G内存，2块600SAS硬盘，2个HBA卡，2个万兆端口</w:t>
            </w:r>
          </w:p>
        </w:tc>
        <w:tc>
          <w:tcPr>
            <w:tcW w:w="1276" w:type="dxa"/>
            <w:noWrap w:val="0"/>
            <w:vAlign w:val="center"/>
          </w:tcPr>
          <w:p w14:paraId="03324385">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台/月</w:t>
            </w:r>
          </w:p>
        </w:tc>
        <w:tc>
          <w:tcPr>
            <w:tcW w:w="992" w:type="dxa"/>
            <w:noWrap w:val="0"/>
            <w:vAlign w:val="center"/>
          </w:tcPr>
          <w:p w14:paraId="64619FAE">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10</w:t>
            </w:r>
          </w:p>
        </w:tc>
        <w:tc>
          <w:tcPr>
            <w:tcW w:w="1276" w:type="dxa"/>
            <w:noWrap w:val="0"/>
            <w:vAlign w:val="center"/>
          </w:tcPr>
          <w:p w14:paraId="1A9BF4A3">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12</w:t>
            </w:r>
          </w:p>
        </w:tc>
      </w:tr>
      <w:tr w14:paraId="7272B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817" w:type="dxa"/>
            <w:noWrap w:val="0"/>
            <w:vAlign w:val="center"/>
          </w:tcPr>
          <w:p w14:paraId="3B02782B">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3</w:t>
            </w:r>
          </w:p>
        </w:tc>
        <w:tc>
          <w:tcPr>
            <w:tcW w:w="1276" w:type="dxa"/>
            <w:vMerge w:val="restart"/>
            <w:noWrap w:val="0"/>
            <w:vAlign w:val="center"/>
          </w:tcPr>
          <w:p w14:paraId="5C144472">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小型机云计算（含操作系统）服务</w:t>
            </w:r>
          </w:p>
        </w:tc>
        <w:tc>
          <w:tcPr>
            <w:tcW w:w="4252" w:type="dxa"/>
            <w:noWrap w:val="0"/>
            <w:vAlign w:val="center"/>
          </w:tcPr>
          <w:p w14:paraId="0AD6A191">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CPU（主频不低于2.0GHz）</w:t>
            </w:r>
          </w:p>
        </w:tc>
        <w:tc>
          <w:tcPr>
            <w:tcW w:w="1276" w:type="dxa"/>
            <w:noWrap w:val="0"/>
            <w:vAlign w:val="center"/>
          </w:tcPr>
          <w:p w14:paraId="346BB986">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CPU/月</w:t>
            </w:r>
          </w:p>
        </w:tc>
        <w:tc>
          <w:tcPr>
            <w:tcW w:w="992" w:type="dxa"/>
            <w:noWrap w:val="0"/>
            <w:vAlign w:val="center"/>
          </w:tcPr>
          <w:p w14:paraId="505BE4D9">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24</w:t>
            </w:r>
          </w:p>
        </w:tc>
        <w:tc>
          <w:tcPr>
            <w:tcW w:w="1276" w:type="dxa"/>
            <w:noWrap w:val="0"/>
            <w:vAlign w:val="center"/>
          </w:tcPr>
          <w:p w14:paraId="2F49D092">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12</w:t>
            </w:r>
          </w:p>
        </w:tc>
      </w:tr>
      <w:tr w14:paraId="053DA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817" w:type="dxa"/>
            <w:noWrap w:val="0"/>
            <w:vAlign w:val="center"/>
          </w:tcPr>
          <w:p w14:paraId="585B7A6F">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4</w:t>
            </w:r>
          </w:p>
        </w:tc>
        <w:tc>
          <w:tcPr>
            <w:tcW w:w="1276" w:type="dxa"/>
            <w:vMerge w:val="continue"/>
            <w:noWrap w:val="0"/>
            <w:vAlign w:val="center"/>
          </w:tcPr>
          <w:p w14:paraId="54EF797E">
            <w:pPr>
              <w:jc w:val="center"/>
              <w:rPr>
                <w:rFonts w:ascii="仿宋" w:hAnsi="仿宋" w:eastAsia="仿宋" w:cs="仿宋_GB2312"/>
                <w:color w:val="auto"/>
                <w:sz w:val="24"/>
                <w:highlight w:val="none"/>
              </w:rPr>
            </w:pPr>
          </w:p>
        </w:tc>
        <w:tc>
          <w:tcPr>
            <w:tcW w:w="4252" w:type="dxa"/>
            <w:noWrap w:val="0"/>
            <w:vAlign w:val="center"/>
          </w:tcPr>
          <w:p w14:paraId="43373293">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内存</w:t>
            </w:r>
          </w:p>
        </w:tc>
        <w:tc>
          <w:tcPr>
            <w:tcW w:w="1276" w:type="dxa"/>
            <w:noWrap w:val="0"/>
            <w:vAlign w:val="center"/>
          </w:tcPr>
          <w:p w14:paraId="60578B21">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GB/月</w:t>
            </w:r>
          </w:p>
        </w:tc>
        <w:tc>
          <w:tcPr>
            <w:tcW w:w="992" w:type="dxa"/>
            <w:noWrap w:val="0"/>
            <w:vAlign w:val="center"/>
          </w:tcPr>
          <w:p w14:paraId="602571F6">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256</w:t>
            </w:r>
          </w:p>
        </w:tc>
        <w:tc>
          <w:tcPr>
            <w:tcW w:w="1276" w:type="dxa"/>
            <w:noWrap w:val="0"/>
            <w:vAlign w:val="center"/>
          </w:tcPr>
          <w:p w14:paraId="7934332E">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12</w:t>
            </w:r>
          </w:p>
        </w:tc>
      </w:tr>
      <w:tr w14:paraId="2DBB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17" w:type="dxa"/>
            <w:noWrap w:val="0"/>
            <w:vAlign w:val="center"/>
          </w:tcPr>
          <w:p w14:paraId="4E02B8F4">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5</w:t>
            </w:r>
          </w:p>
        </w:tc>
        <w:tc>
          <w:tcPr>
            <w:tcW w:w="1276" w:type="dxa"/>
            <w:noWrap w:val="0"/>
            <w:vAlign w:val="center"/>
          </w:tcPr>
          <w:p w14:paraId="0F90478E">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图形图像计算服务</w:t>
            </w:r>
          </w:p>
        </w:tc>
        <w:tc>
          <w:tcPr>
            <w:tcW w:w="4252" w:type="dxa"/>
            <w:noWrap w:val="0"/>
            <w:vAlign w:val="center"/>
          </w:tcPr>
          <w:p w14:paraId="3B558EE3">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GPU显存不低于16G，最大单精度浮点计算能力不低于7TFLOPS，最大双精度浮点计算能力0.2TFLOPS</w:t>
            </w:r>
          </w:p>
        </w:tc>
        <w:tc>
          <w:tcPr>
            <w:tcW w:w="1276" w:type="dxa"/>
            <w:noWrap w:val="0"/>
            <w:vAlign w:val="center"/>
          </w:tcPr>
          <w:p w14:paraId="7574FC9B">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GPU/月</w:t>
            </w:r>
          </w:p>
        </w:tc>
        <w:tc>
          <w:tcPr>
            <w:tcW w:w="992" w:type="dxa"/>
            <w:noWrap w:val="0"/>
            <w:vAlign w:val="center"/>
          </w:tcPr>
          <w:p w14:paraId="713E09A7">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7</w:t>
            </w:r>
          </w:p>
        </w:tc>
        <w:tc>
          <w:tcPr>
            <w:tcW w:w="1276" w:type="dxa"/>
            <w:noWrap w:val="0"/>
            <w:vAlign w:val="center"/>
          </w:tcPr>
          <w:p w14:paraId="43CDF441">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12</w:t>
            </w:r>
          </w:p>
        </w:tc>
      </w:tr>
      <w:tr w14:paraId="24E3A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817" w:type="dxa"/>
            <w:noWrap w:val="0"/>
            <w:vAlign w:val="center"/>
          </w:tcPr>
          <w:p w14:paraId="17BF3F31">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6</w:t>
            </w:r>
          </w:p>
        </w:tc>
        <w:tc>
          <w:tcPr>
            <w:tcW w:w="1276" w:type="dxa"/>
            <w:noWrap w:val="0"/>
            <w:vAlign w:val="center"/>
          </w:tcPr>
          <w:p w14:paraId="10E1C076">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普通性能存储</w:t>
            </w:r>
          </w:p>
        </w:tc>
        <w:tc>
          <w:tcPr>
            <w:tcW w:w="4252" w:type="dxa"/>
            <w:noWrap w:val="0"/>
            <w:vAlign w:val="center"/>
          </w:tcPr>
          <w:p w14:paraId="42DDC2BF">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普通存储（单盘技术指标: 单盘IOPS</w:t>
            </w:r>
            <w:r>
              <w:rPr>
                <w:rFonts w:hint="eastAsia" w:ascii="仿宋" w:hAnsi="仿宋" w:eastAsia="仿宋" w:cs="仿宋_GB2312"/>
                <w:color w:val="auto"/>
                <w:sz w:val="24"/>
                <w:highlight w:val="none"/>
                <w:lang w:val="en-US" w:eastAsia="zh-CN"/>
              </w:rPr>
              <w:t>2</w:t>
            </w:r>
            <w:r>
              <w:rPr>
                <w:rFonts w:hint="eastAsia" w:ascii="仿宋" w:hAnsi="仿宋" w:eastAsia="仿宋" w:cs="仿宋_GB2312"/>
                <w:color w:val="auto"/>
                <w:sz w:val="24"/>
                <w:highlight w:val="none"/>
              </w:rPr>
              <w:t>000-</w:t>
            </w:r>
            <w:r>
              <w:rPr>
                <w:rFonts w:hint="eastAsia" w:ascii="仿宋" w:hAnsi="仿宋" w:eastAsia="仿宋" w:cs="仿宋_GB2312"/>
                <w:color w:val="auto"/>
                <w:sz w:val="24"/>
                <w:highlight w:val="none"/>
                <w:lang w:val="en-US" w:eastAsia="zh-CN"/>
              </w:rPr>
              <w:t>5</w:t>
            </w:r>
            <w:r>
              <w:rPr>
                <w:rFonts w:hint="eastAsia" w:ascii="仿宋" w:hAnsi="仿宋" w:eastAsia="仿宋" w:cs="仿宋_GB2312"/>
                <w:color w:val="auto"/>
                <w:sz w:val="24"/>
                <w:highlight w:val="none"/>
              </w:rPr>
              <w:t>000k/s ）</w:t>
            </w:r>
          </w:p>
        </w:tc>
        <w:tc>
          <w:tcPr>
            <w:tcW w:w="1276" w:type="dxa"/>
            <w:noWrap w:val="0"/>
            <w:vAlign w:val="center"/>
          </w:tcPr>
          <w:p w14:paraId="4F035882">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GB/月</w:t>
            </w:r>
          </w:p>
        </w:tc>
        <w:tc>
          <w:tcPr>
            <w:tcW w:w="992" w:type="dxa"/>
            <w:noWrap w:val="0"/>
            <w:vAlign w:val="center"/>
          </w:tcPr>
          <w:p w14:paraId="0059C2B8">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55200</w:t>
            </w:r>
          </w:p>
        </w:tc>
        <w:tc>
          <w:tcPr>
            <w:tcW w:w="1276" w:type="dxa"/>
            <w:noWrap w:val="0"/>
            <w:vAlign w:val="center"/>
          </w:tcPr>
          <w:p w14:paraId="183DAB67">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12</w:t>
            </w:r>
          </w:p>
        </w:tc>
      </w:tr>
      <w:tr w14:paraId="46E1B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817" w:type="dxa"/>
            <w:noWrap w:val="0"/>
            <w:vAlign w:val="center"/>
          </w:tcPr>
          <w:p w14:paraId="519846D4">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7</w:t>
            </w:r>
          </w:p>
        </w:tc>
        <w:tc>
          <w:tcPr>
            <w:tcW w:w="1276" w:type="dxa"/>
            <w:noWrap w:val="0"/>
            <w:vAlign w:val="center"/>
          </w:tcPr>
          <w:p w14:paraId="65122C25">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高性能存储</w:t>
            </w:r>
          </w:p>
        </w:tc>
        <w:tc>
          <w:tcPr>
            <w:tcW w:w="4252" w:type="dxa"/>
            <w:noWrap w:val="0"/>
            <w:vAlign w:val="center"/>
          </w:tcPr>
          <w:p w14:paraId="11584395">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高性能存储（单盘技术指标：单盘IOPS</w:t>
            </w:r>
            <w:r>
              <w:rPr>
                <w:rFonts w:hint="eastAsia" w:ascii="仿宋" w:hAnsi="仿宋" w:eastAsia="仿宋" w:cs="仿宋_GB2312"/>
                <w:color w:val="auto"/>
                <w:sz w:val="24"/>
                <w:highlight w:val="none"/>
                <w:lang w:val="en-US" w:eastAsia="zh-CN"/>
              </w:rPr>
              <w:t>10</w:t>
            </w:r>
            <w:r>
              <w:rPr>
                <w:rFonts w:hint="eastAsia" w:ascii="仿宋" w:hAnsi="仿宋" w:eastAsia="仿宋" w:cs="仿宋_GB2312"/>
                <w:color w:val="auto"/>
                <w:sz w:val="24"/>
                <w:highlight w:val="none"/>
              </w:rPr>
              <w:t>000-2</w:t>
            </w:r>
            <w:r>
              <w:rPr>
                <w:rFonts w:hint="eastAsia" w:ascii="仿宋" w:hAnsi="仿宋" w:eastAsia="仿宋" w:cs="仿宋_GB2312"/>
                <w:color w:val="auto"/>
                <w:sz w:val="24"/>
                <w:highlight w:val="none"/>
                <w:lang w:val="en-US" w:eastAsia="zh-CN"/>
              </w:rPr>
              <w:t>5</w:t>
            </w:r>
            <w:r>
              <w:rPr>
                <w:rFonts w:hint="eastAsia" w:ascii="仿宋" w:hAnsi="仿宋" w:eastAsia="仿宋" w:cs="仿宋_GB2312"/>
                <w:color w:val="auto"/>
                <w:sz w:val="24"/>
                <w:highlight w:val="none"/>
              </w:rPr>
              <w:t>000k/s ）</w:t>
            </w:r>
          </w:p>
        </w:tc>
        <w:tc>
          <w:tcPr>
            <w:tcW w:w="1276" w:type="dxa"/>
            <w:noWrap w:val="0"/>
            <w:vAlign w:val="center"/>
          </w:tcPr>
          <w:p w14:paraId="7FA7E1EE">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GB/月</w:t>
            </w:r>
          </w:p>
        </w:tc>
        <w:tc>
          <w:tcPr>
            <w:tcW w:w="992" w:type="dxa"/>
            <w:noWrap w:val="0"/>
            <w:vAlign w:val="center"/>
          </w:tcPr>
          <w:p w14:paraId="7F0A2941">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193776</w:t>
            </w:r>
          </w:p>
        </w:tc>
        <w:tc>
          <w:tcPr>
            <w:tcW w:w="1276" w:type="dxa"/>
            <w:noWrap w:val="0"/>
            <w:vAlign w:val="center"/>
          </w:tcPr>
          <w:p w14:paraId="13CBDBAC">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12</w:t>
            </w:r>
          </w:p>
        </w:tc>
      </w:tr>
      <w:tr w14:paraId="58084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817" w:type="dxa"/>
            <w:noWrap w:val="0"/>
            <w:vAlign w:val="center"/>
          </w:tcPr>
          <w:p w14:paraId="69DAE457">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8</w:t>
            </w:r>
          </w:p>
        </w:tc>
        <w:tc>
          <w:tcPr>
            <w:tcW w:w="1276" w:type="dxa"/>
            <w:noWrap w:val="0"/>
            <w:vAlign w:val="center"/>
          </w:tcPr>
          <w:p w14:paraId="6C3D5E91">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应用负载均衡</w:t>
            </w:r>
          </w:p>
        </w:tc>
        <w:tc>
          <w:tcPr>
            <w:tcW w:w="4252" w:type="dxa"/>
            <w:noWrap/>
            <w:vAlign w:val="center"/>
          </w:tcPr>
          <w:p w14:paraId="46E9F337">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主机负载均衡服务</w:t>
            </w:r>
          </w:p>
        </w:tc>
        <w:tc>
          <w:tcPr>
            <w:tcW w:w="1276" w:type="dxa"/>
            <w:noWrap w:val="0"/>
            <w:vAlign w:val="center"/>
          </w:tcPr>
          <w:p w14:paraId="7FEEA23F">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IP/月</w:t>
            </w:r>
          </w:p>
        </w:tc>
        <w:tc>
          <w:tcPr>
            <w:tcW w:w="992" w:type="dxa"/>
            <w:noWrap w:val="0"/>
            <w:vAlign w:val="center"/>
          </w:tcPr>
          <w:p w14:paraId="014381BC">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4</w:t>
            </w:r>
          </w:p>
        </w:tc>
        <w:tc>
          <w:tcPr>
            <w:tcW w:w="1276" w:type="dxa"/>
            <w:noWrap w:val="0"/>
            <w:vAlign w:val="center"/>
          </w:tcPr>
          <w:p w14:paraId="4F9382DB">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12</w:t>
            </w:r>
          </w:p>
        </w:tc>
      </w:tr>
      <w:tr w14:paraId="46C20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17" w:type="dxa"/>
            <w:noWrap w:val="0"/>
            <w:vAlign w:val="center"/>
          </w:tcPr>
          <w:p w14:paraId="4304CA2A">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9</w:t>
            </w:r>
          </w:p>
        </w:tc>
        <w:tc>
          <w:tcPr>
            <w:tcW w:w="1276" w:type="dxa"/>
            <w:noWrap w:val="0"/>
            <w:vAlign w:val="center"/>
          </w:tcPr>
          <w:p w14:paraId="47F30F4E">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远程接入服务</w:t>
            </w:r>
          </w:p>
        </w:tc>
        <w:tc>
          <w:tcPr>
            <w:tcW w:w="4252" w:type="dxa"/>
            <w:noWrap w:val="0"/>
            <w:vAlign w:val="center"/>
          </w:tcPr>
          <w:p w14:paraId="6A7FCB0D">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每个账号结合身份验证通过VPN远程接入堡垒机进行维护</w:t>
            </w:r>
          </w:p>
        </w:tc>
        <w:tc>
          <w:tcPr>
            <w:tcW w:w="1276" w:type="dxa"/>
            <w:noWrap w:val="0"/>
            <w:vAlign w:val="center"/>
          </w:tcPr>
          <w:p w14:paraId="5FF097BA">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账号/月</w:t>
            </w:r>
          </w:p>
        </w:tc>
        <w:tc>
          <w:tcPr>
            <w:tcW w:w="992" w:type="dxa"/>
            <w:noWrap w:val="0"/>
            <w:vAlign w:val="center"/>
          </w:tcPr>
          <w:p w14:paraId="32A53B63">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w:t>
            </w:r>
          </w:p>
        </w:tc>
        <w:tc>
          <w:tcPr>
            <w:tcW w:w="1276" w:type="dxa"/>
            <w:noWrap w:val="0"/>
            <w:vAlign w:val="center"/>
          </w:tcPr>
          <w:p w14:paraId="720044C8">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12</w:t>
            </w:r>
          </w:p>
        </w:tc>
      </w:tr>
      <w:tr w14:paraId="08D0B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17" w:type="dxa"/>
            <w:noWrap w:val="0"/>
            <w:vAlign w:val="center"/>
          </w:tcPr>
          <w:p w14:paraId="6F30B88E">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10</w:t>
            </w:r>
          </w:p>
        </w:tc>
        <w:tc>
          <w:tcPr>
            <w:tcW w:w="1276" w:type="dxa"/>
            <w:noWrap w:val="0"/>
            <w:vAlign w:val="center"/>
          </w:tcPr>
          <w:p w14:paraId="5EDA1F1C">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云主机深度监控服务</w:t>
            </w:r>
          </w:p>
        </w:tc>
        <w:tc>
          <w:tcPr>
            <w:tcW w:w="4252" w:type="dxa"/>
            <w:noWrap w:val="0"/>
            <w:vAlign w:val="center"/>
          </w:tcPr>
          <w:p w14:paraId="5DDF4D0D">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7×24小时深度监测云主机资源、硬件设备监控、云平台层应急处置等内容</w:t>
            </w:r>
          </w:p>
        </w:tc>
        <w:tc>
          <w:tcPr>
            <w:tcW w:w="1276" w:type="dxa"/>
            <w:noWrap w:val="0"/>
            <w:vAlign w:val="center"/>
          </w:tcPr>
          <w:p w14:paraId="670CB9CC">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台/月</w:t>
            </w:r>
          </w:p>
        </w:tc>
        <w:tc>
          <w:tcPr>
            <w:tcW w:w="992" w:type="dxa"/>
            <w:noWrap w:val="0"/>
            <w:vAlign w:val="center"/>
          </w:tcPr>
          <w:p w14:paraId="1F40AF70">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15</w:t>
            </w:r>
          </w:p>
        </w:tc>
        <w:tc>
          <w:tcPr>
            <w:tcW w:w="1276" w:type="dxa"/>
            <w:noWrap w:val="0"/>
            <w:vAlign w:val="center"/>
          </w:tcPr>
          <w:p w14:paraId="0673A781">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12</w:t>
            </w:r>
          </w:p>
        </w:tc>
      </w:tr>
      <w:tr w14:paraId="4BF8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817" w:type="dxa"/>
            <w:noWrap w:val="0"/>
            <w:vAlign w:val="center"/>
          </w:tcPr>
          <w:p w14:paraId="5CDC38AC">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11</w:t>
            </w:r>
          </w:p>
        </w:tc>
        <w:tc>
          <w:tcPr>
            <w:tcW w:w="1276" w:type="dxa"/>
            <w:noWrap w:val="0"/>
            <w:vAlign w:val="center"/>
          </w:tcPr>
          <w:p w14:paraId="023973B5">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重点保障-安全值守</w:t>
            </w:r>
          </w:p>
        </w:tc>
        <w:tc>
          <w:tcPr>
            <w:tcW w:w="4252" w:type="dxa"/>
            <w:noWrap w:val="0"/>
            <w:vAlign w:val="center"/>
          </w:tcPr>
          <w:p w14:paraId="6BD65F4B">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在值守服务基础上增加每天至少10次人工巡检查看系统运行情况、应急处置、安全事件验证、分析、事件报告等内容，提供24小时的系统截图、安全事件分析报告、值班报告等。</w:t>
            </w:r>
          </w:p>
        </w:tc>
        <w:tc>
          <w:tcPr>
            <w:tcW w:w="1276" w:type="dxa"/>
            <w:noWrap w:val="0"/>
            <w:vAlign w:val="center"/>
          </w:tcPr>
          <w:p w14:paraId="5A44572D">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人天</w:t>
            </w:r>
          </w:p>
        </w:tc>
        <w:tc>
          <w:tcPr>
            <w:tcW w:w="992" w:type="dxa"/>
            <w:noWrap w:val="0"/>
            <w:vAlign w:val="center"/>
          </w:tcPr>
          <w:p w14:paraId="4787620B">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30</w:t>
            </w:r>
          </w:p>
        </w:tc>
        <w:tc>
          <w:tcPr>
            <w:tcW w:w="1276" w:type="dxa"/>
            <w:noWrap w:val="0"/>
            <w:vAlign w:val="center"/>
          </w:tcPr>
          <w:p w14:paraId="7A9F8C34">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12</w:t>
            </w:r>
          </w:p>
        </w:tc>
      </w:tr>
    </w:tbl>
    <w:p w14:paraId="02B55E1A">
      <w:pPr>
        <w:adjustRightInd w:val="0"/>
        <w:spacing w:line="360" w:lineRule="auto"/>
        <w:ind w:firstLine="560" w:firstLineChars="200"/>
        <w:jc w:val="left"/>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（二）服务要求</w:t>
      </w:r>
    </w:p>
    <w:p w14:paraId="1CDF1215">
      <w:pPr>
        <w:adjustRightInd w:val="0"/>
        <w:spacing w:line="360" w:lineRule="auto"/>
        <w:ind w:firstLine="560" w:firstLineChars="200"/>
        <w:jc w:val="left"/>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1、计算虚拟化技术要求</w:t>
      </w:r>
    </w:p>
    <w:tbl>
      <w:tblPr>
        <w:tblStyle w:val="4"/>
        <w:tblW w:w="9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7873"/>
      </w:tblGrid>
      <w:tr w14:paraId="7272D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25" w:type="dxa"/>
            <w:noWrap w:val="0"/>
            <w:vAlign w:val="center"/>
          </w:tcPr>
          <w:p w14:paraId="62D1BE3B">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指标项</w:t>
            </w:r>
          </w:p>
        </w:tc>
        <w:tc>
          <w:tcPr>
            <w:tcW w:w="7873" w:type="dxa"/>
            <w:noWrap w:val="0"/>
            <w:vAlign w:val="center"/>
          </w:tcPr>
          <w:p w14:paraId="6152605D">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技术参数</w:t>
            </w:r>
          </w:p>
        </w:tc>
      </w:tr>
      <w:tr w14:paraId="30B1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25" w:type="dxa"/>
            <w:vMerge w:val="restart"/>
            <w:shd w:val="clear" w:color="auto" w:fill="auto"/>
            <w:noWrap w:val="0"/>
            <w:vAlign w:val="center"/>
          </w:tcPr>
          <w:p w14:paraId="76A2B8E1">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基础参数</w:t>
            </w:r>
          </w:p>
        </w:tc>
        <w:tc>
          <w:tcPr>
            <w:tcW w:w="7873" w:type="dxa"/>
            <w:shd w:val="clear" w:color="auto" w:fill="FFFFFF"/>
            <w:noWrap w:val="0"/>
            <w:vAlign w:val="center"/>
          </w:tcPr>
          <w:p w14:paraId="4E650B21">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云服务器规格支持在控制台界面直接选配预置模板和自定义配置两种方式，CPU配置不少于64核，内存不少于512G。</w:t>
            </w:r>
          </w:p>
        </w:tc>
      </w:tr>
      <w:tr w14:paraId="357D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25" w:type="dxa"/>
            <w:vMerge w:val="continue"/>
            <w:shd w:val="clear" w:color="auto" w:fill="auto"/>
            <w:noWrap w:val="0"/>
            <w:vAlign w:val="center"/>
          </w:tcPr>
          <w:p w14:paraId="63A35737">
            <w:pPr>
              <w:jc w:val="center"/>
              <w:rPr>
                <w:rFonts w:ascii="仿宋" w:hAnsi="仿宋" w:eastAsia="仿宋" w:cs="仿宋_GB2312"/>
                <w:color w:val="auto"/>
                <w:sz w:val="24"/>
                <w:highlight w:val="none"/>
              </w:rPr>
            </w:pPr>
          </w:p>
        </w:tc>
        <w:tc>
          <w:tcPr>
            <w:tcW w:w="7873" w:type="dxa"/>
            <w:shd w:val="clear" w:color="auto" w:fill="FFFFFF"/>
            <w:noWrap w:val="0"/>
            <w:vAlign w:val="center"/>
          </w:tcPr>
          <w:p w14:paraId="541B7113">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云服务器支持安全加固登录，支持在控制台界面直接配置包括密码登录需符合密码复杂性策略、禁用密码登录启用密钥登录。</w:t>
            </w:r>
          </w:p>
        </w:tc>
      </w:tr>
      <w:tr w14:paraId="42CA3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25" w:type="dxa"/>
            <w:vMerge w:val="continue"/>
            <w:shd w:val="clear" w:color="auto" w:fill="auto"/>
            <w:noWrap w:val="0"/>
            <w:vAlign w:val="center"/>
          </w:tcPr>
          <w:p w14:paraId="2E0CFEF8">
            <w:pPr>
              <w:jc w:val="center"/>
              <w:rPr>
                <w:rFonts w:ascii="仿宋" w:hAnsi="仿宋" w:eastAsia="仿宋" w:cs="仿宋_GB2312"/>
                <w:color w:val="auto"/>
                <w:sz w:val="24"/>
                <w:highlight w:val="none"/>
              </w:rPr>
            </w:pPr>
          </w:p>
        </w:tc>
        <w:tc>
          <w:tcPr>
            <w:tcW w:w="7873" w:type="dxa"/>
            <w:shd w:val="clear" w:color="auto" w:fill="FFFFFF"/>
            <w:noWrap w:val="0"/>
            <w:vAlign w:val="center"/>
          </w:tcPr>
          <w:p w14:paraId="7B5942C2">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支持在控制台界面为云服务器配置绑定VIP(虚拟IP)和FIP(浮动IP)，支持在控制台界面的云服务器列表自定义中展示VIP和FIP、支持标签管理。</w:t>
            </w:r>
          </w:p>
        </w:tc>
      </w:tr>
      <w:tr w14:paraId="18E3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425" w:type="dxa"/>
            <w:vMerge w:val="continue"/>
            <w:shd w:val="clear" w:color="auto" w:fill="auto"/>
            <w:noWrap w:val="0"/>
            <w:vAlign w:val="center"/>
          </w:tcPr>
          <w:p w14:paraId="1A6FAA1C">
            <w:pPr>
              <w:jc w:val="center"/>
              <w:rPr>
                <w:rFonts w:ascii="仿宋" w:hAnsi="仿宋" w:eastAsia="仿宋" w:cs="仿宋_GB2312"/>
                <w:color w:val="auto"/>
                <w:sz w:val="24"/>
                <w:highlight w:val="none"/>
              </w:rPr>
            </w:pPr>
          </w:p>
        </w:tc>
        <w:tc>
          <w:tcPr>
            <w:tcW w:w="7873" w:type="dxa"/>
            <w:shd w:val="clear" w:color="auto" w:fill="FFFFFF"/>
            <w:noWrap w:val="0"/>
            <w:vAlign w:val="center"/>
          </w:tcPr>
          <w:p w14:paraId="5F4B1F8E">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支持云服务器救援处理，用于系统盘损坏时的救援恢复。支持在控制台界面配置云服务器系统盘的卸载、修复、挂载。</w:t>
            </w:r>
          </w:p>
        </w:tc>
      </w:tr>
      <w:tr w14:paraId="642E1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1425" w:type="dxa"/>
            <w:vMerge w:val="continue"/>
            <w:shd w:val="clear" w:color="auto" w:fill="auto"/>
            <w:noWrap w:val="0"/>
            <w:vAlign w:val="center"/>
          </w:tcPr>
          <w:p w14:paraId="5BEAFE3F">
            <w:pPr>
              <w:jc w:val="center"/>
              <w:rPr>
                <w:rFonts w:ascii="仿宋" w:hAnsi="仿宋" w:eastAsia="仿宋" w:cs="仿宋_GB2312"/>
                <w:color w:val="auto"/>
                <w:sz w:val="24"/>
                <w:highlight w:val="none"/>
              </w:rPr>
            </w:pPr>
          </w:p>
        </w:tc>
        <w:tc>
          <w:tcPr>
            <w:tcW w:w="7873" w:type="dxa"/>
            <w:shd w:val="clear" w:color="auto" w:fill="FFFFFF"/>
            <w:noWrap w:val="0"/>
            <w:vAlign w:val="center"/>
          </w:tcPr>
          <w:p w14:paraId="450ABF47">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云服务器磁盘类型支持普通云硬盘、高效云硬盘、SSD云硬盘、普通共享云硬盘、SSD共享云硬盘，系统盘容量≥40G，可挂载数据盘数量不少于20个。</w:t>
            </w:r>
          </w:p>
        </w:tc>
      </w:tr>
      <w:tr w14:paraId="35691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25" w:type="dxa"/>
            <w:vMerge w:val="continue"/>
            <w:shd w:val="clear" w:color="auto" w:fill="auto"/>
            <w:noWrap w:val="0"/>
            <w:vAlign w:val="center"/>
          </w:tcPr>
          <w:p w14:paraId="52B8FABB">
            <w:pPr>
              <w:jc w:val="center"/>
              <w:rPr>
                <w:rFonts w:ascii="仿宋" w:hAnsi="仿宋" w:eastAsia="仿宋" w:cs="仿宋_GB2312"/>
                <w:color w:val="auto"/>
                <w:sz w:val="24"/>
                <w:highlight w:val="none"/>
              </w:rPr>
            </w:pPr>
          </w:p>
        </w:tc>
        <w:tc>
          <w:tcPr>
            <w:tcW w:w="7873" w:type="dxa"/>
            <w:shd w:val="clear" w:color="auto" w:fill="FFFFFF"/>
            <w:noWrap w:val="0"/>
            <w:vAlign w:val="center"/>
          </w:tcPr>
          <w:p w14:paraId="064577EA">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云服务器的创建支持自定义网络区域、可用区、规格、镜像、系统盘大小、数据盘大小、私有网络、子网、安全组、开通弹性IP、设置操作系统密码等。</w:t>
            </w:r>
          </w:p>
        </w:tc>
      </w:tr>
    </w:tbl>
    <w:p w14:paraId="2F1395E7">
      <w:pPr>
        <w:adjustRightInd w:val="0"/>
        <w:spacing w:line="360" w:lineRule="auto"/>
        <w:ind w:firstLine="640" w:firstLineChars="200"/>
        <w:jc w:val="left"/>
        <w:textAlignment w:val="baseline"/>
        <w:rPr>
          <w:rFonts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2、网络虚拟化技术要求</w:t>
      </w:r>
    </w:p>
    <w:tbl>
      <w:tblPr>
        <w:tblStyle w:val="4"/>
        <w:tblW w:w="93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0"/>
        <w:gridCol w:w="7981"/>
      </w:tblGrid>
      <w:tr w14:paraId="70D6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360" w:type="dxa"/>
            <w:noWrap w:val="0"/>
            <w:vAlign w:val="center"/>
          </w:tcPr>
          <w:p w14:paraId="0CDC4D1C">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指标项</w:t>
            </w:r>
          </w:p>
        </w:tc>
        <w:tc>
          <w:tcPr>
            <w:tcW w:w="7981" w:type="dxa"/>
            <w:noWrap w:val="0"/>
            <w:vAlign w:val="center"/>
          </w:tcPr>
          <w:p w14:paraId="7FF23279">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技术参数</w:t>
            </w:r>
          </w:p>
        </w:tc>
      </w:tr>
      <w:tr w14:paraId="2E44F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60" w:type="dxa"/>
            <w:vMerge w:val="restart"/>
            <w:shd w:val="clear" w:color="auto" w:fill="auto"/>
            <w:noWrap w:val="0"/>
            <w:vAlign w:val="center"/>
          </w:tcPr>
          <w:p w14:paraId="53CB35B1">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基础参数</w:t>
            </w:r>
          </w:p>
        </w:tc>
        <w:tc>
          <w:tcPr>
            <w:tcW w:w="7981" w:type="dxa"/>
            <w:shd w:val="clear" w:color="auto" w:fill="FFFFFF"/>
            <w:noWrap w:val="0"/>
            <w:vAlign w:val="center"/>
          </w:tcPr>
          <w:p w14:paraId="787D7565">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提供网络虚拟化功能，实现集中化网络控制和按需管理，具备弹性扩展能力，支持自动化网络部署。</w:t>
            </w:r>
          </w:p>
        </w:tc>
      </w:tr>
      <w:tr w14:paraId="2BD7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60" w:type="dxa"/>
            <w:vMerge w:val="continue"/>
            <w:shd w:val="clear" w:color="auto" w:fill="auto"/>
            <w:noWrap w:val="0"/>
            <w:vAlign w:val="center"/>
          </w:tcPr>
          <w:p w14:paraId="0E879974">
            <w:pPr>
              <w:jc w:val="center"/>
              <w:rPr>
                <w:rFonts w:ascii="仿宋" w:hAnsi="仿宋" w:eastAsia="仿宋" w:cs="仿宋_GB2312"/>
                <w:color w:val="auto"/>
                <w:sz w:val="24"/>
                <w:highlight w:val="none"/>
              </w:rPr>
            </w:pPr>
          </w:p>
        </w:tc>
        <w:tc>
          <w:tcPr>
            <w:tcW w:w="7981" w:type="dxa"/>
            <w:shd w:val="clear" w:color="auto" w:fill="FFFFFF"/>
            <w:noWrap w:val="0"/>
            <w:vAlign w:val="center"/>
          </w:tcPr>
          <w:p w14:paraId="5BFE9C5A">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云平台划分独立的业务网络、存储网络、服务产品管理调度网络、宿主机运维网络、物理节点带外管理网络等，不同网络之间逻辑隔离；业务网络和存储网络采用万兆冗余链路。云平台是独立的公安专网，须与互联网、政务外网等其他外网之间物理隔离。（须提供承诺函，并加盖投标人公章。）</w:t>
            </w:r>
          </w:p>
        </w:tc>
      </w:tr>
      <w:tr w14:paraId="20426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60" w:type="dxa"/>
            <w:vMerge w:val="continue"/>
            <w:shd w:val="clear" w:color="auto" w:fill="auto"/>
            <w:noWrap w:val="0"/>
            <w:vAlign w:val="center"/>
          </w:tcPr>
          <w:p w14:paraId="523AE1BA">
            <w:pPr>
              <w:jc w:val="center"/>
              <w:rPr>
                <w:rFonts w:ascii="仿宋" w:hAnsi="仿宋" w:eastAsia="仿宋" w:cs="仿宋_GB2312"/>
                <w:color w:val="auto"/>
                <w:sz w:val="24"/>
                <w:highlight w:val="none"/>
              </w:rPr>
            </w:pPr>
          </w:p>
        </w:tc>
        <w:tc>
          <w:tcPr>
            <w:tcW w:w="7981" w:type="dxa"/>
            <w:shd w:val="clear" w:color="auto" w:fill="FFFFFF"/>
            <w:noWrap w:val="0"/>
            <w:vAlign w:val="center"/>
          </w:tcPr>
          <w:p w14:paraId="133C0CDD">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#安全组支持平滑的由iptables切换到ovs防火墙，并且用户数据流量不中断，或中断时间在1min以内。需提供国家认可认证（检测）机构出具的认证（检测）报告，并加盖投标人公章。</w:t>
            </w:r>
          </w:p>
        </w:tc>
      </w:tr>
      <w:tr w14:paraId="58C9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60" w:type="dxa"/>
            <w:vMerge w:val="continue"/>
            <w:shd w:val="clear" w:color="auto" w:fill="auto"/>
            <w:noWrap w:val="0"/>
            <w:vAlign w:val="center"/>
          </w:tcPr>
          <w:p w14:paraId="48337446">
            <w:pPr>
              <w:jc w:val="center"/>
              <w:rPr>
                <w:rFonts w:ascii="仿宋" w:hAnsi="仿宋" w:eastAsia="仿宋" w:cs="仿宋_GB2312"/>
                <w:color w:val="auto"/>
                <w:sz w:val="24"/>
                <w:highlight w:val="none"/>
              </w:rPr>
            </w:pPr>
          </w:p>
        </w:tc>
        <w:tc>
          <w:tcPr>
            <w:tcW w:w="7981" w:type="dxa"/>
            <w:tcBorders>
              <w:bottom w:val="single" w:color="auto" w:sz="4" w:space="0"/>
            </w:tcBorders>
            <w:shd w:val="clear" w:color="auto" w:fill="FFFFFF"/>
            <w:noWrap w:val="0"/>
            <w:vAlign w:val="center"/>
          </w:tcPr>
          <w:p w14:paraId="7AA9EA49">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支持网络拓扑管理功能，通过拓扑自定义网络结构，创建路由、创建网络和虚拟机实例。</w:t>
            </w:r>
          </w:p>
        </w:tc>
      </w:tr>
      <w:tr w14:paraId="225C8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60" w:type="dxa"/>
            <w:vMerge w:val="continue"/>
            <w:noWrap w:val="0"/>
            <w:vAlign w:val="center"/>
          </w:tcPr>
          <w:p w14:paraId="0DDAA1D0">
            <w:pPr>
              <w:jc w:val="center"/>
              <w:rPr>
                <w:rFonts w:ascii="仿宋" w:hAnsi="仿宋" w:eastAsia="仿宋" w:cs="仿宋_GB2312"/>
                <w:color w:val="auto"/>
                <w:sz w:val="24"/>
                <w:highlight w:val="none"/>
              </w:rPr>
            </w:pPr>
          </w:p>
        </w:tc>
        <w:tc>
          <w:tcPr>
            <w:tcW w:w="7981" w:type="dxa"/>
            <w:noWrap w:val="0"/>
            <w:vAlign w:val="center"/>
          </w:tcPr>
          <w:p w14:paraId="39160684">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#负载均衡支持负载均衡实例绑定安全组，可以设置允许、拒绝策略，只有匹配允许策略的数据流可以访问负载均衡。需提供产品功能截图，并加盖投标人公章。</w:t>
            </w:r>
          </w:p>
        </w:tc>
      </w:tr>
      <w:tr w14:paraId="7741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60" w:type="dxa"/>
            <w:vMerge w:val="continue"/>
            <w:noWrap w:val="0"/>
            <w:vAlign w:val="center"/>
          </w:tcPr>
          <w:p w14:paraId="1FED3F51">
            <w:pPr>
              <w:jc w:val="center"/>
              <w:rPr>
                <w:rFonts w:ascii="仿宋" w:hAnsi="仿宋" w:eastAsia="仿宋" w:cs="仿宋_GB2312"/>
                <w:color w:val="auto"/>
                <w:sz w:val="24"/>
                <w:highlight w:val="none"/>
              </w:rPr>
            </w:pPr>
          </w:p>
        </w:tc>
        <w:tc>
          <w:tcPr>
            <w:tcW w:w="7981" w:type="dxa"/>
            <w:noWrap w:val="0"/>
            <w:vAlign w:val="center"/>
          </w:tcPr>
          <w:p w14:paraId="395C8600">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#负载均衡支持日志服务，可查询创建、修改、删除等操作日志数据，可查询至少24小时的访问日志数据。需提供产品功能截图，并加盖投标人公章。</w:t>
            </w:r>
          </w:p>
        </w:tc>
      </w:tr>
      <w:tr w14:paraId="5674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60" w:type="dxa"/>
            <w:vMerge w:val="continue"/>
            <w:noWrap w:val="0"/>
            <w:vAlign w:val="center"/>
          </w:tcPr>
          <w:p w14:paraId="0EACC552">
            <w:pPr>
              <w:jc w:val="center"/>
              <w:rPr>
                <w:rFonts w:ascii="仿宋" w:hAnsi="仿宋" w:eastAsia="仿宋" w:cs="仿宋_GB2312"/>
                <w:color w:val="auto"/>
                <w:sz w:val="24"/>
                <w:highlight w:val="none"/>
              </w:rPr>
            </w:pPr>
          </w:p>
        </w:tc>
        <w:tc>
          <w:tcPr>
            <w:tcW w:w="7981" w:type="dxa"/>
            <w:noWrap w:val="0"/>
            <w:vAlign w:val="center"/>
          </w:tcPr>
          <w:p w14:paraId="5020DF50">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负载均衡支持会话保持，将相同来源的访问转发至同一后端服务器，7层监听需支持基于cookie植入和重写两种方式。</w:t>
            </w:r>
          </w:p>
        </w:tc>
      </w:tr>
      <w:tr w14:paraId="30D81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60" w:type="dxa"/>
            <w:vMerge w:val="continue"/>
            <w:noWrap w:val="0"/>
            <w:vAlign w:val="center"/>
          </w:tcPr>
          <w:p w14:paraId="36DA7D2F">
            <w:pPr>
              <w:jc w:val="center"/>
              <w:rPr>
                <w:rFonts w:ascii="仿宋" w:hAnsi="仿宋" w:eastAsia="仿宋" w:cs="仿宋_GB2312"/>
                <w:color w:val="auto"/>
                <w:sz w:val="24"/>
                <w:highlight w:val="none"/>
              </w:rPr>
            </w:pPr>
          </w:p>
        </w:tc>
        <w:tc>
          <w:tcPr>
            <w:tcW w:w="7981" w:type="dxa"/>
            <w:noWrap w:val="0"/>
            <w:vAlign w:val="center"/>
          </w:tcPr>
          <w:p w14:paraId="5632EA2B">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负载均衡支持指定ip地址创建负载均衡实例，保证业务迁移前后的负载均衡地址不变，尽可能降低对业务的影响。</w:t>
            </w:r>
          </w:p>
        </w:tc>
      </w:tr>
      <w:tr w14:paraId="02100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60" w:type="dxa"/>
            <w:vMerge w:val="continue"/>
            <w:noWrap w:val="0"/>
            <w:vAlign w:val="center"/>
          </w:tcPr>
          <w:p w14:paraId="28FC51A4">
            <w:pPr>
              <w:jc w:val="center"/>
              <w:rPr>
                <w:rFonts w:ascii="仿宋" w:hAnsi="仿宋" w:eastAsia="仿宋" w:cs="仿宋_GB2312"/>
                <w:color w:val="auto"/>
                <w:sz w:val="24"/>
                <w:highlight w:val="none"/>
              </w:rPr>
            </w:pPr>
          </w:p>
        </w:tc>
        <w:tc>
          <w:tcPr>
            <w:tcW w:w="7981" w:type="dxa"/>
            <w:noWrap w:val="0"/>
            <w:vAlign w:val="center"/>
          </w:tcPr>
          <w:p w14:paraId="4D043996">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虚拟私有网络支持软件定义网络技术，可自定义网络范围、路由规则、安全访问策略等，可以根据采购人业务需求进行弹性扩缩容、按需取用，资源即开即用。</w:t>
            </w:r>
          </w:p>
        </w:tc>
      </w:tr>
      <w:tr w14:paraId="0D2FA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60" w:type="dxa"/>
            <w:vMerge w:val="continue"/>
            <w:noWrap w:val="0"/>
            <w:vAlign w:val="center"/>
          </w:tcPr>
          <w:p w14:paraId="7A5FA26F">
            <w:pPr>
              <w:jc w:val="center"/>
              <w:rPr>
                <w:rFonts w:ascii="仿宋" w:hAnsi="仿宋" w:eastAsia="仿宋" w:cs="仿宋_GB2312"/>
                <w:color w:val="auto"/>
                <w:sz w:val="24"/>
                <w:highlight w:val="none"/>
              </w:rPr>
            </w:pPr>
          </w:p>
        </w:tc>
        <w:tc>
          <w:tcPr>
            <w:tcW w:w="7981" w:type="dxa"/>
            <w:noWrap w:val="0"/>
            <w:vAlign w:val="center"/>
          </w:tcPr>
          <w:p w14:paraId="7ACCA768">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#虚拟私有网络支持安全组，提供云服务器粒度的网络安全访问控制功能，支持设置允许、拒绝策略。需提供产品功能截图，并加盖投标人公章。</w:t>
            </w:r>
          </w:p>
        </w:tc>
      </w:tr>
      <w:tr w14:paraId="320F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60" w:type="dxa"/>
            <w:vMerge w:val="continue"/>
            <w:shd w:val="clear" w:color="auto" w:fill="auto"/>
            <w:noWrap w:val="0"/>
            <w:vAlign w:val="center"/>
          </w:tcPr>
          <w:p w14:paraId="19188A58">
            <w:pPr>
              <w:jc w:val="center"/>
              <w:rPr>
                <w:rFonts w:ascii="仿宋" w:hAnsi="仿宋" w:eastAsia="仿宋" w:cs="仿宋_GB2312"/>
                <w:color w:val="auto"/>
                <w:sz w:val="24"/>
                <w:highlight w:val="none"/>
              </w:rPr>
            </w:pPr>
          </w:p>
        </w:tc>
        <w:tc>
          <w:tcPr>
            <w:tcW w:w="7981" w:type="dxa"/>
            <w:shd w:val="clear" w:color="auto" w:fill="FFFFFF"/>
            <w:noWrap w:val="0"/>
            <w:vAlign w:val="center"/>
          </w:tcPr>
          <w:p w14:paraId="1621964C">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支持网络ACL，提供子网级别的安全防护能力，支持设置允许、拒绝策略。</w:t>
            </w:r>
          </w:p>
        </w:tc>
      </w:tr>
      <w:tr w14:paraId="15F75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60" w:type="dxa"/>
            <w:vMerge w:val="continue"/>
            <w:shd w:val="clear" w:color="auto" w:fill="auto"/>
            <w:noWrap w:val="0"/>
            <w:vAlign w:val="center"/>
          </w:tcPr>
          <w:p w14:paraId="6BB0ADCD">
            <w:pPr>
              <w:jc w:val="center"/>
              <w:rPr>
                <w:rFonts w:ascii="仿宋" w:hAnsi="仿宋" w:eastAsia="仿宋" w:cs="仿宋_GB2312"/>
                <w:color w:val="auto"/>
                <w:sz w:val="24"/>
                <w:highlight w:val="none"/>
              </w:rPr>
            </w:pPr>
          </w:p>
        </w:tc>
        <w:tc>
          <w:tcPr>
            <w:tcW w:w="7981" w:type="dxa"/>
            <w:shd w:val="clear" w:color="auto" w:fill="FFFFFF"/>
            <w:noWrap w:val="0"/>
            <w:vAlign w:val="center"/>
          </w:tcPr>
          <w:p w14:paraId="480C2D68">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可提供弹性网卡功能，云服务器支持绑定和解绑多个弹性网卡，每个网卡支持配置独立的安全组。</w:t>
            </w:r>
          </w:p>
        </w:tc>
      </w:tr>
      <w:tr w14:paraId="3A421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60" w:type="dxa"/>
            <w:vMerge w:val="continue"/>
            <w:shd w:val="clear" w:color="auto" w:fill="auto"/>
            <w:noWrap w:val="0"/>
            <w:vAlign w:val="center"/>
          </w:tcPr>
          <w:p w14:paraId="316AAD15">
            <w:pPr>
              <w:jc w:val="center"/>
              <w:rPr>
                <w:rFonts w:ascii="仿宋" w:hAnsi="仿宋" w:eastAsia="仿宋" w:cs="仿宋_GB2312"/>
                <w:color w:val="auto"/>
                <w:sz w:val="24"/>
                <w:highlight w:val="none"/>
              </w:rPr>
            </w:pPr>
          </w:p>
        </w:tc>
        <w:tc>
          <w:tcPr>
            <w:tcW w:w="7981" w:type="dxa"/>
            <w:shd w:val="clear" w:color="auto" w:fill="FFFFFF"/>
            <w:noWrap w:val="0"/>
            <w:vAlign w:val="center"/>
          </w:tcPr>
          <w:p w14:paraId="3045330F">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支持IPv6双栈服务，可创建同时支持IPv6、IPv4地址的VPC、子网。</w:t>
            </w:r>
          </w:p>
        </w:tc>
      </w:tr>
    </w:tbl>
    <w:p w14:paraId="3D158485">
      <w:pPr>
        <w:adjustRightInd w:val="0"/>
        <w:spacing w:line="360" w:lineRule="auto"/>
        <w:ind w:firstLine="560" w:firstLineChars="200"/>
        <w:jc w:val="left"/>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3、存储虚拟化技术要求</w:t>
      </w:r>
    </w:p>
    <w:tbl>
      <w:tblPr>
        <w:tblStyle w:val="4"/>
        <w:tblW w:w="93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7942"/>
      </w:tblGrid>
      <w:tr w14:paraId="0B34A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413" w:type="dxa"/>
            <w:noWrap w:val="0"/>
            <w:vAlign w:val="center"/>
          </w:tcPr>
          <w:p w14:paraId="2AC9AC76">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指标项</w:t>
            </w:r>
          </w:p>
        </w:tc>
        <w:tc>
          <w:tcPr>
            <w:tcW w:w="7942" w:type="dxa"/>
            <w:noWrap w:val="0"/>
            <w:vAlign w:val="center"/>
          </w:tcPr>
          <w:p w14:paraId="02D0A562">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技术参数</w:t>
            </w:r>
          </w:p>
        </w:tc>
      </w:tr>
      <w:tr w14:paraId="0E18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vMerge w:val="restart"/>
            <w:shd w:val="clear" w:color="auto" w:fill="auto"/>
            <w:noWrap w:val="0"/>
            <w:vAlign w:val="center"/>
          </w:tcPr>
          <w:p w14:paraId="5AFF0D54">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基本要求</w:t>
            </w:r>
          </w:p>
        </w:tc>
        <w:tc>
          <w:tcPr>
            <w:tcW w:w="7942" w:type="dxa"/>
            <w:shd w:val="clear" w:color="auto" w:fill="FFFFFF"/>
            <w:noWrap w:val="0"/>
            <w:vAlign w:val="center"/>
          </w:tcPr>
          <w:p w14:paraId="51561B31">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提供块存储服务：普通性能存储，读写IOPS：1000-3000k/s。</w:t>
            </w:r>
          </w:p>
        </w:tc>
      </w:tr>
      <w:tr w14:paraId="2873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vMerge w:val="continue"/>
            <w:shd w:val="clear" w:color="auto" w:fill="auto"/>
            <w:noWrap w:val="0"/>
            <w:vAlign w:val="center"/>
          </w:tcPr>
          <w:p w14:paraId="6617E29B">
            <w:pPr>
              <w:jc w:val="center"/>
              <w:rPr>
                <w:rFonts w:ascii="仿宋" w:hAnsi="仿宋" w:eastAsia="仿宋" w:cs="仿宋_GB2312"/>
                <w:color w:val="auto"/>
                <w:sz w:val="24"/>
                <w:highlight w:val="none"/>
              </w:rPr>
            </w:pPr>
          </w:p>
        </w:tc>
        <w:tc>
          <w:tcPr>
            <w:tcW w:w="7942" w:type="dxa"/>
            <w:tcBorders>
              <w:bottom w:val="single" w:color="auto" w:sz="4" w:space="0"/>
            </w:tcBorders>
            <w:shd w:val="clear" w:color="auto" w:fill="FFFFFF"/>
            <w:noWrap w:val="0"/>
            <w:vAlign w:val="center"/>
          </w:tcPr>
          <w:p w14:paraId="369492E9">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提供块存储服务：高性能存储，读写IOPS：3000-20000k/s。</w:t>
            </w:r>
          </w:p>
        </w:tc>
      </w:tr>
      <w:tr w14:paraId="35B90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vMerge w:val="continue"/>
            <w:shd w:val="clear" w:color="auto" w:fill="auto"/>
            <w:noWrap w:val="0"/>
            <w:vAlign w:val="center"/>
          </w:tcPr>
          <w:p w14:paraId="29B5B3ED">
            <w:pPr>
              <w:jc w:val="center"/>
              <w:rPr>
                <w:rFonts w:ascii="仿宋" w:hAnsi="仿宋" w:eastAsia="仿宋" w:cs="仿宋_GB2312"/>
                <w:color w:val="auto"/>
                <w:sz w:val="24"/>
                <w:highlight w:val="none"/>
              </w:rPr>
            </w:pPr>
          </w:p>
        </w:tc>
        <w:tc>
          <w:tcPr>
            <w:tcW w:w="7942" w:type="dxa"/>
            <w:tcBorders>
              <w:bottom w:val="single" w:color="auto" w:sz="4" w:space="0"/>
            </w:tcBorders>
            <w:shd w:val="clear" w:color="auto" w:fill="FFFFFF"/>
            <w:noWrap w:val="0"/>
            <w:vAlign w:val="center"/>
          </w:tcPr>
          <w:p w14:paraId="15908E1D">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云硬盘存储容量支持动态扩展，单数据盘容量≥32T。</w:t>
            </w:r>
          </w:p>
        </w:tc>
      </w:tr>
      <w:tr w14:paraId="51E9B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vMerge w:val="continue"/>
            <w:noWrap w:val="0"/>
            <w:vAlign w:val="center"/>
          </w:tcPr>
          <w:p w14:paraId="623A9C4C">
            <w:pPr>
              <w:jc w:val="center"/>
              <w:rPr>
                <w:rFonts w:ascii="仿宋" w:hAnsi="仿宋" w:eastAsia="仿宋" w:cs="仿宋_GB2312"/>
                <w:color w:val="auto"/>
                <w:sz w:val="24"/>
                <w:highlight w:val="none"/>
              </w:rPr>
            </w:pPr>
          </w:p>
        </w:tc>
        <w:tc>
          <w:tcPr>
            <w:tcW w:w="7942" w:type="dxa"/>
            <w:noWrap w:val="0"/>
            <w:vAlign w:val="center"/>
          </w:tcPr>
          <w:p w14:paraId="65333463">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#为了保障数据安全，提供手动和自动备份功能，支持备份自定义策略；同时在备份删除时，通过增量备份技术，减少备份空间浪费。需提供产品功能截图，并加盖投标人公章。</w:t>
            </w:r>
          </w:p>
        </w:tc>
      </w:tr>
      <w:tr w14:paraId="60F4C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vMerge w:val="continue"/>
            <w:noWrap w:val="0"/>
            <w:vAlign w:val="center"/>
          </w:tcPr>
          <w:p w14:paraId="52E02F6A">
            <w:pPr>
              <w:jc w:val="center"/>
              <w:rPr>
                <w:rFonts w:ascii="仿宋" w:hAnsi="仿宋" w:eastAsia="仿宋" w:cs="仿宋_GB2312"/>
                <w:color w:val="auto"/>
                <w:sz w:val="24"/>
                <w:highlight w:val="none"/>
              </w:rPr>
            </w:pPr>
          </w:p>
        </w:tc>
        <w:tc>
          <w:tcPr>
            <w:tcW w:w="7942" w:type="dxa"/>
            <w:noWrap w:val="0"/>
            <w:vAlign w:val="center"/>
          </w:tcPr>
          <w:p w14:paraId="5AB11BEA">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#为了防止误删除数据，支持回收站功能，放入回收站的云盘可以在有效期内恢复该云盘数据。需提供产品功能截图，并加盖投标人公章。</w:t>
            </w:r>
          </w:p>
        </w:tc>
      </w:tr>
      <w:tr w14:paraId="1E10E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vMerge w:val="continue"/>
            <w:shd w:val="clear" w:color="auto" w:fill="auto"/>
            <w:noWrap w:val="0"/>
            <w:vAlign w:val="center"/>
          </w:tcPr>
          <w:p w14:paraId="6B7F3257">
            <w:pPr>
              <w:jc w:val="center"/>
              <w:rPr>
                <w:rFonts w:ascii="仿宋" w:hAnsi="仿宋" w:eastAsia="仿宋" w:cs="仿宋_GB2312"/>
                <w:color w:val="auto"/>
                <w:sz w:val="24"/>
                <w:highlight w:val="none"/>
              </w:rPr>
            </w:pPr>
          </w:p>
        </w:tc>
        <w:tc>
          <w:tcPr>
            <w:tcW w:w="7942" w:type="dxa"/>
            <w:shd w:val="clear" w:color="auto" w:fill="FFFFFF"/>
            <w:noWrap w:val="0"/>
            <w:vAlign w:val="center"/>
          </w:tcPr>
          <w:p w14:paraId="1CD3C49E">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支持对备份数据的去重，可以做到按照一定重删粒度，如1M，相同数据完成去重，在使用同一个镜像创建的两个系统盘，在没有其它数据改变的情况下，数据重删率需达到90%以上。</w:t>
            </w:r>
          </w:p>
        </w:tc>
      </w:tr>
      <w:tr w14:paraId="264A0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vMerge w:val="continue"/>
            <w:shd w:val="clear" w:color="auto" w:fill="auto"/>
            <w:noWrap w:val="0"/>
            <w:vAlign w:val="center"/>
          </w:tcPr>
          <w:p w14:paraId="10803F19">
            <w:pPr>
              <w:jc w:val="center"/>
              <w:rPr>
                <w:rFonts w:ascii="仿宋" w:hAnsi="仿宋" w:eastAsia="仿宋" w:cs="仿宋_GB2312"/>
                <w:color w:val="auto"/>
                <w:sz w:val="24"/>
                <w:highlight w:val="none"/>
              </w:rPr>
            </w:pPr>
          </w:p>
        </w:tc>
        <w:tc>
          <w:tcPr>
            <w:tcW w:w="7942" w:type="dxa"/>
            <w:shd w:val="clear" w:color="auto" w:fill="FFFFFF"/>
            <w:noWrap w:val="0"/>
            <w:vAlign w:val="center"/>
          </w:tcPr>
          <w:p w14:paraId="53E5B870">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存储组件支持NVME部署。</w:t>
            </w:r>
          </w:p>
        </w:tc>
      </w:tr>
      <w:tr w14:paraId="424F9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vMerge w:val="continue"/>
            <w:shd w:val="clear" w:color="auto" w:fill="auto"/>
            <w:noWrap w:val="0"/>
            <w:vAlign w:val="center"/>
          </w:tcPr>
          <w:p w14:paraId="75B37EEE">
            <w:pPr>
              <w:jc w:val="center"/>
              <w:rPr>
                <w:rFonts w:ascii="仿宋" w:hAnsi="仿宋" w:eastAsia="仿宋" w:cs="仿宋_GB2312"/>
                <w:color w:val="auto"/>
                <w:sz w:val="24"/>
                <w:highlight w:val="none"/>
              </w:rPr>
            </w:pPr>
          </w:p>
        </w:tc>
        <w:tc>
          <w:tcPr>
            <w:tcW w:w="7942" w:type="dxa"/>
            <w:shd w:val="clear" w:color="auto" w:fill="FFFFFF"/>
            <w:noWrap w:val="0"/>
            <w:vAlign w:val="center"/>
          </w:tcPr>
          <w:p w14:paraId="2025C9CC">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平台支持分布式存储和集中存储两种存储架构，具备为数据提供多份副本（不少于三副本）或冗余磁盘阵列的功能，支持基于副本数据进行还原操作。</w:t>
            </w:r>
          </w:p>
        </w:tc>
      </w:tr>
      <w:tr w14:paraId="30DF8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vMerge w:val="continue"/>
            <w:shd w:val="clear" w:color="auto" w:fill="auto"/>
            <w:noWrap w:val="0"/>
            <w:vAlign w:val="center"/>
          </w:tcPr>
          <w:p w14:paraId="2A9185E5">
            <w:pPr>
              <w:jc w:val="center"/>
              <w:rPr>
                <w:rFonts w:ascii="仿宋" w:hAnsi="仿宋" w:eastAsia="仿宋" w:cs="仿宋_GB2312"/>
                <w:color w:val="auto"/>
                <w:sz w:val="24"/>
                <w:highlight w:val="none"/>
              </w:rPr>
            </w:pPr>
          </w:p>
        </w:tc>
        <w:tc>
          <w:tcPr>
            <w:tcW w:w="7942" w:type="dxa"/>
            <w:shd w:val="clear" w:color="auto" w:fill="FFFFFF"/>
            <w:noWrap w:val="0"/>
            <w:vAlign w:val="center"/>
          </w:tcPr>
          <w:p w14:paraId="3100308D">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为了满足不同的存储类型需求，支持对块、文件、对象三种存储类型的统一管理；存储资源池单盘IOPS指标不得少于1000k/s。</w:t>
            </w:r>
          </w:p>
        </w:tc>
      </w:tr>
      <w:tr w14:paraId="377E4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vMerge w:val="continue"/>
            <w:shd w:val="clear" w:color="auto" w:fill="auto"/>
            <w:noWrap w:val="0"/>
            <w:vAlign w:val="center"/>
          </w:tcPr>
          <w:p w14:paraId="2A8C0D04">
            <w:pPr>
              <w:jc w:val="center"/>
              <w:rPr>
                <w:rFonts w:ascii="仿宋" w:hAnsi="仿宋" w:eastAsia="仿宋" w:cs="仿宋_GB2312"/>
                <w:color w:val="auto"/>
                <w:sz w:val="24"/>
                <w:highlight w:val="none"/>
              </w:rPr>
            </w:pPr>
          </w:p>
        </w:tc>
        <w:tc>
          <w:tcPr>
            <w:tcW w:w="7942" w:type="dxa"/>
            <w:shd w:val="clear" w:color="auto" w:fill="FFFFFF"/>
            <w:noWrap w:val="0"/>
            <w:vAlign w:val="center"/>
          </w:tcPr>
          <w:p w14:paraId="37562AD6">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虚拟机数据盘支持跨存储迁移功能，适用于不同存储之间、同一存储不同介质之间的离线迁移，在线也支持。</w:t>
            </w:r>
          </w:p>
        </w:tc>
      </w:tr>
      <w:tr w14:paraId="02D04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413" w:type="dxa"/>
            <w:vMerge w:val="continue"/>
            <w:shd w:val="clear" w:color="auto" w:fill="auto"/>
            <w:noWrap w:val="0"/>
            <w:vAlign w:val="center"/>
          </w:tcPr>
          <w:p w14:paraId="464BDA8F">
            <w:pPr>
              <w:jc w:val="center"/>
              <w:rPr>
                <w:rFonts w:ascii="仿宋" w:hAnsi="仿宋" w:eastAsia="仿宋" w:cs="仿宋_GB2312"/>
                <w:color w:val="auto"/>
                <w:sz w:val="24"/>
                <w:highlight w:val="none"/>
              </w:rPr>
            </w:pPr>
          </w:p>
        </w:tc>
        <w:tc>
          <w:tcPr>
            <w:tcW w:w="7942" w:type="dxa"/>
            <w:shd w:val="clear" w:color="auto" w:fill="FFFFFF"/>
            <w:noWrap w:val="0"/>
            <w:vAlign w:val="center"/>
          </w:tcPr>
          <w:p w14:paraId="2A4083A6">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为了快速查找云盘信息，支持高级的筛选（如：根据云盘id，云盘名称、云盘属性、云盘类型、云硬盘容量范围等）功能。</w:t>
            </w:r>
          </w:p>
        </w:tc>
      </w:tr>
    </w:tbl>
    <w:p w14:paraId="15FD630C">
      <w:pPr>
        <w:adjustRightInd w:val="0"/>
        <w:spacing w:line="360" w:lineRule="auto"/>
        <w:ind w:firstLine="560" w:firstLineChars="200"/>
        <w:jc w:val="left"/>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4、云平台技术要求</w:t>
      </w:r>
    </w:p>
    <w:tbl>
      <w:tblPr>
        <w:tblStyle w:val="4"/>
        <w:tblW w:w="9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8192"/>
      </w:tblGrid>
      <w:tr w14:paraId="737C5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1198" w:type="dxa"/>
            <w:noWrap w:val="0"/>
            <w:vAlign w:val="center"/>
          </w:tcPr>
          <w:p w14:paraId="25D06CF1">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指标项</w:t>
            </w:r>
          </w:p>
        </w:tc>
        <w:tc>
          <w:tcPr>
            <w:tcW w:w="8192" w:type="dxa"/>
            <w:noWrap w:val="0"/>
            <w:vAlign w:val="center"/>
          </w:tcPr>
          <w:p w14:paraId="3EDCC1A6">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服务要求</w:t>
            </w:r>
          </w:p>
        </w:tc>
      </w:tr>
      <w:tr w14:paraId="36BDB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98" w:type="dxa"/>
            <w:vMerge w:val="restart"/>
            <w:noWrap w:val="0"/>
            <w:vAlign w:val="center"/>
          </w:tcPr>
          <w:p w14:paraId="50026A20">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基本要求</w:t>
            </w:r>
          </w:p>
        </w:tc>
        <w:tc>
          <w:tcPr>
            <w:tcW w:w="8192" w:type="dxa"/>
            <w:tcBorders>
              <w:bottom w:val="single" w:color="auto" w:sz="4" w:space="0"/>
            </w:tcBorders>
            <w:noWrap w:val="0"/>
            <w:vAlign w:val="center"/>
          </w:tcPr>
          <w:p w14:paraId="706B1EC6">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云操作系统所有组件和服务均采用分布式技术架构，采用虚拟化技术路线，保证平台的成熟度、稳定性和开放性。</w:t>
            </w:r>
          </w:p>
        </w:tc>
      </w:tr>
      <w:tr w14:paraId="11267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98" w:type="dxa"/>
            <w:vMerge w:val="continue"/>
            <w:noWrap w:val="0"/>
            <w:vAlign w:val="center"/>
          </w:tcPr>
          <w:p w14:paraId="3CD1134D">
            <w:pPr>
              <w:jc w:val="center"/>
              <w:rPr>
                <w:rFonts w:ascii="仿宋" w:hAnsi="仿宋" w:eastAsia="仿宋" w:cs="仿宋_GB2312"/>
                <w:color w:val="auto"/>
                <w:sz w:val="24"/>
                <w:highlight w:val="none"/>
              </w:rPr>
            </w:pPr>
          </w:p>
        </w:tc>
        <w:tc>
          <w:tcPr>
            <w:tcW w:w="8192" w:type="dxa"/>
            <w:noWrap w:val="0"/>
            <w:vAlign w:val="center"/>
          </w:tcPr>
          <w:p w14:paraId="7BDD425C">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为保证采购人业务连续性，云平台需支持跨CPU型号进行热迁移，保证存量虚拟机由CPU特性少的往CPU特性多的计算节点热迁出并迁回。</w:t>
            </w:r>
          </w:p>
        </w:tc>
      </w:tr>
      <w:tr w14:paraId="1D15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198" w:type="dxa"/>
            <w:vMerge w:val="continue"/>
            <w:noWrap w:val="0"/>
            <w:vAlign w:val="center"/>
          </w:tcPr>
          <w:p w14:paraId="706B65CC">
            <w:pPr>
              <w:jc w:val="center"/>
              <w:rPr>
                <w:rFonts w:ascii="仿宋" w:hAnsi="仿宋" w:eastAsia="仿宋" w:cs="仿宋_GB2312"/>
                <w:color w:val="auto"/>
                <w:sz w:val="24"/>
                <w:highlight w:val="none"/>
              </w:rPr>
            </w:pPr>
          </w:p>
        </w:tc>
        <w:tc>
          <w:tcPr>
            <w:tcW w:w="8192" w:type="dxa"/>
            <w:noWrap w:val="0"/>
            <w:vAlign w:val="center"/>
          </w:tcPr>
          <w:p w14:paraId="12252C77">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#云平台应提供统一的标准接口，包含但不限于虚拟化平台、运营管理平台、运维管理平台、服务产品等标准接口，具备与云监管部门和第三方平台对接的能力。要求提供标准OpenApi文档截图，并加盖投标人公章</w:t>
            </w:r>
            <w:r>
              <w:rPr>
                <w:rFonts w:hint="eastAsia" w:ascii="仿宋" w:hAnsi="仿宋" w:eastAsia="仿宋" w:cs="仿宋_GB2312"/>
                <w:color w:val="auto"/>
                <w:sz w:val="24"/>
                <w:highlight w:val="none"/>
                <w:lang w:val="en"/>
              </w:rPr>
              <w:t>。</w:t>
            </w:r>
          </w:p>
        </w:tc>
      </w:tr>
    </w:tbl>
    <w:p w14:paraId="535513A0">
      <w:pPr>
        <w:adjustRightInd w:val="0"/>
        <w:spacing w:line="360" w:lineRule="auto"/>
        <w:ind w:firstLine="560" w:firstLineChars="200"/>
        <w:jc w:val="left"/>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5、</w:t>
      </w:r>
      <w:r>
        <w:rPr>
          <w:rFonts w:hint="eastAsia" w:ascii="仿宋_GB2312" w:hAnsi="仿宋_GB2312" w:eastAsia="仿宋_GB2312" w:cs="仿宋_GB2312"/>
          <w:color w:val="auto"/>
          <w:sz w:val="28"/>
          <w:szCs w:val="28"/>
          <w:highlight w:val="none"/>
        </w:rPr>
        <w:t>其他技术要求</w:t>
      </w:r>
    </w:p>
    <w:bookmarkEnd w:id="10"/>
    <w:tbl>
      <w:tblPr>
        <w:tblStyle w:val="4"/>
        <w:tblW w:w="93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9"/>
        <w:gridCol w:w="8210"/>
      </w:tblGrid>
      <w:tr w14:paraId="6A67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noWrap w:val="0"/>
            <w:vAlign w:val="center"/>
          </w:tcPr>
          <w:p w14:paraId="653057C8">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指标项</w:t>
            </w:r>
          </w:p>
        </w:tc>
        <w:tc>
          <w:tcPr>
            <w:tcW w:w="8210" w:type="dxa"/>
            <w:noWrap w:val="0"/>
            <w:vAlign w:val="center"/>
          </w:tcPr>
          <w:p w14:paraId="1D8DAF82">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服务要求</w:t>
            </w:r>
          </w:p>
        </w:tc>
      </w:tr>
      <w:tr w14:paraId="59EDD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restart"/>
            <w:shd w:val="clear" w:color="auto" w:fill="FFFFFF"/>
            <w:noWrap w:val="0"/>
            <w:vAlign w:val="center"/>
          </w:tcPr>
          <w:p w14:paraId="5B444925">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运营能力</w:t>
            </w:r>
          </w:p>
        </w:tc>
        <w:tc>
          <w:tcPr>
            <w:tcW w:w="8210" w:type="dxa"/>
            <w:shd w:val="clear" w:color="auto" w:fill="FFFFFF"/>
            <w:noWrap w:val="0"/>
            <w:vAlign w:val="center"/>
          </w:tcPr>
          <w:p w14:paraId="5FFF5435">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云平台提供统一运营管理、运维管理、计费计量服务、网络服务，支持多租户且各租户可独立配置策略和权限。计量报表，提供包括云资源明细、基于云服务维度的统计、基于租户维度的统计报表，支持订阅报表和自定义报表维度。</w:t>
            </w:r>
          </w:p>
        </w:tc>
      </w:tr>
      <w:tr w14:paraId="047D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shd w:val="clear" w:color="auto" w:fill="FFFFFF"/>
            <w:noWrap w:val="0"/>
            <w:vAlign w:val="center"/>
          </w:tcPr>
          <w:p w14:paraId="4E195045">
            <w:pPr>
              <w:jc w:val="center"/>
              <w:rPr>
                <w:rFonts w:ascii="仿宋" w:hAnsi="仿宋" w:eastAsia="仿宋" w:cs="仿宋_GB2312"/>
                <w:color w:val="auto"/>
                <w:sz w:val="24"/>
                <w:highlight w:val="none"/>
              </w:rPr>
            </w:pPr>
          </w:p>
        </w:tc>
        <w:tc>
          <w:tcPr>
            <w:tcW w:w="8210" w:type="dxa"/>
            <w:shd w:val="clear" w:color="auto" w:fill="FFFFFF"/>
            <w:noWrap w:val="0"/>
            <w:vAlign w:val="center"/>
          </w:tcPr>
          <w:p w14:paraId="03BE8313">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支持自定义服务目录，提供配置产品类、产品类型（规格）以及该产品售卖的区域功能，并且支持针对不同用户设置不同的服务目录，可以对用户可使用的服务产品进行授权管理，满足采购人灵活的云服务扩展诉求以及精细化管理需求。</w:t>
            </w:r>
          </w:p>
        </w:tc>
      </w:tr>
      <w:tr w14:paraId="42FF3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restart"/>
            <w:shd w:val="clear" w:color="auto" w:fill="FFFFFF"/>
            <w:noWrap w:val="0"/>
            <w:vAlign w:val="center"/>
          </w:tcPr>
          <w:p w14:paraId="770628C6">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运维能力</w:t>
            </w:r>
          </w:p>
        </w:tc>
        <w:tc>
          <w:tcPr>
            <w:tcW w:w="8210" w:type="dxa"/>
            <w:noWrap w:val="0"/>
            <w:vAlign w:val="center"/>
          </w:tcPr>
          <w:p w14:paraId="0BAA35AE">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投标人针对本项目配备一名项目经理，项目经理须同时具有信息系统项目管理师证书（高级）、数据库系统工程师（中级或以上）、国家注册信息安全专业人员证书。</w:t>
            </w:r>
          </w:p>
          <w:p w14:paraId="2035F8DF">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项目团队人员需具备国家注册信息安全专业人员、系统架构设计师、信息系统项目管理师和信息安全保障人员认证证书至少1项，每项证书至少有1名团队人员持有。</w:t>
            </w:r>
          </w:p>
          <w:p w14:paraId="5B0F5DC6">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项目团队人员同类项目实施经验丰富，为采购人上云系统提供专职运维保障。</w:t>
            </w:r>
          </w:p>
        </w:tc>
      </w:tr>
      <w:tr w14:paraId="7A44C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shd w:val="clear" w:color="auto" w:fill="FFFFFF"/>
            <w:noWrap w:val="0"/>
            <w:vAlign w:val="center"/>
          </w:tcPr>
          <w:p w14:paraId="342D3627">
            <w:pPr>
              <w:jc w:val="center"/>
              <w:rPr>
                <w:rFonts w:ascii="仿宋" w:hAnsi="仿宋" w:eastAsia="仿宋" w:cs="仿宋_GB2312"/>
                <w:color w:val="auto"/>
                <w:sz w:val="24"/>
                <w:highlight w:val="none"/>
              </w:rPr>
            </w:pPr>
          </w:p>
        </w:tc>
        <w:tc>
          <w:tcPr>
            <w:tcW w:w="8210" w:type="dxa"/>
            <w:noWrap w:val="0"/>
            <w:vAlign w:val="center"/>
          </w:tcPr>
          <w:p w14:paraId="0105BB77">
            <w:pPr>
              <w:jc w:val="left"/>
              <w:rPr>
                <w:rFonts w:ascii="仿宋" w:hAnsi="仿宋" w:eastAsia="仿宋" w:cs="仿宋_GB2312"/>
                <w:color w:val="auto"/>
                <w:sz w:val="24"/>
                <w:highlight w:val="none"/>
                <w:lang w:val="en"/>
              </w:rPr>
            </w:pPr>
            <w:r>
              <w:rPr>
                <w:rFonts w:hint="eastAsia" w:ascii="仿宋" w:hAnsi="仿宋" w:eastAsia="仿宋" w:cs="仿宋_GB2312"/>
                <w:color w:val="auto"/>
                <w:sz w:val="24"/>
                <w:highlight w:val="none"/>
              </w:rPr>
              <w:t>#</w:t>
            </w:r>
            <w:r>
              <w:rPr>
                <w:rFonts w:hint="eastAsia" w:ascii="仿宋" w:hAnsi="仿宋" w:eastAsia="仿宋" w:cs="仿宋_GB2312"/>
                <w:color w:val="auto"/>
                <w:sz w:val="24"/>
                <w:highlight w:val="none"/>
                <w:lang w:val="en"/>
              </w:rPr>
              <w:t>云管平台应可以查看云平台的内置告警，查看告警详情，并提供告警的静默操作，避免扩容或人工检查问题时产生迷惑性告警。提供功能截图</w:t>
            </w:r>
            <w:r>
              <w:rPr>
                <w:rFonts w:hint="eastAsia" w:ascii="仿宋" w:hAnsi="仿宋" w:eastAsia="仿宋" w:cs="仿宋_GB2312"/>
                <w:color w:val="auto"/>
                <w:sz w:val="24"/>
                <w:highlight w:val="none"/>
              </w:rPr>
              <w:t>，并加盖投标人公章</w:t>
            </w:r>
            <w:r>
              <w:rPr>
                <w:rFonts w:hint="eastAsia" w:ascii="仿宋" w:hAnsi="仿宋" w:eastAsia="仿宋" w:cs="仿宋_GB2312"/>
                <w:color w:val="auto"/>
                <w:sz w:val="24"/>
                <w:highlight w:val="none"/>
                <w:lang w:val="en"/>
              </w:rPr>
              <w:t>。</w:t>
            </w:r>
          </w:p>
        </w:tc>
      </w:tr>
      <w:tr w14:paraId="13AD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shd w:val="clear" w:color="auto" w:fill="FFFFFF"/>
            <w:noWrap w:val="0"/>
            <w:vAlign w:val="center"/>
          </w:tcPr>
          <w:p w14:paraId="1B1D43FA">
            <w:pPr>
              <w:jc w:val="center"/>
              <w:rPr>
                <w:rFonts w:ascii="仿宋" w:hAnsi="仿宋" w:eastAsia="仿宋" w:cs="仿宋_GB2312"/>
                <w:color w:val="auto"/>
                <w:sz w:val="24"/>
                <w:highlight w:val="none"/>
              </w:rPr>
            </w:pPr>
          </w:p>
        </w:tc>
        <w:tc>
          <w:tcPr>
            <w:tcW w:w="8210" w:type="dxa"/>
            <w:noWrap w:val="0"/>
            <w:vAlign w:val="center"/>
          </w:tcPr>
          <w:p w14:paraId="4220BB97">
            <w:pPr>
              <w:jc w:val="left"/>
              <w:rPr>
                <w:rFonts w:ascii="仿宋" w:hAnsi="仿宋" w:eastAsia="仿宋" w:cs="仿宋_GB2312"/>
                <w:color w:val="auto"/>
                <w:sz w:val="24"/>
                <w:highlight w:val="none"/>
                <w:lang w:val="en"/>
              </w:rPr>
            </w:pPr>
            <w:r>
              <w:rPr>
                <w:rFonts w:hint="eastAsia" w:ascii="仿宋" w:hAnsi="仿宋" w:eastAsia="仿宋" w:cs="仿宋_GB2312"/>
                <w:color w:val="auto"/>
                <w:sz w:val="24"/>
                <w:highlight w:val="none"/>
                <w:lang w:val="en"/>
              </w:rPr>
              <w:t>提供平台资源及告警综合大屏功能，展示内容包括但不限于:集群概览、平台资源使用情况、服务产品实例、主机资源使用排行、告警趋势、告警信息等。</w:t>
            </w:r>
          </w:p>
        </w:tc>
      </w:tr>
      <w:tr w14:paraId="4D9BC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shd w:val="clear" w:color="auto" w:fill="FFFFFF"/>
            <w:noWrap w:val="0"/>
            <w:vAlign w:val="center"/>
          </w:tcPr>
          <w:p w14:paraId="17B0D83A">
            <w:pPr>
              <w:jc w:val="center"/>
              <w:rPr>
                <w:rFonts w:ascii="仿宋" w:hAnsi="仿宋" w:eastAsia="仿宋" w:cs="仿宋_GB2312"/>
                <w:color w:val="auto"/>
                <w:sz w:val="24"/>
                <w:highlight w:val="none"/>
              </w:rPr>
            </w:pPr>
          </w:p>
        </w:tc>
        <w:tc>
          <w:tcPr>
            <w:tcW w:w="8210" w:type="dxa"/>
            <w:shd w:val="clear" w:color="auto" w:fill="FFFFFF"/>
            <w:noWrap w:val="0"/>
            <w:vAlign w:val="center"/>
          </w:tcPr>
          <w:p w14:paraId="440318B3">
            <w:pPr>
              <w:jc w:val="left"/>
              <w:rPr>
                <w:rFonts w:ascii="仿宋" w:hAnsi="仿宋" w:eastAsia="仿宋" w:cs="仿宋_GB2312"/>
                <w:color w:val="auto"/>
                <w:sz w:val="24"/>
                <w:highlight w:val="none"/>
                <w:lang w:val="en"/>
              </w:rPr>
            </w:pPr>
            <w:r>
              <w:rPr>
                <w:rFonts w:hint="eastAsia" w:ascii="仿宋" w:hAnsi="仿宋" w:eastAsia="仿宋" w:cs="仿宋_GB2312"/>
                <w:color w:val="auto"/>
                <w:sz w:val="24"/>
                <w:highlight w:val="none"/>
                <w:lang w:val="en"/>
              </w:rPr>
              <w:t>支持周期性生成运维报表，包括但不限于主机监控报表、日志报表、告警报表、虚机监控报表；立即生成报表，周期类型包括天、周、月、季度。只需要设置一次报表参数，即可周期提供报表数据。</w:t>
            </w:r>
          </w:p>
        </w:tc>
      </w:tr>
      <w:tr w14:paraId="4473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shd w:val="clear" w:color="auto" w:fill="FFFFFF"/>
            <w:noWrap w:val="0"/>
            <w:vAlign w:val="center"/>
          </w:tcPr>
          <w:p w14:paraId="0C494936">
            <w:pPr>
              <w:jc w:val="center"/>
              <w:rPr>
                <w:rFonts w:ascii="仿宋" w:hAnsi="仿宋" w:eastAsia="仿宋" w:cs="仿宋_GB2312"/>
                <w:color w:val="auto"/>
                <w:sz w:val="24"/>
                <w:highlight w:val="none"/>
              </w:rPr>
            </w:pPr>
          </w:p>
        </w:tc>
        <w:tc>
          <w:tcPr>
            <w:tcW w:w="8210" w:type="dxa"/>
            <w:shd w:val="clear" w:color="auto" w:fill="FFFFFF"/>
            <w:noWrap w:val="0"/>
            <w:vAlign w:val="center"/>
          </w:tcPr>
          <w:p w14:paraId="763D982A">
            <w:pPr>
              <w:jc w:val="left"/>
              <w:rPr>
                <w:rFonts w:ascii="仿宋" w:hAnsi="仿宋" w:eastAsia="仿宋" w:cs="仿宋_GB2312"/>
                <w:color w:val="auto"/>
                <w:sz w:val="24"/>
                <w:highlight w:val="none"/>
                <w:lang w:val="en"/>
              </w:rPr>
            </w:pPr>
            <w:r>
              <w:rPr>
                <w:rFonts w:hint="eastAsia" w:ascii="仿宋" w:hAnsi="仿宋" w:eastAsia="仿宋" w:cs="仿宋_GB2312"/>
                <w:color w:val="auto"/>
                <w:sz w:val="24"/>
                <w:highlight w:val="none"/>
                <w:lang w:val="en"/>
              </w:rPr>
              <w:t>云平台厂商具备专业的售后运维支持团队，提供回接统一运维代管服务，具备</w:t>
            </w:r>
            <w:r>
              <w:rPr>
                <w:rFonts w:hint="eastAsia" w:ascii="仿宋" w:hAnsi="仿宋" w:eastAsia="仿宋" w:cs="仿宋_GB2312"/>
                <w:color w:val="auto"/>
                <w:sz w:val="24"/>
                <w:highlight w:val="none"/>
              </w:rPr>
              <w:t>7×24</w:t>
            </w:r>
            <w:r>
              <w:rPr>
                <w:rFonts w:hint="eastAsia" w:ascii="仿宋" w:hAnsi="仿宋" w:eastAsia="仿宋" w:cs="仿宋_GB2312"/>
                <w:color w:val="auto"/>
                <w:sz w:val="24"/>
                <w:highlight w:val="none"/>
                <w:lang w:val="en"/>
              </w:rPr>
              <w:t>小时全生命周期管理能力。</w:t>
            </w:r>
          </w:p>
        </w:tc>
      </w:tr>
      <w:tr w14:paraId="7CB9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shd w:val="clear" w:color="auto" w:fill="FFFFFF"/>
            <w:noWrap w:val="0"/>
            <w:vAlign w:val="center"/>
          </w:tcPr>
          <w:p w14:paraId="7911E350">
            <w:pPr>
              <w:jc w:val="center"/>
              <w:rPr>
                <w:rFonts w:ascii="仿宋" w:hAnsi="仿宋" w:eastAsia="仿宋" w:cs="仿宋_GB2312"/>
                <w:color w:val="auto"/>
                <w:sz w:val="24"/>
                <w:highlight w:val="none"/>
              </w:rPr>
            </w:pPr>
          </w:p>
        </w:tc>
        <w:tc>
          <w:tcPr>
            <w:tcW w:w="8210" w:type="dxa"/>
            <w:shd w:val="clear" w:color="auto" w:fill="FFFFFF"/>
            <w:noWrap w:val="0"/>
            <w:vAlign w:val="center"/>
          </w:tcPr>
          <w:p w14:paraId="24104DCD">
            <w:pPr>
              <w:jc w:val="left"/>
              <w:rPr>
                <w:rFonts w:ascii="仿宋" w:hAnsi="仿宋" w:eastAsia="仿宋" w:cs="仿宋_GB2312"/>
                <w:color w:val="auto"/>
                <w:sz w:val="24"/>
                <w:highlight w:val="none"/>
                <w:lang w:val="en"/>
              </w:rPr>
            </w:pPr>
            <w:r>
              <w:rPr>
                <w:rFonts w:hint="eastAsia" w:ascii="仿宋" w:hAnsi="仿宋" w:eastAsia="仿宋" w:cs="仿宋_GB2312"/>
                <w:color w:val="auto"/>
                <w:sz w:val="24"/>
                <w:highlight w:val="none"/>
                <w:lang w:val="en"/>
              </w:rPr>
              <w:t>投标人应当提供高效的系统维护服务，有效防范系统风险，对应负责人每周7</w:t>
            </w:r>
            <w:r>
              <w:rPr>
                <w:rFonts w:hint="eastAsia" w:ascii="仿宋" w:hAnsi="仿宋" w:eastAsia="仿宋" w:cs="仿宋_GB2312"/>
                <w:color w:val="auto"/>
                <w:sz w:val="24"/>
                <w:highlight w:val="none"/>
              </w:rPr>
              <w:t>×</w:t>
            </w:r>
            <w:r>
              <w:rPr>
                <w:rFonts w:hint="eastAsia" w:ascii="仿宋" w:hAnsi="仿宋" w:eastAsia="仿宋" w:cs="仿宋_GB2312"/>
                <w:color w:val="auto"/>
                <w:sz w:val="24"/>
                <w:highlight w:val="none"/>
                <w:lang w:val="en"/>
              </w:rPr>
              <w:t>24小时电话畅通，能够在系统发生除宕机外的其他故障问题时，能够协调人力资源在1小时内到达运维现场提供服务。</w:t>
            </w:r>
          </w:p>
        </w:tc>
      </w:tr>
      <w:tr w14:paraId="5D847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shd w:val="clear" w:color="auto" w:fill="FFFFFF"/>
            <w:noWrap w:val="0"/>
            <w:vAlign w:val="center"/>
          </w:tcPr>
          <w:p w14:paraId="702DDCB2">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#迁移要求</w:t>
            </w:r>
          </w:p>
        </w:tc>
        <w:tc>
          <w:tcPr>
            <w:tcW w:w="8210" w:type="dxa"/>
            <w:shd w:val="clear" w:color="auto" w:fill="FFFFFF"/>
            <w:noWrap w:val="0"/>
            <w:vAlign w:val="center"/>
          </w:tcPr>
          <w:p w14:paraId="66A5A48F">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本项目如涉及云平台上应用系统迁移部署、数据迁移，此项工作产生的相关费用由中标人自行承担，包括迁移期间系统在原云平台运行费用，并与原云服务商做好交接。</w:t>
            </w:r>
          </w:p>
          <w:p w14:paraId="7CB30799">
            <w:pPr>
              <w:jc w:val="left"/>
              <w:rPr>
                <w:rFonts w:ascii="仿宋" w:hAnsi="仿宋" w:eastAsia="仿宋" w:cs="仿宋_GB2312"/>
                <w:color w:val="auto"/>
                <w:sz w:val="24"/>
                <w:highlight w:val="none"/>
                <w:lang w:val="en"/>
              </w:rPr>
            </w:pPr>
            <w:r>
              <w:rPr>
                <w:rFonts w:hint="eastAsia" w:ascii="仿宋" w:hAnsi="仿宋" w:eastAsia="仿宋" w:cs="仿宋_GB2312"/>
                <w:color w:val="auto"/>
                <w:sz w:val="24"/>
                <w:highlight w:val="none"/>
              </w:rPr>
              <w:t>投标人应提供详细的、具备可行性的迁移部署方案，投标人应承诺中标后以最低的风险，完成所有应用系统、数据迁移部署工作，无法完成采购人有权解除合同。（需提供迁移部署方案及承诺函，并加盖投标人公章。）</w:t>
            </w:r>
          </w:p>
        </w:tc>
      </w:tr>
      <w:tr w14:paraId="5B4E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shd w:val="clear" w:color="auto" w:fill="FFFFFF"/>
            <w:noWrap w:val="0"/>
            <w:vAlign w:val="center"/>
          </w:tcPr>
          <w:p w14:paraId="3EB88B32">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#重要时期保障</w:t>
            </w:r>
          </w:p>
        </w:tc>
        <w:tc>
          <w:tcPr>
            <w:tcW w:w="8210" w:type="dxa"/>
            <w:shd w:val="clear" w:color="auto" w:fill="FFFFFF"/>
            <w:noWrap w:val="0"/>
            <w:vAlign w:val="center"/>
          </w:tcPr>
          <w:p w14:paraId="399C5FDB">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投标人应按照采购人提出的重要时期组织开展重保相关工作，开展重保期间值守。</w:t>
            </w:r>
          </w:p>
          <w:p w14:paraId="3151395A">
            <w:pPr>
              <w:jc w:val="left"/>
              <w:rPr>
                <w:rFonts w:ascii="仿宋" w:hAnsi="仿宋" w:eastAsia="仿宋" w:cs="仿宋_GB2312"/>
                <w:color w:val="auto"/>
                <w:sz w:val="24"/>
                <w:highlight w:val="none"/>
                <w:lang w:val="en"/>
              </w:rPr>
            </w:pPr>
            <w:r>
              <w:rPr>
                <w:rFonts w:hint="eastAsia" w:ascii="仿宋" w:hAnsi="仿宋" w:eastAsia="仿宋" w:cs="仿宋_GB2312"/>
                <w:color w:val="auto"/>
                <w:sz w:val="24"/>
                <w:highlight w:val="none"/>
                <w:lang w:val="en"/>
              </w:rPr>
              <w:t>（需提供重保期间的重保方案及承诺函，并加盖投标人公章。）</w:t>
            </w:r>
          </w:p>
        </w:tc>
      </w:tr>
      <w:tr w14:paraId="0E994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restart"/>
            <w:shd w:val="clear" w:color="auto" w:fill="FFFFFF"/>
            <w:noWrap w:val="0"/>
            <w:vAlign w:val="center"/>
          </w:tcPr>
          <w:p w14:paraId="19CA6677">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其他要求</w:t>
            </w:r>
          </w:p>
        </w:tc>
        <w:tc>
          <w:tcPr>
            <w:tcW w:w="8210" w:type="dxa"/>
            <w:shd w:val="clear" w:color="auto" w:fill="FFFFFF"/>
            <w:noWrap w:val="0"/>
            <w:vAlign w:val="center"/>
          </w:tcPr>
          <w:p w14:paraId="5D896088">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投标人应保证各业务应用系统的支撑环境，包括但不限于服务器、网络、存储以及相关物理环境，能满足安全三级等保要求，并积极配合采购人根据各业务系统具体等保需求，开展相应等保评估、检查、整改等工作。</w:t>
            </w:r>
          </w:p>
        </w:tc>
      </w:tr>
      <w:tr w14:paraId="223A8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shd w:val="clear" w:color="auto" w:fill="FFFFFF"/>
            <w:noWrap w:val="0"/>
            <w:vAlign w:val="center"/>
          </w:tcPr>
          <w:p w14:paraId="48E36F7D">
            <w:pPr>
              <w:jc w:val="center"/>
              <w:rPr>
                <w:rFonts w:ascii="仿宋" w:hAnsi="仿宋" w:eastAsia="仿宋" w:cs="仿宋_GB2312"/>
                <w:color w:val="auto"/>
                <w:sz w:val="24"/>
                <w:highlight w:val="none"/>
              </w:rPr>
            </w:pPr>
          </w:p>
        </w:tc>
        <w:tc>
          <w:tcPr>
            <w:tcW w:w="8210" w:type="dxa"/>
            <w:shd w:val="clear" w:color="auto" w:fill="FFFFFF"/>
            <w:noWrap w:val="0"/>
            <w:vAlign w:val="center"/>
          </w:tcPr>
          <w:p w14:paraId="71CD96EA">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★投标人所提供政务云平台应通过网络安全等级保护第三级测评，须提供等级测评机构出具的测评报告</w:t>
            </w:r>
            <w:r>
              <w:rPr>
                <w:rFonts w:hint="eastAsia" w:ascii="宋体" w:hAnsi="宋体" w:cs="宋体"/>
                <w:color w:val="auto"/>
                <w:szCs w:val="21"/>
                <w:highlight w:val="none"/>
              </w:rPr>
              <w:t>扫描件</w:t>
            </w:r>
            <w:r>
              <w:rPr>
                <w:rFonts w:hint="eastAsia" w:ascii="仿宋" w:hAnsi="仿宋" w:eastAsia="仿宋" w:cs="仿宋_GB2312"/>
                <w:color w:val="auto"/>
                <w:sz w:val="24"/>
                <w:highlight w:val="none"/>
              </w:rPr>
              <w:t>并加盖投标人公章，</w:t>
            </w:r>
            <w:r>
              <w:rPr>
                <w:rFonts w:hint="eastAsia" w:ascii="宋体" w:hAnsi="宋体" w:cs="宋体"/>
                <w:color w:val="auto"/>
                <w:szCs w:val="21"/>
                <w:highlight w:val="none"/>
              </w:rPr>
              <w:t>扫描件</w:t>
            </w:r>
            <w:r>
              <w:rPr>
                <w:rFonts w:hint="eastAsia" w:ascii="仿宋" w:hAnsi="仿宋" w:eastAsia="仿宋" w:cs="仿宋_GB2312"/>
                <w:color w:val="auto"/>
                <w:sz w:val="24"/>
                <w:highlight w:val="none"/>
              </w:rPr>
              <w:t>需包含测评机构等级测评专用章。</w:t>
            </w:r>
          </w:p>
        </w:tc>
      </w:tr>
      <w:tr w14:paraId="546CC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vMerge w:val="continue"/>
            <w:shd w:val="clear" w:color="auto" w:fill="FFFFFF"/>
            <w:noWrap w:val="0"/>
            <w:vAlign w:val="center"/>
          </w:tcPr>
          <w:p w14:paraId="7621B2DE">
            <w:pPr>
              <w:jc w:val="center"/>
              <w:rPr>
                <w:rFonts w:ascii="仿宋" w:hAnsi="仿宋" w:eastAsia="仿宋" w:cs="仿宋_GB2312"/>
                <w:color w:val="auto"/>
                <w:sz w:val="24"/>
                <w:highlight w:val="none"/>
              </w:rPr>
            </w:pPr>
          </w:p>
        </w:tc>
        <w:tc>
          <w:tcPr>
            <w:tcW w:w="8210" w:type="dxa"/>
            <w:shd w:val="clear" w:color="auto" w:fill="FFFFFF"/>
            <w:noWrap w:val="0"/>
            <w:vAlign w:val="center"/>
          </w:tcPr>
          <w:p w14:paraId="0AFED9CC">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项目团队每月召开项目管理例会，汇总云资源使用情况、系统安全情况等。</w:t>
            </w:r>
          </w:p>
        </w:tc>
      </w:tr>
      <w:tr w14:paraId="577A9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9" w:type="dxa"/>
            <w:shd w:val="clear" w:color="auto" w:fill="FFFFFF"/>
            <w:noWrap w:val="0"/>
            <w:vAlign w:val="center"/>
          </w:tcPr>
          <w:p w14:paraId="219320DF">
            <w:pPr>
              <w:jc w:val="center"/>
              <w:rPr>
                <w:rFonts w:ascii="仿宋" w:hAnsi="仿宋" w:eastAsia="仿宋" w:cs="仿宋_GB2312"/>
                <w:color w:val="auto"/>
                <w:sz w:val="24"/>
                <w:highlight w:val="none"/>
              </w:rPr>
            </w:pPr>
            <w:r>
              <w:rPr>
                <w:rFonts w:hint="eastAsia" w:ascii="仿宋" w:hAnsi="仿宋" w:eastAsia="仿宋" w:cs="仿宋_GB2312"/>
                <w:color w:val="auto"/>
                <w:sz w:val="24"/>
                <w:highlight w:val="none"/>
              </w:rPr>
              <w:t>#国产化要求</w:t>
            </w:r>
          </w:p>
        </w:tc>
        <w:tc>
          <w:tcPr>
            <w:tcW w:w="8210" w:type="dxa"/>
            <w:shd w:val="clear" w:color="auto" w:fill="FFFFFF"/>
            <w:noWrap w:val="0"/>
            <w:vAlign w:val="center"/>
          </w:tcPr>
          <w:p w14:paraId="16CC3E2F">
            <w:pPr>
              <w:jc w:val="left"/>
              <w:rPr>
                <w:rFonts w:ascii="仿宋" w:hAnsi="仿宋" w:eastAsia="仿宋" w:cs="仿宋_GB2312"/>
                <w:color w:val="auto"/>
                <w:sz w:val="24"/>
                <w:highlight w:val="none"/>
              </w:rPr>
            </w:pPr>
            <w:r>
              <w:rPr>
                <w:rFonts w:hint="eastAsia" w:ascii="仿宋" w:hAnsi="仿宋" w:eastAsia="仿宋" w:cs="仿宋_GB2312"/>
                <w:color w:val="auto"/>
                <w:sz w:val="24"/>
                <w:highlight w:val="none"/>
              </w:rPr>
              <w:t>本项目如涉及国产化改造，投标人应按照采购人要求，进行国产化改造。</w:t>
            </w:r>
          </w:p>
        </w:tc>
      </w:tr>
    </w:tbl>
    <w:p w14:paraId="7BBF6F67">
      <w:pPr>
        <w:adjustRightInd w:val="0"/>
        <w:spacing w:line="360" w:lineRule="auto"/>
        <w:jc w:val="left"/>
        <w:textAlignment w:val="baseline"/>
        <w:rPr>
          <w:rFonts w:ascii="仿宋_GB2312" w:hAnsi="仿宋_GB2312" w:eastAsia="仿宋_GB2312" w:cs="仿宋_GB2312"/>
          <w:b/>
          <w:color w:val="auto"/>
          <w:kern w:val="0"/>
          <w:sz w:val="28"/>
          <w:szCs w:val="28"/>
          <w:highlight w:val="none"/>
        </w:rPr>
      </w:pPr>
      <w:r>
        <w:rPr>
          <w:rFonts w:hint="eastAsia" w:ascii="仿宋_GB2312" w:hAnsi="仿宋_GB2312" w:eastAsia="仿宋_GB2312" w:cs="仿宋_GB2312"/>
          <w:b/>
          <w:color w:val="auto"/>
          <w:kern w:val="0"/>
          <w:sz w:val="28"/>
          <w:szCs w:val="28"/>
          <w:highlight w:val="none"/>
        </w:rPr>
        <w:t>四、售后服务及培训方案</w:t>
      </w:r>
    </w:p>
    <w:p w14:paraId="511BF5B6">
      <w:pPr>
        <w:adjustRightInd w:val="0"/>
        <w:spacing w:line="360" w:lineRule="auto"/>
        <w:ind w:firstLine="560" w:firstLineChars="200"/>
        <w:jc w:val="left"/>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（1）投标人须提供服务质量保障措施保障服务期内的服务质量；</w:t>
      </w:r>
    </w:p>
    <w:p w14:paraId="43D242CE">
      <w:pPr>
        <w:adjustRightInd w:val="0"/>
        <w:spacing w:line="360" w:lineRule="auto"/>
        <w:ind w:firstLine="560" w:firstLineChars="200"/>
        <w:jc w:val="left"/>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（2）投标人须提供重点保障服务方案，包含重要时间节点如春节、两会、国庆等重大时间点的重保服务，加大运维保障力度，保证在业务高峰期内系统平稳运行；</w:t>
      </w:r>
    </w:p>
    <w:p w14:paraId="5869DCBC">
      <w:pPr>
        <w:adjustRightInd w:val="0"/>
        <w:spacing w:line="360" w:lineRule="auto"/>
        <w:ind w:firstLine="560" w:firstLineChars="200"/>
        <w:jc w:val="left"/>
        <w:textAlignment w:val="baseline"/>
        <w:rPr>
          <w:rFonts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（3）投标人应根据本项目的特点制定培训方案并提供培训，培训方案应包括培训目的、培训策略、培训原则、培训对象、培训形式、培训计划等内容。</w:t>
      </w:r>
    </w:p>
    <w:p w14:paraId="2D65BC3A">
      <w:pPr>
        <w:adjustRightInd w:val="0"/>
        <w:spacing w:line="360" w:lineRule="auto"/>
        <w:jc w:val="left"/>
        <w:textAlignment w:val="baseline"/>
        <w:rPr>
          <w:rFonts w:ascii="仿宋_GB2312" w:hAnsi="仿宋_GB2312" w:eastAsia="仿宋_GB2312" w:cs="仿宋_GB2312"/>
          <w:b/>
          <w:color w:val="auto"/>
          <w:kern w:val="0"/>
          <w:sz w:val="28"/>
          <w:szCs w:val="28"/>
          <w:highlight w:val="none"/>
        </w:rPr>
      </w:pPr>
      <w:r>
        <w:rPr>
          <w:rFonts w:hint="eastAsia" w:ascii="仿宋_GB2312" w:hAnsi="仿宋_GB2312" w:eastAsia="仿宋_GB2312" w:cs="仿宋_GB2312"/>
          <w:b/>
          <w:color w:val="auto"/>
          <w:kern w:val="0"/>
          <w:sz w:val="28"/>
          <w:szCs w:val="28"/>
          <w:highlight w:val="none"/>
        </w:rPr>
        <w:t>五、政策性采购需求</w:t>
      </w:r>
    </w:p>
    <w:bookmarkEnd w:id="1"/>
    <w:bookmarkEnd w:id="2"/>
    <w:p w14:paraId="74F1B5C7">
      <w:pPr>
        <w:adjustRightInd w:val="0"/>
        <w:spacing w:line="360" w:lineRule="auto"/>
        <w:ind w:firstLine="560" w:firstLineChars="200"/>
        <w:jc w:val="left"/>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为在项目中充分落实《政府采购法》规定的“政府采购应当有助于实现国家的经济和社会发展政策目标”等相关要求，以项目为载体推动北京市环境社会治理(ESG)体系高质量发展，请供应商提供在本项目中落实ESG理念的工作措施。</w:t>
      </w:r>
    </w:p>
    <w:p w14:paraId="68B6EF38">
      <w:pPr>
        <w:pStyle w:val="2"/>
        <w:rPr>
          <w:rFonts w:hint="eastAsia" w:ascii="仿宋_GB2312" w:hAnsi="仿宋_GB2312" w:eastAsia="仿宋_GB2312" w:cs="仿宋_GB2312"/>
          <w:color w:val="auto"/>
          <w:kern w:val="0"/>
          <w:sz w:val="28"/>
          <w:szCs w:val="28"/>
          <w:highlight w:val="none"/>
        </w:rPr>
      </w:pPr>
    </w:p>
    <w:p w14:paraId="28D82473">
      <w:pPr>
        <w:pStyle w:val="3"/>
        <w:rPr>
          <w:rFonts w:hint="eastAsia" w:ascii="仿宋_GB2312" w:hAnsi="仿宋_GB2312" w:eastAsia="仿宋_GB2312" w:cs="仿宋_GB2312"/>
          <w:color w:val="auto"/>
          <w:kern w:val="0"/>
          <w:sz w:val="28"/>
          <w:szCs w:val="28"/>
          <w:highlight w:val="none"/>
        </w:rPr>
      </w:pPr>
    </w:p>
    <w:p w14:paraId="2BDC5B27">
      <w:pPr>
        <w:pStyle w:val="2"/>
        <w:rPr>
          <w:rFonts w:hint="eastAsia"/>
          <w:b/>
          <w:bCs/>
          <w:color w:val="auto"/>
          <w:highlight w:val="none"/>
        </w:rPr>
      </w:pPr>
    </w:p>
    <w:p w14:paraId="341724D7">
      <w:pPr>
        <w:adjustRightInd w:val="0"/>
        <w:spacing w:line="360" w:lineRule="auto"/>
        <w:jc w:val="left"/>
        <w:textAlignment w:val="baseline"/>
        <w:rPr>
          <w:rFonts w:hint="eastAsia" w:ascii="仿宋_GB2312" w:hAnsi="仿宋_GB2312" w:eastAsia="仿宋_GB2312" w:cs="仿宋_GB2312"/>
          <w:b/>
          <w:color w:val="auto"/>
          <w:kern w:val="0"/>
          <w:sz w:val="28"/>
          <w:szCs w:val="28"/>
          <w:highlight w:val="none"/>
          <w:lang w:eastAsia="zh-CN"/>
        </w:rPr>
      </w:pPr>
    </w:p>
    <w:p w14:paraId="4C94251E">
      <w:pPr>
        <w:adjustRightInd w:val="0"/>
        <w:spacing w:line="360" w:lineRule="auto"/>
        <w:jc w:val="left"/>
        <w:textAlignment w:val="baseline"/>
        <w:rPr>
          <w:rFonts w:hint="eastAsia" w:ascii="仿宋_GB2312" w:hAnsi="仿宋_GB2312" w:eastAsia="仿宋_GB2312" w:cs="仿宋_GB2312"/>
          <w:b/>
          <w:color w:val="auto"/>
          <w:kern w:val="0"/>
          <w:sz w:val="28"/>
          <w:szCs w:val="28"/>
          <w:highlight w:val="none"/>
          <w:lang w:eastAsia="zh-CN"/>
        </w:rPr>
      </w:pPr>
    </w:p>
    <w:p w14:paraId="2FBDD67B">
      <w:pPr>
        <w:adjustRightInd w:val="0"/>
        <w:spacing w:line="360" w:lineRule="auto"/>
        <w:jc w:val="left"/>
        <w:textAlignment w:val="baseline"/>
        <w:rPr>
          <w:rFonts w:hint="eastAsia" w:ascii="仿宋_GB2312" w:hAnsi="仿宋_GB2312" w:eastAsia="仿宋_GB2312" w:cs="仿宋_GB2312"/>
          <w:b/>
          <w:color w:val="auto"/>
          <w:kern w:val="0"/>
          <w:sz w:val="28"/>
          <w:szCs w:val="28"/>
          <w:highlight w:val="none"/>
          <w:lang w:eastAsia="zh-CN"/>
        </w:rPr>
      </w:pPr>
    </w:p>
    <w:p w14:paraId="1A8AA83C">
      <w:pPr>
        <w:adjustRightInd w:val="0"/>
        <w:spacing w:line="360" w:lineRule="auto"/>
        <w:jc w:val="left"/>
        <w:textAlignment w:val="baseline"/>
        <w:rPr>
          <w:rFonts w:hint="eastAsia" w:ascii="仿宋_GB2312" w:hAnsi="仿宋_GB2312" w:eastAsia="仿宋_GB2312" w:cs="仿宋_GB2312"/>
          <w:b/>
          <w:color w:val="auto"/>
          <w:kern w:val="0"/>
          <w:sz w:val="28"/>
          <w:szCs w:val="28"/>
          <w:highlight w:val="none"/>
          <w:lang w:eastAsia="zh-CN"/>
        </w:rPr>
      </w:pPr>
    </w:p>
    <w:p w14:paraId="28072122">
      <w:pPr>
        <w:adjustRightInd w:val="0"/>
        <w:spacing w:line="360" w:lineRule="auto"/>
        <w:jc w:val="left"/>
        <w:textAlignment w:val="baseline"/>
        <w:rPr>
          <w:rFonts w:hint="eastAsia" w:ascii="仿宋_GB2312" w:hAnsi="仿宋_GB2312" w:eastAsia="仿宋_GB2312" w:cs="仿宋_GB2312"/>
          <w:b/>
          <w:color w:val="auto"/>
          <w:kern w:val="0"/>
          <w:sz w:val="28"/>
          <w:szCs w:val="28"/>
          <w:highlight w:val="none"/>
          <w:lang w:eastAsia="zh-CN"/>
        </w:rPr>
      </w:pPr>
    </w:p>
    <w:p w14:paraId="161A7B91">
      <w:pPr>
        <w:adjustRightInd w:val="0"/>
        <w:spacing w:line="360" w:lineRule="auto"/>
        <w:jc w:val="left"/>
        <w:textAlignment w:val="baseline"/>
        <w:rPr>
          <w:rFonts w:hint="eastAsia" w:ascii="仿宋_GB2312" w:hAnsi="仿宋_GB2312" w:eastAsia="仿宋_GB2312" w:cs="仿宋_GB2312"/>
          <w:b/>
          <w:color w:val="auto"/>
          <w:kern w:val="0"/>
          <w:sz w:val="28"/>
          <w:szCs w:val="28"/>
          <w:highlight w:val="none"/>
          <w:lang w:eastAsia="zh-CN"/>
        </w:rPr>
      </w:pPr>
    </w:p>
    <w:p w14:paraId="2FEC136E">
      <w:pPr>
        <w:adjustRightInd w:val="0"/>
        <w:spacing w:line="360" w:lineRule="auto"/>
        <w:jc w:val="left"/>
        <w:textAlignment w:val="baseline"/>
        <w:rPr>
          <w:rFonts w:hint="eastAsia" w:ascii="仿宋_GB2312" w:hAnsi="仿宋_GB2312" w:eastAsia="仿宋_GB2312" w:cs="仿宋_GB2312"/>
          <w:b/>
          <w:color w:val="auto"/>
          <w:kern w:val="0"/>
          <w:sz w:val="28"/>
          <w:szCs w:val="28"/>
          <w:highlight w:val="none"/>
          <w:lang w:eastAsia="zh-CN"/>
        </w:rPr>
      </w:pPr>
    </w:p>
    <w:p w14:paraId="39D9CEC9">
      <w:pPr>
        <w:adjustRightInd w:val="0"/>
        <w:spacing w:line="360" w:lineRule="auto"/>
        <w:jc w:val="left"/>
        <w:textAlignment w:val="baseline"/>
        <w:rPr>
          <w:rFonts w:hint="eastAsia" w:ascii="仿宋_GB2312" w:hAnsi="仿宋_GB2312" w:eastAsia="仿宋_GB2312" w:cs="仿宋_GB2312"/>
          <w:b/>
          <w:color w:val="auto"/>
          <w:kern w:val="0"/>
          <w:sz w:val="28"/>
          <w:szCs w:val="28"/>
          <w:highlight w:val="none"/>
          <w:lang w:eastAsia="zh-CN"/>
        </w:rPr>
      </w:pPr>
      <w:r>
        <w:rPr>
          <w:rFonts w:hint="eastAsia" w:ascii="仿宋_GB2312" w:hAnsi="仿宋_GB2312" w:eastAsia="仿宋_GB2312" w:cs="仿宋_GB2312"/>
          <w:b/>
          <w:color w:val="auto"/>
          <w:kern w:val="0"/>
          <w:sz w:val="28"/>
          <w:szCs w:val="28"/>
          <w:highlight w:val="none"/>
          <w:lang w:eastAsia="zh-CN"/>
        </w:rPr>
        <w:t>六、其他附件</w:t>
      </w:r>
    </w:p>
    <w:p w14:paraId="7F110518">
      <w:pPr>
        <w:numPr>
          <w:ilvl w:val="0"/>
          <w:numId w:val="1"/>
        </w:numPr>
        <w:tabs>
          <w:tab w:val="left" w:pos="360"/>
        </w:tabs>
        <w:snapToGrid w:val="0"/>
        <w:spacing w:line="360" w:lineRule="auto"/>
        <w:outlineLvl w:val="1"/>
        <w:rPr>
          <w:color w:val="auto"/>
          <w:sz w:val="24"/>
          <w:szCs w:val="20"/>
          <w:highlight w:val="none"/>
        </w:rPr>
      </w:pPr>
      <w:r>
        <w:rPr>
          <w:rFonts w:hint="eastAsia"/>
          <w:color w:val="auto"/>
          <w:sz w:val="24"/>
          <w:szCs w:val="20"/>
          <w:highlight w:val="none"/>
        </w:rPr>
        <w:t>北京市公安局交通管理局车辆管理所供应商不良行为记录告知书（实质性格式）</w:t>
      </w:r>
    </w:p>
    <w:p w14:paraId="2F78B598">
      <w:pPr>
        <w:snapToGrid w:val="0"/>
        <w:spacing w:line="560" w:lineRule="exact"/>
        <w:rPr>
          <w:rFonts w:ascii="仿宋" w:hAnsi="仿宋" w:eastAsia="仿宋"/>
          <w:color w:val="auto"/>
          <w:kern w:val="0"/>
          <w:sz w:val="24"/>
          <w:highlight w:val="none"/>
        </w:rPr>
      </w:pPr>
    </w:p>
    <w:p w14:paraId="53E6B73B">
      <w:pPr>
        <w:snapToGrid w:val="0"/>
        <w:spacing w:line="560" w:lineRule="exact"/>
        <w:rPr>
          <w:rFonts w:ascii="仿宋_GB2312" w:hAnsi="仿宋_GB2312" w:eastAsia="仿宋_GB2312" w:cs="仿宋_GB2312"/>
          <w:color w:val="auto"/>
          <w:kern w:val="0"/>
          <w:szCs w:val="21"/>
          <w:highlight w:val="none"/>
          <w:u w:val="single"/>
        </w:rPr>
      </w:pPr>
      <w:r>
        <w:rPr>
          <w:rFonts w:hint="eastAsia" w:ascii="仿宋_GB2312" w:hAnsi="仿宋_GB2312" w:eastAsia="仿宋_GB2312" w:cs="仿宋_GB2312"/>
          <w:color w:val="auto"/>
          <w:kern w:val="0"/>
          <w:szCs w:val="21"/>
          <w:highlight w:val="none"/>
        </w:rPr>
        <w:t>项目名称：</w:t>
      </w:r>
      <w:r>
        <w:rPr>
          <w:rFonts w:hint="eastAsia" w:ascii="仿宋_GB2312" w:hAnsi="仿宋_GB2312" w:eastAsia="仿宋_GB2312" w:cs="仿宋_GB2312"/>
          <w:color w:val="auto"/>
          <w:kern w:val="0"/>
          <w:szCs w:val="21"/>
          <w:highlight w:val="none"/>
          <w:u w:val="single"/>
        </w:rPr>
        <w:t xml:space="preserve">                                   </w:t>
      </w:r>
    </w:p>
    <w:p w14:paraId="51BE1C16">
      <w:pPr>
        <w:snapToGrid w:val="0"/>
        <w:spacing w:line="560" w:lineRule="exact"/>
        <w:rPr>
          <w:rFonts w:ascii="仿宋_GB2312" w:hAnsi="仿宋_GB2312" w:eastAsia="仿宋_GB2312" w:cs="仿宋_GB2312"/>
          <w:color w:val="auto"/>
          <w:szCs w:val="21"/>
          <w:highlight w:val="none"/>
          <w:u w:val="single"/>
        </w:rPr>
      </w:pPr>
      <w:r>
        <w:rPr>
          <w:rFonts w:hint="eastAsia" w:ascii="仿宋_GB2312" w:hAnsi="仿宋_GB2312" w:eastAsia="仿宋_GB2312" w:cs="仿宋_GB2312"/>
          <w:color w:val="auto"/>
          <w:kern w:val="0"/>
          <w:szCs w:val="21"/>
          <w:highlight w:val="none"/>
        </w:rPr>
        <w:t>企业名称：</w:t>
      </w:r>
      <w:r>
        <w:rPr>
          <w:rFonts w:hint="eastAsia" w:ascii="仿宋_GB2312" w:hAnsi="仿宋_GB2312" w:eastAsia="仿宋_GB2312" w:cs="仿宋_GB2312"/>
          <w:color w:val="auto"/>
          <w:kern w:val="0"/>
          <w:szCs w:val="21"/>
          <w:highlight w:val="none"/>
          <w:u w:val="single"/>
        </w:rPr>
        <w:t xml:space="preserve">                                 </w:t>
      </w:r>
    </w:p>
    <w:p w14:paraId="1DA20480">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为加强我局项目建设，规范供应商与我局合作行为，现就我局供应商不良行为记录管理相关内容进行告知。</w:t>
      </w:r>
    </w:p>
    <w:p w14:paraId="01E04FCB">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与我局合作的供应商有下列情形之一的，其具体行为将被列入我局供应商不良行为记录：</w:t>
      </w:r>
    </w:p>
    <w:p w14:paraId="2DA45758">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（一）依据《中华人民共和国政府采购法》第七十七条有以下情形之一的：</w:t>
      </w:r>
    </w:p>
    <w:p w14:paraId="0C9361E7">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1.提供虚假材料谋取中标、成交的；</w:t>
      </w:r>
    </w:p>
    <w:p w14:paraId="266938AA">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2.采取不正当手段诋毁、排挤其他供应商的；</w:t>
      </w:r>
    </w:p>
    <w:p w14:paraId="1B07C779">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3.与采购人、其他供应商或者采购代理机构恶意串通的；</w:t>
      </w:r>
    </w:p>
    <w:p w14:paraId="2660EA64">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4.向采购人、采购代理机构行贿或者提供其他不正当利益的；</w:t>
      </w:r>
    </w:p>
    <w:p w14:paraId="20B15E26">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5.在招标采购过程中与采购人进行协商谈判的；</w:t>
      </w:r>
    </w:p>
    <w:p w14:paraId="5FA982B1">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6.拒绝有关部门监督检查或者提供虚假情况的。</w:t>
      </w:r>
    </w:p>
    <w:p w14:paraId="53AF6F33">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（二）依据《中华人民共和国政府采购法实施条例》第七十二条有以下情形之一的：</w:t>
      </w:r>
    </w:p>
    <w:p w14:paraId="5123B2A8">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1.向评标委员会、竞争性谈判小组或者询价小组成员行贿或者提供其他不正当利益；</w:t>
      </w:r>
    </w:p>
    <w:p w14:paraId="2FA58031">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2.中标或者成交后无正当理由拒不与采购人签订政府采购合同；</w:t>
      </w:r>
    </w:p>
    <w:p w14:paraId="48D49483">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3.未按照采购文件确定的事项签订政府采购合同；</w:t>
      </w:r>
    </w:p>
    <w:p w14:paraId="52B9DB88">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4.将政府采购合同转包；</w:t>
      </w:r>
    </w:p>
    <w:p w14:paraId="34DAA117">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5.提供假冒伪劣产品；</w:t>
      </w:r>
    </w:p>
    <w:p w14:paraId="418AE662">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6.擅自变更、中止或者终止政府采购合同。</w:t>
      </w:r>
    </w:p>
    <w:p w14:paraId="74341833">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（三）依据《中华人民共和国政府采购法实施条例》第七十三条，捏造事实、提供虚假材料或者以非法手段取得证明材料进行投诉的。</w:t>
      </w:r>
    </w:p>
    <w:p w14:paraId="29C13ED0">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（四）依据《中华人民共和国政府采购法实施条例》第七十四条有以下情形之一的：</w:t>
      </w:r>
    </w:p>
    <w:p w14:paraId="41803F19">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1.供应商直接或者间接从采购人或者采购代理机构处获得其他供应商的相关情况并修改其投标文件或者响应文件；</w:t>
      </w:r>
    </w:p>
    <w:p w14:paraId="1CAC8D87">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2.供应商按照采购人或者采购代理机构的授意撤换、修改投标文件或者响应文件；</w:t>
      </w:r>
    </w:p>
    <w:p w14:paraId="0179BD5D">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3.供应商之间协商报价、技术方案等投标文件或者响应文件的实质性内容；</w:t>
      </w:r>
    </w:p>
    <w:p w14:paraId="5961EC76">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4.属于同一集团、协会、商会等组织成员的供应商按照该组织要求协同参加政府采购活动；</w:t>
      </w:r>
    </w:p>
    <w:p w14:paraId="12619EDF">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5.供应商之间事先约定由某一特定供应商中标、成交；</w:t>
      </w:r>
    </w:p>
    <w:p w14:paraId="692A6C21">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6.供应商之间商定部分供应商放弃参加政府采购活动或者放弃中标、成交；</w:t>
      </w:r>
    </w:p>
    <w:p w14:paraId="7947B16E">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7.供应商与采购人或者采购代理机构之间、供应商相互之间，为谋求特定供应商中标、成交或者排斥其他供应商的其他串通行为。</w:t>
      </w:r>
    </w:p>
    <w:p w14:paraId="693866B9">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五）依据《公务员法》《中国共产党纪律处分条例》《关于规范公务员辞去公职后从业行为的意见》等法律、法规、规定，录用我局退休、辞职、辞退、开除不满三年的工作人员，且提供与其原工作直接相关业务的岗位的；</w:t>
      </w:r>
    </w:p>
    <w:p w14:paraId="6517A7FB">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（六）在与我局合作过程中，发生失泄密问题、不履行或迟延履行合同义务或存在其他违约行为，且消极推诿、拒绝承担违约责任，被解除合作协议、终止合同履行、启动司法程序的，或造成我局利益损失的；</w:t>
      </w:r>
    </w:p>
    <w:p w14:paraId="2A076700">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（七）有其他损害我局利益行为的，或造成不良影响的。</w:t>
      </w:r>
    </w:p>
    <w:p w14:paraId="54DD2417">
      <w:pPr>
        <w:snapToGrid w:val="0"/>
        <w:spacing w:line="560" w:lineRule="exact"/>
        <w:ind w:firstLine="6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我单位已知悉上述内容，并自愿承担相关责任。</w:t>
      </w:r>
    </w:p>
    <w:p w14:paraId="308D8D8F">
      <w:pPr>
        <w:spacing w:line="560" w:lineRule="exact"/>
        <w:ind w:firstLine="1890" w:firstLineChars="9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企业名称：（公章）</w:t>
      </w:r>
    </w:p>
    <w:p w14:paraId="14BB1A55">
      <w:pPr>
        <w:spacing w:line="560" w:lineRule="exact"/>
        <w:ind w:firstLine="1890" w:firstLineChars="90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法定代表人（单位负责人）：</w:t>
      </w:r>
      <w:r>
        <w:rPr>
          <w:rFonts w:hint="eastAsia" w:ascii="仿宋_GB2312" w:hAnsi="仿宋_GB2312" w:eastAsia="仿宋_GB2312" w:cs="仿宋_GB2312"/>
          <w:color w:val="auto"/>
          <w:szCs w:val="21"/>
          <w:highlight w:val="none"/>
          <w:u w:val="single"/>
        </w:rPr>
        <w:t xml:space="preserve">             </w:t>
      </w:r>
      <w:r>
        <w:rPr>
          <w:rFonts w:hint="eastAsia" w:ascii="仿宋_GB2312" w:hAnsi="仿宋_GB2312" w:eastAsia="仿宋_GB2312" w:cs="仿宋_GB2312"/>
          <w:color w:val="auto"/>
          <w:szCs w:val="21"/>
          <w:highlight w:val="none"/>
        </w:rPr>
        <w:t>（签字或签章）</w:t>
      </w:r>
    </w:p>
    <w:p w14:paraId="2DF0629F">
      <w:pPr>
        <w:spacing w:line="560" w:lineRule="exact"/>
        <w:ind w:firstLine="5775" w:firstLineChars="2750"/>
        <w:rPr>
          <w:rFonts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年     月     日</w:t>
      </w:r>
    </w:p>
    <w:p w14:paraId="10DA9F0E">
      <w:pPr>
        <w:snapToGrid w:val="0"/>
        <w:spacing w:line="360" w:lineRule="auto"/>
        <w:rPr>
          <w:rFonts w:ascii="仿宋_GB2312" w:hAnsi="仿宋" w:eastAsia="仿宋_GB2312" w:cs="仿宋"/>
          <w:b/>
          <w:color w:val="auto"/>
          <w:kern w:val="0"/>
          <w:sz w:val="24"/>
          <w:highlight w:val="none"/>
        </w:rPr>
        <w:sectPr>
          <w:pgSz w:w="11907" w:h="16840"/>
          <w:pgMar w:top="1440" w:right="1800" w:bottom="1440" w:left="1800" w:header="851" w:footer="851" w:gutter="0"/>
          <w:cols w:space="720" w:num="1"/>
          <w:docGrid w:linePitch="462" w:charSpace="0"/>
        </w:sectPr>
      </w:pPr>
    </w:p>
    <w:p w14:paraId="0FE1BD6F">
      <w:pPr>
        <w:numPr>
          <w:ilvl w:val="0"/>
          <w:numId w:val="1"/>
        </w:numPr>
        <w:tabs>
          <w:tab w:val="left" w:pos="360"/>
        </w:tabs>
        <w:snapToGrid w:val="0"/>
        <w:spacing w:line="360" w:lineRule="auto"/>
        <w:outlineLvl w:val="1"/>
        <w:rPr>
          <w:color w:val="auto"/>
          <w:sz w:val="24"/>
          <w:szCs w:val="20"/>
          <w:highlight w:val="none"/>
        </w:rPr>
      </w:pPr>
      <w:r>
        <w:rPr>
          <w:rFonts w:hint="eastAsia"/>
          <w:color w:val="auto"/>
          <w:sz w:val="24"/>
          <w:szCs w:val="20"/>
          <w:highlight w:val="none"/>
        </w:rPr>
        <w:t>关于不转包、不违法分包、不出借资质的承诺函（实质性格式）</w:t>
      </w:r>
    </w:p>
    <w:p w14:paraId="0C310630">
      <w:pPr>
        <w:snapToGrid w:val="0"/>
        <w:spacing w:line="560" w:lineRule="exact"/>
        <w:rPr>
          <w:rFonts w:ascii="仿宋" w:hAnsi="仿宋" w:eastAsia="仿宋"/>
          <w:color w:val="auto"/>
          <w:kern w:val="0"/>
          <w:sz w:val="24"/>
          <w:highlight w:val="none"/>
        </w:rPr>
      </w:pPr>
    </w:p>
    <w:p w14:paraId="3C027704">
      <w:pPr>
        <w:snapToGrid w:val="0"/>
        <w:spacing w:before="60" w:beforeLines="25" w:after="60" w:afterLines="25" w:line="400" w:lineRule="exact"/>
        <w:rPr>
          <w:rFonts w:ascii="仿宋" w:hAnsi="仿宋" w:eastAsia="仿宋"/>
          <w:color w:val="auto"/>
          <w:sz w:val="24"/>
          <w:highlight w:val="none"/>
        </w:rPr>
      </w:pPr>
      <w:r>
        <w:rPr>
          <w:rFonts w:hint="eastAsia" w:ascii="仿宋" w:hAnsi="仿宋" w:eastAsia="仿宋"/>
          <w:color w:val="auto"/>
          <w:sz w:val="24"/>
          <w:highlight w:val="none"/>
        </w:rPr>
        <w:t>致：</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（甲方/采购人名称，下称“贵方”）</w:t>
      </w:r>
    </w:p>
    <w:p w14:paraId="721B2B0E">
      <w:pPr>
        <w:snapToGrid w:val="0"/>
        <w:spacing w:before="60" w:beforeLines="25" w:after="60" w:afterLines="25" w:line="400" w:lineRule="exact"/>
        <w:ind w:firstLine="480" w:firstLineChars="200"/>
        <w:rPr>
          <w:rFonts w:ascii="仿宋" w:hAnsi="仿宋" w:eastAsia="仿宋"/>
          <w:color w:val="auto"/>
          <w:sz w:val="24"/>
          <w:highlight w:val="none"/>
        </w:rPr>
      </w:pPr>
      <w:r>
        <w:rPr>
          <w:rFonts w:hint="eastAsia" w:ascii="仿宋" w:hAnsi="仿宋" w:eastAsia="仿宋"/>
          <w:color w:val="auto"/>
          <w:sz w:val="24"/>
          <w:highlight w:val="none"/>
        </w:rPr>
        <w:t>就我公司（下称“我方”）中选/被确定为贵方“</w:t>
      </w:r>
      <w:r>
        <w:rPr>
          <w:rFonts w:hint="eastAsia" w:ascii="仿宋" w:hAnsi="仿宋" w:eastAsia="仿宋"/>
          <w:color w:val="auto"/>
          <w:sz w:val="24"/>
          <w:highlight w:val="none"/>
          <w:u w:val="single"/>
        </w:rPr>
        <w:t>（项目名称）</w:t>
      </w:r>
      <w:r>
        <w:rPr>
          <w:rFonts w:hint="eastAsia" w:ascii="仿宋" w:hAnsi="仿宋" w:eastAsia="仿宋"/>
          <w:color w:val="auto"/>
          <w:sz w:val="24"/>
          <w:highlight w:val="none"/>
        </w:rPr>
        <w:t>”的成交供应商一事，我方确认，本项目项下全部工作内容及具体要求，均以贵我双方签署的</w:t>
      </w:r>
      <w:r>
        <w:rPr>
          <w:rFonts w:hint="eastAsia" w:ascii="仿宋" w:hAnsi="仿宋" w:eastAsia="仿宋"/>
          <w:color w:val="auto"/>
          <w:sz w:val="24"/>
          <w:highlight w:val="none"/>
          <w:u w:val="single"/>
        </w:rPr>
        <w:t>《合同名称》</w:t>
      </w:r>
      <w:r>
        <w:rPr>
          <w:rFonts w:hint="eastAsia" w:ascii="仿宋" w:hAnsi="仿宋" w:eastAsia="仿宋"/>
          <w:color w:val="auto"/>
          <w:sz w:val="24"/>
          <w:highlight w:val="none"/>
        </w:rPr>
        <w:t>约定为准。我方就合同项下全部工作的履约事项，郑重承诺如下：</w:t>
      </w:r>
    </w:p>
    <w:p w14:paraId="06A5D6B7">
      <w:pPr>
        <w:snapToGrid w:val="0"/>
        <w:spacing w:before="60" w:beforeLines="25" w:after="60" w:afterLines="25" w:line="400" w:lineRule="exact"/>
        <w:ind w:firstLine="482" w:firstLineChars="200"/>
        <w:rPr>
          <w:rFonts w:ascii="仿宋" w:hAnsi="仿宋" w:eastAsia="仿宋"/>
          <w:b/>
          <w:bCs/>
          <w:color w:val="auto"/>
          <w:sz w:val="24"/>
          <w:highlight w:val="none"/>
        </w:rPr>
      </w:pPr>
      <w:r>
        <w:rPr>
          <w:rFonts w:hint="eastAsia" w:ascii="仿宋" w:hAnsi="仿宋" w:eastAsia="仿宋"/>
          <w:b/>
          <w:bCs/>
          <w:color w:val="auto"/>
          <w:sz w:val="24"/>
          <w:highlight w:val="none"/>
        </w:rPr>
        <w:t>一、独立履约与资质</w:t>
      </w:r>
    </w:p>
    <w:p w14:paraId="14419378">
      <w:pPr>
        <w:snapToGrid w:val="0"/>
        <w:spacing w:before="60" w:beforeLines="25" w:after="60" w:afterLines="25" w:line="400" w:lineRule="exact"/>
        <w:ind w:firstLine="480" w:firstLineChars="200"/>
        <w:rPr>
          <w:rFonts w:ascii="仿宋" w:hAnsi="仿宋" w:eastAsia="仿宋"/>
          <w:color w:val="auto"/>
          <w:sz w:val="24"/>
          <w:highlight w:val="none"/>
        </w:rPr>
      </w:pPr>
      <w:r>
        <w:rPr>
          <w:rFonts w:hint="eastAsia" w:ascii="仿宋" w:hAnsi="仿宋" w:eastAsia="仿宋"/>
          <w:color w:val="auto"/>
          <w:sz w:val="24"/>
          <w:highlight w:val="none"/>
        </w:rPr>
        <w:t>1、我方具备履行合同项下全部工作所需的资质、资格与能力，相关证照真实、合法、有效。</w:t>
      </w:r>
    </w:p>
    <w:p w14:paraId="3E8B7C64">
      <w:pPr>
        <w:snapToGrid w:val="0"/>
        <w:spacing w:before="60" w:beforeLines="25" w:after="60" w:afterLines="25" w:line="400" w:lineRule="exact"/>
        <w:ind w:firstLine="480" w:firstLineChars="200"/>
        <w:rPr>
          <w:rFonts w:ascii="仿宋" w:hAnsi="仿宋" w:eastAsia="仿宋"/>
          <w:color w:val="auto"/>
          <w:sz w:val="24"/>
          <w:highlight w:val="none"/>
        </w:rPr>
      </w:pPr>
      <w:r>
        <w:rPr>
          <w:rFonts w:hint="eastAsia" w:ascii="仿宋" w:hAnsi="仿宋" w:eastAsia="仿宋"/>
          <w:color w:val="auto"/>
          <w:sz w:val="24"/>
          <w:highlight w:val="none"/>
        </w:rPr>
        <w:t>2、独立完成合同项下全部工作，不将自身资质、资格出借或转让给任何第三方用于本项目。</w:t>
      </w:r>
    </w:p>
    <w:p w14:paraId="6A43E4E0">
      <w:pPr>
        <w:snapToGrid w:val="0"/>
        <w:spacing w:before="60" w:beforeLines="25" w:after="60" w:afterLines="25" w:line="400" w:lineRule="exact"/>
        <w:ind w:firstLine="480" w:firstLineChars="200"/>
        <w:rPr>
          <w:rFonts w:ascii="仿宋" w:hAnsi="仿宋" w:eastAsia="仿宋"/>
          <w:color w:val="auto"/>
          <w:sz w:val="24"/>
          <w:highlight w:val="none"/>
        </w:rPr>
      </w:pPr>
      <w:r>
        <w:rPr>
          <w:rFonts w:hint="eastAsia" w:ascii="仿宋" w:hAnsi="仿宋" w:eastAsia="仿宋"/>
          <w:color w:val="auto"/>
          <w:sz w:val="24"/>
          <w:highlight w:val="none"/>
        </w:rPr>
        <w:t>3、不允许任何单位或个人以我方名义承揽合同项下工作，不将本合同项下工作交由第三方以挂靠方式实施。</w:t>
      </w:r>
    </w:p>
    <w:p w14:paraId="1906AB89">
      <w:pPr>
        <w:snapToGrid w:val="0"/>
        <w:spacing w:before="60" w:beforeLines="25" w:after="60" w:afterLines="25" w:line="400" w:lineRule="exact"/>
        <w:ind w:firstLine="480" w:firstLineChars="200"/>
        <w:rPr>
          <w:rFonts w:ascii="仿宋" w:hAnsi="仿宋" w:eastAsia="仿宋"/>
          <w:color w:val="auto"/>
          <w:sz w:val="24"/>
          <w:highlight w:val="none"/>
        </w:rPr>
      </w:pPr>
      <w:r>
        <w:rPr>
          <w:rFonts w:hint="eastAsia" w:ascii="仿宋" w:hAnsi="仿宋" w:eastAsia="仿宋"/>
          <w:color w:val="auto"/>
          <w:sz w:val="24"/>
          <w:highlight w:val="none"/>
        </w:rPr>
        <w:t>4、我方在本项目投标/响应过程中，均以自身名义独立参与，所提交的全部材料真实有效。我方从未、也绝不会允许其他单位或个人借用我方资质、以我方名义参与投标或响应，弄虚作假骗取中标/成交资格。</w:t>
      </w:r>
    </w:p>
    <w:p w14:paraId="47C8D8D7">
      <w:pPr>
        <w:snapToGrid w:val="0"/>
        <w:spacing w:before="60" w:beforeLines="25" w:after="60" w:afterLines="25" w:line="400" w:lineRule="exact"/>
        <w:ind w:firstLine="482" w:firstLineChars="200"/>
        <w:rPr>
          <w:rFonts w:ascii="仿宋" w:hAnsi="仿宋" w:eastAsia="仿宋"/>
          <w:b/>
          <w:bCs/>
          <w:color w:val="auto"/>
          <w:sz w:val="24"/>
          <w:highlight w:val="none"/>
        </w:rPr>
      </w:pPr>
      <w:r>
        <w:rPr>
          <w:rFonts w:hint="eastAsia" w:ascii="仿宋" w:hAnsi="仿宋" w:eastAsia="仿宋"/>
          <w:b/>
          <w:bCs/>
          <w:color w:val="auto"/>
          <w:sz w:val="24"/>
          <w:highlight w:val="none"/>
        </w:rPr>
        <w:t>二、禁止转包、违法分包及出借资质</w:t>
      </w:r>
    </w:p>
    <w:p w14:paraId="33A116A5">
      <w:pPr>
        <w:snapToGrid w:val="0"/>
        <w:spacing w:before="60" w:beforeLines="25" w:after="60" w:afterLines="25" w:line="400" w:lineRule="exact"/>
        <w:ind w:firstLine="480" w:firstLineChars="200"/>
        <w:rPr>
          <w:rFonts w:ascii="仿宋" w:hAnsi="仿宋" w:eastAsia="仿宋"/>
          <w:color w:val="auto"/>
          <w:sz w:val="24"/>
          <w:highlight w:val="none"/>
        </w:rPr>
      </w:pPr>
      <w:r>
        <w:rPr>
          <w:rFonts w:hint="eastAsia" w:ascii="仿宋" w:hAnsi="仿宋" w:eastAsia="仿宋"/>
          <w:color w:val="auto"/>
          <w:sz w:val="24"/>
          <w:highlight w:val="none"/>
        </w:rPr>
        <w:t>我方严格信守关于禁止转包、违法分包及出借资质（允许第三方以我方名义承揽）的全部约定，绝不实施以下任一行为：</w:t>
      </w:r>
    </w:p>
    <w:p w14:paraId="181D1274">
      <w:pPr>
        <w:snapToGrid w:val="0"/>
        <w:spacing w:before="60" w:beforeLines="25" w:after="60" w:afterLines="25" w:line="400" w:lineRule="exact"/>
        <w:ind w:firstLine="480" w:firstLineChars="200"/>
        <w:rPr>
          <w:rFonts w:ascii="仿宋" w:hAnsi="仿宋" w:eastAsia="仿宋"/>
          <w:color w:val="auto"/>
          <w:sz w:val="24"/>
          <w:highlight w:val="none"/>
        </w:rPr>
      </w:pPr>
      <w:r>
        <w:rPr>
          <w:rFonts w:hint="eastAsia" w:ascii="仿宋" w:hAnsi="仿宋" w:eastAsia="仿宋"/>
          <w:color w:val="auto"/>
          <w:sz w:val="24"/>
          <w:highlight w:val="none"/>
        </w:rPr>
        <w:t>1、将合同项下全部或部分工作转包给第三方。</w:t>
      </w:r>
    </w:p>
    <w:p w14:paraId="79A1F1D5">
      <w:pPr>
        <w:snapToGrid w:val="0"/>
        <w:spacing w:before="60" w:beforeLines="25" w:after="60" w:afterLines="25" w:line="400" w:lineRule="exact"/>
        <w:ind w:firstLine="480" w:firstLineChars="200"/>
        <w:rPr>
          <w:rFonts w:ascii="仿宋" w:hAnsi="仿宋" w:eastAsia="仿宋"/>
          <w:color w:val="auto"/>
          <w:sz w:val="24"/>
          <w:highlight w:val="none"/>
        </w:rPr>
      </w:pPr>
      <w:r>
        <w:rPr>
          <w:rFonts w:hint="eastAsia" w:ascii="仿宋" w:hAnsi="仿宋" w:eastAsia="仿宋"/>
          <w:color w:val="auto"/>
          <w:sz w:val="24"/>
          <w:highlight w:val="none"/>
        </w:rPr>
        <w:t>2、将合同工作肢解后以分包、转委托等名义交由第三方履行。</w:t>
      </w:r>
    </w:p>
    <w:p w14:paraId="3779F113">
      <w:pPr>
        <w:snapToGrid w:val="0"/>
        <w:spacing w:before="60" w:beforeLines="25" w:after="60" w:afterLines="25" w:line="400" w:lineRule="exact"/>
        <w:ind w:firstLine="480" w:firstLineChars="200"/>
        <w:rPr>
          <w:rFonts w:ascii="仿宋" w:hAnsi="仿宋" w:eastAsia="仿宋"/>
          <w:color w:val="auto"/>
          <w:sz w:val="24"/>
          <w:highlight w:val="none"/>
        </w:rPr>
      </w:pPr>
      <w:r>
        <w:rPr>
          <w:rFonts w:hint="eastAsia" w:ascii="仿宋" w:hAnsi="仿宋" w:eastAsia="仿宋"/>
          <w:color w:val="auto"/>
          <w:sz w:val="24"/>
          <w:highlight w:val="none"/>
        </w:rPr>
        <w:t>3、未经贵方事先书面同意，绝不将合同项下任何工作以任何形式分包给第三方，包括依法允许的专业分包、劳务分包，亦须事先报经贵方书面批准后方可实施。</w:t>
      </w:r>
    </w:p>
    <w:p w14:paraId="6FC202CA">
      <w:pPr>
        <w:snapToGrid w:val="0"/>
        <w:spacing w:before="60" w:beforeLines="25" w:after="60" w:afterLines="25" w:line="400" w:lineRule="exact"/>
        <w:ind w:firstLine="480" w:firstLineChars="200"/>
        <w:rPr>
          <w:rFonts w:ascii="仿宋" w:hAnsi="仿宋" w:eastAsia="仿宋"/>
          <w:color w:val="auto"/>
          <w:sz w:val="24"/>
          <w:highlight w:val="none"/>
        </w:rPr>
      </w:pPr>
      <w:r>
        <w:rPr>
          <w:rFonts w:hint="eastAsia" w:ascii="仿宋" w:hAnsi="仿宋" w:eastAsia="仿宋"/>
          <w:color w:val="auto"/>
          <w:sz w:val="24"/>
          <w:highlight w:val="none"/>
        </w:rPr>
        <w:t>4、以任何形式允许其他单位或个人以我方名义承揽合同项下工作，包括但不限于：我方仅以名下资质参与本项目投标或其他采购活动，中标/成交后，将项目完全交由第三方实际实施，我方不履行实质性管理；允许第三方以我方名义签订合同、组织施工或提供服务，实际投入的人员、设备、资金均来自第三方，我方仅收取管理费或其他名义的费用；以“联营”“合作”“内部承包”等名义，将项目实际控制权、履约义务转移给第三方，使合同项下工作实质上由第三方承揽；其他任何利用我方中标/成交资格及资质，使合同项下工作由非我方单位或个人实际承担的情形。</w:t>
      </w:r>
    </w:p>
    <w:p w14:paraId="0AB5D1D2">
      <w:pPr>
        <w:snapToGrid w:val="0"/>
        <w:spacing w:before="60" w:beforeLines="25" w:after="60" w:afterLines="25" w:line="400" w:lineRule="exact"/>
        <w:ind w:firstLine="482" w:firstLineChars="200"/>
        <w:rPr>
          <w:rFonts w:ascii="仿宋" w:hAnsi="仿宋" w:eastAsia="仿宋"/>
          <w:b/>
          <w:bCs/>
          <w:color w:val="auto"/>
          <w:sz w:val="24"/>
          <w:highlight w:val="none"/>
        </w:rPr>
      </w:pPr>
      <w:r>
        <w:rPr>
          <w:rFonts w:hint="eastAsia" w:ascii="仿宋" w:hAnsi="仿宋" w:eastAsia="仿宋"/>
          <w:b/>
          <w:bCs/>
          <w:color w:val="auto"/>
          <w:sz w:val="24"/>
          <w:highlight w:val="none"/>
        </w:rPr>
        <w:t>三、人员到位</w:t>
      </w:r>
    </w:p>
    <w:p w14:paraId="57D73731">
      <w:pPr>
        <w:snapToGrid w:val="0"/>
        <w:spacing w:before="60" w:beforeLines="25" w:after="60" w:afterLines="25" w:line="400" w:lineRule="exact"/>
        <w:ind w:firstLine="480" w:firstLineChars="200"/>
        <w:rPr>
          <w:rFonts w:ascii="仿宋" w:hAnsi="仿宋" w:eastAsia="仿宋"/>
          <w:color w:val="auto"/>
          <w:sz w:val="24"/>
          <w:highlight w:val="none"/>
        </w:rPr>
      </w:pPr>
      <w:r>
        <w:rPr>
          <w:rFonts w:hint="eastAsia" w:ascii="仿宋" w:hAnsi="仿宋" w:eastAsia="仿宋"/>
          <w:color w:val="auto"/>
          <w:sz w:val="24"/>
          <w:highlight w:val="none"/>
        </w:rPr>
        <w:t>1、项目经理及关键岗位人员（技术负责人等）均为我方正式员工，我方已与上述人员签订书面劳动合同，并依法缴纳社会保险。</w:t>
      </w:r>
    </w:p>
    <w:p w14:paraId="707E0777">
      <w:pPr>
        <w:snapToGrid w:val="0"/>
        <w:spacing w:before="60" w:beforeLines="25" w:after="60" w:afterLines="25" w:line="400" w:lineRule="exact"/>
        <w:ind w:firstLine="480" w:firstLineChars="200"/>
        <w:rPr>
          <w:rFonts w:ascii="仿宋" w:hAnsi="仿宋" w:eastAsia="仿宋"/>
          <w:color w:val="auto"/>
          <w:sz w:val="24"/>
          <w:highlight w:val="none"/>
        </w:rPr>
      </w:pPr>
      <w:r>
        <w:rPr>
          <w:rFonts w:hint="eastAsia" w:ascii="仿宋" w:hAnsi="仿宋" w:eastAsia="仿宋"/>
          <w:color w:val="auto"/>
          <w:sz w:val="24"/>
          <w:highlight w:val="none"/>
        </w:rPr>
        <w:t>2、上述人员为合同项下工作实际履约人员，在履约期间全程到位履职，不挂名、不虚设。</w:t>
      </w:r>
    </w:p>
    <w:p w14:paraId="4C0BBF6D">
      <w:pPr>
        <w:snapToGrid w:val="0"/>
        <w:spacing w:before="60" w:beforeLines="25" w:after="60" w:afterLines="25" w:line="400" w:lineRule="exact"/>
        <w:ind w:firstLine="480" w:firstLineChars="200"/>
        <w:rPr>
          <w:rFonts w:ascii="仿宋" w:hAnsi="仿宋" w:eastAsia="仿宋"/>
          <w:color w:val="auto"/>
          <w:sz w:val="24"/>
          <w:highlight w:val="none"/>
        </w:rPr>
      </w:pPr>
      <w:r>
        <w:rPr>
          <w:rFonts w:hint="eastAsia" w:ascii="仿宋" w:hAnsi="仿宋" w:eastAsia="仿宋"/>
          <w:color w:val="auto"/>
          <w:sz w:val="24"/>
          <w:highlight w:val="none"/>
        </w:rPr>
        <w:t>3、未经贵方事先书面同意，不擅自更换项目经理及关键岗位人员。确需更换的，我方将提前书面申请并说明理由，经贵方书面批准后方可更换，且更换人员资质、经验不低于原人员。</w:t>
      </w:r>
    </w:p>
    <w:p w14:paraId="43465486">
      <w:pPr>
        <w:snapToGrid w:val="0"/>
        <w:spacing w:before="60" w:beforeLines="25" w:after="60" w:afterLines="25" w:line="400" w:lineRule="exact"/>
        <w:ind w:firstLine="482" w:firstLineChars="200"/>
        <w:rPr>
          <w:rFonts w:ascii="仿宋" w:hAnsi="仿宋" w:eastAsia="仿宋"/>
          <w:b/>
          <w:bCs/>
          <w:color w:val="auto"/>
          <w:sz w:val="24"/>
          <w:highlight w:val="none"/>
        </w:rPr>
      </w:pPr>
      <w:r>
        <w:rPr>
          <w:rFonts w:hint="eastAsia" w:ascii="仿宋" w:hAnsi="仿宋" w:eastAsia="仿宋"/>
          <w:b/>
          <w:bCs/>
          <w:color w:val="auto"/>
          <w:sz w:val="24"/>
          <w:highlight w:val="none"/>
        </w:rPr>
        <w:t>四、配合核查</w:t>
      </w:r>
    </w:p>
    <w:p w14:paraId="7C3AE09E">
      <w:pPr>
        <w:snapToGrid w:val="0"/>
        <w:spacing w:before="60" w:beforeLines="25" w:after="60" w:afterLines="25" w:line="400" w:lineRule="exact"/>
        <w:ind w:firstLine="480" w:firstLineChars="200"/>
        <w:rPr>
          <w:rFonts w:ascii="仿宋" w:hAnsi="仿宋" w:eastAsia="仿宋"/>
          <w:color w:val="auto"/>
          <w:sz w:val="24"/>
          <w:highlight w:val="none"/>
        </w:rPr>
      </w:pPr>
      <w:r>
        <w:rPr>
          <w:rFonts w:hint="eastAsia" w:ascii="仿宋" w:hAnsi="仿宋" w:eastAsia="仿宋"/>
          <w:color w:val="auto"/>
          <w:sz w:val="24"/>
          <w:highlight w:val="none"/>
        </w:rPr>
        <w:t>我方理解贵方有权对合同项下工作履约情况进行核查以确认是否存在转包、违法分包或出借资质（允许第三方以我方名义承揽）情形，并承诺予以配合，对所提供资料的真实性、完整性负责。</w:t>
      </w:r>
    </w:p>
    <w:p w14:paraId="0BC30EA0">
      <w:pPr>
        <w:snapToGrid w:val="0"/>
        <w:spacing w:before="60" w:beforeLines="25" w:after="60" w:afterLines="25" w:line="400" w:lineRule="exact"/>
        <w:ind w:firstLine="482" w:firstLineChars="200"/>
        <w:rPr>
          <w:rFonts w:ascii="仿宋" w:hAnsi="仿宋" w:eastAsia="仿宋"/>
          <w:b/>
          <w:bCs/>
          <w:color w:val="auto"/>
          <w:sz w:val="24"/>
          <w:highlight w:val="none"/>
        </w:rPr>
      </w:pPr>
      <w:r>
        <w:rPr>
          <w:rFonts w:hint="eastAsia" w:ascii="仿宋" w:hAnsi="仿宋" w:eastAsia="仿宋"/>
          <w:b/>
          <w:bCs/>
          <w:color w:val="auto"/>
          <w:sz w:val="24"/>
          <w:highlight w:val="none"/>
        </w:rPr>
        <w:t>五、效力</w:t>
      </w:r>
    </w:p>
    <w:p w14:paraId="73BBC572">
      <w:pPr>
        <w:snapToGrid w:val="0"/>
        <w:spacing w:before="60" w:beforeLines="25" w:after="60" w:afterLines="25" w:line="400" w:lineRule="exact"/>
        <w:ind w:firstLine="480" w:firstLineChars="200"/>
        <w:rPr>
          <w:rFonts w:ascii="仿宋" w:hAnsi="仿宋" w:eastAsia="仿宋"/>
          <w:color w:val="auto"/>
          <w:sz w:val="24"/>
          <w:highlight w:val="none"/>
        </w:rPr>
      </w:pPr>
      <w:r>
        <w:rPr>
          <w:rFonts w:hint="eastAsia" w:ascii="仿宋" w:hAnsi="仿宋" w:eastAsia="仿宋"/>
          <w:color w:val="auto"/>
          <w:sz w:val="24"/>
          <w:highlight w:val="none"/>
        </w:rPr>
        <w:t>本承诺函自承诺人法定代表人或授权代表签字并加盖公章之日起生效，作为我方参与本项目及履行合同的真实意思表示。</w:t>
      </w:r>
    </w:p>
    <w:p w14:paraId="46AD64B0">
      <w:pPr>
        <w:snapToGrid w:val="0"/>
        <w:spacing w:before="120" w:beforeLines="50" w:after="120" w:afterLines="50" w:line="420" w:lineRule="exact"/>
        <w:ind w:firstLine="2160" w:firstLineChars="900"/>
        <w:rPr>
          <w:rFonts w:ascii="仿宋" w:hAnsi="仿宋" w:eastAsia="仿宋"/>
          <w:color w:val="auto"/>
          <w:sz w:val="24"/>
          <w:highlight w:val="none"/>
        </w:rPr>
      </w:pPr>
      <w:r>
        <w:rPr>
          <w:rFonts w:hint="eastAsia" w:ascii="仿宋" w:hAnsi="仿宋" w:eastAsia="仿宋"/>
          <w:color w:val="auto"/>
          <w:sz w:val="24"/>
          <w:highlight w:val="none"/>
        </w:rPr>
        <w:t>承诺人（供应商全称，加盖公章）</w:t>
      </w:r>
    </w:p>
    <w:p w14:paraId="2959A5B8">
      <w:pPr>
        <w:snapToGrid w:val="0"/>
        <w:spacing w:before="120" w:beforeLines="50" w:after="120" w:afterLines="50" w:line="420" w:lineRule="exact"/>
        <w:ind w:firstLine="2160" w:firstLineChars="900"/>
        <w:rPr>
          <w:rFonts w:ascii="仿宋" w:hAnsi="仿宋" w:eastAsia="仿宋"/>
          <w:color w:val="auto"/>
          <w:sz w:val="24"/>
          <w:highlight w:val="none"/>
        </w:rPr>
      </w:pPr>
      <w:r>
        <w:rPr>
          <w:rFonts w:hint="eastAsia" w:ascii="仿宋" w:hAnsi="仿宋" w:eastAsia="仿宋"/>
          <w:color w:val="auto"/>
          <w:sz w:val="24"/>
          <w:highlight w:val="none"/>
        </w:rPr>
        <w:t>法定代表人或授权代表（签字）：</w:t>
      </w:r>
      <w:r>
        <w:rPr>
          <w:rFonts w:hint="eastAsia" w:ascii="仿宋" w:hAnsi="仿宋" w:eastAsia="仿宋"/>
          <w:color w:val="auto"/>
          <w:sz w:val="24"/>
          <w:highlight w:val="none"/>
          <w:u w:val="single"/>
        </w:rPr>
        <w:t xml:space="preserve">            </w:t>
      </w:r>
    </w:p>
    <w:p w14:paraId="76490B26">
      <w:pPr>
        <w:spacing w:line="560" w:lineRule="exact"/>
        <w:ind w:firstLine="3600" w:firstLineChars="1500"/>
        <w:rPr>
          <w:rFonts w:ascii="仿宋_GB2312" w:hAnsi="仿宋" w:eastAsia="仿宋_GB2312" w:cs="仿宋"/>
          <w:b/>
          <w:color w:val="auto"/>
          <w:kern w:val="0"/>
          <w:sz w:val="24"/>
          <w:highlight w:val="none"/>
        </w:rPr>
      </w:pP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年</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月</w:t>
      </w:r>
      <w:r>
        <w:rPr>
          <w:rFonts w:hint="eastAsia" w:ascii="仿宋" w:hAnsi="仿宋" w:eastAsia="仿宋"/>
          <w:color w:val="auto"/>
          <w:sz w:val="24"/>
          <w:highlight w:val="none"/>
          <w:u w:val="single"/>
        </w:rPr>
        <w:t xml:space="preserve">   </w:t>
      </w:r>
      <w:r>
        <w:rPr>
          <w:rFonts w:hint="eastAsia" w:ascii="仿宋" w:hAnsi="仿宋" w:eastAsia="仿宋"/>
          <w:color w:val="auto"/>
          <w:sz w:val="24"/>
          <w:highlight w:val="none"/>
        </w:rPr>
        <w:t>日</w:t>
      </w:r>
    </w:p>
    <w:p w14:paraId="37B34052">
      <w:bookmarkStart w:id="11" w:name="_GoBack"/>
      <w:bookmarkEnd w:id="1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FF4639"/>
    <w:rsid w:val="2FAA0D63"/>
    <w:rsid w:val="3C135E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tabs>
        <w:tab w:val="left" w:pos="567"/>
      </w:tabs>
      <w:spacing w:before="120" w:line="22" w:lineRule="atLeast"/>
    </w:pPr>
    <w:rPr>
      <w:rFonts w:ascii="宋体" w:hAnsi="宋体"/>
      <w:sz w:val="24"/>
    </w:rPr>
  </w:style>
  <w:style w:type="paragraph" w:customStyle="1" w:styleId="3">
    <w:name w:val="目录 11"/>
    <w:next w:val="1"/>
    <w:qFormat/>
    <w:uiPriority w:val="0"/>
    <w:pPr>
      <w:wordWrap w:val="0"/>
      <w:jc w:val="both"/>
    </w:pPr>
    <w:rPr>
      <w:rFonts w:ascii="Calibri" w:hAnsi="Calibri" w:eastAsia="宋体" w:cs="Calibri"/>
      <w:sz w:val="21"/>
      <w:szCs w:val="22"/>
      <w:lang w:val="en-US" w:eastAsia="zh-CN" w:bidi="ar-SA"/>
    </w:rPr>
  </w:style>
  <w:style w:type="table" w:styleId="5">
    <w:name w:val="Table Grid"/>
    <w:basedOn w:val="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6896</Words>
  <Characters>7204</Characters>
  <Lines>0</Lines>
  <Paragraphs>0</Paragraphs>
  <TotalTime>0</TotalTime>
  <ScaleCrop>false</ScaleCrop>
  <LinksUpToDate>false</LinksUpToDate>
  <CharactersWithSpaces>7342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2026-09-14T03:11:00Z</dcterms:created>
  <dc:creator>luozhao</dc:creator>
  <cp:lastModifiedBy>LZ</cp:lastModifiedBy>
  <dcterms:modified xsi:type="dcterms:W3CDTF">2026-09-20T06:34:26Z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eyJoZGlkIjoiYWYwMGRlZTcyOWNjODRjYzgxOTBkZGNlN2RkNzY1MGEiLCJ1c2VySWQiOiIxNTUxNTE4MDk2In0=</vt:lpwstr>
  </property>
  <property fmtid="{D5CDD505-2E9C-101B-9397-08002B2CF9AE}" pid="4" name="ICV">
    <vt:lpwstr>BF5B7607D24944AC9CB57891BBEC00A0_12</vt:lpwstr>
  </property>
</Properties>
</file>