
<file path=[Content_Types].xml><?xml version="1.0" encoding="utf-8"?>
<Types xmlns="http://schemas.openxmlformats.org/package/2006/content-types">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Types>
</file>

<file path=_rels/.rels><?xml version="1.0" encoding="UTF-8" standalone="yes"?>
<Relationships xmlns="http://schemas.openxmlformats.org/package/2006/relationships"><Relationship Id="rId4" Type="http://schemas.openxmlformats.org/officeDocument/2006/relationships/officeDocument" Target="word/document.xml"/><Relationship Id="rId2" Type="http://schemas.openxmlformats.org/package/2006/relationships/metadata/core-properties" Target="docProps/core.xml"/><Relationship Id="rId1" Type="http://schemas.openxmlformats.org/officeDocument/2006/relationships/extended-properties" Target="docProps/app.xml"/><Relationship Id="rId3"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http://schemas.openxmlformats.org/wordprocessingml/2006/main" xmlns:w14="http://schemas.microsoft.com/office/word/2010/wordml" xmlns:w10="urn:schemas-microsoft-com:office:word"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body>
    <w:p w14:paraId="4CB6C65E">
      <w:pPr>
        <w:spacing w:line="360" w:lineRule="auto"/>
        <w:jc w:val="center"/>
        <w:outlineLvl w:val="0"/>
        <w:rPr>
          <w:rFonts w:hint="eastAsia" w:ascii="宋体" w:hAnsi="宋体"/>
          <w:b/>
          <w:sz w:val="36"/>
          <w:szCs w:val="36"/>
        </w:rPr>
      </w:pPr>
      <w:bookmarkStart w:id="2" w:name="_GoBack"/>
      <w:bookmarkStart w:id="0" w:name="_Toc238802947"/>
      <w:r>
        <w:rPr>
          <w:rFonts w:ascii="宋体" w:hAnsi="宋体"/>
          <w:b/>
          <w:sz w:val="36"/>
          <w:szCs w:val="36"/>
        </w:rPr>
        <w:t>采购需求</w:t>
      </w:r>
      <w:bookmarkEnd w:id="2"/>
      <w:bookmarkEnd w:id="0"/>
    </w:p>
    <w:p w14:paraId="1AE4E3E9">
      <w:pPr>
        <w:pStyle w:val="7"/>
        <w:numPr>
          <w:ilvl w:val="0"/>
          <w:numId w:val="1"/>
        </w:numPr>
        <w:spacing w:line="360" w:lineRule="auto"/>
        <w:ind w:firstLineChars="0"/>
        <w:contextualSpacing/>
        <w:rPr>
          <w:rFonts w:hint="eastAsia" w:ascii="宋体" w:hAnsi="宋体" w:cs="宋体"/>
          <w:b/>
          <w:sz w:val="24"/>
          <w:szCs w:val="24"/>
        </w:rPr>
      </w:pPr>
      <w:r>
        <w:rPr>
          <w:rFonts w:hint="eastAsia" w:ascii="宋体" w:hAnsi="宋体" w:cs="宋体"/>
          <w:b/>
          <w:sz w:val="24"/>
          <w:szCs w:val="24"/>
        </w:rPr>
        <w:t>采购标的及项目概况</w:t>
      </w:r>
    </w:p>
    <w:p w14:paraId="5A081A5D">
      <w:pPr>
        <w:pStyle w:val="4"/>
        <w:spacing w:line="360" w:lineRule="auto"/>
        <w:rPr>
          <w:rFonts w:hint="eastAsia" w:ascii="宋体" w:hAnsi="宋体" w:cs="宋体"/>
          <w:bCs/>
          <w:sz w:val="24"/>
        </w:rPr>
      </w:pPr>
      <w:r>
        <w:rPr>
          <w:rFonts w:hint="eastAsia" w:ascii="宋体" w:hAnsi="宋体" w:cs="宋体"/>
          <w:bCs/>
          <w:sz w:val="24"/>
        </w:rPr>
        <w:t>（一）采购标的</w:t>
      </w:r>
    </w:p>
    <w:tbl>
      <w:tblPr>
        <w:tblStyle w:val="5"/>
        <w:tblW w:w="8618" w:type="dxa"/>
        <w:tblInd w:w="97" w:type="dxa"/>
        <w:tblLayout w:type="fixed"/>
        <w:tblCellMar>
          <w:top w:w="0" w:type="dxa"/>
          <w:left w:w="108" w:type="dxa"/>
          <w:bottom w:w="0" w:type="dxa"/>
          <w:right w:w="108" w:type="dxa"/>
        </w:tblCellMar>
      </w:tblPr>
      <w:tblGrid>
        <w:gridCol w:w="704"/>
        <w:gridCol w:w="2851"/>
        <w:gridCol w:w="1276"/>
        <w:gridCol w:w="992"/>
        <w:gridCol w:w="992"/>
        <w:gridCol w:w="851"/>
        <w:gridCol w:w="952"/>
      </w:tblGrid>
      <w:tr w14:paraId="15A43905">
        <w:tblPrEx>
          <w:tblCellMar>
            <w:top w:w="0" w:type="dxa"/>
            <w:left w:w="108" w:type="dxa"/>
            <w:bottom w:w="0" w:type="dxa"/>
            <w:right w:w="108" w:type="dxa"/>
          </w:tblCellMar>
        </w:tblPrEx>
        <w:trPr>
          <w:trHeight w:val="864" w:hRule="atLeast"/>
        </w:trPr>
        <w:tc>
          <w:tcPr>
            <w:tcW w:w="704" w:type="dxa"/>
            <w:tcBorders>
              <w:top w:val="single" w:color="auto" w:sz="4" w:space="0"/>
              <w:left w:val="single" w:color="auto" w:sz="4" w:space="0"/>
              <w:bottom w:val="single" w:color="auto" w:sz="4" w:space="0"/>
              <w:right w:val="single" w:color="auto" w:sz="4" w:space="0"/>
            </w:tcBorders>
            <w:shd w:val="clear" w:color="000000" w:fill="FFFFFF"/>
            <w:vAlign w:val="center"/>
          </w:tcPr>
          <w:p w14:paraId="03E84EE2">
            <w:pPr>
              <w:widowControl/>
              <w:jc w:val="center"/>
              <w:rPr>
                <w:rFonts w:hint="eastAsia" w:ascii="宋体" w:hAnsi="宋体" w:cs="宋体"/>
                <w:kern w:val="0"/>
                <w:sz w:val="24"/>
              </w:rPr>
            </w:pPr>
            <w:r>
              <w:rPr>
                <w:rFonts w:hint="eastAsia" w:ascii="宋体" w:hAnsi="宋体" w:cs="宋体"/>
                <w:kern w:val="0"/>
                <w:sz w:val="24"/>
              </w:rPr>
              <w:t>序号</w:t>
            </w:r>
          </w:p>
        </w:tc>
        <w:tc>
          <w:tcPr>
            <w:tcW w:w="2851" w:type="dxa"/>
            <w:tcBorders>
              <w:top w:val="single" w:color="auto" w:sz="4" w:space="0"/>
              <w:left w:val="nil"/>
              <w:bottom w:val="single" w:color="auto" w:sz="4" w:space="0"/>
              <w:right w:val="single" w:color="auto" w:sz="4" w:space="0"/>
            </w:tcBorders>
            <w:shd w:val="clear" w:color="000000" w:fill="FFFFFF"/>
            <w:vAlign w:val="center"/>
          </w:tcPr>
          <w:p w14:paraId="0226F990">
            <w:pPr>
              <w:widowControl/>
              <w:jc w:val="center"/>
              <w:rPr>
                <w:rFonts w:hint="eastAsia" w:ascii="宋体" w:hAnsi="宋体" w:cs="宋体"/>
                <w:kern w:val="0"/>
                <w:sz w:val="24"/>
              </w:rPr>
            </w:pPr>
            <w:r>
              <w:rPr>
                <w:rFonts w:hint="eastAsia" w:ascii="宋体" w:hAnsi="宋体" w:cs="宋体"/>
                <w:kern w:val="0"/>
                <w:sz w:val="24"/>
              </w:rPr>
              <w:t>标的名称</w:t>
            </w:r>
          </w:p>
        </w:tc>
        <w:tc>
          <w:tcPr>
            <w:tcW w:w="1276" w:type="dxa"/>
            <w:tcBorders>
              <w:top w:val="single" w:color="auto" w:sz="4" w:space="0"/>
              <w:left w:val="nil"/>
              <w:bottom w:val="single" w:color="auto" w:sz="4" w:space="0"/>
              <w:right w:val="single" w:color="auto" w:sz="4" w:space="0"/>
            </w:tcBorders>
            <w:shd w:val="clear" w:color="000000" w:fill="FFFFFF"/>
            <w:vAlign w:val="center"/>
          </w:tcPr>
          <w:p w14:paraId="2C40CB67">
            <w:pPr>
              <w:widowControl/>
              <w:jc w:val="center"/>
              <w:rPr>
                <w:rFonts w:hint="eastAsia" w:ascii="宋体" w:hAnsi="宋体" w:cs="宋体"/>
                <w:kern w:val="0"/>
                <w:sz w:val="24"/>
              </w:rPr>
            </w:pPr>
            <w:r>
              <w:rPr>
                <w:rFonts w:hint="eastAsia" w:ascii="宋体" w:hAnsi="宋体" w:cs="宋体"/>
                <w:kern w:val="0"/>
                <w:sz w:val="24"/>
              </w:rPr>
              <w:t>单价最高限价（元/单位）</w:t>
            </w:r>
          </w:p>
        </w:tc>
        <w:tc>
          <w:tcPr>
            <w:tcW w:w="992" w:type="dxa"/>
            <w:tcBorders>
              <w:top w:val="single" w:color="auto" w:sz="4" w:space="0"/>
              <w:left w:val="nil"/>
              <w:bottom w:val="single" w:color="auto" w:sz="4" w:space="0"/>
              <w:right w:val="single" w:color="auto" w:sz="4" w:space="0"/>
            </w:tcBorders>
            <w:shd w:val="clear" w:color="000000" w:fill="FFFFFF"/>
            <w:vAlign w:val="center"/>
          </w:tcPr>
          <w:p w14:paraId="4CC7E9D7">
            <w:pPr>
              <w:widowControl/>
              <w:jc w:val="center"/>
              <w:rPr>
                <w:rFonts w:hint="eastAsia" w:ascii="宋体" w:hAnsi="宋体" w:cs="宋体"/>
                <w:kern w:val="0"/>
                <w:sz w:val="24"/>
              </w:rPr>
            </w:pPr>
            <w:r>
              <w:rPr>
                <w:rFonts w:hint="eastAsia" w:ascii="宋体" w:hAnsi="宋体" w:cs="宋体"/>
                <w:kern w:val="0"/>
                <w:sz w:val="24"/>
              </w:rPr>
              <w:t>单位</w:t>
            </w:r>
          </w:p>
        </w:tc>
        <w:tc>
          <w:tcPr>
            <w:tcW w:w="992" w:type="dxa"/>
            <w:tcBorders>
              <w:top w:val="single" w:color="auto" w:sz="4" w:space="0"/>
              <w:left w:val="nil"/>
              <w:bottom w:val="single" w:color="auto" w:sz="4" w:space="0"/>
              <w:right w:val="single" w:color="auto" w:sz="4" w:space="0"/>
            </w:tcBorders>
            <w:shd w:val="clear" w:color="000000" w:fill="FFFFFF"/>
            <w:noWrap/>
            <w:vAlign w:val="center"/>
          </w:tcPr>
          <w:p w14:paraId="2C62A929">
            <w:pPr>
              <w:widowControl/>
              <w:jc w:val="center"/>
              <w:rPr>
                <w:rFonts w:hint="eastAsia" w:ascii="宋体" w:hAnsi="宋体" w:cs="宋体"/>
                <w:kern w:val="0"/>
                <w:sz w:val="24"/>
              </w:rPr>
            </w:pPr>
            <w:r>
              <w:rPr>
                <w:rFonts w:hint="eastAsia" w:ascii="宋体" w:hAnsi="宋体" w:cs="宋体"/>
                <w:kern w:val="0"/>
                <w:sz w:val="24"/>
              </w:rPr>
              <w:t>预估数量（/单位）</w:t>
            </w:r>
          </w:p>
        </w:tc>
        <w:tc>
          <w:tcPr>
            <w:tcW w:w="851" w:type="dxa"/>
            <w:tcBorders>
              <w:top w:val="single" w:color="auto" w:sz="4" w:space="0"/>
              <w:left w:val="nil"/>
              <w:bottom w:val="single" w:color="auto" w:sz="4" w:space="0"/>
              <w:right w:val="single" w:color="auto" w:sz="4" w:space="0"/>
            </w:tcBorders>
            <w:shd w:val="clear" w:color="000000" w:fill="FFFFFF"/>
            <w:vAlign w:val="center"/>
          </w:tcPr>
          <w:p w14:paraId="60004B61">
            <w:pPr>
              <w:widowControl/>
              <w:jc w:val="center"/>
              <w:rPr>
                <w:rFonts w:hint="eastAsia" w:ascii="宋体" w:hAnsi="宋体" w:cs="宋体"/>
                <w:color w:val="000000"/>
                <w:kern w:val="0"/>
                <w:sz w:val="24"/>
              </w:rPr>
            </w:pPr>
            <w:r>
              <w:rPr>
                <w:rFonts w:hint="eastAsia" w:ascii="宋体" w:hAnsi="宋体" w:cs="宋体"/>
                <w:color w:val="000000"/>
                <w:kern w:val="0"/>
                <w:sz w:val="24"/>
              </w:rPr>
              <w:t>是否允许进口</w:t>
            </w:r>
          </w:p>
        </w:tc>
        <w:tc>
          <w:tcPr>
            <w:tcW w:w="952" w:type="dxa"/>
            <w:tcBorders>
              <w:top w:val="single" w:color="auto" w:sz="4" w:space="0"/>
              <w:left w:val="nil"/>
              <w:bottom w:val="single" w:color="auto" w:sz="4" w:space="0"/>
              <w:right w:val="single" w:color="auto" w:sz="4" w:space="0"/>
            </w:tcBorders>
            <w:shd w:val="clear" w:color="000000" w:fill="FFFFFF"/>
            <w:vAlign w:val="center"/>
          </w:tcPr>
          <w:p w14:paraId="0658BF01">
            <w:pPr>
              <w:widowControl/>
              <w:jc w:val="center"/>
              <w:rPr>
                <w:rFonts w:hint="eastAsia" w:ascii="宋体" w:hAnsi="宋体" w:cs="宋体"/>
                <w:color w:val="000000"/>
                <w:kern w:val="0"/>
                <w:sz w:val="24"/>
              </w:rPr>
            </w:pPr>
            <w:r>
              <w:rPr>
                <w:rFonts w:hint="eastAsia" w:ascii="宋体" w:hAnsi="宋体" w:cs="宋体"/>
                <w:color w:val="000000"/>
                <w:kern w:val="0"/>
                <w:sz w:val="24"/>
              </w:rPr>
              <w:t>是否为核心产品</w:t>
            </w:r>
          </w:p>
        </w:tc>
      </w:tr>
      <w:tr w14:paraId="72E7A7F2">
        <w:tblPrEx>
          <w:tblCellMar>
            <w:top w:w="0" w:type="dxa"/>
            <w:left w:w="108" w:type="dxa"/>
            <w:bottom w:w="0" w:type="dxa"/>
            <w:right w:w="108" w:type="dxa"/>
          </w:tblCellMar>
        </w:tblPrEx>
        <w:trPr>
          <w:trHeight w:val="288" w:hRule="atLeast"/>
        </w:trPr>
        <w:tc>
          <w:tcPr>
            <w:tcW w:w="704" w:type="dxa"/>
            <w:tcBorders>
              <w:top w:val="nil"/>
              <w:left w:val="single" w:color="auto" w:sz="4" w:space="0"/>
              <w:bottom w:val="single" w:color="auto" w:sz="4" w:space="0"/>
              <w:right w:val="single" w:color="auto" w:sz="4" w:space="0"/>
            </w:tcBorders>
            <w:shd w:val="clear" w:color="000000" w:fill="FFFFFF"/>
            <w:vAlign w:val="center"/>
          </w:tcPr>
          <w:p w14:paraId="582C3C5F">
            <w:pPr>
              <w:widowControl/>
              <w:jc w:val="center"/>
              <w:rPr>
                <w:rFonts w:hint="eastAsia" w:ascii="宋体" w:hAnsi="宋体" w:cs="宋体"/>
                <w:kern w:val="0"/>
                <w:sz w:val="24"/>
              </w:rPr>
            </w:pPr>
            <w:r>
              <w:rPr>
                <w:rFonts w:hint="eastAsia" w:ascii="宋体" w:hAnsi="宋体" w:cs="宋体"/>
                <w:kern w:val="0"/>
                <w:sz w:val="24"/>
              </w:rPr>
              <w:t>1</w:t>
            </w:r>
          </w:p>
        </w:tc>
        <w:tc>
          <w:tcPr>
            <w:tcW w:w="2851" w:type="dxa"/>
            <w:tcBorders>
              <w:top w:val="nil"/>
              <w:left w:val="nil"/>
              <w:bottom w:val="single" w:color="auto" w:sz="4" w:space="0"/>
              <w:right w:val="single" w:color="auto" w:sz="4" w:space="0"/>
            </w:tcBorders>
            <w:shd w:val="clear" w:color="000000" w:fill="FFFFFF"/>
            <w:vAlign w:val="center"/>
          </w:tcPr>
          <w:p w14:paraId="3414F442">
            <w:pPr>
              <w:jc w:val="center"/>
              <w:rPr>
                <w:rFonts w:hint="eastAsia" w:ascii="宋体" w:hAnsi="宋体" w:cs="宋体"/>
                <w:sz w:val="24"/>
              </w:rPr>
            </w:pPr>
            <w:r>
              <w:rPr>
                <w:rFonts w:hint="eastAsia" w:ascii="宋体" w:hAnsi="宋体" w:cs="宋体"/>
                <w:sz w:val="24"/>
              </w:rPr>
              <w:t>25-羟基维生素D定标液</w:t>
            </w:r>
          </w:p>
        </w:tc>
        <w:tc>
          <w:tcPr>
            <w:tcW w:w="1276" w:type="dxa"/>
            <w:tcBorders>
              <w:top w:val="nil"/>
              <w:left w:val="nil"/>
              <w:bottom w:val="single" w:color="auto" w:sz="4" w:space="0"/>
              <w:right w:val="single" w:color="auto" w:sz="4" w:space="0"/>
            </w:tcBorders>
            <w:shd w:val="clear" w:color="000000" w:fill="FFFFFF"/>
            <w:vAlign w:val="center"/>
          </w:tcPr>
          <w:p w14:paraId="22EB6976">
            <w:pPr>
              <w:widowControl/>
              <w:jc w:val="center"/>
              <w:rPr>
                <w:rFonts w:hint="eastAsia" w:ascii="宋体" w:hAnsi="宋体" w:cs="宋体"/>
                <w:kern w:val="0"/>
                <w:sz w:val="24"/>
              </w:rPr>
            </w:pPr>
            <w:r>
              <w:rPr>
                <w:rFonts w:hint="eastAsia" w:ascii="宋体" w:hAnsi="宋体" w:cs="宋体"/>
                <w:kern w:val="0"/>
                <w:sz w:val="24"/>
              </w:rPr>
              <w:t>737.5</w:t>
            </w:r>
          </w:p>
        </w:tc>
        <w:tc>
          <w:tcPr>
            <w:tcW w:w="992" w:type="dxa"/>
            <w:tcBorders>
              <w:top w:val="nil"/>
              <w:left w:val="nil"/>
              <w:bottom w:val="single" w:color="auto" w:sz="4" w:space="0"/>
              <w:right w:val="single" w:color="auto" w:sz="4" w:space="0"/>
            </w:tcBorders>
            <w:shd w:val="clear" w:color="000000" w:fill="FFFFFF"/>
            <w:vAlign w:val="center"/>
          </w:tcPr>
          <w:p w14:paraId="3C399368">
            <w:pPr>
              <w:widowControl/>
              <w:jc w:val="center"/>
              <w:rPr>
                <w:rFonts w:hint="eastAsia" w:ascii="宋体" w:hAnsi="宋体" w:cs="宋体"/>
                <w:kern w:val="0"/>
                <w:sz w:val="24"/>
              </w:rPr>
            </w:pPr>
            <w:r>
              <w:rPr>
                <w:rFonts w:hint="eastAsia" w:ascii="宋体" w:hAnsi="宋体" w:cs="宋体"/>
                <w:kern w:val="0"/>
                <w:sz w:val="24"/>
              </w:rPr>
              <w:t>ml</w:t>
            </w:r>
          </w:p>
        </w:tc>
        <w:tc>
          <w:tcPr>
            <w:tcW w:w="992" w:type="dxa"/>
            <w:tcBorders>
              <w:top w:val="nil"/>
              <w:left w:val="nil"/>
              <w:bottom w:val="single" w:color="auto" w:sz="4" w:space="0"/>
              <w:right w:val="single" w:color="auto" w:sz="4" w:space="0"/>
            </w:tcBorders>
            <w:shd w:val="clear" w:color="000000" w:fill="FFFFFF"/>
            <w:noWrap/>
            <w:vAlign w:val="center"/>
          </w:tcPr>
          <w:p w14:paraId="07D8D7D3">
            <w:pPr>
              <w:widowControl/>
              <w:jc w:val="center"/>
              <w:rPr>
                <w:rFonts w:hint="eastAsia" w:ascii="宋体" w:hAnsi="宋体" w:cs="宋体"/>
                <w:kern w:val="0"/>
                <w:sz w:val="24"/>
              </w:rPr>
            </w:pPr>
            <w:r>
              <w:rPr>
                <w:rFonts w:hint="eastAsia" w:ascii="宋体" w:hAnsi="宋体" w:cs="宋体"/>
                <w:kern w:val="0"/>
                <w:sz w:val="24"/>
              </w:rPr>
              <w:t>8</w:t>
            </w:r>
          </w:p>
        </w:tc>
        <w:tc>
          <w:tcPr>
            <w:tcW w:w="851" w:type="dxa"/>
            <w:tcBorders>
              <w:top w:val="nil"/>
              <w:left w:val="nil"/>
              <w:bottom w:val="single" w:color="auto" w:sz="4" w:space="0"/>
              <w:right w:val="single" w:color="auto" w:sz="4" w:space="0"/>
            </w:tcBorders>
            <w:shd w:val="clear" w:color="000000" w:fill="FFFFFF"/>
            <w:vAlign w:val="center"/>
          </w:tcPr>
          <w:p w14:paraId="24DC615E">
            <w:pPr>
              <w:widowControl/>
              <w:jc w:val="center"/>
              <w:rPr>
                <w:rFonts w:hint="eastAsia" w:ascii="宋体" w:hAnsi="宋体" w:cs="宋体"/>
                <w:color w:val="000000"/>
                <w:kern w:val="0"/>
                <w:sz w:val="24"/>
              </w:rPr>
            </w:pPr>
            <w:r>
              <w:rPr>
                <w:rFonts w:hint="eastAsia" w:ascii="宋体" w:hAnsi="宋体" w:cs="宋体"/>
                <w:color w:val="000000"/>
                <w:kern w:val="0"/>
                <w:sz w:val="24"/>
              </w:rPr>
              <w:t>是</w:t>
            </w:r>
          </w:p>
        </w:tc>
        <w:tc>
          <w:tcPr>
            <w:tcW w:w="952" w:type="dxa"/>
            <w:tcBorders>
              <w:top w:val="nil"/>
              <w:left w:val="nil"/>
              <w:bottom w:val="single" w:color="auto" w:sz="4" w:space="0"/>
              <w:right w:val="single" w:color="auto" w:sz="4" w:space="0"/>
            </w:tcBorders>
            <w:shd w:val="clear" w:color="000000" w:fill="FFFFFF"/>
            <w:vAlign w:val="center"/>
          </w:tcPr>
          <w:p w14:paraId="359010F7">
            <w:pPr>
              <w:widowControl/>
              <w:jc w:val="center"/>
              <w:rPr>
                <w:rFonts w:hint="eastAsia" w:ascii="宋体" w:hAnsi="宋体" w:cs="宋体"/>
                <w:color w:val="000000"/>
                <w:kern w:val="0"/>
                <w:sz w:val="24"/>
              </w:rPr>
            </w:pPr>
            <w:r>
              <w:rPr>
                <w:rFonts w:hint="eastAsia" w:ascii="宋体" w:hAnsi="宋体" w:cs="宋体"/>
                <w:color w:val="000000"/>
                <w:kern w:val="0"/>
                <w:sz w:val="24"/>
              </w:rPr>
              <w:t>否</w:t>
            </w:r>
          </w:p>
        </w:tc>
      </w:tr>
      <w:tr w14:paraId="09D18A91">
        <w:tblPrEx>
          <w:tblCellMar>
            <w:top w:w="0" w:type="dxa"/>
            <w:left w:w="108" w:type="dxa"/>
            <w:bottom w:w="0" w:type="dxa"/>
            <w:right w:w="108" w:type="dxa"/>
          </w:tblCellMar>
        </w:tblPrEx>
        <w:trPr>
          <w:trHeight w:val="576" w:hRule="atLeast"/>
        </w:trPr>
        <w:tc>
          <w:tcPr>
            <w:tcW w:w="704" w:type="dxa"/>
            <w:tcBorders>
              <w:top w:val="nil"/>
              <w:left w:val="single" w:color="auto" w:sz="4" w:space="0"/>
              <w:bottom w:val="single" w:color="auto" w:sz="4" w:space="0"/>
              <w:right w:val="single" w:color="auto" w:sz="4" w:space="0"/>
            </w:tcBorders>
            <w:shd w:val="clear" w:color="000000" w:fill="FFFFFF"/>
            <w:vAlign w:val="center"/>
          </w:tcPr>
          <w:p w14:paraId="3C22F569">
            <w:pPr>
              <w:widowControl/>
              <w:jc w:val="center"/>
              <w:rPr>
                <w:rFonts w:hint="eastAsia" w:ascii="宋体" w:hAnsi="宋体" w:cs="宋体"/>
                <w:kern w:val="0"/>
                <w:sz w:val="24"/>
              </w:rPr>
            </w:pPr>
            <w:r>
              <w:rPr>
                <w:rFonts w:hint="eastAsia" w:ascii="宋体" w:hAnsi="宋体" w:cs="宋体"/>
                <w:kern w:val="0"/>
                <w:sz w:val="24"/>
              </w:rPr>
              <w:t>2</w:t>
            </w:r>
          </w:p>
        </w:tc>
        <w:tc>
          <w:tcPr>
            <w:tcW w:w="2851" w:type="dxa"/>
            <w:tcBorders>
              <w:top w:val="nil"/>
              <w:left w:val="nil"/>
              <w:bottom w:val="single" w:color="auto" w:sz="4" w:space="0"/>
              <w:right w:val="single" w:color="auto" w:sz="4" w:space="0"/>
            </w:tcBorders>
            <w:shd w:val="clear" w:color="000000" w:fill="FFFFFF"/>
            <w:vAlign w:val="center"/>
          </w:tcPr>
          <w:p w14:paraId="242D98C9">
            <w:pPr>
              <w:jc w:val="center"/>
              <w:rPr>
                <w:rFonts w:hint="eastAsia" w:ascii="宋体" w:hAnsi="宋体" w:cs="宋体"/>
                <w:sz w:val="24"/>
              </w:rPr>
            </w:pPr>
            <w:r>
              <w:rPr>
                <w:rFonts w:hint="eastAsia" w:ascii="宋体" w:hAnsi="宋体" w:cs="宋体"/>
                <w:sz w:val="24"/>
              </w:rPr>
              <w:t>25-羟基维生素D检测试剂盒1</w:t>
            </w:r>
          </w:p>
        </w:tc>
        <w:tc>
          <w:tcPr>
            <w:tcW w:w="1276" w:type="dxa"/>
            <w:tcBorders>
              <w:top w:val="nil"/>
              <w:left w:val="nil"/>
              <w:bottom w:val="single" w:color="auto" w:sz="4" w:space="0"/>
              <w:right w:val="single" w:color="auto" w:sz="4" w:space="0"/>
            </w:tcBorders>
            <w:shd w:val="clear" w:color="000000" w:fill="FFFFFF"/>
            <w:vAlign w:val="center"/>
          </w:tcPr>
          <w:p w14:paraId="044B101E">
            <w:pPr>
              <w:widowControl/>
              <w:jc w:val="center"/>
              <w:rPr>
                <w:rFonts w:hint="eastAsia" w:ascii="宋体" w:hAnsi="宋体" w:cs="宋体"/>
                <w:kern w:val="0"/>
                <w:sz w:val="24"/>
              </w:rPr>
            </w:pPr>
            <w:r>
              <w:rPr>
                <w:rFonts w:hint="eastAsia" w:ascii="宋体" w:hAnsi="宋体" w:cs="宋体"/>
                <w:kern w:val="0"/>
                <w:sz w:val="24"/>
              </w:rPr>
              <w:t>40</w:t>
            </w:r>
          </w:p>
        </w:tc>
        <w:tc>
          <w:tcPr>
            <w:tcW w:w="992" w:type="dxa"/>
            <w:tcBorders>
              <w:top w:val="nil"/>
              <w:left w:val="nil"/>
              <w:bottom w:val="single" w:color="auto" w:sz="4" w:space="0"/>
              <w:right w:val="single" w:color="auto" w:sz="4" w:space="0"/>
            </w:tcBorders>
            <w:shd w:val="clear" w:color="000000" w:fill="FFFFFF"/>
            <w:vAlign w:val="center"/>
          </w:tcPr>
          <w:p w14:paraId="4EB6121C">
            <w:pPr>
              <w:widowControl/>
              <w:jc w:val="center"/>
              <w:rPr>
                <w:rFonts w:hint="eastAsia" w:ascii="宋体" w:hAnsi="宋体" w:cs="宋体"/>
                <w:kern w:val="0"/>
                <w:sz w:val="24"/>
              </w:rPr>
            </w:pPr>
            <w:r>
              <w:rPr>
                <w:rFonts w:hint="eastAsia" w:ascii="宋体" w:hAnsi="宋体" w:cs="宋体"/>
                <w:kern w:val="0"/>
                <w:sz w:val="24"/>
              </w:rPr>
              <w:t>人份</w:t>
            </w:r>
          </w:p>
        </w:tc>
        <w:tc>
          <w:tcPr>
            <w:tcW w:w="992" w:type="dxa"/>
            <w:tcBorders>
              <w:top w:val="nil"/>
              <w:left w:val="nil"/>
              <w:bottom w:val="single" w:color="auto" w:sz="4" w:space="0"/>
              <w:right w:val="single" w:color="auto" w:sz="4" w:space="0"/>
            </w:tcBorders>
            <w:shd w:val="clear" w:color="000000" w:fill="FFFFFF"/>
            <w:noWrap/>
            <w:vAlign w:val="center"/>
          </w:tcPr>
          <w:p w14:paraId="39E19364">
            <w:pPr>
              <w:widowControl/>
              <w:jc w:val="center"/>
              <w:rPr>
                <w:rFonts w:hint="eastAsia" w:ascii="宋体" w:hAnsi="宋体" w:cs="宋体"/>
                <w:kern w:val="0"/>
                <w:sz w:val="24"/>
              </w:rPr>
            </w:pPr>
            <w:r>
              <w:rPr>
                <w:rFonts w:hint="eastAsia" w:ascii="宋体" w:hAnsi="宋体" w:cs="宋体"/>
                <w:kern w:val="0"/>
                <w:sz w:val="24"/>
              </w:rPr>
              <w:t>5700</w:t>
            </w:r>
          </w:p>
        </w:tc>
        <w:tc>
          <w:tcPr>
            <w:tcW w:w="851" w:type="dxa"/>
            <w:tcBorders>
              <w:top w:val="nil"/>
              <w:left w:val="nil"/>
              <w:bottom w:val="single" w:color="auto" w:sz="4" w:space="0"/>
              <w:right w:val="single" w:color="auto" w:sz="4" w:space="0"/>
            </w:tcBorders>
            <w:shd w:val="clear" w:color="000000" w:fill="FFFFFF"/>
            <w:vAlign w:val="center"/>
          </w:tcPr>
          <w:p w14:paraId="1DE0274A">
            <w:pPr>
              <w:widowControl/>
              <w:jc w:val="center"/>
              <w:rPr>
                <w:rFonts w:hint="eastAsia" w:ascii="宋体" w:hAnsi="宋体" w:cs="宋体"/>
                <w:color w:val="000000"/>
                <w:kern w:val="0"/>
                <w:sz w:val="24"/>
              </w:rPr>
            </w:pPr>
            <w:r>
              <w:rPr>
                <w:rFonts w:hint="eastAsia" w:ascii="宋体" w:hAnsi="宋体" w:cs="宋体"/>
                <w:color w:val="000000"/>
                <w:kern w:val="0"/>
                <w:sz w:val="24"/>
              </w:rPr>
              <w:t>是</w:t>
            </w:r>
          </w:p>
        </w:tc>
        <w:tc>
          <w:tcPr>
            <w:tcW w:w="952" w:type="dxa"/>
            <w:tcBorders>
              <w:top w:val="nil"/>
              <w:left w:val="nil"/>
              <w:bottom w:val="single" w:color="auto" w:sz="4" w:space="0"/>
              <w:right w:val="single" w:color="auto" w:sz="4" w:space="0"/>
            </w:tcBorders>
            <w:shd w:val="clear" w:color="000000" w:fill="FFFFFF"/>
            <w:vAlign w:val="center"/>
          </w:tcPr>
          <w:p w14:paraId="3B50120F">
            <w:pPr>
              <w:widowControl/>
              <w:jc w:val="center"/>
              <w:rPr>
                <w:rFonts w:hint="eastAsia" w:ascii="宋体" w:hAnsi="宋体" w:cs="宋体"/>
                <w:color w:val="000000"/>
                <w:kern w:val="0"/>
                <w:sz w:val="24"/>
              </w:rPr>
            </w:pPr>
            <w:r>
              <w:rPr>
                <w:rFonts w:hint="eastAsia" w:ascii="宋体" w:hAnsi="宋体" w:cs="宋体"/>
                <w:color w:val="000000"/>
                <w:kern w:val="0"/>
                <w:sz w:val="24"/>
              </w:rPr>
              <w:t>否</w:t>
            </w:r>
          </w:p>
        </w:tc>
      </w:tr>
      <w:tr w14:paraId="39712F5A">
        <w:tblPrEx>
          <w:tblCellMar>
            <w:top w:w="0" w:type="dxa"/>
            <w:left w:w="108" w:type="dxa"/>
            <w:bottom w:w="0" w:type="dxa"/>
            <w:right w:w="108" w:type="dxa"/>
          </w:tblCellMar>
        </w:tblPrEx>
        <w:trPr>
          <w:trHeight w:val="288" w:hRule="atLeast"/>
        </w:trPr>
        <w:tc>
          <w:tcPr>
            <w:tcW w:w="704" w:type="dxa"/>
            <w:tcBorders>
              <w:top w:val="nil"/>
              <w:left w:val="single" w:color="auto" w:sz="4" w:space="0"/>
              <w:bottom w:val="single" w:color="auto" w:sz="4" w:space="0"/>
              <w:right w:val="single" w:color="auto" w:sz="4" w:space="0"/>
            </w:tcBorders>
            <w:shd w:val="clear" w:color="000000" w:fill="FFFFFF"/>
            <w:vAlign w:val="center"/>
          </w:tcPr>
          <w:p w14:paraId="46BD8A3B">
            <w:pPr>
              <w:widowControl/>
              <w:jc w:val="center"/>
              <w:rPr>
                <w:rFonts w:hint="eastAsia" w:ascii="宋体" w:hAnsi="宋体" w:cs="宋体"/>
                <w:kern w:val="0"/>
                <w:sz w:val="24"/>
              </w:rPr>
            </w:pPr>
            <w:r>
              <w:rPr>
                <w:rFonts w:hint="eastAsia" w:ascii="宋体" w:hAnsi="宋体" w:cs="宋体"/>
                <w:kern w:val="0"/>
                <w:sz w:val="24"/>
              </w:rPr>
              <w:t>3</w:t>
            </w:r>
          </w:p>
        </w:tc>
        <w:tc>
          <w:tcPr>
            <w:tcW w:w="2851" w:type="dxa"/>
            <w:tcBorders>
              <w:top w:val="nil"/>
              <w:left w:val="nil"/>
              <w:bottom w:val="single" w:color="auto" w:sz="4" w:space="0"/>
              <w:right w:val="single" w:color="auto" w:sz="4" w:space="0"/>
            </w:tcBorders>
            <w:shd w:val="clear" w:color="000000" w:fill="FFFFFF"/>
            <w:vAlign w:val="center"/>
          </w:tcPr>
          <w:p w14:paraId="706CE40E">
            <w:pPr>
              <w:jc w:val="center"/>
              <w:rPr>
                <w:rFonts w:hint="eastAsia" w:ascii="宋体" w:hAnsi="宋体" w:cs="宋体"/>
                <w:sz w:val="24"/>
              </w:rPr>
            </w:pPr>
            <w:r>
              <w:rPr>
                <w:rFonts w:hint="eastAsia" w:ascii="宋体" w:hAnsi="宋体" w:cs="宋体"/>
                <w:sz w:val="24"/>
              </w:rPr>
              <w:t>C-肽定标液</w:t>
            </w:r>
          </w:p>
        </w:tc>
        <w:tc>
          <w:tcPr>
            <w:tcW w:w="1276" w:type="dxa"/>
            <w:tcBorders>
              <w:top w:val="nil"/>
              <w:left w:val="nil"/>
              <w:bottom w:val="single" w:color="auto" w:sz="4" w:space="0"/>
              <w:right w:val="single" w:color="auto" w:sz="4" w:space="0"/>
            </w:tcBorders>
            <w:shd w:val="clear" w:color="000000" w:fill="FFFFFF"/>
            <w:vAlign w:val="center"/>
          </w:tcPr>
          <w:p w14:paraId="1C75D923">
            <w:pPr>
              <w:widowControl/>
              <w:jc w:val="center"/>
              <w:rPr>
                <w:rFonts w:hint="eastAsia" w:ascii="宋体" w:hAnsi="宋体" w:cs="宋体"/>
                <w:kern w:val="0"/>
                <w:sz w:val="24"/>
              </w:rPr>
            </w:pPr>
            <w:r>
              <w:rPr>
                <w:rFonts w:hint="eastAsia" w:ascii="宋体" w:hAnsi="宋体" w:cs="宋体"/>
                <w:kern w:val="0"/>
                <w:sz w:val="24"/>
              </w:rPr>
              <w:t>312.5</w:t>
            </w:r>
          </w:p>
        </w:tc>
        <w:tc>
          <w:tcPr>
            <w:tcW w:w="992" w:type="dxa"/>
            <w:tcBorders>
              <w:top w:val="nil"/>
              <w:left w:val="nil"/>
              <w:bottom w:val="single" w:color="auto" w:sz="4" w:space="0"/>
              <w:right w:val="single" w:color="auto" w:sz="4" w:space="0"/>
            </w:tcBorders>
            <w:shd w:val="clear" w:color="000000" w:fill="FFFFFF"/>
            <w:vAlign w:val="center"/>
          </w:tcPr>
          <w:p w14:paraId="7017C47E">
            <w:pPr>
              <w:widowControl/>
              <w:jc w:val="center"/>
              <w:rPr>
                <w:rFonts w:hint="eastAsia" w:ascii="宋体" w:hAnsi="宋体" w:cs="宋体"/>
                <w:kern w:val="0"/>
                <w:sz w:val="24"/>
              </w:rPr>
            </w:pPr>
            <w:r>
              <w:rPr>
                <w:rFonts w:hint="eastAsia" w:ascii="宋体" w:hAnsi="宋体" w:cs="宋体"/>
                <w:kern w:val="0"/>
                <w:sz w:val="24"/>
              </w:rPr>
              <w:t>ml</w:t>
            </w:r>
          </w:p>
        </w:tc>
        <w:tc>
          <w:tcPr>
            <w:tcW w:w="992" w:type="dxa"/>
            <w:tcBorders>
              <w:top w:val="nil"/>
              <w:left w:val="nil"/>
              <w:bottom w:val="single" w:color="auto" w:sz="4" w:space="0"/>
              <w:right w:val="single" w:color="auto" w:sz="4" w:space="0"/>
            </w:tcBorders>
            <w:shd w:val="clear" w:color="000000" w:fill="FFFFFF"/>
            <w:noWrap/>
            <w:vAlign w:val="center"/>
          </w:tcPr>
          <w:p w14:paraId="5AD9F921">
            <w:pPr>
              <w:widowControl/>
              <w:jc w:val="center"/>
              <w:rPr>
                <w:rFonts w:hint="eastAsia" w:ascii="宋体" w:hAnsi="宋体" w:cs="宋体"/>
                <w:kern w:val="0"/>
                <w:sz w:val="24"/>
              </w:rPr>
            </w:pPr>
            <w:r>
              <w:rPr>
                <w:rFonts w:hint="eastAsia" w:ascii="宋体" w:hAnsi="宋体" w:cs="宋体"/>
                <w:kern w:val="0"/>
                <w:sz w:val="24"/>
              </w:rPr>
              <w:t>4</w:t>
            </w:r>
          </w:p>
        </w:tc>
        <w:tc>
          <w:tcPr>
            <w:tcW w:w="851" w:type="dxa"/>
            <w:tcBorders>
              <w:top w:val="nil"/>
              <w:left w:val="nil"/>
              <w:bottom w:val="single" w:color="auto" w:sz="4" w:space="0"/>
              <w:right w:val="single" w:color="auto" w:sz="4" w:space="0"/>
            </w:tcBorders>
            <w:shd w:val="clear" w:color="000000" w:fill="FFFFFF"/>
            <w:vAlign w:val="center"/>
          </w:tcPr>
          <w:p w14:paraId="77373B6E">
            <w:pPr>
              <w:widowControl/>
              <w:jc w:val="center"/>
              <w:rPr>
                <w:rFonts w:hint="eastAsia" w:ascii="宋体" w:hAnsi="宋体" w:cs="宋体"/>
                <w:color w:val="000000"/>
                <w:kern w:val="0"/>
                <w:sz w:val="24"/>
              </w:rPr>
            </w:pPr>
            <w:r>
              <w:rPr>
                <w:rFonts w:hint="eastAsia" w:ascii="宋体" w:hAnsi="宋体" w:cs="宋体"/>
                <w:color w:val="000000"/>
                <w:kern w:val="0"/>
                <w:sz w:val="24"/>
              </w:rPr>
              <w:t>是</w:t>
            </w:r>
          </w:p>
        </w:tc>
        <w:tc>
          <w:tcPr>
            <w:tcW w:w="952" w:type="dxa"/>
            <w:tcBorders>
              <w:top w:val="nil"/>
              <w:left w:val="nil"/>
              <w:bottom w:val="single" w:color="auto" w:sz="4" w:space="0"/>
              <w:right w:val="single" w:color="auto" w:sz="4" w:space="0"/>
            </w:tcBorders>
            <w:shd w:val="clear" w:color="000000" w:fill="FFFFFF"/>
            <w:vAlign w:val="center"/>
          </w:tcPr>
          <w:p w14:paraId="1CEFE000">
            <w:pPr>
              <w:widowControl/>
              <w:jc w:val="center"/>
              <w:rPr>
                <w:rFonts w:hint="eastAsia" w:ascii="宋体" w:hAnsi="宋体" w:cs="宋体"/>
                <w:color w:val="000000"/>
                <w:kern w:val="0"/>
                <w:sz w:val="24"/>
              </w:rPr>
            </w:pPr>
            <w:r>
              <w:rPr>
                <w:rFonts w:hint="eastAsia" w:ascii="宋体" w:hAnsi="宋体" w:cs="宋体"/>
                <w:color w:val="000000"/>
                <w:kern w:val="0"/>
                <w:sz w:val="24"/>
              </w:rPr>
              <w:t>否</w:t>
            </w:r>
          </w:p>
        </w:tc>
      </w:tr>
      <w:tr w14:paraId="68FEEC68">
        <w:tblPrEx>
          <w:tblCellMar>
            <w:top w:w="0" w:type="dxa"/>
            <w:left w:w="108" w:type="dxa"/>
            <w:bottom w:w="0" w:type="dxa"/>
            <w:right w:w="108" w:type="dxa"/>
          </w:tblCellMar>
        </w:tblPrEx>
        <w:trPr>
          <w:trHeight w:val="288" w:hRule="atLeast"/>
        </w:trPr>
        <w:tc>
          <w:tcPr>
            <w:tcW w:w="704" w:type="dxa"/>
            <w:tcBorders>
              <w:top w:val="nil"/>
              <w:left w:val="single" w:color="auto" w:sz="4" w:space="0"/>
              <w:bottom w:val="single" w:color="auto" w:sz="4" w:space="0"/>
              <w:right w:val="single" w:color="auto" w:sz="4" w:space="0"/>
            </w:tcBorders>
            <w:shd w:val="clear" w:color="000000" w:fill="FFFFFF"/>
            <w:vAlign w:val="center"/>
          </w:tcPr>
          <w:p w14:paraId="463250E2">
            <w:pPr>
              <w:widowControl/>
              <w:jc w:val="center"/>
              <w:rPr>
                <w:rFonts w:hint="eastAsia" w:ascii="宋体" w:hAnsi="宋体" w:cs="宋体"/>
                <w:kern w:val="0"/>
                <w:sz w:val="24"/>
              </w:rPr>
            </w:pPr>
            <w:r>
              <w:rPr>
                <w:rFonts w:hint="eastAsia" w:ascii="宋体" w:hAnsi="宋体" w:cs="宋体"/>
                <w:kern w:val="0"/>
                <w:sz w:val="24"/>
              </w:rPr>
              <w:t>4</w:t>
            </w:r>
          </w:p>
        </w:tc>
        <w:tc>
          <w:tcPr>
            <w:tcW w:w="2851" w:type="dxa"/>
            <w:tcBorders>
              <w:top w:val="nil"/>
              <w:left w:val="nil"/>
              <w:bottom w:val="single" w:color="auto" w:sz="4" w:space="0"/>
              <w:right w:val="single" w:color="auto" w:sz="4" w:space="0"/>
            </w:tcBorders>
            <w:shd w:val="clear" w:color="000000" w:fill="FFFFFF"/>
            <w:vAlign w:val="center"/>
          </w:tcPr>
          <w:p w14:paraId="1355C8FE">
            <w:pPr>
              <w:jc w:val="center"/>
              <w:rPr>
                <w:rFonts w:hint="eastAsia" w:ascii="宋体" w:hAnsi="宋体" w:cs="宋体"/>
                <w:sz w:val="24"/>
              </w:rPr>
            </w:pPr>
            <w:r>
              <w:rPr>
                <w:rFonts w:hint="eastAsia" w:ascii="宋体" w:hAnsi="宋体" w:cs="宋体"/>
                <w:sz w:val="24"/>
              </w:rPr>
              <w:t>分析吸头/分析杯1</w:t>
            </w:r>
          </w:p>
        </w:tc>
        <w:tc>
          <w:tcPr>
            <w:tcW w:w="1276" w:type="dxa"/>
            <w:tcBorders>
              <w:top w:val="nil"/>
              <w:left w:val="nil"/>
              <w:bottom w:val="single" w:color="auto" w:sz="4" w:space="0"/>
              <w:right w:val="single" w:color="auto" w:sz="4" w:space="0"/>
            </w:tcBorders>
            <w:shd w:val="clear" w:color="000000" w:fill="FFFFFF"/>
            <w:vAlign w:val="center"/>
          </w:tcPr>
          <w:p w14:paraId="5D0C7869">
            <w:pPr>
              <w:widowControl/>
              <w:jc w:val="center"/>
              <w:rPr>
                <w:rFonts w:hint="eastAsia" w:ascii="宋体" w:hAnsi="宋体" w:cs="宋体"/>
                <w:kern w:val="0"/>
                <w:sz w:val="24"/>
              </w:rPr>
            </w:pPr>
            <w:r>
              <w:rPr>
                <w:rFonts w:hint="eastAsia" w:ascii="宋体" w:hAnsi="宋体" w:cs="宋体"/>
                <w:kern w:val="0"/>
                <w:sz w:val="24"/>
              </w:rPr>
              <w:t>3500</w:t>
            </w:r>
          </w:p>
        </w:tc>
        <w:tc>
          <w:tcPr>
            <w:tcW w:w="992" w:type="dxa"/>
            <w:tcBorders>
              <w:top w:val="nil"/>
              <w:left w:val="nil"/>
              <w:bottom w:val="single" w:color="auto" w:sz="4" w:space="0"/>
              <w:right w:val="single" w:color="auto" w:sz="4" w:space="0"/>
            </w:tcBorders>
            <w:shd w:val="clear" w:color="000000" w:fill="FFFFFF"/>
            <w:vAlign w:val="center"/>
          </w:tcPr>
          <w:p w14:paraId="42744091">
            <w:pPr>
              <w:widowControl/>
              <w:jc w:val="center"/>
              <w:rPr>
                <w:rFonts w:hint="eastAsia" w:ascii="宋体" w:hAnsi="宋体" w:cs="宋体"/>
                <w:kern w:val="0"/>
                <w:sz w:val="24"/>
              </w:rPr>
            </w:pPr>
            <w:r>
              <w:rPr>
                <w:rFonts w:hint="eastAsia" w:ascii="宋体" w:hAnsi="宋体" w:cs="宋体"/>
                <w:kern w:val="0"/>
                <w:sz w:val="24"/>
              </w:rPr>
              <w:t>箱</w:t>
            </w:r>
          </w:p>
        </w:tc>
        <w:tc>
          <w:tcPr>
            <w:tcW w:w="992" w:type="dxa"/>
            <w:tcBorders>
              <w:top w:val="nil"/>
              <w:left w:val="nil"/>
              <w:bottom w:val="single" w:color="auto" w:sz="4" w:space="0"/>
              <w:right w:val="single" w:color="auto" w:sz="4" w:space="0"/>
            </w:tcBorders>
            <w:shd w:val="clear" w:color="000000" w:fill="FFFFFF"/>
            <w:noWrap/>
            <w:vAlign w:val="center"/>
          </w:tcPr>
          <w:p w14:paraId="00DDCE26">
            <w:pPr>
              <w:widowControl/>
              <w:jc w:val="center"/>
              <w:rPr>
                <w:rFonts w:hint="eastAsia" w:ascii="宋体" w:hAnsi="宋体" w:cs="宋体"/>
                <w:kern w:val="0"/>
                <w:sz w:val="24"/>
              </w:rPr>
            </w:pPr>
            <w:r>
              <w:rPr>
                <w:rFonts w:hint="eastAsia" w:ascii="宋体" w:hAnsi="宋体" w:cs="宋体"/>
                <w:kern w:val="0"/>
                <w:sz w:val="24"/>
              </w:rPr>
              <w:t>33</w:t>
            </w:r>
          </w:p>
        </w:tc>
        <w:tc>
          <w:tcPr>
            <w:tcW w:w="851" w:type="dxa"/>
            <w:tcBorders>
              <w:top w:val="nil"/>
              <w:left w:val="nil"/>
              <w:bottom w:val="single" w:color="auto" w:sz="4" w:space="0"/>
              <w:right w:val="single" w:color="auto" w:sz="4" w:space="0"/>
            </w:tcBorders>
            <w:shd w:val="clear" w:color="000000" w:fill="FFFFFF"/>
            <w:vAlign w:val="center"/>
          </w:tcPr>
          <w:p w14:paraId="583A489E">
            <w:pPr>
              <w:widowControl/>
              <w:jc w:val="center"/>
              <w:rPr>
                <w:rFonts w:hint="eastAsia" w:ascii="宋体" w:hAnsi="宋体" w:cs="宋体"/>
                <w:color w:val="000000"/>
                <w:kern w:val="0"/>
                <w:sz w:val="24"/>
              </w:rPr>
            </w:pPr>
            <w:r>
              <w:rPr>
                <w:rFonts w:hint="eastAsia" w:ascii="宋体" w:hAnsi="宋体" w:cs="宋体"/>
                <w:color w:val="000000"/>
                <w:kern w:val="0"/>
                <w:sz w:val="24"/>
              </w:rPr>
              <w:t>是</w:t>
            </w:r>
          </w:p>
        </w:tc>
        <w:tc>
          <w:tcPr>
            <w:tcW w:w="952" w:type="dxa"/>
            <w:tcBorders>
              <w:top w:val="nil"/>
              <w:left w:val="nil"/>
              <w:bottom w:val="single" w:color="auto" w:sz="4" w:space="0"/>
              <w:right w:val="single" w:color="auto" w:sz="4" w:space="0"/>
            </w:tcBorders>
            <w:shd w:val="clear" w:color="000000" w:fill="FFFFFF"/>
            <w:vAlign w:val="center"/>
          </w:tcPr>
          <w:p w14:paraId="4F00B3CF">
            <w:pPr>
              <w:widowControl/>
              <w:jc w:val="center"/>
              <w:rPr>
                <w:rFonts w:hint="eastAsia" w:ascii="宋体" w:hAnsi="宋体" w:cs="宋体"/>
                <w:color w:val="000000"/>
                <w:kern w:val="0"/>
                <w:sz w:val="24"/>
              </w:rPr>
            </w:pPr>
            <w:r>
              <w:rPr>
                <w:rFonts w:hint="eastAsia" w:ascii="宋体" w:hAnsi="宋体" w:cs="宋体"/>
                <w:color w:val="000000"/>
                <w:kern w:val="0"/>
                <w:sz w:val="24"/>
              </w:rPr>
              <w:t>否</w:t>
            </w:r>
          </w:p>
        </w:tc>
      </w:tr>
      <w:tr w14:paraId="4EC42D87">
        <w:tblPrEx>
          <w:tblCellMar>
            <w:top w:w="0" w:type="dxa"/>
            <w:left w:w="108" w:type="dxa"/>
            <w:bottom w:w="0" w:type="dxa"/>
            <w:right w:w="108" w:type="dxa"/>
          </w:tblCellMar>
        </w:tblPrEx>
        <w:trPr>
          <w:trHeight w:val="576" w:hRule="atLeast"/>
        </w:trPr>
        <w:tc>
          <w:tcPr>
            <w:tcW w:w="704" w:type="dxa"/>
            <w:tcBorders>
              <w:top w:val="nil"/>
              <w:left w:val="single" w:color="auto" w:sz="4" w:space="0"/>
              <w:bottom w:val="single" w:color="auto" w:sz="4" w:space="0"/>
              <w:right w:val="single" w:color="auto" w:sz="4" w:space="0"/>
            </w:tcBorders>
            <w:shd w:val="clear" w:color="000000" w:fill="FFFFFF"/>
            <w:vAlign w:val="center"/>
          </w:tcPr>
          <w:p w14:paraId="16C03451">
            <w:pPr>
              <w:widowControl/>
              <w:jc w:val="center"/>
              <w:rPr>
                <w:rFonts w:hint="eastAsia" w:ascii="宋体" w:hAnsi="宋体" w:cs="宋体"/>
                <w:kern w:val="0"/>
                <w:sz w:val="24"/>
              </w:rPr>
            </w:pPr>
            <w:r>
              <w:rPr>
                <w:rFonts w:hint="eastAsia" w:ascii="宋体" w:hAnsi="宋体" w:cs="宋体"/>
                <w:kern w:val="0"/>
                <w:sz w:val="24"/>
              </w:rPr>
              <w:t>5</w:t>
            </w:r>
          </w:p>
        </w:tc>
        <w:tc>
          <w:tcPr>
            <w:tcW w:w="2851" w:type="dxa"/>
            <w:tcBorders>
              <w:top w:val="nil"/>
              <w:left w:val="nil"/>
              <w:bottom w:val="single" w:color="auto" w:sz="4" w:space="0"/>
              <w:right w:val="single" w:color="auto" w:sz="4" w:space="0"/>
            </w:tcBorders>
            <w:shd w:val="clear" w:color="000000" w:fill="FFFFFF"/>
            <w:vAlign w:val="center"/>
          </w:tcPr>
          <w:p w14:paraId="66A3B56E">
            <w:pPr>
              <w:jc w:val="center"/>
              <w:rPr>
                <w:rFonts w:hint="eastAsia" w:ascii="宋体" w:hAnsi="宋体" w:cs="宋体"/>
                <w:sz w:val="24"/>
              </w:rPr>
            </w:pPr>
            <w:r>
              <w:rPr>
                <w:rFonts w:hint="eastAsia" w:ascii="宋体" w:hAnsi="宋体" w:cs="宋体"/>
                <w:sz w:val="24"/>
              </w:rPr>
              <w:t>β-胶原特殊序列检测试剂盒</w:t>
            </w:r>
          </w:p>
        </w:tc>
        <w:tc>
          <w:tcPr>
            <w:tcW w:w="1276" w:type="dxa"/>
            <w:tcBorders>
              <w:top w:val="nil"/>
              <w:left w:val="nil"/>
              <w:bottom w:val="single" w:color="auto" w:sz="4" w:space="0"/>
              <w:right w:val="single" w:color="auto" w:sz="4" w:space="0"/>
            </w:tcBorders>
            <w:shd w:val="clear" w:color="000000" w:fill="FFFFFF"/>
            <w:vAlign w:val="center"/>
          </w:tcPr>
          <w:p w14:paraId="31742B08">
            <w:pPr>
              <w:widowControl/>
              <w:jc w:val="center"/>
              <w:rPr>
                <w:rFonts w:hint="eastAsia" w:ascii="宋体" w:hAnsi="宋体" w:cs="宋体"/>
                <w:kern w:val="0"/>
                <w:sz w:val="24"/>
              </w:rPr>
            </w:pPr>
            <w:r>
              <w:rPr>
                <w:rFonts w:hint="eastAsia" w:ascii="宋体" w:hAnsi="宋体" w:cs="宋体"/>
                <w:kern w:val="0"/>
                <w:sz w:val="24"/>
              </w:rPr>
              <w:t>33.6</w:t>
            </w:r>
          </w:p>
        </w:tc>
        <w:tc>
          <w:tcPr>
            <w:tcW w:w="992" w:type="dxa"/>
            <w:tcBorders>
              <w:top w:val="nil"/>
              <w:left w:val="nil"/>
              <w:bottom w:val="single" w:color="auto" w:sz="4" w:space="0"/>
              <w:right w:val="single" w:color="auto" w:sz="4" w:space="0"/>
            </w:tcBorders>
            <w:shd w:val="clear" w:color="000000" w:fill="FFFFFF"/>
            <w:vAlign w:val="center"/>
          </w:tcPr>
          <w:p w14:paraId="50A3A53A">
            <w:pPr>
              <w:widowControl/>
              <w:jc w:val="center"/>
              <w:rPr>
                <w:rFonts w:hint="eastAsia" w:ascii="宋体" w:hAnsi="宋体" w:cs="宋体"/>
                <w:kern w:val="0"/>
                <w:sz w:val="24"/>
              </w:rPr>
            </w:pPr>
            <w:r>
              <w:rPr>
                <w:rFonts w:hint="eastAsia" w:ascii="宋体" w:hAnsi="宋体" w:cs="宋体"/>
                <w:kern w:val="0"/>
                <w:sz w:val="24"/>
              </w:rPr>
              <w:t>人份</w:t>
            </w:r>
          </w:p>
        </w:tc>
        <w:tc>
          <w:tcPr>
            <w:tcW w:w="992" w:type="dxa"/>
            <w:tcBorders>
              <w:top w:val="nil"/>
              <w:left w:val="nil"/>
              <w:bottom w:val="single" w:color="auto" w:sz="4" w:space="0"/>
              <w:right w:val="single" w:color="auto" w:sz="4" w:space="0"/>
            </w:tcBorders>
            <w:shd w:val="clear" w:color="000000" w:fill="FFFFFF"/>
            <w:noWrap/>
            <w:vAlign w:val="center"/>
          </w:tcPr>
          <w:p w14:paraId="31067B50">
            <w:pPr>
              <w:widowControl/>
              <w:jc w:val="center"/>
              <w:rPr>
                <w:rFonts w:hint="eastAsia" w:ascii="宋体" w:hAnsi="宋体" w:cs="宋体"/>
                <w:kern w:val="0"/>
                <w:sz w:val="24"/>
              </w:rPr>
            </w:pPr>
            <w:r>
              <w:rPr>
                <w:rFonts w:hint="eastAsia" w:ascii="宋体" w:hAnsi="宋体" w:cs="宋体"/>
                <w:kern w:val="0"/>
                <w:sz w:val="24"/>
              </w:rPr>
              <w:t>2000</w:t>
            </w:r>
          </w:p>
        </w:tc>
        <w:tc>
          <w:tcPr>
            <w:tcW w:w="851" w:type="dxa"/>
            <w:tcBorders>
              <w:top w:val="nil"/>
              <w:left w:val="nil"/>
              <w:bottom w:val="single" w:color="auto" w:sz="4" w:space="0"/>
              <w:right w:val="single" w:color="auto" w:sz="4" w:space="0"/>
            </w:tcBorders>
            <w:shd w:val="clear" w:color="000000" w:fill="FFFFFF"/>
            <w:vAlign w:val="center"/>
          </w:tcPr>
          <w:p w14:paraId="60B56C59">
            <w:pPr>
              <w:widowControl/>
              <w:jc w:val="center"/>
              <w:rPr>
                <w:rFonts w:hint="eastAsia" w:ascii="宋体" w:hAnsi="宋体" w:cs="宋体"/>
                <w:color w:val="000000"/>
                <w:kern w:val="0"/>
                <w:sz w:val="24"/>
              </w:rPr>
            </w:pPr>
            <w:r>
              <w:rPr>
                <w:rFonts w:hint="eastAsia" w:ascii="宋体" w:hAnsi="宋体" w:cs="宋体"/>
                <w:color w:val="000000"/>
                <w:kern w:val="0"/>
                <w:sz w:val="24"/>
              </w:rPr>
              <w:t>是</w:t>
            </w:r>
          </w:p>
        </w:tc>
        <w:tc>
          <w:tcPr>
            <w:tcW w:w="952" w:type="dxa"/>
            <w:tcBorders>
              <w:top w:val="nil"/>
              <w:left w:val="nil"/>
              <w:bottom w:val="single" w:color="auto" w:sz="4" w:space="0"/>
              <w:right w:val="single" w:color="auto" w:sz="4" w:space="0"/>
            </w:tcBorders>
            <w:shd w:val="clear" w:color="000000" w:fill="FFFFFF"/>
            <w:vAlign w:val="center"/>
          </w:tcPr>
          <w:p w14:paraId="2B0A8CB1">
            <w:pPr>
              <w:widowControl/>
              <w:jc w:val="center"/>
              <w:rPr>
                <w:rFonts w:hint="eastAsia" w:ascii="宋体" w:hAnsi="宋体" w:cs="宋体"/>
                <w:color w:val="000000"/>
                <w:kern w:val="0"/>
                <w:sz w:val="24"/>
              </w:rPr>
            </w:pPr>
            <w:r>
              <w:rPr>
                <w:rFonts w:hint="eastAsia" w:ascii="宋体" w:hAnsi="宋体" w:cs="宋体"/>
                <w:color w:val="000000"/>
                <w:kern w:val="0"/>
                <w:sz w:val="24"/>
              </w:rPr>
              <w:t>否</w:t>
            </w:r>
          </w:p>
        </w:tc>
      </w:tr>
      <w:tr w14:paraId="3FF3EC90">
        <w:tblPrEx>
          <w:tblCellMar>
            <w:top w:w="0" w:type="dxa"/>
            <w:left w:w="108" w:type="dxa"/>
            <w:bottom w:w="0" w:type="dxa"/>
            <w:right w:w="108" w:type="dxa"/>
          </w:tblCellMar>
        </w:tblPrEx>
        <w:trPr>
          <w:trHeight w:val="288" w:hRule="atLeast"/>
        </w:trPr>
        <w:tc>
          <w:tcPr>
            <w:tcW w:w="704" w:type="dxa"/>
            <w:tcBorders>
              <w:top w:val="nil"/>
              <w:left w:val="single" w:color="auto" w:sz="4" w:space="0"/>
              <w:bottom w:val="single" w:color="auto" w:sz="4" w:space="0"/>
              <w:right w:val="single" w:color="auto" w:sz="4" w:space="0"/>
            </w:tcBorders>
            <w:shd w:val="clear" w:color="000000" w:fill="FFFFFF"/>
            <w:vAlign w:val="center"/>
          </w:tcPr>
          <w:p w14:paraId="57137BF8">
            <w:pPr>
              <w:widowControl/>
              <w:jc w:val="center"/>
              <w:rPr>
                <w:rFonts w:hint="eastAsia" w:ascii="宋体" w:hAnsi="宋体" w:cs="宋体"/>
                <w:kern w:val="0"/>
                <w:sz w:val="24"/>
              </w:rPr>
            </w:pPr>
            <w:r>
              <w:rPr>
                <w:rFonts w:hint="eastAsia" w:ascii="宋体" w:hAnsi="宋体" w:cs="宋体"/>
                <w:kern w:val="0"/>
                <w:sz w:val="24"/>
              </w:rPr>
              <w:t>6</w:t>
            </w:r>
          </w:p>
        </w:tc>
        <w:tc>
          <w:tcPr>
            <w:tcW w:w="2851" w:type="dxa"/>
            <w:tcBorders>
              <w:top w:val="nil"/>
              <w:left w:val="nil"/>
              <w:bottom w:val="single" w:color="auto" w:sz="4" w:space="0"/>
              <w:right w:val="single" w:color="auto" w:sz="4" w:space="0"/>
            </w:tcBorders>
            <w:shd w:val="clear" w:color="000000" w:fill="FFFFFF"/>
            <w:vAlign w:val="center"/>
          </w:tcPr>
          <w:p w14:paraId="2187B076">
            <w:pPr>
              <w:jc w:val="center"/>
              <w:rPr>
                <w:rFonts w:hint="eastAsia" w:ascii="宋体" w:hAnsi="宋体" w:cs="宋体"/>
                <w:sz w:val="24"/>
              </w:rPr>
            </w:pPr>
            <w:r>
              <w:rPr>
                <w:rFonts w:hint="eastAsia" w:ascii="宋体" w:hAnsi="宋体" w:cs="宋体"/>
                <w:sz w:val="24"/>
              </w:rPr>
              <w:t>β-胶原特殊序列定标液</w:t>
            </w:r>
          </w:p>
        </w:tc>
        <w:tc>
          <w:tcPr>
            <w:tcW w:w="1276" w:type="dxa"/>
            <w:tcBorders>
              <w:top w:val="nil"/>
              <w:left w:val="nil"/>
              <w:bottom w:val="single" w:color="auto" w:sz="4" w:space="0"/>
              <w:right w:val="single" w:color="auto" w:sz="4" w:space="0"/>
            </w:tcBorders>
            <w:shd w:val="clear" w:color="000000" w:fill="FFFFFF"/>
            <w:vAlign w:val="center"/>
          </w:tcPr>
          <w:p w14:paraId="6D8970C3">
            <w:pPr>
              <w:widowControl/>
              <w:jc w:val="center"/>
              <w:rPr>
                <w:rFonts w:hint="eastAsia" w:ascii="宋体" w:hAnsi="宋体" w:cs="宋体"/>
                <w:kern w:val="0"/>
                <w:sz w:val="24"/>
              </w:rPr>
            </w:pPr>
            <w:r>
              <w:rPr>
                <w:rFonts w:hint="eastAsia" w:ascii="宋体" w:hAnsi="宋体" w:cs="宋体"/>
                <w:kern w:val="0"/>
                <w:sz w:val="24"/>
              </w:rPr>
              <w:t>400</w:t>
            </w:r>
          </w:p>
        </w:tc>
        <w:tc>
          <w:tcPr>
            <w:tcW w:w="992" w:type="dxa"/>
            <w:tcBorders>
              <w:top w:val="nil"/>
              <w:left w:val="nil"/>
              <w:bottom w:val="single" w:color="auto" w:sz="4" w:space="0"/>
              <w:right w:val="single" w:color="auto" w:sz="4" w:space="0"/>
            </w:tcBorders>
            <w:shd w:val="clear" w:color="000000" w:fill="FFFFFF"/>
            <w:vAlign w:val="center"/>
          </w:tcPr>
          <w:p w14:paraId="4CB7D722">
            <w:pPr>
              <w:widowControl/>
              <w:jc w:val="center"/>
              <w:rPr>
                <w:rFonts w:hint="eastAsia" w:ascii="宋体" w:hAnsi="宋体" w:cs="宋体"/>
                <w:kern w:val="0"/>
                <w:sz w:val="24"/>
              </w:rPr>
            </w:pPr>
            <w:r>
              <w:rPr>
                <w:rFonts w:hint="eastAsia" w:ascii="宋体" w:hAnsi="宋体" w:cs="宋体"/>
                <w:kern w:val="0"/>
                <w:sz w:val="24"/>
              </w:rPr>
              <w:t>ml</w:t>
            </w:r>
          </w:p>
        </w:tc>
        <w:tc>
          <w:tcPr>
            <w:tcW w:w="992" w:type="dxa"/>
            <w:tcBorders>
              <w:top w:val="nil"/>
              <w:left w:val="nil"/>
              <w:bottom w:val="single" w:color="auto" w:sz="4" w:space="0"/>
              <w:right w:val="single" w:color="auto" w:sz="4" w:space="0"/>
            </w:tcBorders>
            <w:shd w:val="clear" w:color="000000" w:fill="FFFFFF"/>
            <w:noWrap/>
            <w:vAlign w:val="center"/>
          </w:tcPr>
          <w:p w14:paraId="43C51B94">
            <w:pPr>
              <w:widowControl/>
              <w:jc w:val="center"/>
              <w:rPr>
                <w:rFonts w:hint="eastAsia" w:ascii="宋体" w:hAnsi="宋体" w:cs="宋体"/>
                <w:kern w:val="0"/>
                <w:sz w:val="24"/>
              </w:rPr>
            </w:pPr>
            <w:r>
              <w:rPr>
                <w:rFonts w:hint="eastAsia" w:ascii="宋体" w:hAnsi="宋体" w:cs="宋体"/>
                <w:kern w:val="0"/>
                <w:sz w:val="24"/>
              </w:rPr>
              <w:t>4</w:t>
            </w:r>
          </w:p>
        </w:tc>
        <w:tc>
          <w:tcPr>
            <w:tcW w:w="851" w:type="dxa"/>
            <w:tcBorders>
              <w:top w:val="nil"/>
              <w:left w:val="nil"/>
              <w:bottom w:val="single" w:color="auto" w:sz="4" w:space="0"/>
              <w:right w:val="single" w:color="auto" w:sz="4" w:space="0"/>
            </w:tcBorders>
            <w:shd w:val="clear" w:color="000000" w:fill="FFFFFF"/>
            <w:vAlign w:val="center"/>
          </w:tcPr>
          <w:p w14:paraId="7BBFC9A4">
            <w:pPr>
              <w:widowControl/>
              <w:jc w:val="center"/>
              <w:rPr>
                <w:rFonts w:hint="eastAsia" w:ascii="宋体" w:hAnsi="宋体" w:cs="宋体"/>
                <w:color w:val="000000"/>
                <w:kern w:val="0"/>
                <w:sz w:val="24"/>
              </w:rPr>
            </w:pPr>
            <w:r>
              <w:rPr>
                <w:rFonts w:hint="eastAsia" w:ascii="宋体" w:hAnsi="宋体" w:cs="宋体"/>
                <w:color w:val="000000"/>
                <w:kern w:val="0"/>
                <w:sz w:val="24"/>
              </w:rPr>
              <w:t>是</w:t>
            </w:r>
          </w:p>
        </w:tc>
        <w:tc>
          <w:tcPr>
            <w:tcW w:w="952" w:type="dxa"/>
            <w:tcBorders>
              <w:top w:val="nil"/>
              <w:left w:val="nil"/>
              <w:bottom w:val="single" w:color="auto" w:sz="4" w:space="0"/>
              <w:right w:val="single" w:color="auto" w:sz="4" w:space="0"/>
            </w:tcBorders>
            <w:shd w:val="clear" w:color="000000" w:fill="FFFFFF"/>
            <w:vAlign w:val="center"/>
          </w:tcPr>
          <w:p w14:paraId="07A7805C">
            <w:pPr>
              <w:widowControl/>
              <w:jc w:val="center"/>
              <w:rPr>
                <w:rFonts w:hint="eastAsia" w:ascii="宋体" w:hAnsi="宋体" w:cs="宋体"/>
                <w:color w:val="000000"/>
                <w:kern w:val="0"/>
                <w:sz w:val="24"/>
              </w:rPr>
            </w:pPr>
            <w:r>
              <w:rPr>
                <w:rFonts w:hint="eastAsia" w:ascii="宋体" w:hAnsi="宋体" w:cs="宋体"/>
                <w:color w:val="000000"/>
                <w:kern w:val="0"/>
                <w:sz w:val="24"/>
              </w:rPr>
              <w:t>否</w:t>
            </w:r>
          </w:p>
        </w:tc>
      </w:tr>
      <w:tr w14:paraId="7487B3AA">
        <w:tblPrEx>
          <w:tblCellMar>
            <w:top w:w="0" w:type="dxa"/>
            <w:left w:w="108" w:type="dxa"/>
            <w:bottom w:w="0" w:type="dxa"/>
            <w:right w:w="108" w:type="dxa"/>
          </w:tblCellMar>
        </w:tblPrEx>
        <w:trPr>
          <w:trHeight w:val="288" w:hRule="atLeast"/>
        </w:trPr>
        <w:tc>
          <w:tcPr>
            <w:tcW w:w="704" w:type="dxa"/>
            <w:tcBorders>
              <w:top w:val="nil"/>
              <w:left w:val="single" w:color="auto" w:sz="4" w:space="0"/>
              <w:bottom w:val="single" w:color="auto" w:sz="4" w:space="0"/>
              <w:right w:val="single" w:color="auto" w:sz="4" w:space="0"/>
            </w:tcBorders>
            <w:shd w:val="clear" w:color="000000" w:fill="FFFFFF"/>
            <w:vAlign w:val="center"/>
          </w:tcPr>
          <w:p w14:paraId="0BC7316C">
            <w:pPr>
              <w:widowControl/>
              <w:jc w:val="center"/>
              <w:rPr>
                <w:rFonts w:hint="eastAsia" w:ascii="宋体" w:hAnsi="宋体" w:cs="宋体"/>
                <w:kern w:val="0"/>
                <w:sz w:val="24"/>
              </w:rPr>
            </w:pPr>
            <w:r>
              <w:rPr>
                <w:rFonts w:hint="eastAsia" w:ascii="宋体" w:hAnsi="宋体" w:cs="宋体"/>
                <w:kern w:val="0"/>
                <w:sz w:val="24"/>
              </w:rPr>
              <w:t>7</w:t>
            </w:r>
          </w:p>
        </w:tc>
        <w:tc>
          <w:tcPr>
            <w:tcW w:w="2851" w:type="dxa"/>
            <w:tcBorders>
              <w:top w:val="nil"/>
              <w:left w:val="nil"/>
              <w:bottom w:val="single" w:color="auto" w:sz="4" w:space="0"/>
              <w:right w:val="single" w:color="auto" w:sz="4" w:space="0"/>
            </w:tcBorders>
            <w:shd w:val="clear" w:color="000000" w:fill="FFFFFF"/>
            <w:vAlign w:val="center"/>
          </w:tcPr>
          <w:p w14:paraId="73BFBF4B">
            <w:pPr>
              <w:jc w:val="center"/>
              <w:rPr>
                <w:rFonts w:hint="eastAsia" w:ascii="宋体" w:hAnsi="宋体" w:cs="宋体"/>
                <w:sz w:val="24"/>
              </w:rPr>
            </w:pPr>
            <w:r>
              <w:rPr>
                <w:rFonts w:hint="eastAsia" w:ascii="宋体" w:hAnsi="宋体" w:cs="宋体"/>
                <w:sz w:val="24"/>
              </w:rPr>
              <w:t>癌胚抗原定标液</w:t>
            </w:r>
          </w:p>
        </w:tc>
        <w:tc>
          <w:tcPr>
            <w:tcW w:w="1276" w:type="dxa"/>
            <w:tcBorders>
              <w:top w:val="nil"/>
              <w:left w:val="nil"/>
              <w:bottom w:val="single" w:color="auto" w:sz="4" w:space="0"/>
              <w:right w:val="single" w:color="auto" w:sz="4" w:space="0"/>
            </w:tcBorders>
            <w:shd w:val="clear" w:color="000000" w:fill="FFFFFF"/>
            <w:vAlign w:val="center"/>
          </w:tcPr>
          <w:p w14:paraId="1E1A8FE4">
            <w:pPr>
              <w:widowControl/>
              <w:jc w:val="center"/>
              <w:rPr>
                <w:rFonts w:hint="eastAsia" w:ascii="宋体" w:hAnsi="宋体" w:cs="宋体"/>
                <w:kern w:val="0"/>
                <w:sz w:val="24"/>
              </w:rPr>
            </w:pPr>
            <w:r>
              <w:rPr>
                <w:rFonts w:hint="eastAsia" w:ascii="宋体" w:hAnsi="宋体" w:cs="宋体"/>
                <w:kern w:val="0"/>
                <w:sz w:val="24"/>
              </w:rPr>
              <w:t>400</w:t>
            </w:r>
          </w:p>
        </w:tc>
        <w:tc>
          <w:tcPr>
            <w:tcW w:w="992" w:type="dxa"/>
            <w:tcBorders>
              <w:top w:val="nil"/>
              <w:left w:val="nil"/>
              <w:bottom w:val="single" w:color="auto" w:sz="4" w:space="0"/>
              <w:right w:val="single" w:color="auto" w:sz="4" w:space="0"/>
            </w:tcBorders>
            <w:shd w:val="clear" w:color="000000" w:fill="FFFFFF"/>
            <w:vAlign w:val="center"/>
          </w:tcPr>
          <w:p w14:paraId="7C0EEA2D">
            <w:pPr>
              <w:widowControl/>
              <w:jc w:val="center"/>
              <w:rPr>
                <w:rFonts w:hint="eastAsia" w:ascii="宋体" w:hAnsi="宋体" w:cs="宋体"/>
                <w:kern w:val="0"/>
                <w:sz w:val="24"/>
              </w:rPr>
            </w:pPr>
            <w:r>
              <w:rPr>
                <w:rFonts w:hint="eastAsia" w:ascii="宋体" w:hAnsi="宋体" w:cs="宋体"/>
                <w:kern w:val="0"/>
                <w:sz w:val="24"/>
              </w:rPr>
              <w:t>ml</w:t>
            </w:r>
          </w:p>
        </w:tc>
        <w:tc>
          <w:tcPr>
            <w:tcW w:w="992" w:type="dxa"/>
            <w:tcBorders>
              <w:top w:val="nil"/>
              <w:left w:val="nil"/>
              <w:bottom w:val="single" w:color="auto" w:sz="4" w:space="0"/>
              <w:right w:val="single" w:color="auto" w:sz="4" w:space="0"/>
            </w:tcBorders>
            <w:shd w:val="clear" w:color="000000" w:fill="FFFFFF"/>
            <w:noWrap/>
            <w:vAlign w:val="center"/>
          </w:tcPr>
          <w:p w14:paraId="633AC412">
            <w:pPr>
              <w:widowControl/>
              <w:jc w:val="center"/>
              <w:rPr>
                <w:rFonts w:hint="eastAsia" w:ascii="宋体" w:hAnsi="宋体" w:cs="宋体"/>
                <w:kern w:val="0"/>
                <w:sz w:val="24"/>
              </w:rPr>
            </w:pPr>
            <w:r>
              <w:rPr>
                <w:rFonts w:hint="eastAsia" w:ascii="宋体" w:hAnsi="宋体" w:cs="宋体"/>
                <w:kern w:val="0"/>
                <w:sz w:val="24"/>
              </w:rPr>
              <w:t>4</w:t>
            </w:r>
          </w:p>
        </w:tc>
        <w:tc>
          <w:tcPr>
            <w:tcW w:w="851" w:type="dxa"/>
            <w:tcBorders>
              <w:top w:val="nil"/>
              <w:left w:val="nil"/>
              <w:bottom w:val="single" w:color="auto" w:sz="4" w:space="0"/>
              <w:right w:val="single" w:color="auto" w:sz="4" w:space="0"/>
            </w:tcBorders>
            <w:shd w:val="clear" w:color="000000" w:fill="FFFFFF"/>
            <w:vAlign w:val="center"/>
          </w:tcPr>
          <w:p w14:paraId="6080CCF7">
            <w:pPr>
              <w:widowControl/>
              <w:jc w:val="center"/>
              <w:rPr>
                <w:rFonts w:hint="eastAsia" w:ascii="宋体" w:hAnsi="宋体" w:cs="宋体"/>
                <w:color w:val="000000"/>
                <w:kern w:val="0"/>
                <w:sz w:val="24"/>
              </w:rPr>
            </w:pPr>
            <w:r>
              <w:rPr>
                <w:rFonts w:hint="eastAsia" w:ascii="宋体" w:hAnsi="宋体" w:cs="宋体"/>
                <w:color w:val="000000"/>
                <w:kern w:val="0"/>
                <w:sz w:val="24"/>
              </w:rPr>
              <w:t>是</w:t>
            </w:r>
          </w:p>
        </w:tc>
        <w:tc>
          <w:tcPr>
            <w:tcW w:w="952" w:type="dxa"/>
            <w:tcBorders>
              <w:top w:val="nil"/>
              <w:left w:val="nil"/>
              <w:bottom w:val="single" w:color="auto" w:sz="4" w:space="0"/>
              <w:right w:val="single" w:color="auto" w:sz="4" w:space="0"/>
            </w:tcBorders>
            <w:shd w:val="clear" w:color="000000" w:fill="FFFFFF"/>
            <w:vAlign w:val="center"/>
          </w:tcPr>
          <w:p w14:paraId="4844052F">
            <w:pPr>
              <w:widowControl/>
              <w:jc w:val="center"/>
              <w:rPr>
                <w:rFonts w:hint="eastAsia" w:ascii="宋体" w:hAnsi="宋体" w:cs="宋体"/>
                <w:color w:val="000000"/>
                <w:kern w:val="0"/>
                <w:sz w:val="24"/>
              </w:rPr>
            </w:pPr>
            <w:r>
              <w:rPr>
                <w:rFonts w:hint="eastAsia" w:ascii="宋体" w:hAnsi="宋体" w:cs="宋体"/>
                <w:color w:val="000000"/>
                <w:kern w:val="0"/>
                <w:sz w:val="24"/>
              </w:rPr>
              <w:t>否</w:t>
            </w:r>
          </w:p>
        </w:tc>
      </w:tr>
      <w:tr w14:paraId="725B8E85">
        <w:tblPrEx>
          <w:tblCellMar>
            <w:top w:w="0" w:type="dxa"/>
            <w:left w:w="108" w:type="dxa"/>
            <w:bottom w:w="0" w:type="dxa"/>
            <w:right w:w="108" w:type="dxa"/>
          </w:tblCellMar>
        </w:tblPrEx>
        <w:trPr>
          <w:trHeight w:val="576" w:hRule="atLeast"/>
        </w:trPr>
        <w:tc>
          <w:tcPr>
            <w:tcW w:w="704" w:type="dxa"/>
            <w:tcBorders>
              <w:top w:val="nil"/>
              <w:left w:val="single" w:color="auto" w:sz="4" w:space="0"/>
              <w:bottom w:val="single" w:color="auto" w:sz="4" w:space="0"/>
              <w:right w:val="single" w:color="auto" w:sz="4" w:space="0"/>
            </w:tcBorders>
            <w:shd w:val="clear" w:color="000000" w:fill="FFFFFF"/>
            <w:vAlign w:val="center"/>
          </w:tcPr>
          <w:p w14:paraId="15046790">
            <w:pPr>
              <w:widowControl/>
              <w:jc w:val="center"/>
              <w:rPr>
                <w:rFonts w:hint="eastAsia" w:ascii="宋体" w:hAnsi="宋体" w:cs="宋体"/>
                <w:kern w:val="0"/>
                <w:sz w:val="24"/>
              </w:rPr>
            </w:pPr>
            <w:r>
              <w:rPr>
                <w:rFonts w:hint="eastAsia" w:ascii="宋体" w:hAnsi="宋体" w:cs="宋体"/>
                <w:kern w:val="0"/>
                <w:sz w:val="24"/>
              </w:rPr>
              <w:t>8</w:t>
            </w:r>
          </w:p>
        </w:tc>
        <w:tc>
          <w:tcPr>
            <w:tcW w:w="2851" w:type="dxa"/>
            <w:tcBorders>
              <w:top w:val="nil"/>
              <w:left w:val="nil"/>
              <w:bottom w:val="single" w:color="auto" w:sz="4" w:space="0"/>
              <w:right w:val="single" w:color="auto" w:sz="4" w:space="0"/>
            </w:tcBorders>
            <w:shd w:val="clear" w:color="000000" w:fill="FFFFFF"/>
            <w:vAlign w:val="center"/>
          </w:tcPr>
          <w:p w14:paraId="6505BAE1">
            <w:pPr>
              <w:jc w:val="center"/>
              <w:rPr>
                <w:rFonts w:hint="eastAsia" w:ascii="宋体" w:hAnsi="宋体" w:cs="宋体"/>
                <w:sz w:val="24"/>
              </w:rPr>
            </w:pPr>
            <w:r>
              <w:rPr>
                <w:rFonts w:hint="eastAsia" w:ascii="宋体" w:hAnsi="宋体" w:cs="宋体"/>
                <w:sz w:val="24"/>
              </w:rPr>
              <w:t>丙型肝炎病毒抗体检测试剂盒</w:t>
            </w:r>
          </w:p>
        </w:tc>
        <w:tc>
          <w:tcPr>
            <w:tcW w:w="1276" w:type="dxa"/>
            <w:tcBorders>
              <w:top w:val="nil"/>
              <w:left w:val="nil"/>
              <w:bottom w:val="single" w:color="auto" w:sz="4" w:space="0"/>
              <w:right w:val="single" w:color="auto" w:sz="4" w:space="0"/>
            </w:tcBorders>
            <w:shd w:val="clear" w:color="000000" w:fill="FFFFFF"/>
            <w:vAlign w:val="center"/>
          </w:tcPr>
          <w:p w14:paraId="27DF3317">
            <w:pPr>
              <w:widowControl/>
              <w:jc w:val="center"/>
              <w:rPr>
                <w:rFonts w:hint="eastAsia" w:ascii="宋体" w:hAnsi="宋体" w:cs="宋体"/>
                <w:kern w:val="0"/>
                <w:sz w:val="24"/>
              </w:rPr>
            </w:pPr>
            <w:r>
              <w:rPr>
                <w:rFonts w:hint="eastAsia" w:ascii="宋体" w:hAnsi="宋体" w:cs="宋体"/>
                <w:kern w:val="0"/>
                <w:sz w:val="24"/>
              </w:rPr>
              <w:t>42.75</w:t>
            </w:r>
          </w:p>
        </w:tc>
        <w:tc>
          <w:tcPr>
            <w:tcW w:w="992" w:type="dxa"/>
            <w:tcBorders>
              <w:top w:val="nil"/>
              <w:left w:val="nil"/>
              <w:bottom w:val="single" w:color="auto" w:sz="4" w:space="0"/>
              <w:right w:val="single" w:color="auto" w:sz="4" w:space="0"/>
            </w:tcBorders>
            <w:shd w:val="clear" w:color="000000" w:fill="FFFFFF"/>
            <w:vAlign w:val="center"/>
          </w:tcPr>
          <w:p w14:paraId="38B7BBAB">
            <w:pPr>
              <w:widowControl/>
              <w:jc w:val="center"/>
              <w:rPr>
                <w:rFonts w:hint="eastAsia" w:ascii="宋体" w:hAnsi="宋体" w:cs="宋体"/>
                <w:kern w:val="0"/>
                <w:sz w:val="24"/>
              </w:rPr>
            </w:pPr>
            <w:r>
              <w:rPr>
                <w:rFonts w:hint="eastAsia" w:ascii="宋体" w:hAnsi="宋体" w:cs="宋体"/>
                <w:kern w:val="0"/>
                <w:sz w:val="24"/>
              </w:rPr>
              <w:t>人份</w:t>
            </w:r>
          </w:p>
        </w:tc>
        <w:tc>
          <w:tcPr>
            <w:tcW w:w="992" w:type="dxa"/>
            <w:tcBorders>
              <w:top w:val="nil"/>
              <w:left w:val="nil"/>
              <w:bottom w:val="single" w:color="auto" w:sz="4" w:space="0"/>
              <w:right w:val="single" w:color="auto" w:sz="4" w:space="0"/>
            </w:tcBorders>
            <w:shd w:val="clear" w:color="000000" w:fill="FFFFFF"/>
            <w:noWrap/>
            <w:vAlign w:val="center"/>
          </w:tcPr>
          <w:p w14:paraId="7BA75F71">
            <w:pPr>
              <w:widowControl/>
              <w:jc w:val="center"/>
              <w:rPr>
                <w:rFonts w:hint="eastAsia" w:ascii="宋体" w:hAnsi="宋体" w:cs="宋体"/>
                <w:kern w:val="0"/>
                <w:sz w:val="24"/>
              </w:rPr>
            </w:pPr>
            <w:r>
              <w:rPr>
                <w:rFonts w:hint="eastAsia" w:ascii="宋体" w:hAnsi="宋体" w:cs="宋体"/>
                <w:kern w:val="0"/>
                <w:sz w:val="24"/>
              </w:rPr>
              <w:t>800</w:t>
            </w:r>
          </w:p>
        </w:tc>
        <w:tc>
          <w:tcPr>
            <w:tcW w:w="851" w:type="dxa"/>
            <w:tcBorders>
              <w:top w:val="nil"/>
              <w:left w:val="nil"/>
              <w:bottom w:val="single" w:color="auto" w:sz="4" w:space="0"/>
              <w:right w:val="single" w:color="auto" w:sz="4" w:space="0"/>
            </w:tcBorders>
            <w:shd w:val="clear" w:color="000000" w:fill="FFFFFF"/>
            <w:vAlign w:val="center"/>
          </w:tcPr>
          <w:p w14:paraId="5F056776">
            <w:pPr>
              <w:widowControl/>
              <w:jc w:val="center"/>
              <w:rPr>
                <w:rFonts w:hint="eastAsia" w:ascii="宋体" w:hAnsi="宋体" w:cs="宋体"/>
                <w:color w:val="000000"/>
                <w:kern w:val="0"/>
                <w:sz w:val="24"/>
              </w:rPr>
            </w:pPr>
            <w:r>
              <w:rPr>
                <w:rFonts w:hint="eastAsia" w:ascii="宋体" w:hAnsi="宋体" w:cs="宋体"/>
                <w:color w:val="000000"/>
                <w:kern w:val="0"/>
                <w:sz w:val="24"/>
              </w:rPr>
              <w:t>是</w:t>
            </w:r>
          </w:p>
        </w:tc>
        <w:tc>
          <w:tcPr>
            <w:tcW w:w="952" w:type="dxa"/>
            <w:tcBorders>
              <w:top w:val="nil"/>
              <w:left w:val="nil"/>
              <w:bottom w:val="single" w:color="auto" w:sz="4" w:space="0"/>
              <w:right w:val="single" w:color="auto" w:sz="4" w:space="0"/>
            </w:tcBorders>
            <w:shd w:val="clear" w:color="000000" w:fill="FFFFFF"/>
            <w:vAlign w:val="center"/>
          </w:tcPr>
          <w:p w14:paraId="6D5F0BFB">
            <w:pPr>
              <w:widowControl/>
              <w:jc w:val="center"/>
              <w:rPr>
                <w:rFonts w:hint="eastAsia" w:ascii="宋体" w:hAnsi="宋体" w:cs="宋体"/>
                <w:color w:val="000000"/>
                <w:kern w:val="0"/>
                <w:sz w:val="24"/>
              </w:rPr>
            </w:pPr>
            <w:r>
              <w:rPr>
                <w:rFonts w:hint="eastAsia" w:ascii="宋体" w:hAnsi="宋体" w:cs="宋体"/>
                <w:color w:val="000000"/>
                <w:kern w:val="0"/>
                <w:sz w:val="24"/>
              </w:rPr>
              <w:t>否</w:t>
            </w:r>
          </w:p>
        </w:tc>
      </w:tr>
      <w:tr w14:paraId="7718B016">
        <w:tblPrEx>
          <w:tblCellMar>
            <w:top w:w="0" w:type="dxa"/>
            <w:left w:w="108" w:type="dxa"/>
            <w:bottom w:w="0" w:type="dxa"/>
            <w:right w:w="108" w:type="dxa"/>
          </w:tblCellMar>
        </w:tblPrEx>
        <w:trPr>
          <w:trHeight w:val="576" w:hRule="atLeast"/>
        </w:trPr>
        <w:tc>
          <w:tcPr>
            <w:tcW w:w="704" w:type="dxa"/>
            <w:tcBorders>
              <w:top w:val="nil"/>
              <w:left w:val="single" w:color="auto" w:sz="4" w:space="0"/>
              <w:bottom w:val="single" w:color="auto" w:sz="4" w:space="0"/>
              <w:right w:val="single" w:color="auto" w:sz="4" w:space="0"/>
            </w:tcBorders>
            <w:shd w:val="clear" w:color="000000" w:fill="FFFFFF"/>
            <w:vAlign w:val="center"/>
          </w:tcPr>
          <w:p w14:paraId="3D778BB6">
            <w:pPr>
              <w:widowControl/>
              <w:jc w:val="center"/>
              <w:rPr>
                <w:rFonts w:hint="eastAsia" w:ascii="宋体" w:hAnsi="宋体" w:cs="宋体"/>
                <w:kern w:val="0"/>
                <w:sz w:val="24"/>
              </w:rPr>
            </w:pPr>
            <w:r>
              <w:rPr>
                <w:rFonts w:hint="eastAsia" w:ascii="宋体" w:hAnsi="宋体" w:cs="宋体"/>
                <w:kern w:val="0"/>
                <w:sz w:val="24"/>
              </w:rPr>
              <w:t>9</w:t>
            </w:r>
          </w:p>
        </w:tc>
        <w:tc>
          <w:tcPr>
            <w:tcW w:w="2851" w:type="dxa"/>
            <w:tcBorders>
              <w:top w:val="nil"/>
              <w:left w:val="nil"/>
              <w:bottom w:val="single" w:color="auto" w:sz="4" w:space="0"/>
              <w:right w:val="single" w:color="auto" w:sz="4" w:space="0"/>
            </w:tcBorders>
            <w:shd w:val="clear" w:color="000000" w:fill="FFFFFF"/>
            <w:vAlign w:val="center"/>
          </w:tcPr>
          <w:p w14:paraId="2E37A7A6">
            <w:pPr>
              <w:jc w:val="center"/>
              <w:rPr>
                <w:rFonts w:hint="eastAsia" w:ascii="宋体" w:hAnsi="宋体" w:cs="宋体"/>
                <w:sz w:val="24"/>
              </w:rPr>
            </w:pPr>
            <w:r>
              <w:rPr>
                <w:rFonts w:hint="eastAsia" w:ascii="宋体" w:hAnsi="宋体" w:cs="宋体"/>
                <w:sz w:val="24"/>
              </w:rPr>
              <w:t>丙型肝炎病毒抗体质控品</w:t>
            </w:r>
          </w:p>
        </w:tc>
        <w:tc>
          <w:tcPr>
            <w:tcW w:w="1276" w:type="dxa"/>
            <w:tcBorders>
              <w:top w:val="nil"/>
              <w:left w:val="nil"/>
              <w:bottom w:val="single" w:color="auto" w:sz="4" w:space="0"/>
              <w:right w:val="single" w:color="auto" w:sz="4" w:space="0"/>
            </w:tcBorders>
            <w:shd w:val="clear" w:color="000000" w:fill="FFFFFF"/>
            <w:vAlign w:val="center"/>
          </w:tcPr>
          <w:p w14:paraId="28275FAD">
            <w:pPr>
              <w:widowControl/>
              <w:jc w:val="center"/>
              <w:rPr>
                <w:rFonts w:hint="eastAsia" w:ascii="宋体" w:hAnsi="宋体" w:cs="宋体"/>
                <w:kern w:val="0"/>
                <w:sz w:val="24"/>
              </w:rPr>
            </w:pPr>
            <w:r>
              <w:rPr>
                <w:rFonts w:hint="eastAsia" w:ascii="宋体" w:hAnsi="宋体" w:cs="宋体"/>
                <w:kern w:val="0"/>
                <w:sz w:val="24"/>
              </w:rPr>
              <w:t>109.375</w:t>
            </w:r>
          </w:p>
        </w:tc>
        <w:tc>
          <w:tcPr>
            <w:tcW w:w="992" w:type="dxa"/>
            <w:tcBorders>
              <w:top w:val="nil"/>
              <w:left w:val="nil"/>
              <w:bottom w:val="single" w:color="auto" w:sz="4" w:space="0"/>
              <w:right w:val="single" w:color="auto" w:sz="4" w:space="0"/>
            </w:tcBorders>
            <w:shd w:val="clear" w:color="000000" w:fill="FFFFFF"/>
            <w:vAlign w:val="center"/>
          </w:tcPr>
          <w:p w14:paraId="098E378F">
            <w:pPr>
              <w:widowControl/>
              <w:jc w:val="center"/>
              <w:rPr>
                <w:rFonts w:hint="eastAsia" w:ascii="宋体" w:hAnsi="宋体" w:cs="宋体"/>
                <w:kern w:val="0"/>
                <w:sz w:val="24"/>
              </w:rPr>
            </w:pPr>
            <w:r>
              <w:rPr>
                <w:rFonts w:hint="eastAsia" w:ascii="宋体" w:hAnsi="宋体" w:cs="宋体"/>
                <w:kern w:val="0"/>
                <w:sz w:val="24"/>
              </w:rPr>
              <w:t>瓶</w:t>
            </w:r>
          </w:p>
        </w:tc>
        <w:tc>
          <w:tcPr>
            <w:tcW w:w="992" w:type="dxa"/>
            <w:tcBorders>
              <w:top w:val="nil"/>
              <w:left w:val="nil"/>
              <w:bottom w:val="single" w:color="auto" w:sz="4" w:space="0"/>
              <w:right w:val="single" w:color="auto" w:sz="4" w:space="0"/>
            </w:tcBorders>
            <w:shd w:val="clear" w:color="000000" w:fill="FFFFFF"/>
            <w:noWrap/>
            <w:vAlign w:val="center"/>
          </w:tcPr>
          <w:p w14:paraId="2FF615E8">
            <w:pPr>
              <w:widowControl/>
              <w:jc w:val="center"/>
              <w:rPr>
                <w:rFonts w:hint="eastAsia" w:ascii="宋体" w:hAnsi="宋体" w:cs="宋体"/>
                <w:kern w:val="0"/>
                <w:sz w:val="24"/>
              </w:rPr>
            </w:pPr>
            <w:r>
              <w:rPr>
                <w:rFonts w:hint="eastAsia" w:ascii="宋体" w:hAnsi="宋体" w:cs="宋体"/>
                <w:kern w:val="0"/>
                <w:sz w:val="24"/>
              </w:rPr>
              <w:t>16</w:t>
            </w:r>
          </w:p>
        </w:tc>
        <w:tc>
          <w:tcPr>
            <w:tcW w:w="851" w:type="dxa"/>
            <w:tcBorders>
              <w:top w:val="nil"/>
              <w:left w:val="nil"/>
              <w:bottom w:val="single" w:color="auto" w:sz="4" w:space="0"/>
              <w:right w:val="single" w:color="auto" w:sz="4" w:space="0"/>
            </w:tcBorders>
            <w:shd w:val="clear" w:color="000000" w:fill="FFFFFF"/>
            <w:vAlign w:val="center"/>
          </w:tcPr>
          <w:p w14:paraId="0EB33E86">
            <w:pPr>
              <w:widowControl/>
              <w:jc w:val="center"/>
              <w:rPr>
                <w:rFonts w:hint="eastAsia" w:ascii="宋体" w:hAnsi="宋体" w:cs="宋体"/>
                <w:color w:val="000000"/>
                <w:kern w:val="0"/>
                <w:sz w:val="24"/>
              </w:rPr>
            </w:pPr>
            <w:r>
              <w:rPr>
                <w:rFonts w:hint="eastAsia" w:ascii="宋体" w:hAnsi="宋体" w:cs="宋体"/>
                <w:color w:val="000000"/>
                <w:kern w:val="0"/>
                <w:sz w:val="24"/>
              </w:rPr>
              <w:t>是</w:t>
            </w:r>
          </w:p>
        </w:tc>
        <w:tc>
          <w:tcPr>
            <w:tcW w:w="952" w:type="dxa"/>
            <w:tcBorders>
              <w:top w:val="nil"/>
              <w:left w:val="nil"/>
              <w:bottom w:val="single" w:color="auto" w:sz="4" w:space="0"/>
              <w:right w:val="single" w:color="auto" w:sz="4" w:space="0"/>
            </w:tcBorders>
            <w:shd w:val="clear" w:color="000000" w:fill="FFFFFF"/>
            <w:vAlign w:val="center"/>
          </w:tcPr>
          <w:p w14:paraId="0D725AF9">
            <w:pPr>
              <w:widowControl/>
              <w:jc w:val="center"/>
              <w:rPr>
                <w:rFonts w:hint="eastAsia" w:ascii="宋体" w:hAnsi="宋体" w:cs="宋体"/>
                <w:color w:val="000000"/>
                <w:kern w:val="0"/>
                <w:sz w:val="24"/>
              </w:rPr>
            </w:pPr>
            <w:r>
              <w:rPr>
                <w:rFonts w:hint="eastAsia" w:ascii="宋体" w:hAnsi="宋体" w:cs="宋体"/>
                <w:color w:val="000000"/>
                <w:kern w:val="0"/>
                <w:sz w:val="24"/>
              </w:rPr>
              <w:t>否</w:t>
            </w:r>
          </w:p>
        </w:tc>
      </w:tr>
      <w:tr w14:paraId="72DFD380">
        <w:tblPrEx>
          <w:tblCellMar>
            <w:top w:w="0" w:type="dxa"/>
            <w:left w:w="108" w:type="dxa"/>
            <w:bottom w:w="0" w:type="dxa"/>
            <w:right w:w="108" w:type="dxa"/>
          </w:tblCellMar>
        </w:tblPrEx>
        <w:trPr>
          <w:trHeight w:val="288" w:hRule="atLeast"/>
        </w:trPr>
        <w:tc>
          <w:tcPr>
            <w:tcW w:w="704" w:type="dxa"/>
            <w:tcBorders>
              <w:top w:val="nil"/>
              <w:left w:val="single" w:color="auto" w:sz="4" w:space="0"/>
              <w:bottom w:val="single" w:color="auto" w:sz="4" w:space="0"/>
              <w:right w:val="single" w:color="auto" w:sz="4" w:space="0"/>
            </w:tcBorders>
            <w:shd w:val="clear" w:color="000000" w:fill="FFFFFF"/>
            <w:vAlign w:val="center"/>
          </w:tcPr>
          <w:p w14:paraId="09282D96">
            <w:pPr>
              <w:widowControl/>
              <w:jc w:val="center"/>
              <w:rPr>
                <w:rFonts w:hint="eastAsia" w:ascii="宋体" w:hAnsi="宋体" w:cs="宋体"/>
                <w:kern w:val="0"/>
                <w:sz w:val="24"/>
              </w:rPr>
            </w:pPr>
            <w:r>
              <w:rPr>
                <w:rFonts w:hint="eastAsia" w:ascii="宋体" w:hAnsi="宋体" w:cs="宋体"/>
                <w:kern w:val="0"/>
                <w:sz w:val="24"/>
              </w:rPr>
              <w:t>10</w:t>
            </w:r>
          </w:p>
        </w:tc>
        <w:tc>
          <w:tcPr>
            <w:tcW w:w="2851" w:type="dxa"/>
            <w:tcBorders>
              <w:top w:val="nil"/>
              <w:left w:val="nil"/>
              <w:bottom w:val="single" w:color="auto" w:sz="4" w:space="0"/>
              <w:right w:val="single" w:color="auto" w:sz="4" w:space="0"/>
            </w:tcBorders>
            <w:shd w:val="clear" w:color="000000" w:fill="FFFFFF"/>
            <w:vAlign w:val="center"/>
          </w:tcPr>
          <w:p w14:paraId="6569950D">
            <w:pPr>
              <w:jc w:val="center"/>
              <w:rPr>
                <w:rFonts w:hint="eastAsia" w:ascii="宋体" w:hAnsi="宋体" w:cs="宋体"/>
                <w:sz w:val="24"/>
              </w:rPr>
            </w:pPr>
            <w:r>
              <w:rPr>
                <w:rFonts w:hint="eastAsia" w:ascii="宋体" w:hAnsi="宋体" w:cs="宋体"/>
                <w:sz w:val="24"/>
              </w:rPr>
              <w:t>雌二醇定标液</w:t>
            </w:r>
          </w:p>
        </w:tc>
        <w:tc>
          <w:tcPr>
            <w:tcW w:w="1276" w:type="dxa"/>
            <w:tcBorders>
              <w:top w:val="nil"/>
              <w:left w:val="nil"/>
              <w:bottom w:val="single" w:color="auto" w:sz="4" w:space="0"/>
              <w:right w:val="single" w:color="auto" w:sz="4" w:space="0"/>
            </w:tcBorders>
            <w:shd w:val="clear" w:color="000000" w:fill="FFFFFF"/>
            <w:vAlign w:val="center"/>
          </w:tcPr>
          <w:p w14:paraId="1E881174">
            <w:pPr>
              <w:widowControl/>
              <w:jc w:val="center"/>
              <w:rPr>
                <w:rFonts w:hint="eastAsia" w:ascii="宋体" w:hAnsi="宋体" w:cs="宋体"/>
                <w:kern w:val="0"/>
                <w:sz w:val="24"/>
              </w:rPr>
            </w:pPr>
            <w:r>
              <w:rPr>
                <w:rFonts w:hint="eastAsia" w:ascii="宋体" w:hAnsi="宋体" w:cs="宋体"/>
                <w:kern w:val="0"/>
                <w:sz w:val="24"/>
              </w:rPr>
              <w:t>275</w:t>
            </w:r>
          </w:p>
        </w:tc>
        <w:tc>
          <w:tcPr>
            <w:tcW w:w="992" w:type="dxa"/>
            <w:tcBorders>
              <w:top w:val="nil"/>
              <w:left w:val="nil"/>
              <w:bottom w:val="single" w:color="auto" w:sz="4" w:space="0"/>
              <w:right w:val="single" w:color="auto" w:sz="4" w:space="0"/>
            </w:tcBorders>
            <w:shd w:val="clear" w:color="000000" w:fill="FFFFFF"/>
            <w:vAlign w:val="center"/>
          </w:tcPr>
          <w:p w14:paraId="65126109">
            <w:pPr>
              <w:widowControl/>
              <w:jc w:val="center"/>
              <w:rPr>
                <w:rFonts w:hint="eastAsia" w:ascii="宋体" w:hAnsi="宋体" w:cs="宋体"/>
                <w:kern w:val="0"/>
                <w:sz w:val="24"/>
              </w:rPr>
            </w:pPr>
            <w:r>
              <w:rPr>
                <w:rFonts w:hint="eastAsia" w:ascii="宋体" w:hAnsi="宋体" w:cs="宋体"/>
                <w:kern w:val="0"/>
                <w:sz w:val="24"/>
              </w:rPr>
              <w:t>ml</w:t>
            </w:r>
          </w:p>
        </w:tc>
        <w:tc>
          <w:tcPr>
            <w:tcW w:w="992" w:type="dxa"/>
            <w:tcBorders>
              <w:top w:val="nil"/>
              <w:left w:val="nil"/>
              <w:bottom w:val="single" w:color="auto" w:sz="4" w:space="0"/>
              <w:right w:val="single" w:color="auto" w:sz="4" w:space="0"/>
            </w:tcBorders>
            <w:shd w:val="clear" w:color="000000" w:fill="FFFFFF"/>
            <w:noWrap/>
            <w:vAlign w:val="center"/>
          </w:tcPr>
          <w:p w14:paraId="0D218491">
            <w:pPr>
              <w:widowControl/>
              <w:jc w:val="center"/>
              <w:rPr>
                <w:rFonts w:hint="eastAsia" w:ascii="宋体" w:hAnsi="宋体" w:cs="宋体"/>
                <w:kern w:val="0"/>
                <w:sz w:val="24"/>
              </w:rPr>
            </w:pPr>
            <w:r>
              <w:rPr>
                <w:rFonts w:hint="eastAsia" w:ascii="宋体" w:hAnsi="宋体" w:cs="宋体"/>
                <w:kern w:val="0"/>
                <w:sz w:val="24"/>
              </w:rPr>
              <w:t>4</w:t>
            </w:r>
          </w:p>
        </w:tc>
        <w:tc>
          <w:tcPr>
            <w:tcW w:w="851" w:type="dxa"/>
            <w:tcBorders>
              <w:top w:val="nil"/>
              <w:left w:val="nil"/>
              <w:bottom w:val="single" w:color="auto" w:sz="4" w:space="0"/>
              <w:right w:val="single" w:color="auto" w:sz="4" w:space="0"/>
            </w:tcBorders>
            <w:shd w:val="clear" w:color="000000" w:fill="FFFFFF"/>
            <w:vAlign w:val="center"/>
          </w:tcPr>
          <w:p w14:paraId="59E77089">
            <w:pPr>
              <w:widowControl/>
              <w:jc w:val="center"/>
              <w:rPr>
                <w:rFonts w:hint="eastAsia" w:ascii="宋体" w:hAnsi="宋体" w:cs="宋体"/>
                <w:color w:val="000000"/>
                <w:kern w:val="0"/>
                <w:sz w:val="24"/>
              </w:rPr>
            </w:pPr>
            <w:r>
              <w:rPr>
                <w:rFonts w:hint="eastAsia" w:ascii="宋体" w:hAnsi="宋体" w:cs="宋体"/>
                <w:color w:val="000000"/>
                <w:kern w:val="0"/>
                <w:sz w:val="24"/>
              </w:rPr>
              <w:t>是</w:t>
            </w:r>
          </w:p>
        </w:tc>
        <w:tc>
          <w:tcPr>
            <w:tcW w:w="952" w:type="dxa"/>
            <w:tcBorders>
              <w:top w:val="nil"/>
              <w:left w:val="nil"/>
              <w:bottom w:val="single" w:color="auto" w:sz="4" w:space="0"/>
              <w:right w:val="single" w:color="auto" w:sz="4" w:space="0"/>
            </w:tcBorders>
            <w:shd w:val="clear" w:color="000000" w:fill="FFFFFF"/>
            <w:vAlign w:val="center"/>
          </w:tcPr>
          <w:p w14:paraId="1ED52B03">
            <w:pPr>
              <w:widowControl/>
              <w:jc w:val="center"/>
              <w:rPr>
                <w:rFonts w:hint="eastAsia" w:ascii="宋体" w:hAnsi="宋体" w:cs="宋体"/>
                <w:color w:val="000000"/>
                <w:kern w:val="0"/>
                <w:sz w:val="24"/>
              </w:rPr>
            </w:pPr>
            <w:r>
              <w:rPr>
                <w:rFonts w:hint="eastAsia" w:ascii="宋体" w:hAnsi="宋体" w:cs="宋体"/>
                <w:color w:val="000000"/>
                <w:kern w:val="0"/>
                <w:sz w:val="24"/>
              </w:rPr>
              <w:t>否</w:t>
            </w:r>
          </w:p>
        </w:tc>
      </w:tr>
      <w:tr w14:paraId="70ACA336">
        <w:tblPrEx>
          <w:tblCellMar>
            <w:top w:w="0" w:type="dxa"/>
            <w:left w:w="108" w:type="dxa"/>
            <w:bottom w:w="0" w:type="dxa"/>
            <w:right w:w="108" w:type="dxa"/>
          </w:tblCellMar>
        </w:tblPrEx>
        <w:trPr>
          <w:trHeight w:val="288" w:hRule="atLeast"/>
        </w:trPr>
        <w:tc>
          <w:tcPr>
            <w:tcW w:w="704" w:type="dxa"/>
            <w:tcBorders>
              <w:top w:val="nil"/>
              <w:left w:val="single" w:color="auto" w:sz="4" w:space="0"/>
              <w:bottom w:val="single" w:color="auto" w:sz="4" w:space="0"/>
              <w:right w:val="single" w:color="auto" w:sz="4" w:space="0"/>
            </w:tcBorders>
            <w:shd w:val="clear" w:color="000000" w:fill="FFFFFF"/>
            <w:vAlign w:val="center"/>
          </w:tcPr>
          <w:p w14:paraId="0FC1C54C">
            <w:pPr>
              <w:widowControl/>
              <w:jc w:val="center"/>
              <w:rPr>
                <w:rFonts w:hint="eastAsia" w:ascii="宋体" w:hAnsi="宋体" w:cs="宋体"/>
                <w:kern w:val="0"/>
                <w:sz w:val="24"/>
              </w:rPr>
            </w:pPr>
            <w:r>
              <w:rPr>
                <w:rFonts w:hint="eastAsia" w:ascii="宋体" w:hAnsi="宋体" w:cs="宋体"/>
                <w:kern w:val="0"/>
                <w:sz w:val="24"/>
              </w:rPr>
              <w:t>11</w:t>
            </w:r>
          </w:p>
        </w:tc>
        <w:tc>
          <w:tcPr>
            <w:tcW w:w="2851" w:type="dxa"/>
            <w:tcBorders>
              <w:top w:val="nil"/>
              <w:left w:val="nil"/>
              <w:bottom w:val="single" w:color="auto" w:sz="4" w:space="0"/>
              <w:right w:val="single" w:color="auto" w:sz="4" w:space="0"/>
            </w:tcBorders>
            <w:shd w:val="clear" w:color="000000" w:fill="FFFFFF"/>
            <w:vAlign w:val="center"/>
          </w:tcPr>
          <w:p w14:paraId="17BAA863">
            <w:pPr>
              <w:jc w:val="center"/>
              <w:rPr>
                <w:rFonts w:hint="eastAsia" w:ascii="宋体" w:hAnsi="宋体" w:cs="宋体"/>
                <w:sz w:val="24"/>
              </w:rPr>
            </w:pPr>
            <w:r>
              <w:rPr>
                <w:rFonts w:hint="eastAsia" w:ascii="宋体" w:hAnsi="宋体" w:cs="宋体"/>
                <w:sz w:val="24"/>
              </w:rPr>
              <w:t>雌二醇检测试剂盒</w:t>
            </w:r>
          </w:p>
        </w:tc>
        <w:tc>
          <w:tcPr>
            <w:tcW w:w="1276" w:type="dxa"/>
            <w:tcBorders>
              <w:top w:val="nil"/>
              <w:left w:val="nil"/>
              <w:bottom w:val="single" w:color="auto" w:sz="4" w:space="0"/>
              <w:right w:val="single" w:color="auto" w:sz="4" w:space="0"/>
            </w:tcBorders>
            <w:shd w:val="clear" w:color="000000" w:fill="FFFFFF"/>
            <w:vAlign w:val="center"/>
          </w:tcPr>
          <w:p w14:paraId="6EDAA525">
            <w:pPr>
              <w:widowControl/>
              <w:jc w:val="center"/>
              <w:rPr>
                <w:rFonts w:hint="eastAsia" w:ascii="宋体" w:hAnsi="宋体" w:cs="宋体"/>
                <w:kern w:val="0"/>
                <w:sz w:val="24"/>
              </w:rPr>
            </w:pPr>
            <w:r>
              <w:rPr>
                <w:rFonts w:hint="eastAsia" w:ascii="宋体" w:hAnsi="宋体" w:cs="宋体"/>
                <w:kern w:val="0"/>
                <w:sz w:val="24"/>
              </w:rPr>
              <w:t>18.26</w:t>
            </w:r>
          </w:p>
        </w:tc>
        <w:tc>
          <w:tcPr>
            <w:tcW w:w="992" w:type="dxa"/>
            <w:tcBorders>
              <w:top w:val="nil"/>
              <w:left w:val="nil"/>
              <w:bottom w:val="single" w:color="auto" w:sz="4" w:space="0"/>
              <w:right w:val="single" w:color="auto" w:sz="4" w:space="0"/>
            </w:tcBorders>
            <w:shd w:val="clear" w:color="000000" w:fill="FFFFFF"/>
            <w:vAlign w:val="center"/>
          </w:tcPr>
          <w:p w14:paraId="54FE6BB5">
            <w:pPr>
              <w:widowControl/>
              <w:jc w:val="center"/>
              <w:rPr>
                <w:rFonts w:hint="eastAsia" w:ascii="宋体" w:hAnsi="宋体" w:cs="宋体"/>
                <w:kern w:val="0"/>
                <w:sz w:val="24"/>
              </w:rPr>
            </w:pPr>
            <w:r>
              <w:rPr>
                <w:rFonts w:hint="eastAsia" w:ascii="宋体" w:hAnsi="宋体" w:cs="宋体"/>
                <w:kern w:val="0"/>
                <w:sz w:val="24"/>
              </w:rPr>
              <w:t>人份</w:t>
            </w:r>
          </w:p>
        </w:tc>
        <w:tc>
          <w:tcPr>
            <w:tcW w:w="992" w:type="dxa"/>
            <w:tcBorders>
              <w:top w:val="nil"/>
              <w:left w:val="nil"/>
              <w:bottom w:val="single" w:color="auto" w:sz="4" w:space="0"/>
              <w:right w:val="single" w:color="auto" w:sz="4" w:space="0"/>
            </w:tcBorders>
            <w:shd w:val="clear" w:color="000000" w:fill="FFFFFF"/>
            <w:noWrap/>
            <w:vAlign w:val="center"/>
          </w:tcPr>
          <w:p w14:paraId="3F76F4EB">
            <w:pPr>
              <w:widowControl/>
              <w:jc w:val="center"/>
              <w:rPr>
                <w:rFonts w:hint="eastAsia" w:ascii="宋体" w:hAnsi="宋体" w:cs="宋体"/>
                <w:kern w:val="0"/>
                <w:sz w:val="24"/>
              </w:rPr>
            </w:pPr>
            <w:r>
              <w:rPr>
                <w:rFonts w:hint="eastAsia" w:ascii="宋体" w:hAnsi="宋体" w:cs="宋体"/>
                <w:kern w:val="0"/>
                <w:sz w:val="24"/>
              </w:rPr>
              <w:t>1100</w:t>
            </w:r>
          </w:p>
        </w:tc>
        <w:tc>
          <w:tcPr>
            <w:tcW w:w="851" w:type="dxa"/>
            <w:tcBorders>
              <w:top w:val="nil"/>
              <w:left w:val="nil"/>
              <w:bottom w:val="single" w:color="auto" w:sz="4" w:space="0"/>
              <w:right w:val="single" w:color="auto" w:sz="4" w:space="0"/>
            </w:tcBorders>
            <w:shd w:val="clear" w:color="000000" w:fill="FFFFFF"/>
            <w:vAlign w:val="center"/>
          </w:tcPr>
          <w:p w14:paraId="519EA001">
            <w:pPr>
              <w:widowControl/>
              <w:jc w:val="center"/>
              <w:rPr>
                <w:rFonts w:hint="eastAsia" w:ascii="宋体" w:hAnsi="宋体" w:cs="宋体"/>
                <w:color w:val="000000"/>
                <w:kern w:val="0"/>
                <w:sz w:val="24"/>
              </w:rPr>
            </w:pPr>
            <w:r>
              <w:rPr>
                <w:rFonts w:hint="eastAsia" w:ascii="宋体" w:hAnsi="宋体" w:cs="宋体"/>
                <w:color w:val="000000"/>
                <w:kern w:val="0"/>
                <w:sz w:val="24"/>
              </w:rPr>
              <w:t>是</w:t>
            </w:r>
          </w:p>
        </w:tc>
        <w:tc>
          <w:tcPr>
            <w:tcW w:w="952" w:type="dxa"/>
            <w:tcBorders>
              <w:top w:val="nil"/>
              <w:left w:val="nil"/>
              <w:bottom w:val="single" w:color="auto" w:sz="4" w:space="0"/>
              <w:right w:val="single" w:color="auto" w:sz="4" w:space="0"/>
            </w:tcBorders>
            <w:shd w:val="clear" w:color="000000" w:fill="FFFFFF"/>
            <w:vAlign w:val="center"/>
          </w:tcPr>
          <w:p w14:paraId="4D6D2EE3">
            <w:pPr>
              <w:widowControl/>
              <w:jc w:val="center"/>
              <w:rPr>
                <w:rFonts w:hint="eastAsia" w:ascii="宋体" w:hAnsi="宋体" w:cs="宋体"/>
                <w:color w:val="000000"/>
                <w:kern w:val="0"/>
                <w:sz w:val="24"/>
              </w:rPr>
            </w:pPr>
            <w:r>
              <w:rPr>
                <w:rFonts w:hint="eastAsia" w:ascii="宋体" w:hAnsi="宋体" w:cs="宋体"/>
                <w:color w:val="000000"/>
                <w:kern w:val="0"/>
                <w:sz w:val="24"/>
              </w:rPr>
              <w:t>否</w:t>
            </w:r>
          </w:p>
        </w:tc>
      </w:tr>
      <w:tr w14:paraId="541F3B67">
        <w:tblPrEx>
          <w:tblCellMar>
            <w:top w:w="0" w:type="dxa"/>
            <w:left w:w="108" w:type="dxa"/>
            <w:bottom w:w="0" w:type="dxa"/>
            <w:right w:w="108" w:type="dxa"/>
          </w:tblCellMar>
        </w:tblPrEx>
        <w:trPr>
          <w:trHeight w:val="576" w:hRule="atLeast"/>
        </w:trPr>
        <w:tc>
          <w:tcPr>
            <w:tcW w:w="704" w:type="dxa"/>
            <w:tcBorders>
              <w:top w:val="nil"/>
              <w:left w:val="single" w:color="auto" w:sz="4" w:space="0"/>
              <w:bottom w:val="single" w:color="auto" w:sz="4" w:space="0"/>
              <w:right w:val="single" w:color="auto" w:sz="4" w:space="0"/>
            </w:tcBorders>
            <w:shd w:val="clear" w:color="000000" w:fill="FFFFFF"/>
            <w:vAlign w:val="center"/>
          </w:tcPr>
          <w:p w14:paraId="29FE4C46">
            <w:pPr>
              <w:widowControl/>
              <w:jc w:val="center"/>
              <w:rPr>
                <w:rFonts w:hint="eastAsia" w:ascii="宋体" w:hAnsi="宋体" w:cs="宋体"/>
                <w:kern w:val="0"/>
                <w:sz w:val="24"/>
              </w:rPr>
            </w:pPr>
            <w:r>
              <w:rPr>
                <w:rFonts w:hint="eastAsia" w:ascii="宋体" w:hAnsi="宋体" w:cs="宋体"/>
                <w:kern w:val="0"/>
                <w:sz w:val="24"/>
              </w:rPr>
              <w:t>12</w:t>
            </w:r>
          </w:p>
        </w:tc>
        <w:tc>
          <w:tcPr>
            <w:tcW w:w="2851" w:type="dxa"/>
            <w:tcBorders>
              <w:top w:val="nil"/>
              <w:left w:val="nil"/>
              <w:bottom w:val="single" w:color="auto" w:sz="4" w:space="0"/>
              <w:right w:val="single" w:color="auto" w:sz="4" w:space="0"/>
            </w:tcBorders>
            <w:shd w:val="clear" w:color="000000" w:fill="FFFFFF"/>
            <w:vAlign w:val="center"/>
          </w:tcPr>
          <w:p w14:paraId="1BC0E46F">
            <w:pPr>
              <w:jc w:val="center"/>
              <w:rPr>
                <w:rFonts w:hint="eastAsia" w:ascii="宋体" w:hAnsi="宋体" w:cs="宋体"/>
                <w:sz w:val="24"/>
              </w:rPr>
            </w:pPr>
            <w:r>
              <w:rPr>
                <w:rFonts w:hint="eastAsia" w:ascii="宋体" w:hAnsi="宋体" w:cs="宋体"/>
                <w:sz w:val="24"/>
              </w:rPr>
              <w:t>促甲状腺激素检测试剂盒</w:t>
            </w:r>
          </w:p>
        </w:tc>
        <w:tc>
          <w:tcPr>
            <w:tcW w:w="1276" w:type="dxa"/>
            <w:tcBorders>
              <w:top w:val="nil"/>
              <w:left w:val="nil"/>
              <w:bottom w:val="single" w:color="auto" w:sz="4" w:space="0"/>
              <w:right w:val="single" w:color="auto" w:sz="4" w:space="0"/>
            </w:tcBorders>
            <w:shd w:val="clear" w:color="000000" w:fill="FFFFFF"/>
            <w:vAlign w:val="center"/>
          </w:tcPr>
          <w:p w14:paraId="52084958">
            <w:pPr>
              <w:widowControl/>
              <w:jc w:val="center"/>
              <w:rPr>
                <w:rFonts w:hint="eastAsia" w:ascii="宋体" w:hAnsi="宋体" w:cs="宋体"/>
                <w:kern w:val="0"/>
                <w:sz w:val="24"/>
              </w:rPr>
            </w:pPr>
            <w:r>
              <w:rPr>
                <w:rFonts w:hint="eastAsia" w:ascii="宋体" w:hAnsi="宋体" w:cs="宋体"/>
                <w:kern w:val="0"/>
                <w:sz w:val="24"/>
              </w:rPr>
              <w:t>12.98</w:t>
            </w:r>
          </w:p>
        </w:tc>
        <w:tc>
          <w:tcPr>
            <w:tcW w:w="992" w:type="dxa"/>
            <w:tcBorders>
              <w:top w:val="nil"/>
              <w:left w:val="nil"/>
              <w:bottom w:val="single" w:color="auto" w:sz="4" w:space="0"/>
              <w:right w:val="single" w:color="auto" w:sz="4" w:space="0"/>
            </w:tcBorders>
            <w:shd w:val="clear" w:color="000000" w:fill="FFFFFF"/>
            <w:vAlign w:val="center"/>
          </w:tcPr>
          <w:p w14:paraId="22F298B3">
            <w:pPr>
              <w:widowControl/>
              <w:jc w:val="center"/>
              <w:rPr>
                <w:rFonts w:hint="eastAsia" w:ascii="宋体" w:hAnsi="宋体" w:cs="宋体"/>
                <w:kern w:val="0"/>
                <w:sz w:val="24"/>
              </w:rPr>
            </w:pPr>
            <w:r>
              <w:rPr>
                <w:rFonts w:hint="eastAsia" w:ascii="宋体" w:hAnsi="宋体" w:cs="宋体"/>
                <w:kern w:val="0"/>
                <w:sz w:val="24"/>
              </w:rPr>
              <w:t>人份</w:t>
            </w:r>
          </w:p>
        </w:tc>
        <w:tc>
          <w:tcPr>
            <w:tcW w:w="992" w:type="dxa"/>
            <w:tcBorders>
              <w:top w:val="nil"/>
              <w:left w:val="nil"/>
              <w:bottom w:val="single" w:color="auto" w:sz="4" w:space="0"/>
              <w:right w:val="single" w:color="auto" w:sz="4" w:space="0"/>
            </w:tcBorders>
            <w:shd w:val="clear" w:color="000000" w:fill="FFFFFF"/>
            <w:noWrap/>
            <w:vAlign w:val="center"/>
          </w:tcPr>
          <w:p w14:paraId="4FD8DBCD">
            <w:pPr>
              <w:widowControl/>
              <w:jc w:val="center"/>
              <w:rPr>
                <w:rFonts w:hint="eastAsia" w:ascii="宋体" w:hAnsi="宋体" w:cs="宋体"/>
                <w:kern w:val="0"/>
                <w:sz w:val="24"/>
              </w:rPr>
            </w:pPr>
            <w:r>
              <w:rPr>
                <w:rFonts w:hint="eastAsia" w:ascii="宋体" w:hAnsi="宋体" w:cs="宋体"/>
                <w:kern w:val="0"/>
                <w:sz w:val="24"/>
              </w:rPr>
              <w:t>1200</w:t>
            </w:r>
          </w:p>
        </w:tc>
        <w:tc>
          <w:tcPr>
            <w:tcW w:w="851" w:type="dxa"/>
            <w:tcBorders>
              <w:top w:val="nil"/>
              <w:left w:val="nil"/>
              <w:bottom w:val="single" w:color="auto" w:sz="4" w:space="0"/>
              <w:right w:val="single" w:color="auto" w:sz="4" w:space="0"/>
            </w:tcBorders>
            <w:shd w:val="clear" w:color="000000" w:fill="FFFFFF"/>
            <w:vAlign w:val="center"/>
          </w:tcPr>
          <w:p w14:paraId="4D7519F8">
            <w:pPr>
              <w:widowControl/>
              <w:jc w:val="center"/>
              <w:rPr>
                <w:rFonts w:hint="eastAsia" w:ascii="宋体" w:hAnsi="宋体" w:cs="宋体"/>
                <w:color w:val="000000"/>
                <w:kern w:val="0"/>
                <w:sz w:val="24"/>
              </w:rPr>
            </w:pPr>
            <w:r>
              <w:rPr>
                <w:rFonts w:hint="eastAsia" w:ascii="宋体" w:hAnsi="宋体" w:cs="宋体"/>
                <w:color w:val="000000"/>
                <w:kern w:val="0"/>
                <w:sz w:val="24"/>
              </w:rPr>
              <w:t>是</w:t>
            </w:r>
          </w:p>
        </w:tc>
        <w:tc>
          <w:tcPr>
            <w:tcW w:w="952" w:type="dxa"/>
            <w:tcBorders>
              <w:top w:val="nil"/>
              <w:left w:val="nil"/>
              <w:bottom w:val="single" w:color="auto" w:sz="4" w:space="0"/>
              <w:right w:val="single" w:color="auto" w:sz="4" w:space="0"/>
            </w:tcBorders>
            <w:shd w:val="clear" w:color="000000" w:fill="FFFFFF"/>
            <w:vAlign w:val="center"/>
          </w:tcPr>
          <w:p w14:paraId="20721869">
            <w:pPr>
              <w:widowControl/>
              <w:jc w:val="center"/>
              <w:rPr>
                <w:rFonts w:hint="eastAsia" w:ascii="宋体" w:hAnsi="宋体" w:cs="宋体"/>
                <w:color w:val="000000"/>
                <w:kern w:val="0"/>
                <w:sz w:val="24"/>
              </w:rPr>
            </w:pPr>
            <w:r>
              <w:rPr>
                <w:rFonts w:hint="eastAsia" w:ascii="宋体" w:hAnsi="宋体" w:cs="宋体"/>
                <w:color w:val="000000"/>
                <w:kern w:val="0"/>
                <w:sz w:val="24"/>
              </w:rPr>
              <w:t>否</w:t>
            </w:r>
          </w:p>
        </w:tc>
      </w:tr>
      <w:tr w14:paraId="4624D20C">
        <w:tblPrEx>
          <w:tblCellMar>
            <w:top w:w="0" w:type="dxa"/>
            <w:left w:w="108" w:type="dxa"/>
            <w:bottom w:w="0" w:type="dxa"/>
            <w:right w:w="108" w:type="dxa"/>
          </w:tblCellMar>
        </w:tblPrEx>
        <w:trPr>
          <w:trHeight w:val="288" w:hRule="atLeast"/>
        </w:trPr>
        <w:tc>
          <w:tcPr>
            <w:tcW w:w="704" w:type="dxa"/>
            <w:tcBorders>
              <w:top w:val="nil"/>
              <w:left w:val="single" w:color="auto" w:sz="4" w:space="0"/>
              <w:bottom w:val="single" w:color="auto" w:sz="4" w:space="0"/>
              <w:right w:val="single" w:color="auto" w:sz="4" w:space="0"/>
            </w:tcBorders>
            <w:shd w:val="clear" w:color="000000" w:fill="FFFFFF"/>
            <w:vAlign w:val="center"/>
          </w:tcPr>
          <w:p w14:paraId="4D36AE4B">
            <w:pPr>
              <w:widowControl/>
              <w:jc w:val="center"/>
              <w:rPr>
                <w:rFonts w:hint="eastAsia" w:ascii="宋体" w:hAnsi="宋体" w:cs="宋体"/>
                <w:kern w:val="0"/>
                <w:sz w:val="24"/>
              </w:rPr>
            </w:pPr>
            <w:r>
              <w:rPr>
                <w:rFonts w:hint="eastAsia" w:ascii="宋体" w:hAnsi="宋体" w:cs="宋体"/>
                <w:kern w:val="0"/>
                <w:sz w:val="24"/>
              </w:rPr>
              <w:t>13</w:t>
            </w:r>
          </w:p>
        </w:tc>
        <w:tc>
          <w:tcPr>
            <w:tcW w:w="2851" w:type="dxa"/>
            <w:tcBorders>
              <w:top w:val="nil"/>
              <w:left w:val="nil"/>
              <w:bottom w:val="single" w:color="auto" w:sz="4" w:space="0"/>
              <w:right w:val="single" w:color="auto" w:sz="4" w:space="0"/>
            </w:tcBorders>
            <w:shd w:val="clear" w:color="000000" w:fill="FFFFFF"/>
            <w:vAlign w:val="center"/>
          </w:tcPr>
          <w:p w14:paraId="45C93ED9">
            <w:pPr>
              <w:jc w:val="center"/>
              <w:rPr>
                <w:rFonts w:hint="eastAsia" w:ascii="宋体" w:hAnsi="宋体" w:cs="宋体"/>
                <w:sz w:val="24"/>
              </w:rPr>
            </w:pPr>
            <w:r>
              <w:rPr>
                <w:rFonts w:hint="eastAsia" w:ascii="宋体" w:hAnsi="宋体" w:cs="宋体"/>
                <w:sz w:val="24"/>
              </w:rPr>
              <w:t>促甲状腺素定标液</w:t>
            </w:r>
          </w:p>
        </w:tc>
        <w:tc>
          <w:tcPr>
            <w:tcW w:w="1276" w:type="dxa"/>
            <w:tcBorders>
              <w:top w:val="nil"/>
              <w:left w:val="nil"/>
              <w:bottom w:val="single" w:color="auto" w:sz="4" w:space="0"/>
              <w:right w:val="single" w:color="auto" w:sz="4" w:space="0"/>
            </w:tcBorders>
            <w:shd w:val="clear" w:color="000000" w:fill="FFFFFF"/>
            <w:vAlign w:val="center"/>
          </w:tcPr>
          <w:p w14:paraId="547CEF3C">
            <w:pPr>
              <w:widowControl/>
              <w:jc w:val="center"/>
              <w:rPr>
                <w:rFonts w:hint="eastAsia" w:ascii="宋体" w:hAnsi="宋体" w:cs="宋体"/>
                <w:kern w:val="0"/>
                <w:sz w:val="24"/>
              </w:rPr>
            </w:pPr>
            <w:r>
              <w:rPr>
                <w:rFonts w:hint="eastAsia" w:ascii="宋体" w:hAnsi="宋体" w:cs="宋体"/>
                <w:kern w:val="0"/>
                <w:sz w:val="24"/>
              </w:rPr>
              <w:t>362.5</w:t>
            </w:r>
          </w:p>
        </w:tc>
        <w:tc>
          <w:tcPr>
            <w:tcW w:w="992" w:type="dxa"/>
            <w:tcBorders>
              <w:top w:val="nil"/>
              <w:left w:val="nil"/>
              <w:bottom w:val="single" w:color="auto" w:sz="4" w:space="0"/>
              <w:right w:val="single" w:color="auto" w:sz="4" w:space="0"/>
            </w:tcBorders>
            <w:shd w:val="clear" w:color="000000" w:fill="FFFFFF"/>
            <w:vAlign w:val="center"/>
          </w:tcPr>
          <w:p w14:paraId="57F2B9EC">
            <w:pPr>
              <w:widowControl/>
              <w:jc w:val="center"/>
              <w:rPr>
                <w:rFonts w:hint="eastAsia" w:ascii="宋体" w:hAnsi="宋体" w:cs="宋体"/>
                <w:kern w:val="0"/>
                <w:sz w:val="24"/>
              </w:rPr>
            </w:pPr>
            <w:r>
              <w:rPr>
                <w:rFonts w:hint="eastAsia" w:ascii="宋体" w:hAnsi="宋体" w:cs="宋体"/>
                <w:kern w:val="0"/>
                <w:sz w:val="24"/>
              </w:rPr>
              <w:t>瓶</w:t>
            </w:r>
          </w:p>
        </w:tc>
        <w:tc>
          <w:tcPr>
            <w:tcW w:w="992" w:type="dxa"/>
            <w:tcBorders>
              <w:top w:val="nil"/>
              <w:left w:val="nil"/>
              <w:bottom w:val="single" w:color="auto" w:sz="4" w:space="0"/>
              <w:right w:val="single" w:color="auto" w:sz="4" w:space="0"/>
            </w:tcBorders>
            <w:shd w:val="clear" w:color="000000" w:fill="FFFFFF"/>
            <w:noWrap/>
            <w:vAlign w:val="center"/>
          </w:tcPr>
          <w:p w14:paraId="15D36682">
            <w:pPr>
              <w:widowControl/>
              <w:jc w:val="center"/>
              <w:rPr>
                <w:rFonts w:hint="eastAsia" w:ascii="宋体" w:hAnsi="宋体" w:cs="宋体"/>
                <w:kern w:val="0"/>
                <w:sz w:val="24"/>
              </w:rPr>
            </w:pPr>
            <w:r>
              <w:rPr>
                <w:rFonts w:hint="eastAsia" w:ascii="宋体" w:hAnsi="宋体" w:cs="宋体"/>
                <w:kern w:val="0"/>
                <w:sz w:val="24"/>
              </w:rPr>
              <w:t>4</w:t>
            </w:r>
          </w:p>
        </w:tc>
        <w:tc>
          <w:tcPr>
            <w:tcW w:w="851" w:type="dxa"/>
            <w:tcBorders>
              <w:top w:val="nil"/>
              <w:left w:val="nil"/>
              <w:bottom w:val="single" w:color="auto" w:sz="4" w:space="0"/>
              <w:right w:val="single" w:color="auto" w:sz="4" w:space="0"/>
            </w:tcBorders>
            <w:shd w:val="clear" w:color="000000" w:fill="FFFFFF"/>
            <w:vAlign w:val="center"/>
          </w:tcPr>
          <w:p w14:paraId="6A103F8C">
            <w:pPr>
              <w:widowControl/>
              <w:jc w:val="center"/>
              <w:rPr>
                <w:rFonts w:hint="eastAsia" w:ascii="宋体" w:hAnsi="宋体" w:cs="宋体"/>
                <w:color w:val="000000"/>
                <w:kern w:val="0"/>
                <w:sz w:val="24"/>
              </w:rPr>
            </w:pPr>
            <w:r>
              <w:rPr>
                <w:rFonts w:hint="eastAsia" w:ascii="宋体" w:hAnsi="宋体" w:cs="宋体"/>
                <w:color w:val="000000"/>
                <w:kern w:val="0"/>
                <w:sz w:val="24"/>
              </w:rPr>
              <w:t>是</w:t>
            </w:r>
          </w:p>
        </w:tc>
        <w:tc>
          <w:tcPr>
            <w:tcW w:w="952" w:type="dxa"/>
            <w:tcBorders>
              <w:top w:val="nil"/>
              <w:left w:val="nil"/>
              <w:bottom w:val="single" w:color="auto" w:sz="4" w:space="0"/>
              <w:right w:val="single" w:color="auto" w:sz="4" w:space="0"/>
            </w:tcBorders>
            <w:shd w:val="clear" w:color="000000" w:fill="FFFFFF"/>
            <w:vAlign w:val="center"/>
          </w:tcPr>
          <w:p w14:paraId="0C62D227">
            <w:pPr>
              <w:widowControl/>
              <w:jc w:val="center"/>
              <w:rPr>
                <w:rFonts w:hint="eastAsia" w:ascii="宋体" w:hAnsi="宋体" w:cs="宋体"/>
                <w:color w:val="000000"/>
                <w:kern w:val="0"/>
                <w:sz w:val="24"/>
              </w:rPr>
            </w:pPr>
            <w:r>
              <w:rPr>
                <w:rFonts w:hint="eastAsia" w:ascii="宋体" w:hAnsi="宋体" w:cs="宋体"/>
                <w:color w:val="000000"/>
                <w:kern w:val="0"/>
                <w:sz w:val="24"/>
              </w:rPr>
              <w:t>否</w:t>
            </w:r>
          </w:p>
        </w:tc>
      </w:tr>
      <w:tr w14:paraId="2BF716AE">
        <w:tblPrEx>
          <w:tblCellMar>
            <w:top w:w="0" w:type="dxa"/>
            <w:left w:w="108" w:type="dxa"/>
            <w:bottom w:w="0" w:type="dxa"/>
            <w:right w:w="108" w:type="dxa"/>
          </w:tblCellMar>
        </w:tblPrEx>
        <w:trPr>
          <w:trHeight w:val="288" w:hRule="atLeast"/>
        </w:trPr>
        <w:tc>
          <w:tcPr>
            <w:tcW w:w="704" w:type="dxa"/>
            <w:tcBorders>
              <w:top w:val="nil"/>
              <w:left w:val="single" w:color="auto" w:sz="4" w:space="0"/>
              <w:bottom w:val="single" w:color="auto" w:sz="4" w:space="0"/>
              <w:right w:val="single" w:color="auto" w:sz="4" w:space="0"/>
            </w:tcBorders>
            <w:shd w:val="clear" w:color="000000" w:fill="FFFFFF"/>
            <w:vAlign w:val="center"/>
          </w:tcPr>
          <w:p w14:paraId="0D9AF2D3">
            <w:pPr>
              <w:widowControl/>
              <w:jc w:val="center"/>
              <w:rPr>
                <w:rFonts w:hint="eastAsia" w:ascii="宋体" w:hAnsi="宋体" w:cs="宋体"/>
                <w:kern w:val="0"/>
                <w:sz w:val="24"/>
              </w:rPr>
            </w:pPr>
            <w:r>
              <w:rPr>
                <w:rFonts w:hint="eastAsia" w:ascii="宋体" w:hAnsi="宋体" w:cs="宋体"/>
                <w:kern w:val="0"/>
                <w:sz w:val="24"/>
              </w:rPr>
              <w:t>14</w:t>
            </w:r>
          </w:p>
        </w:tc>
        <w:tc>
          <w:tcPr>
            <w:tcW w:w="2851" w:type="dxa"/>
            <w:tcBorders>
              <w:top w:val="nil"/>
              <w:left w:val="nil"/>
              <w:bottom w:val="single" w:color="auto" w:sz="4" w:space="0"/>
              <w:right w:val="single" w:color="auto" w:sz="4" w:space="0"/>
            </w:tcBorders>
            <w:shd w:val="clear" w:color="000000" w:fill="FFFFFF"/>
            <w:vAlign w:val="center"/>
          </w:tcPr>
          <w:p w14:paraId="0C6241AD">
            <w:pPr>
              <w:jc w:val="center"/>
              <w:rPr>
                <w:rFonts w:hint="eastAsia" w:ascii="宋体" w:hAnsi="宋体" w:cs="宋体"/>
                <w:sz w:val="24"/>
              </w:rPr>
            </w:pPr>
            <w:r>
              <w:rPr>
                <w:rFonts w:hint="eastAsia" w:ascii="宋体" w:hAnsi="宋体" w:cs="宋体"/>
                <w:sz w:val="24"/>
              </w:rPr>
              <w:t>卵泡刺激素检测试剂盒</w:t>
            </w:r>
          </w:p>
        </w:tc>
        <w:tc>
          <w:tcPr>
            <w:tcW w:w="1276" w:type="dxa"/>
            <w:tcBorders>
              <w:top w:val="nil"/>
              <w:left w:val="nil"/>
              <w:bottom w:val="single" w:color="auto" w:sz="4" w:space="0"/>
              <w:right w:val="single" w:color="auto" w:sz="4" w:space="0"/>
            </w:tcBorders>
            <w:shd w:val="clear" w:color="000000" w:fill="FFFFFF"/>
            <w:vAlign w:val="center"/>
          </w:tcPr>
          <w:p w14:paraId="307E4617">
            <w:pPr>
              <w:widowControl/>
              <w:jc w:val="center"/>
              <w:rPr>
                <w:rFonts w:hint="eastAsia" w:ascii="宋体" w:hAnsi="宋体" w:cs="宋体"/>
                <w:kern w:val="0"/>
                <w:sz w:val="24"/>
              </w:rPr>
            </w:pPr>
            <w:r>
              <w:rPr>
                <w:rFonts w:hint="eastAsia" w:ascii="宋体" w:hAnsi="宋体" w:cs="宋体"/>
                <w:kern w:val="0"/>
                <w:sz w:val="24"/>
              </w:rPr>
              <w:t>18.01</w:t>
            </w:r>
          </w:p>
        </w:tc>
        <w:tc>
          <w:tcPr>
            <w:tcW w:w="992" w:type="dxa"/>
            <w:tcBorders>
              <w:top w:val="nil"/>
              <w:left w:val="nil"/>
              <w:bottom w:val="single" w:color="auto" w:sz="4" w:space="0"/>
              <w:right w:val="single" w:color="auto" w:sz="4" w:space="0"/>
            </w:tcBorders>
            <w:shd w:val="clear" w:color="000000" w:fill="FFFFFF"/>
            <w:vAlign w:val="center"/>
          </w:tcPr>
          <w:p w14:paraId="7753BBB1">
            <w:pPr>
              <w:widowControl/>
              <w:jc w:val="center"/>
              <w:rPr>
                <w:rFonts w:hint="eastAsia" w:ascii="宋体" w:hAnsi="宋体" w:cs="宋体"/>
                <w:kern w:val="0"/>
                <w:sz w:val="24"/>
              </w:rPr>
            </w:pPr>
            <w:r>
              <w:rPr>
                <w:rFonts w:hint="eastAsia" w:ascii="宋体" w:hAnsi="宋体" w:cs="宋体"/>
                <w:kern w:val="0"/>
                <w:sz w:val="24"/>
              </w:rPr>
              <w:t>人份</w:t>
            </w:r>
          </w:p>
        </w:tc>
        <w:tc>
          <w:tcPr>
            <w:tcW w:w="992" w:type="dxa"/>
            <w:tcBorders>
              <w:top w:val="nil"/>
              <w:left w:val="nil"/>
              <w:bottom w:val="single" w:color="auto" w:sz="4" w:space="0"/>
              <w:right w:val="single" w:color="auto" w:sz="4" w:space="0"/>
            </w:tcBorders>
            <w:shd w:val="clear" w:color="000000" w:fill="FFFFFF"/>
            <w:noWrap/>
            <w:vAlign w:val="center"/>
          </w:tcPr>
          <w:p w14:paraId="62545F3F">
            <w:pPr>
              <w:widowControl/>
              <w:jc w:val="center"/>
              <w:rPr>
                <w:rFonts w:hint="eastAsia" w:ascii="宋体" w:hAnsi="宋体" w:cs="宋体"/>
                <w:kern w:val="0"/>
                <w:sz w:val="24"/>
              </w:rPr>
            </w:pPr>
            <w:r>
              <w:rPr>
                <w:rFonts w:hint="eastAsia" w:ascii="宋体" w:hAnsi="宋体" w:cs="宋体"/>
                <w:kern w:val="0"/>
                <w:sz w:val="24"/>
              </w:rPr>
              <w:t>1100</w:t>
            </w:r>
          </w:p>
        </w:tc>
        <w:tc>
          <w:tcPr>
            <w:tcW w:w="851" w:type="dxa"/>
            <w:tcBorders>
              <w:top w:val="nil"/>
              <w:left w:val="nil"/>
              <w:bottom w:val="single" w:color="auto" w:sz="4" w:space="0"/>
              <w:right w:val="single" w:color="auto" w:sz="4" w:space="0"/>
            </w:tcBorders>
            <w:shd w:val="clear" w:color="000000" w:fill="FFFFFF"/>
            <w:vAlign w:val="center"/>
          </w:tcPr>
          <w:p w14:paraId="59D6EE18">
            <w:pPr>
              <w:widowControl/>
              <w:jc w:val="center"/>
              <w:rPr>
                <w:rFonts w:hint="eastAsia" w:ascii="宋体" w:hAnsi="宋体" w:cs="宋体"/>
                <w:color w:val="000000"/>
                <w:kern w:val="0"/>
                <w:sz w:val="24"/>
              </w:rPr>
            </w:pPr>
            <w:r>
              <w:rPr>
                <w:rFonts w:hint="eastAsia" w:ascii="宋体" w:hAnsi="宋体" w:cs="宋体"/>
                <w:color w:val="000000"/>
                <w:kern w:val="0"/>
                <w:sz w:val="24"/>
              </w:rPr>
              <w:t>是</w:t>
            </w:r>
          </w:p>
        </w:tc>
        <w:tc>
          <w:tcPr>
            <w:tcW w:w="952" w:type="dxa"/>
            <w:tcBorders>
              <w:top w:val="nil"/>
              <w:left w:val="nil"/>
              <w:bottom w:val="single" w:color="auto" w:sz="4" w:space="0"/>
              <w:right w:val="single" w:color="auto" w:sz="4" w:space="0"/>
            </w:tcBorders>
            <w:shd w:val="clear" w:color="000000" w:fill="FFFFFF"/>
            <w:vAlign w:val="center"/>
          </w:tcPr>
          <w:p w14:paraId="2578F260">
            <w:pPr>
              <w:widowControl/>
              <w:jc w:val="center"/>
              <w:rPr>
                <w:rFonts w:hint="eastAsia" w:ascii="宋体" w:hAnsi="宋体" w:cs="宋体"/>
                <w:color w:val="000000"/>
                <w:kern w:val="0"/>
                <w:sz w:val="24"/>
              </w:rPr>
            </w:pPr>
            <w:r>
              <w:rPr>
                <w:rFonts w:hint="eastAsia" w:ascii="宋体" w:hAnsi="宋体" w:cs="宋体"/>
                <w:color w:val="000000"/>
                <w:kern w:val="0"/>
                <w:sz w:val="24"/>
              </w:rPr>
              <w:t>否</w:t>
            </w:r>
          </w:p>
        </w:tc>
      </w:tr>
      <w:tr w14:paraId="1C8C6937">
        <w:tblPrEx>
          <w:tblCellMar>
            <w:top w:w="0" w:type="dxa"/>
            <w:left w:w="108" w:type="dxa"/>
            <w:bottom w:w="0" w:type="dxa"/>
            <w:right w:w="108" w:type="dxa"/>
          </w:tblCellMar>
        </w:tblPrEx>
        <w:trPr>
          <w:trHeight w:val="288" w:hRule="atLeast"/>
        </w:trPr>
        <w:tc>
          <w:tcPr>
            <w:tcW w:w="704" w:type="dxa"/>
            <w:tcBorders>
              <w:top w:val="nil"/>
              <w:left w:val="single" w:color="auto" w:sz="4" w:space="0"/>
              <w:bottom w:val="single" w:color="auto" w:sz="4" w:space="0"/>
              <w:right w:val="single" w:color="auto" w:sz="4" w:space="0"/>
            </w:tcBorders>
            <w:shd w:val="clear" w:color="000000" w:fill="FFFFFF"/>
            <w:vAlign w:val="center"/>
          </w:tcPr>
          <w:p w14:paraId="412DE7D4">
            <w:pPr>
              <w:widowControl/>
              <w:jc w:val="center"/>
              <w:rPr>
                <w:rFonts w:hint="eastAsia" w:ascii="宋体" w:hAnsi="宋体" w:cs="宋体"/>
                <w:kern w:val="0"/>
                <w:sz w:val="24"/>
              </w:rPr>
            </w:pPr>
            <w:r>
              <w:rPr>
                <w:rFonts w:hint="eastAsia" w:ascii="宋体" w:hAnsi="宋体" w:cs="宋体"/>
                <w:kern w:val="0"/>
                <w:sz w:val="24"/>
              </w:rPr>
              <w:t>15</w:t>
            </w:r>
          </w:p>
        </w:tc>
        <w:tc>
          <w:tcPr>
            <w:tcW w:w="2851" w:type="dxa"/>
            <w:tcBorders>
              <w:top w:val="nil"/>
              <w:left w:val="nil"/>
              <w:bottom w:val="single" w:color="auto" w:sz="4" w:space="0"/>
              <w:right w:val="single" w:color="auto" w:sz="4" w:space="0"/>
            </w:tcBorders>
            <w:shd w:val="clear" w:color="000000" w:fill="FFFFFF"/>
            <w:vAlign w:val="center"/>
          </w:tcPr>
          <w:p w14:paraId="192388F5">
            <w:pPr>
              <w:jc w:val="center"/>
              <w:rPr>
                <w:rFonts w:hint="eastAsia" w:ascii="宋体" w:hAnsi="宋体" w:cs="宋体"/>
                <w:sz w:val="24"/>
              </w:rPr>
            </w:pPr>
            <w:r>
              <w:rPr>
                <w:rFonts w:hint="eastAsia" w:ascii="宋体" w:hAnsi="宋体" w:cs="宋体"/>
                <w:sz w:val="24"/>
              </w:rPr>
              <w:t>催乳素定标液</w:t>
            </w:r>
          </w:p>
        </w:tc>
        <w:tc>
          <w:tcPr>
            <w:tcW w:w="1276" w:type="dxa"/>
            <w:tcBorders>
              <w:top w:val="nil"/>
              <w:left w:val="nil"/>
              <w:bottom w:val="single" w:color="auto" w:sz="4" w:space="0"/>
              <w:right w:val="single" w:color="auto" w:sz="4" w:space="0"/>
            </w:tcBorders>
            <w:shd w:val="clear" w:color="000000" w:fill="FFFFFF"/>
            <w:vAlign w:val="center"/>
          </w:tcPr>
          <w:p w14:paraId="0349E9C9">
            <w:pPr>
              <w:widowControl/>
              <w:jc w:val="center"/>
              <w:rPr>
                <w:rFonts w:hint="eastAsia" w:ascii="宋体" w:hAnsi="宋体" w:cs="宋体"/>
                <w:kern w:val="0"/>
                <w:sz w:val="24"/>
              </w:rPr>
            </w:pPr>
            <w:r>
              <w:rPr>
                <w:rFonts w:hint="eastAsia" w:ascii="宋体" w:hAnsi="宋体" w:cs="宋体"/>
                <w:kern w:val="0"/>
                <w:sz w:val="24"/>
              </w:rPr>
              <w:t>287.5</w:t>
            </w:r>
          </w:p>
        </w:tc>
        <w:tc>
          <w:tcPr>
            <w:tcW w:w="992" w:type="dxa"/>
            <w:tcBorders>
              <w:top w:val="nil"/>
              <w:left w:val="nil"/>
              <w:bottom w:val="single" w:color="auto" w:sz="4" w:space="0"/>
              <w:right w:val="single" w:color="auto" w:sz="4" w:space="0"/>
            </w:tcBorders>
            <w:shd w:val="clear" w:color="000000" w:fill="FFFFFF"/>
            <w:vAlign w:val="center"/>
          </w:tcPr>
          <w:p w14:paraId="459A8223">
            <w:pPr>
              <w:widowControl/>
              <w:jc w:val="center"/>
              <w:rPr>
                <w:rFonts w:hint="eastAsia" w:ascii="宋体" w:hAnsi="宋体" w:cs="宋体"/>
                <w:kern w:val="0"/>
                <w:sz w:val="24"/>
              </w:rPr>
            </w:pPr>
            <w:r>
              <w:rPr>
                <w:rFonts w:hint="eastAsia" w:ascii="宋体" w:hAnsi="宋体" w:cs="宋体"/>
                <w:kern w:val="0"/>
                <w:sz w:val="24"/>
              </w:rPr>
              <w:t>ml</w:t>
            </w:r>
          </w:p>
        </w:tc>
        <w:tc>
          <w:tcPr>
            <w:tcW w:w="992" w:type="dxa"/>
            <w:tcBorders>
              <w:top w:val="nil"/>
              <w:left w:val="nil"/>
              <w:bottom w:val="single" w:color="auto" w:sz="4" w:space="0"/>
              <w:right w:val="single" w:color="auto" w:sz="4" w:space="0"/>
            </w:tcBorders>
            <w:shd w:val="clear" w:color="000000" w:fill="FFFFFF"/>
            <w:noWrap/>
            <w:vAlign w:val="center"/>
          </w:tcPr>
          <w:p w14:paraId="537F4272">
            <w:pPr>
              <w:widowControl/>
              <w:jc w:val="center"/>
              <w:rPr>
                <w:rFonts w:hint="eastAsia" w:ascii="宋体" w:hAnsi="宋体" w:cs="宋体"/>
                <w:kern w:val="0"/>
                <w:sz w:val="24"/>
              </w:rPr>
            </w:pPr>
            <w:r>
              <w:rPr>
                <w:rFonts w:hint="eastAsia" w:ascii="宋体" w:hAnsi="宋体" w:cs="宋体"/>
                <w:kern w:val="0"/>
                <w:sz w:val="24"/>
              </w:rPr>
              <w:t>4</w:t>
            </w:r>
          </w:p>
        </w:tc>
        <w:tc>
          <w:tcPr>
            <w:tcW w:w="851" w:type="dxa"/>
            <w:tcBorders>
              <w:top w:val="nil"/>
              <w:left w:val="nil"/>
              <w:bottom w:val="single" w:color="auto" w:sz="4" w:space="0"/>
              <w:right w:val="single" w:color="auto" w:sz="4" w:space="0"/>
            </w:tcBorders>
            <w:shd w:val="clear" w:color="000000" w:fill="FFFFFF"/>
            <w:vAlign w:val="center"/>
          </w:tcPr>
          <w:p w14:paraId="5424F611">
            <w:pPr>
              <w:widowControl/>
              <w:jc w:val="center"/>
              <w:rPr>
                <w:rFonts w:hint="eastAsia" w:ascii="宋体" w:hAnsi="宋体" w:cs="宋体"/>
                <w:color w:val="000000"/>
                <w:kern w:val="0"/>
                <w:sz w:val="24"/>
              </w:rPr>
            </w:pPr>
            <w:r>
              <w:rPr>
                <w:rFonts w:hint="eastAsia" w:ascii="宋体" w:hAnsi="宋体" w:cs="宋体"/>
                <w:color w:val="000000"/>
                <w:kern w:val="0"/>
                <w:sz w:val="24"/>
              </w:rPr>
              <w:t>是</w:t>
            </w:r>
          </w:p>
        </w:tc>
        <w:tc>
          <w:tcPr>
            <w:tcW w:w="952" w:type="dxa"/>
            <w:tcBorders>
              <w:top w:val="nil"/>
              <w:left w:val="nil"/>
              <w:bottom w:val="single" w:color="auto" w:sz="4" w:space="0"/>
              <w:right w:val="single" w:color="auto" w:sz="4" w:space="0"/>
            </w:tcBorders>
            <w:shd w:val="clear" w:color="000000" w:fill="FFFFFF"/>
            <w:vAlign w:val="center"/>
          </w:tcPr>
          <w:p w14:paraId="2900BE2C">
            <w:pPr>
              <w:widowControl/>
              <w:jc w:val="center"/>
              <w:rPr>
                <w:rFonts w:hint="eastAsia" w:ascii="宋体" w:hAnsi="宋体" w:cs="宋体"/>
                <w:color w:val="000000"/>
                <w:kern w:val="0"/>
                <w:sz w:val="24"/>
              </w:rPr>
            </w:pPr>
            <w:r>
              <w:rPr>
                <w:rFonts w:hint="eastAsia" w:ascii="宋体" w:hAnsi="宋体" w:cs="宋体"/>
                <w:color w:val="000000"/>
                <w:kern w:val="0"/>
                <w:sz w:val="24"/>
              </w:rPr>
              <w:t>否</w:t>
            </w:r>
          </w:p>
        </w:tc>
      </w:tr>
      <w:tr w14:paraId="14B4F4EB">
        <w:tblPrEx>
          <w:tblCellMar>
            <w:top w:w="0" w:type="dxa"/>
            <w:left w:w="108" w:type="dxa"/>
            <w:bottom w:w="0" w:type="dxa"/>
            <w:right w:w="108" w:type="dxa"/>
          </w:tblCellMar>
        </w:tblPrEx>
        <w:trPr>
          <w:trHeight w:val="288" w:hRule="atLeast"/>
        </w:trPr>
        <w:tc>
          <w:tcPr>
            <w:tcW w:w="704" w:type="dxa"/>
            <w:tcBorders>
              <w:top w:val="nil"/>
              <w:left w:val="single" w:color="auto" w:sz="4" w:space="0"/>
              <w:bottom w:val="single" w:color="auto" w:sz="4" w:space="0"/>
              <w:right w:val="single" w:color="auto" w:sz="4" w:space="0"/>
            </w:tcBorders>
            <w:shd w:val="clear" w:color="000000" w:fill="FFFFFF"/>
            <w:vAlign w:val="center"/>
          </w:tcPr>
          <w:p w14:paraId="51AD248B">
            <w:pPr>
              <w:widowControl/>
              <w:jc w:val="center"/>
              <w:rPr>
                <w:rFonts w:hint="eastAsia" w:ascii="宋体" w:hAnsi="宋体" w:cs="宋体"/>
                <w:kern w:val="0"/>
                <w:sz w:val="24"/>
              </w:rPr>
            </w:pPr>
            <w:r>
              <w:rPr>
                <w:rFonts w:hint="eastAsia" w:ascii="宋体" w:hAnsi="宋体" w:cs="宋体"/>
                <w:kern w:val="0"/>
                <w:sz w:val="24"/>
              </w:rPr>
              <w:t>16</w:t>
            </w:r>
          </w:p>
        </w:tc>
        <w:tc>
          <w:tcPr>
            <w:tcW w:w="2851" w:type="dxa"/>
            <w:tcBorders>
              <w:top w:val="nil"/>
              <w:left w:val="nil"/>
              <w:bottom w:val="single" w:color="auto" w:sz="4" w:space="0"/>
              <w:right w:val="single" w:color="auto" w:sz="4" w:space="0"/>
            </w:tcBorders>
            <w:shd w:val="clear" w:color="000000" w:fill="FFFFFF"/>
            <w:vAlign w:val="center"/>
          </w:tcPr>
          <w:p w14:paraId="7A5FBFDC">
            <w:pPr>
              <w:jc w:val="center"/>
              <w:rPr>
                <w:rFonts w:hint="eastAsia" w:ascii="宋体" w:hAnsi="宋体" w:cs="宋体"/>
                <w:sz w:val="24"/>
              </w:rPr>
            </w:pPr>
            <w:r>
              <w:rPr>
                <w:rFonts w:hint="eastAsia" w:ascii="宋体" w:hAnsi="宋体" w:cs="宋体"/>
                <w:sz w:val="24"/>
              </w:rPr>
              <w:t>催乳素检测试剂盒</w:t>
            </w:r>
          </w:p>
        </w:tc>
        <w:tc>
          <w:tcPr>
            <w:tcW w:w="1276" w:type="dxa"/>
            <w:tcBorders>
              <w:top w:val="nil"/>
              <w:left w:val="nil"/>
              <w:bottom w:val="single" w:color="auto" w:sz="4" w:space="0"/>
              <w:right w:val="single" w:color="auto" w:sz="4" w:space="0"/>
            </w:tcBorders>
            <w:shd w:val="clear" w:color="000000" w:fill="FFFFFF"/>
            <w:vAlign w:val="center"/>
          </w:tcPr>
          <w:p w14:paraId="4650532F">
            <w:pPr>
              <w:widowControl/>
              <w:jc w:val="center"/>
              <w:rPr>
                <w:rFonts w:hint="eastAsia" w:ascii="宋体" w:hAnsi="宋体" w:cs="宋体"/>
                <w:kern w:val="0"/>
                <w:sz w:val="24"/>
              </w:rPr>
            </w:pPr>
            <w:r>
              <w:rPr>
                <w:rFonts w:hint="eastAsia" w:ascii="宋体" w:hAnsi="宋体" w:cs="宋体"/>
                <w:kern w:val="0"/>
                <w:sz w:val="24"/>
              </w:rPr>
              <w:t>18.01</w:t>
            </w:r>
          </w:p>
        </w:tc>
        <w:tc>
          <w:tcPr>
            <w:tcW w:w="992" w:type="dxa"/>
            <w:tcBorders>
              <w:top w:val="nil"/>
              <w:left w:val="nil"/>
              <w:bottom w:val="single" w:color="auto" w:sz="4" w:space="0"/>
              <w:right w:val="single" w:color="auto" w:sz="4" w:space="0"/>
            </w:tcBorders>
            <w:shd w:val="clear" w:color="000000" w:fill="FFFFFF"/>
            <w:vAlign w:val="center"/>
          </w:tcPr>
          <w:p w14:paraId="1293FA15">
            <w:pPr>
              <w:widowControl/>
              <w:jc w:val="center"/>
              <w:rPr>
                <w:rFonts w:hint="eastAsia" w:ascii="宋体" w:hAnsi="宋体" w:cs="宋体"/>
                <w:kern w:val="0"/>
                <w:sz w:val="24"/>
              </w:rPr>
            </w:pPr>
            <w:r>
              <w:rPr>
                <w:rFonts w:hint="eastAsia" w:ascii="宋体" w:hAnsi="宋体" w:cs="宋体"/>
                <w:kern w:val="0"/>
                <w:sz w:val="24"/>
              </w:rPr>
              <w:t>人份</w:t>
            </w:r>
          </w:p>
        </w:tc>
        <w:tc>
          <w:tcPr>
            <w:tcW w:w="992" w:type="dxa"/>
            <w:tcBorders>
              <w:top w:val="nil"/>
              <w:left w:val="nil"/>
              <w:bottom w:val="single" w:color="auto" w:sz="4" w:space="0"/>
              <w:right w:val="single" w:color="auto" w:sz="4" w:space="0"/>
            </w:tcBorders>
            <w:shd w:val="clear" w:color="000000" w:fill="FFFFFF"/>
            <w:noWrap/>
            <w:vAlign w:val="center"/>
          </w:tcPr>
          <w:p w14:paraId="51EDC075">
            <w:pPr>
              <w:widowControl/>
              <w:jc w:val="center"/>
              <w:rPr>
                <w:rFonts w:hint="eastAsia" w:ascii="宋体" w:hAnsi="宋体" w:cs="宋体"/>
                <w:kern w:val="0"/>
                <w:sz w:val="24"/>
              </w:rPr>
            </w:pPr>
            <w:r>
              <w:rPr>
                <w:rFonts w:hint="eastAsia" w:ascii="宋体" w:hAnsi="宋体" w:cs="宋体"/>
                <w:kern w:val="0"/>
                <w:sz w:val="24"/>
              </w:rPr>
              <w:t>1100</w:t>
            </w:r>
          </w:p>
        </w:tc>
        <w:tc>
          <w:tcPr>
            <w:tcW w:w="851" w:type="dxa"/>
            <w:tcBorders>
              <w:top w:val="nil"/>
              <w:left w:val="nil"/>
              <w:bottom w:val="single" w:color="auto" w:sz="4" w:space="0"/>
              <w:right w:val="single" w:color="auto" w:sz="4" w:space="0"/>
            </w:tcBorders>
            <w:shd w:val="clear" w:color="000000" w:fill="FFFFFF"/>
            <w:vAlign w:val="center"/>
          </w:tcPr>
          <w:p w14:paraId="28FD37A0">
            <w:pPr>
              <w:widowControl/>
              <w:jc w:val="center"/>
              <w:rPr>
                <w:rFonts w:hint="eastAsia" w:ascii="宋体" w:hAnsi="宋体" w:cs="宋体"/>
                <w:color w:val="000000"/>
                <w:kern w:val="0"/>
                <w:sz w:val="24"/>
              </w:rPr>
            </w:pPr>
            <w:r>
              <w:rPr>
                <w:rFonts w:hint="eastAsia" w:ascii="宋体" w:hAnsi="宋体" w:cs="宋体"/>
                <w:color w:val="000000"/>
                <w:kern w:val="0"/>
                <w:sz w:val="24"/>
              </w:rPr>
              <w:t>是</w:t>
            </w:r>
          </w:p>
        </w:tc>
        <w:tc>
          <w:tcPr>
            <w:tcW w:w="952" w:type="dxa"/>
            <w:tcBorders>
              <w:top w:val="nil"/>
              <w:left w:val="nil"/>
              <w:bottom w:val="single" w:color="auto" w:sz="4" w:space="0"/>
              <w:right w:val="single" w:color="auto" w:sz="4" w:space="0"/>
            </w:tcBorders>
            <w:shd w:val="clear" w:color="000000" w:fill="FFFFFF"/>
            <w:vAlign w:val="center"/>
          </w:tcPr>
          <w:p w14:paraId="154BB6EA">
            <w:pPr>
              <w:widowControl/>
              <w:jc w:val="center"/>
              <w:rPr>
                <w:rFonts w:hint="eastAsia" w:ascii="宋体" w:hAnsi="宋体" w:cs="宋体"/>
                <w:color w:val="000000"/>
                <w:kern w:val="0"/>
                <w:sz w:val="24"/>
              </w:rPr>
            </w:pPr>
            <w:r>
              <w:rPr>
                <w:rFonts w:hint="eastAsia" w:ascii="宋体" w:hAnsi="宋体" w:cs="宋体"/>
                <w:color w:val="000000"/>
                <w:kern w:val="0"/>
                <w:sz w:val="24"/>
              </w:rPr>
              <w:t>否</w:t>
            </w:r>
          </w:p>
        </w:tc>
      </w:tr>
      <w:tr w14:paraId="7E48D89A">
        <w:tblPrEx>
          <w:tblCellMar>
            <w:top w:w="0" w:type="dxa"/>
            <w:left w:w="108" w:type="dxa"/>
            <w:bottom w:w="0" w:type="dxa"/>
            <w:right w:w="108" w:type="dxa"/>
          </w:tblCellMar>
        </w:tblPrEx>
        <w:trPr>
          <w:trHeight w:val="288" w:hRule="atLeast"/>
        </w:trPr>
        <w:tc>
          <w:tcPr>
            <w:tcW w:w="704" w:type="dxa"/>
            <w:tcBorders>
              <w:top w:val="nil"/>
              <w:left w:val="single" w:color="auto" w:sz="4" w:space="0"/>
              <w:bottom w:val="single" w:color="auto" w:sz="4" w:space="0"/>
              <w:right w:val="single" w:color="auto" w:sz="4" w:space="0"/>
            </w:tcBorders>
            <w:shd w:val="clear" w:color="000000" w:fill="FFFFFF"/>
            <w:vAlign w:val="center"/>
          </w:tcPr>
          <w:p w14:paraId="7D24A0E7">
            <w:pPr>
              <w:widowControl/>
              <w:jc w:val="center"/>
              <w:rPr>
                <w:rFonts w:hint="eastAsia" w:ascii="宋体" w:hAnsi="宋体" w:cs="宋体"/>
                <w:kern w:val="0"/>
                <w:sz w:val="24"/>
              </w:rPr>
            </w:pPr>
            <w:r>
              <w:rPr>
                <w:rFonts w:hint="eastAsia" w:ascii="宋体" w:hAnsi="宋体" w:cs="宋体"/>
                <w:kern w:val="0"/>
                <w:sz w:val="24"/>
              </w:rPr>
              <w:t>17</w:t>
            </w:r>
          </w:p>
        </w:tc>
        <w:tc>
          <w:tcPr>
            <w:tcW w:w="2851" w:type="dxa"/>
            <w:tcBorders>
              <w:top w:val="nil"/>
              <w:left w:val="nil"/>
              <w:bottom w:val="single" w:color="auto" w:sz="4" w:space="0"/>
              <w:right w:val="single" w:color="auto" w:sz="4" w:space="0"/>
            </w:tcBorders>
            <w:shd w:val="clear" w:color="000000" w:fill="FFFFFF"/>
            <w:vAlign w:val="center"/>
          </w:tcPr>
          <w:p w14:paraId="013DAD57">
            <w:pPr>
              <w:jc w:val="center"/>
              <w:rPr>
                <w:rFonts w:hint="eastAsia" w:ascii="宋体" w:hAnsi="宋体" w:cs="宋体"/>
                <w:sz w:val="24"/>
              </w:rPr>
            </w:pPr>
            <w:r>
              <w:rPr>
                <w:rFonts w:hint="eastAsia" w:ascii="宋体" w:hAnsi="宋体" w:cs="宋体"/>
                <w:sz w:val="24"/>
              </w:rPr>
              <w:t>多标记物质控品</w:t>
            </w:r>
          </w:p>
        </w:tc>
        <w:tc>
          <w:tcPr>
            <w:tcW w:w="1276" w:type="dxa"/>
            <w:tcBorders>
              <w:top w:val="nil"/>
              <w:left w:val="nil"/>
              <w:bottom w:val="single" w:color="auto" w:sz="4" w:space="0"/>
              <w:right w:val="single" w:color="auto" w:sz="4" w:space="0"/>
            </w:tcBorders>
            <w:shd w:val="clear" w:color="000000" w:fill="FFFFFF"/>
            <w:vAlign w:val="center"/>
          </w:tcPr>
          <w:p w14:paraId="362F99FA">
            <w:pPr>
              <w:widowControl/>
              <w:jc w:val="center"/>
              <w:rPr>
                <w:rFonts w:hint="eastAsia" w:ascii="宋体" w:hAnsi="宋体" w:cs="宋体"/>
                <w:kern w:val="0"/>
                <w:sz w:val="24"/>
              </w:rPr>
            </w:pPr>
            <w:r>
              <w:rPr>
                <w:rFonts w:hint="eastAsia" w:ascii="宋体" w:hAnsi="宋体" w:cs="宋体"/>
                <w:kern w:val="0"/>
                <w:sz w:val="24"/>
              </w:rPr>
              <w:t>108.34</w:t>
            </w:r>
          </w:p>
        </w:tc>
        <w:tc>
          <w:tcPr>
            <w:tcW w:w="992" w:type="dxa"/>
            <w:tcBorders>
              <w:top w:val="nil"/>
              <w:left w:val="nil"/>
              <w:bottom w:val="single" w:color="auto" w:sz="4" w:space="0"/>
              <w:right w:val="single" w:color="auto" w:sz="4" w:space="0"/>
            </w:tcBorders>
            <w:shd w:val="clear" w:color="000000" w:fill="FFFFFF"/>
            <w:vAlign w:val="center"/>
          </w:tcPr>
          <w:p w14:paraId="5B32EE93">
            <w:pPr>
              <w:widowControl/>
              <w:jc w:val="center"/>
              <w:rPr>
                <w:rFonts w:hint="eastAsia" w:ascii="宋体" w:hAnsi="宋体" w:cs="宋体"/>
                <w:kern w:val="0"/>
                <w:sz w:val="24"/>
              </w:rPr>
            </w:pPr>
            <w:r>
              <w:rPr>
                <w:rFonts w:hint="eastAsia" w:ascii="宋体" w:hAnsi="宋体" w:cs="宋体"/>
                <w:kern w:val="0"/>
                <w:sz w:val="24"/>
              </w:rPr>
              <w:t>ml</w:t>
            </w:r>
          </w:p>
        </w:tc>
        <w:tc>
          <w:tcPr>
            <w:tcW w:w="992" w:type="dxa"/>
            <w:tcBorders>
              <w:top w:val="nil"/>
              <w:left w:val="nil"/>
              <w:bottom w:val="single" w:color="auto" w:sz="4" w:space="0"/>
              <w:right w:val="single" w:color="auto" w:sz="4" w:space="0"/>
            </w:tcBorders>
            <w:shd w:val="clear" w:color="000000" w:fill="FFFFFF"/>
            <w:noWrap/>
            <w:vAlign w:val="center"/>
          </w:tcPr>
          <w:p w14:paraId="4BF77224">
            <w:pPr>
              <w:widowControl/>
              <w:jc w:val="center"/>
              <w:rPr>
                <w:rFonts w:hint="eastAsia" w:ascii="宋体" w:hAnsi="宋体" w:cs="宋体"/>
                <w:kern w:val="0"/>
                <w:sz w:val="24"/>
              </w:rPr>
            </w:pPr>
            <w:r>
              <w:rPr>
                <w:rFonts w:hint="eastAsia" w:ascii="宋体" w:hAnsi="宋体" w:cs="宋体"/>
                <w:kern w:val="0"/>
                <w:sz w:val="24"/>
              </w:rPr>
              <w:t>48</w:t>
            </w:r>
          </w:p>
        </w:tc>
        <w:tc>
          <w:tcPr>
            <w:tcW w:w="851" w:type="dxa"/>
            <w:tcBorders>
              <w:top w:val="nil"/>
              <w:left w:val="nil"/>
              <w:bottom w:val="single" w:color="auto" w:sz="4" w:space="0"/>
              <w:right w:val="single" w:color="auto" w:sz="4" w:space="0"/>
            </w:tcBorders>
            <w:shd w:val="clear" w:color="000000" w:fill="FFFFFF"/>
            <w:vAlign w:val="center"/>
          </w:tcPr>
          <w:p w14:paraId="6EE2A8C4">
            <w:pPr>
              <w:widowControl/>
              <w:jc w:val="center"/>
              <w:rPr>
                <w:rFonts w:hint="eastAsia" w:ascii="宋体" w:hAnsi="宋体" w:cs="宋体"/>
                <w:color w:val="000000"/>
                <w:kern w:val="0"/>
                <w:sz w:val="24"/>
              </w:rPr>
            </w:pPr>
            <w:r>
              <w:rPr>
                <w:rFonts w:hint="eastAsia" w:ascii="宋体" w:hAnsi="宋体" w:cs="宋体"/>
                <w:color w:val="000000"/>
                <w:kern w:val="0"/>
                <w:sz w:val="24"/>
              </w:rPr>
              <w:t>是</w:t>
            </w:r>
          </w:p>
        </w:tc>
        <w:tc>
          <w:tcPr>
            <w:tcW w:w="952" w:type="dxa"/>
            <w:tcBorders>
              <w:top w:val="nil"/>
              <w:left w:val="nil"/>
              <w:bottom w:val="single" w:color="auto" w:sz="4" w:space="0"/>
              <w:right w:val="single" w:color="auto" w:sz="4" w:space="0"/>
            </w:tcBorders>
            <w:shd w:val="clear" w:color="000000" w:fill="FFFFFF"/>
            <w:vAlign w:val="center"/>
          </w:tcPr>
          <w:p w14:paraId="0871514E">
            <w:pPr>
              <w:widowControl/>
              <w:jc w:val="center"/>
              <w:rPr>
                <w:rFonts w:hint="eastAsia" w:ascii="宋体" w:hAnsi="宋体" w:cs="宋体"/>
                <w:color w:val="000000"/>
                <w:kern w:val="0"/>
                <w:sz w:val="24"/>
              </w:rPr>
            </w:pPr>
            <w:r>
              <w:rPr>
                <w:rFonts w:hint="eastAsia" w:ascii="宋体" w:hAnsi="宋体" w:cs="宋体"/>
                <w:color w:val="000000"/>
                <w:kern w:val="0"/>
                <w:sz w:val="24"/>
              </w:rPr>
              <w:t>否</w:t>
            </w:r>
          </w:p>
        </w:tc>
      </w:tr>
      <w:tr w14:paraId="6E3F5277">
        <w:tblPrEx>
          <w:tblCellMar>
            <w:top w:w="0" w:type="dxa"/>
            <w:left w:w="108" w:type="dxa"/>
            <w:bottom w:w="0" w:type="dxa"/>
            <w:right w:w="108" w:type="dxa"/>
          </w:tblCellMar>
        </w:tblPrEx>
        <w:trPr>
          <w:trHeight w:val="576" w:hRule="atLeast"/>
        </w:trPr>
        <w:tc>
          <w:tcPr>
            <w:tcW w:w="704" w:type="dxa"/>
            <w:tcBorders>
              <w:top w:val="nil"/>
              <w:left w:val="single" w:color="auto" w:sz="4" w:space="0"/>
              <w:bottom w:val="single" w:color="auto" w:sz="4" w:space="0"/>
              <w:right w:val="single" w:color="auto" w:sz="4" w:space="0"/>
            </w:tcBorders>
            <w:shd w:val="clear" w:color="000000" w:fill="FFFFFF"/>
            <w:vAlign w:val="center"/>
          </w:tcPr>
          <w:p w14:paraId="4BAA7FC9">
            <w:pPr>
              <w:widowControl/>
              <w:jc w:val="center"/>
              <w:rPr>
                <w:rFonts w:hint="eastAsia" w:ascii="宋体" w:hAnsi="宋体" w:cs="宋体"/>
                <w:kern w:val="0"/>
                <w:sz w:val="24"/>
              </w:rPr>
            </w:pPr>
            <w:r>
              <w:rPr>
                <w:rFonts w:hint="eastAsia" w:ascii="宋体" w:hAnsi="宋体" w:cs="宋体"/>
                <w:kern w:val="0"/>
                <w:sz w:val="24"/>
              </w:rPr>
              <w:t>18</w:t>
            </w:r>
          </w:p>
        </w:tc>
        <w:tc>
          <w:tcPr>
            <w:tcW w:w="2851" w:type="dxa"/>
            <w:tcBorders>
              <w:top w:val="nil"/>
              <w:left w:val="nil"/>
              <w:bottom w:val="single" w:color="auto" w:sz="4" w:space="0"/>
              <w:right w:val="single" w:color="auto" w:sz="4" w:space="0"/>
            </w:tcBorders>
            <w:shd w:val="clear" w:color="000000" w:fill="FFFFFF"/>
            <w:vAlign w:val="center"/>
          </w:tcPr>
          <w:p w14:paraId="66F514F7">
            <w:pPr>
              <w:jc w:val="center"/>
              <w:rPr>
                <w:rFonts w:hint="eastAsia" w:ascii="宋体" w:hAnsi="宋体" w:cs="宋体"/>
                <w:sz w:val="24"/>
              </w:rPr>
            </w:pPr>
            <w:r>
              <w:rPr>
                <w:rFonts w:hint="eastAsia" w:ascii="宋体" w:hAnsi="宋体" w:cs="宋体"/>
                <w:sz w:val="24"/>
              </w:rPr>
              <w:t>细胞角蛋白19片段检测定标液</w:t>
            </w:r>
          </w:p>
        </w:tc>
        <w:tc>
          <w:tcPr>
            <w:tcW w:w="1276" w:type="dxa"/>
            <w:tcBorders>
              <w:top w:val="nil"/>
              <w:left w:val="nil"/>
              <w:bottom w:val="single" w:color="auto" w:sz="4" w:space="0"/>
              <w:right w:val="single" w:color="auto" w:sz="4" w:space="0"/>
            </w:tcBorders>
            <w:shd w:val="clear" w:color="000000" w:fill="FFFFFF"/>
            <w:vAlign w:val="center"/>
          </w:tcPr>
          <w:p w14:paraId="6332247D">
            <w:pPr>
              <w:widowControl/>
              <w:jc w:val="center"/>
              <w:rPr>
                <w:rFonts w:hint="eastAsia" w:ascii="宋体" w:hAnsi="宋体" w:cs="宋体"/>
                <w:kern w:val="0"/>
                <w:sz w:val="24"/>
              </w:rPr>
            </w:pPr>
            <w:r>
              <w:rPr>
                <w:rFonts w:hint="eastAsia" w:ascii="宋体" w:hAnsi="宋体" w:cs="宋体"/>
                <w:kern w:val="0"/>
                <w:sz w:val="24"/>
              </w:rPr>
              <w:t>350</w:t>
            </w:r>
          </w:p>
        </w:tc>
        <w:tc>
          <w:tcPr>
            <w:tcW w:w="992" w:type="dxa"/>
            <w:tcBorders>
              <w:top w:val="nil"/>
              <w:left w:val="nil"/>
              <w:bottom w:val="single" w:color="auto" w:sz="4" w:space="0"/>
              <w:right w:val="single" w:color="auto" w:sz="4" w:space="0"/>
            </w:tcBorders>
            <w:shd w:val="clear" w:color="000000" w:fill="FFFFFF"/>
            <w:vAlign w:val="center"/>
          </w:tcPr>
          <w:p w14:paraId="15AECAAC">
            <w:pPr>
              <w:widowControl/>
              <w:jc w:val="center"/>
              <w:rPr>
                <w:rFonts w:hint="eastAsia" w:ascii="宋体" w:hAnsi="宋体" w:cs="宋体"/>
                <w:kern w:val="0"/>
                <w:sz w:val="24"/>
              </w:rPr>
            </w:pPr>
            <w:r>
              <w:rPr>
                <w:rFonts w:hint="eastAsia" w:ascii="宋体" w:hAnsi="宋体" w:cs="宋体"/>
                <w:kern w:val="0"/>
                <w:sz w:val="24"/>
              </w:rPr>
              <w:t>ml</w:t>
            </w:r>
          </w:p>
        </w:tc>
        <w:tc>
          <w:tcPr>
            <w:tcW w:w="992" w:type="dxa"/>
            <w:tcBorders>
              <w:top w:val="nil"/>
              <w:left w:val="nil"/>
              <w:bottom w:val="single" w:color="auto" w:sz="4" w:space="0"/>
              <w:right w:val="single" w:color="auto" w:sz="4" w:space="0"/>
            </w:tcBorders>
            <w:shd w:val="clear" w:color="000000" w:fill="FFFFFF"/>
            <w:noWrap/>
            <w:vAlign w:val="center"/>
          </w:tcPr>
          <w:p w14:paraId="6DA1D43D">
            <w:pPr>
              <w:widowControl/>
              <w:jc w:val="center"/>
              <w:rPr>
                <w:rFonts w:hint="eastAsia" w:ascii="宋体" w:hAnsi="宋体" w:cs="宋体"/>
                <w:kern w:val="0"/>
                <w:sz w:val="24"/>
              </w:rPr>
            </w:pPr>
            <w:r>
              <w:rPr>
                <w:rFonts w:hint="eastAsia" w:ascii="宋体" w:hAnsi="宋体" w:cs="宋体"/>
                <w:kern w:val="0"/>
                <w:sz w:val="24"/>
              </w:rPr>
              <w:t>4</w:t>
            </w:r>
          </w:p>
        </w:tc>
        <w:tc>
          <w:tcPr>
            <w:tcW w:w="851" w:type="dxa"/>
            <w:tcBorders>
              <w:top w:val="nil"/>
              <w:left w:val="nil"/>
              <w:bottom w:val="single" w:color="auto" w:sz="4" w:space="0"/>
              <w:right w:val="single" w:color="auto" w:sz="4" w:space="0"/>
            </w:tcBorders>
            <w:shd w:val="clear" w:color="000000" w:fill="FFFFFF"/>
            <w:vAlign w:val="center"/>
          </w:tcPr>
          <w:p w14:paraId="74582B5B">
            <w:pPr>
              <w:widowControl/>
              <w:jc w:val="center"/>
              <w:rPr>
                <w:rFonts w:hint="eastAsia" w:ascii="宋体" w:hAnsi="宋体" w:cs="宋体"/>
                <w:color w:val="000000"/>
                <w:kern w:val="0"/>
                <w:sz w:val="24"/>
              </w:rPr>
            </w:pPr>
            <w:r>
              <w:rPr>
                <w:rFonts w:hint="eastAsia" w:ascii="宋体" w:hAnsi="宋体" w:cs="宋体"/>
                <w:color w:val="000000"/>
                <w:kern w:val="0"/>
                <w:sz w:val="24"/>
              </w:rPr>
              <w:t>是</w:t>
            </w:r>
          </w:p>
        </w:tc>
        <w:tc>
          <w:tcPr>
            <w:tcW w:w="952" w:type="dxa"/>
            <w:tcBorders>
              <w:top w:val="nil"/>
              <w:left w:val="nil"/>
              <w:bottom w:val="single" w:color="auto" w:sz="4" w:space="0"/>
              <w:right w:val="single" w:color="auto" w:sz="4" w:space="0"/>
            </w:tcBorders>
            <w:shd w:val="clear" w:color="000000" w:fill="FFFFFF"/>
            <w:vAlign w:val="center"/>
          </w:tcPr>
          <w:p w14:paraId="7584445B">
            <w:pPr>
              <w:widowControl/>
              <w:jc w:val="center"/>
              <w:rPr>
                <w:rFonts w:hint="eastAsia" w:ascii="宋体" w:hAnsi="宋体" w:cs="宋体"/>
                <w:color w:val="000000"/>
                <w:kern w:val="0"/>
                <w:sz w:val="24"/>
              </w:rPr>
            </w:pPr>
            <w:r>
              <w:rPr>
                <w:rFonts w:hint="eastAsia" w:ascii="宋体" w:hAnsi="宋体" w:cs="宋体"/>
                <w:color w:val="000000"/>
                <w:kern w:val="0"/>
                <w:sz w:val="24"/>
              </w:rPr>
              <w:t>否</w:t>
            </w:r>
          </w:p>
        </w:tc>
      </w:tr>
      <w:tr w14:paraId="5AD609C1">
        <w:tblPrEx>
          <w:tblCellMar>
            <w:top w:w="0" w:type="dxa"/>
            <w:left w:w="108" w:type="dxa"/>
            <w:bottom w:w="0" w:type="dxa"/>
            <w:right w:w="108" w:type="dxa"/>
          </w:tblCellMar>
        </w:tblPrEx>
        <w:trPr>
          <w:trHeight w:val="576" w:hRule="atLeast"/>
        </w:trPr>
        <w:tc>
          <w:tcPr>
            <w:tcW w:w="704" w:type="dxa"/>
            <w:tcBorders>
              <w:top w:val="nil"/>
              <w:left w:val="single" w:color="auto" w:sz="4" w:space="0"/>
              <w:bottom w:val="single" w:color="auto" w:sz="4" w:space="0"/>
              <w:right w:val="single" w:color="auto" w:sz="4" w:space="0"/>
            </w:tcBorders>
            <w:shd w:val="clear" w:color="000000" w:fill="FFFFFF"/>
            <w:vAlign w:val="center"/>
          </w:tcPr>
          <w:p w14:paraId="0E4B7F5E">
            <w:pPr>
              <w:widowControl/>
              <w:jc w:val="center"/>
              <w:rPr>
                <w:rFonts w:hint="eastAsia" w:ascii="宋体" w:hAnsi="宋体" w:cs="宋体"/>
                <w:kern w:val="0"/>
                <w:sz w:val="24"/>
              </w:rPr>
            </w:pPr>
            <w:r>
              <w:rPr>
                <w:rFonts w:hint="eastAsia" w:ascii="宋体" w:hAnsi="宋体" w:cs="宋体"/>
                <w:kern w:val="0"/>
                <w:sz w:val="24"/>
              </w:rPr>
              <w:t>19</w:t>
            </w:r>
          </w:p>
        </w:tc>
        <w:tc>
          <w:tcPr>
            <w:tcW w:w="2851" w:type="dxa"/>
            <w:tcBorders>
              <w:top w:val="nil"/>
              <w:left w:val="nil"/>
              <w:bottom w:val="single" w:color="auto" w:sz="4" w:space="0"/>
              <w:right w:val="single" w:color="auto" w:sz="4" w:space="0"/>
            </w:tcBorders>
            <w:shd w:val="clear" w:color="000000" w:fill="FFFFFF"/>
            <w:vAlign w:val="center"/>
          </w:tcPr>
          <w:p w14:paraId="0161EE6D">
            <w:pPr>
              <w:jc w:val="center"/>
              <w:rPr>
                <w:rFonts w:hint="eastAsia" w:ascii="宋体" w:hAnsi="宋体" w:cs="宋体"/>
                <w:sz w:val="24"/>
              </w:rPr>
            </w:pPr>
            <w:r>
              <w:rPr>
                <w:rFonts w:hint="eastAsia" w:ascii="宋体" w:hAnsi="宋体" w:cs="宋体"/>
                <w:sz w:val="24"/>
              </w:rPr>
              <w:t>细胞角蛋白19片段检测试剂盒</w:t>
            </w:r>
          </w:p>
        </w:tc>
        <w:tc>
          <w:tcPr>
            <w:tcW w:w="1276" w:type="dxa"/>
            <w:tcBorders>
              <w:top w:val="nil"/>
              <w:left w:val="nil"/>
              <w:bottom w:val="single" w:color="auto" w:sz="4" w:space="0"/>
              <w:right w:val="single" w:color="auto" w:sz="4" w:space="0"/>
            </w:tcBorders>
            <w:shd w:val="clear" w:color="000000" w:fill="FFFFFF"/>
            <w:vAlign w:val="center"/>
          </w:tcPr>
          <w:p w14:paraId="250484B2">
            <w:pPr>
              <w:widowControl/>
              <w:jc w:val="center"/>
              <w:rPr>
                <w:rFonts w:hint="eastAsia" w:ascii="宋体" w:hAnsi="宋体" w:cs="宋体"/>
                <w:kern w:val="0"/>
                <w:sz w:val="24"/>
              </w:rPr>
            </w:pPr>
            <w:r>
              <w:rPr>
                <w:rFonts w:hint="eastAsia" w:ascii="宋体" w:hAnsi="宋体" w:cs="宋体"/>
                <w:kern w:val="0"/>
                <w:sz w:val="24"/>
              </w:rPr>
              <w:t>25.52</w:t>
            </w:r>
          </w:p>
        </w:tc>
        <w:tc>
          <w:tcPr>
            <w:tcW w:w="992" w:type="dxa"/>
            <w:tcBorders>
              <w:top w:val="nil"/>
              <w:left w:val="nil"/>
              <w:bottom w:val="single" w:color="auto" w:sz="4" w:space="0"/>
              <w:right w:val="single" w:color="auto" w:sz="4" w:space="0"/>
            </w:tcBorders>
            <w:shd w:val="clear" w:color="000000" w:fill="FFFFFF"/>
            <w:vAlign w:val="center"/>
          </w:tcPr>
          <w:p w14:paraId="396363E0">
            <w:pPr>
              <w:widowControl/>
              <w:jc w:val="center"/>
              <w:rPr>
                <w:rFonts w:hint="eastAsia" w:ascii="宋体" w:hAnsi="宋体" w:cs="宋体"/>
                <w:kern w:val="0"/>
                <w:sz w:val="24"/>
              </w:rPr>
            </w:pPr>
            <w:r>
              <w:rPr>
                <w:rFonts w:hint="eastAsia" w:ascii="宋体" w:hAnsi="宋体" w:cs="宋体"/>
                <w:kern w:val="0"/>
                <w:sz w:val="24"/>
              </w:rPr>
              <w:t>人份</w:t>
            </w:r>
          </w:p>
        </w:tc>
        <w:tc>
          <w:tcPr>
            <w:tcW w:w="992" w:type="dxa"/>
            <w:tcBorders>
              <w:top w:val="nil"/>
              <w:left w:val="nil"/>
              <w:bottom w:val="single" w:color="auto" w:sz="4" w:space="0"/>
              <w:right w:val="single" w:color="auto" w:sz="4" w:space="0"/>
            </w:tcBorders>
            <w:shd w:val="clear" w:color="000000" w:fill="FFFFFF"/>
            <w:noWrap/>
            <w:vAlign w:val="center"/>
          </w:tcPr>
          <w:p w14:paraId="34FB6B18">
            <w:pPr>
              <w:widowControl/>
              <w:jc w:val="center"/>
              <w:rPr>
                <w:rFonts w:hint="eastAsia" w:ascii="宋体" w:hAnsi="宋体" w:cs="宋体"/>
                <w:kern w:val="0"/>
                <w:sz w:val="24"/>
              </w:rPr>
            </w:pPr>
            <w:r>
              <w:rPr>
                <w:rFonts w:hint="eastAsia" w:ascii="宋体" w:hAnsi="宋体" w:cs="宋体"/>
                <w:kern w:val="0"/>
                <w:sz w:val="24"/>
              </w:rPr>
              <w:t>900</w:t>
            </w:r>
          </w:p>
        </w:tc>
        <w:tc>
          <w:tcPr>
            <w:tcW w:w="851" w:type="dxa"/>
            <w:tcBorders>
              <w:top w:val="nil"/>
              <w:left w:val="nil"/>
              <w:bottom w:val="single" w:color="auto" w:sz="4" w:space="0"/>
              <w:right w:val="single" w:color="auto" w:sz="4" w:space="0"/>
            </w:tcBorders>
            <w:shd w:val="clear" w:color="000000" w:fill="FFFFFF"/>
            <w:vAlign w:val="center"/>
          </w:tcPr>
          <w:p w14:paraId="2C484A4B">
            <w:pPr>
              <w:widowControl/>
              <w:jc w:val="center"/>
              <w:rPr>
                <w:rFonts w:hint="eastAsia" w:ascii="宋体" w:hAnsi="宋体" w:cs="宋体"/>
                <w:color w:val="000000"/>
                <w:kern w:val="0"/>
                <w:sz w:val="24"/>
              </w:rPr>
            </w:pPr>
            <w:r>
              <w:rPr>
                <w:rFonts w:hint="eastAsia" w:ascii="宋体" w:hAnsi="宋体" w:cs="宋体"/>
                <w:color w:val="000000"/>
                <w:kern w:val="0"/>
                <w:sz w:val="24"/>
              </w:rPr>
              <w:t>是</w:t>
            </w:r>
          </w:p>
        </w:tc>
        <w:tc>
          <w:tcPr>
            <w:tcW w:w="952" w:type="dxa"/>
            <w:tcBorders>
              <w:top w:val="nil"/>
              <w:left w:val="nil"/>
              <w:bottom w:val="single" w:color="auto" w:sz="4" w:space="0"/>
              <w:right w:val="single" w:color="auto" w:sz="4" w:space="0"/>
            </w:tcBorders>
            <w:shd w:val="clear" w:color="000000" w:fill="FFFFFF"/>
            <w:vAlign w:val="center"/>
          </w:tcPr>
          <w:p w14:paraId="6C56D92A">
            <w:pPr>
              <w:widowControl/>
              <w:jc w:val="center"/>
              <w:rPr>
                <w:rFonts w:hint="eastAsia" w:ascii="宋体" w:hAnsi="宋体" w:cs="宋体"/>
                <w:color w:val="000000"/>
                <w:kern w:val="0"/>
                <w:sz w:val="24"/>
              </w:rPr>
            </w:pPr>
            <w:r>
              <w:rPr>
                <w:rFonts w:hint="eastAsia" w:ascii="宋体" w:hAnsi="宋体" w:cs="宋体"/>
                <w:color w:val="000000"/>
                <w:kern w:val="0"/>
                <w:sz w:val="24"/>
              </w:rPr>
              <w:t>否</w:t>
            </w:r>
          </w:p>
        </w:tc>
      </w:tr>
      <w:tr w14:paraId="65712BC8">
        <w:tblPrEx>
          <w:tblCellMar>
            <w:top w:w="0" w:type="dxa"/>
            <w:left w:w="108" w:type="dxa"/>
            <w:bottom w:w="0" w:type="dxa"/>
            <w:right w:w="108" w:type="dxa"/>
          </w:tblCellMar>
        </w:tblPrEx>
        <w:trPr>
          <w:trHeight w:val="576" w:hRule="atLeast"/>
        </w:trPr>
        <w:tc>
          <w:tcPr>
            <w:tcW w:w="704" w:type="dxa"/>
            <w:tcBorders>
              <w:top w:val="nil"/>
              <w:left w:val="single" w:color="auto" w:sz="4" w:space="0"/>
              <w:bottom w:val="single" w:color="auto" w:sz="4" w:space="0"/>
              <w:right w:val="single" w:color="auto" w:sz="4" w:space="0"/>
            </w:tcBorders>
            <w:shd w:val="clear" w:color="000000" w:fill="FFFFFF"/>
            <w:vAlign w:val="center"/>
          </w:tcPr>
          <w:p w14:paraId="604127B9">
            <w:pPr>
              <w:widowControl/>
              <w:jc w:val="center"/>
              <w:rPr>
                <w:rFonts w:hint="eastAsia" w:ascii="宋体" w:hAnsi="宋体" w:cs="宋体"/>
                <w:kern w:val="0"/>
                <w:sz w:val="24"/>
              </w:rPr>
            </w:pPr>
            <w:r>
              <w:rPr>
                <w:rFonts w:hint="eastAsia" w:ascii="宋体" w:hAnsi="宋体" w:cs="宋体"/>
                <w:kern w:val="0"/>
                <w:sz w:val="24"/>
              </w:rPr>
              <w:t>20</w:t>
            </w:r>
          </w:p>
        </w:tc>
        <w:tc>
          <w:tcPr>
            <w:tcW w:w="2851" w:type="dxa"/>
            <w:tcBorders>
              <w:top w:val="nil"/>
              <w:left w:val="nil"/>
              <w:bottom w:val="single" w:color="auto" w:sz="4" w:space="0"/>
              <w:right w:val="single" w:color="auto" w:sz="4" w:space="0"/>
            </w:tcBorders>
            <w:shd w:val="clear" w:color="000000" w:fill="FFFFFF"/>
            <w:vAlign w:val="center"/>
          </w:tcPr>
          <w:p w14:paraId="3E9DD2A7">
            <w:pPr>
              <w:jc w:val="center"/>
              <w:rPr>
                <w:rFonts w:hint="eastAsia" w:ascii="宋体" w:hAnsi="宋体" w:cs="宋体"/>
                <w:sz w:val="24"/>
              </w:rPr>
            </w:pPr>
            <w:r>
              <w:rPr>
                <w:rFonts w:hint="eastAsia" w:ascii="宋体" w:hAnsi="宋体" w:cs="宋体"/>
                <w:sz w:val="24"/>
              </w:rPr>
              <w:t>肺癌相关肿瘤标志物质控品</w:t>
            </w:r>
          </w:p>
        </w:tc>
        <w:tc>
          <w:tcPr>
            <w:tcW w:w="1276" w:type="dxa"/>
            <w:tcBorders>
              <w:top w:val="nil"/>
              <w:left w:val="nil"/>
              <w:bottom w:val="single" w:color="auto" w:sz="4" w:space="0"/>
              <w:right w:val="single" w:color="auto" w:sz="4" w:space="0"/>
            </w:tcBorders>
            <w:shd w:val="clear" w:color="000000" w:fill="FFFFFF"/>
            <w:vAlign w:val="center"/>
          </w:tcPr>
          <w:p w14:paraId="47A72077">
            <w:pPr>
              <w:widowControl/>
              <w:jc w:val="center"/>
              <w:rPr>
                <w:rFonts w:hint="eastAsia" w:ascii="宋体" w:hAnsi="宋体" w:cs="宋体"/>
                <w:kern w:val="0"/>
                <w:sz w:val="24"/>
              </w:rPr>
            </w:pPr>
            <w:r>
              <w:rPr>
                <w:rFonts w:hint="eastAsia" w:ascii="宋体" w:hAnsi="宋体" w:cs="宋体"/>
                <w:kern w:val="0"/>
                <w:sz w:val="24"/>
              </w:rPr>
              <w:t>175</w:t>
            </w:r>
          </w:p>
        </w:tc>
        <w:tc>
          <w:tcPr>
            <w:tcW w:w="992" w:type="dxa"/>
            <w:tcBorders>
              <w:top w:val="nil"/>
              <w:left w:val="nil"/>
              <w:bottom w:val="single" w:color="auto" w:sz="4" w:space="0"/>
              <w:right w:val="single" w:color="auto" w:sz="4" w:space="0"/>
            </w:tcBorders>
            <w:shd w:val="clear" w:color="000000" w:fill="FFFFFF"/>
            <w:vAlign w:val="center"/>
          </w:tcPr>
          <w:p w14:paraId="7195603A">
            <w:pPr>
              <w:widowControl/>
              <w:jc w:val="center"/>
              <w:rPr>
                <w:rFonts w:hint="eastAsia" w:ascii="宋体" w:hAnsi="宋体" w:cs="宋体"/>
                <w:kern w:val="0"/>
                <w:sz w:val="24"/>
              </w:rPr>
            </w:pPr>
            <w:r>
              <w:rPr>
                <w:rFonts w:hint="eastAsia" w:ascii="宋体" w:hAnsi="宋体" w:cs="宋体"/>
                <w:kern w:val="0"/>
                <w:sz w:val="24"/>
              </w:rPr>
              <w:t>ml</w:t>
            </w:r>
          </w:p>
        </w:tc>
        <w:tc>
          <w:tcPr>
            <w:tcW w:w="992" w:type="dxa"/>
            <w:tcBorders>
              <w:top w:val="nil"/>
              <w:left w:val="nil"/>
              <w:bottom w:val="single" w:color="auto" w:sz="4" w:space="0"/>
              <w:right w:val="single" w:color="auto" w:sz="4" w:space="0"/>
            </w:tcBorders>
            <w:shd w:val="clear" w:color="000000" w:fill="FFFFFF"/>
            <w:noWrap/>
            <w:vAlign w:val="center"/>
          </w:tcPr>
          <w:p w14:paraId="0A997999">
            <w:pPr>
              <w:widowControl/>
              <w:jc w:val="center"/>
              <w:rPr>
                <w:rFonts w:hint="eastAsia" w:ascii="宋体" w:hAnsi="宋体" w:cs="宋体"/>
                <w:kern w:val="0"/>
                <w:sz w:val="24"/>
              </w:rPr>
            </w:pPr>
            <w:r>
              <w:rPr>
                <w:rFonts w:hint="eastAsia" w:ascii="宋体" w:hAnsi="宋体" w:cs="宋体"/>
                <w:kern w:val="0"/>
                <w:sz w:val="24"/>
              </w:rPr>
              <w:t>72</w:t>
            </w:r>
          </w:p>
        </w:tc>
        <w:tc>
          <w:tcPr>
            <w:tcW w:w="851" w:type="dxa"/>
            <w:tcBorders>
              <w:top w:val="nil"/>
              <w:left w:val="nil"/>
              <w:bottom w:val="single" w:color="auto" w:sz="4" w:space="0"/>
              <w:right w:val="single" w:color="auto" w:sz="4" w:space="0"/>
            </w:tcBorders>
            <w:shd w:val="clear" w:color="000000" w:fill="FFFFFF"/>
            <w:vAlign w:val="center"/>
          </w:tcPr>
          <w:p w14:paraId="3CDAA50B">
            <w:pPr>
              <w:widowControl/>
              <w:jc w:val="center"/>
              <w:rPr>
                <w:rFonts w:hint="eastAsia" w:ascii="宋体" w:hAnsi="宋体" w:cs="宋体"/>
                <w:color w:val="000000"/>
                <w:kern w:val="0"/>
                <w:sz w:val="24"/>
              </w:rPr>
            </w:pPr>
            <w:r>
              <w:rPr>
                <w:rFonts w:hint="eastAsia" w:ascii="宋体" w:hAnsi="宋体" w:cs="宋体"/>
                <w:color w:val="000000"/>
                <w:kern w:val="0"/>
                <w:sz w:val="24"/>
              </w:rPr>
              <w:t>是</w:t>
            </w:r>
          </w:p>
        </w:tc>
        <w:tc>
          <w:tcPr>
            <w:tcW w:w="952" w:type="dxa"/>
            <w:tcBorders>
              <w:top w:val="nil"/>
              <w:left w:val="nil"/>
              <w:bottom w:val="single" w:color="auto" w:sz="4" w:space="0"/>
              <w:right w:val="single" w:color="auto" w:sz="4" w:space="0"/>
            </w:tcBorders>
            <w:shd w:val="clear" w:color="000000" w:fill="FFFFFF"/>
            <w:vAlign w:val="center"/>
          </w:tcPr>
          <w:p w14:paraId="2AFA7542">
            <w:pPr>
              <w:widowControl/>
              <w:jc w:val="center"/>
              <w:rPr>
                <w:rFonts w:hint="eastAsia" w:ascii="宋体" w:hAnsi="宋体" w:cs="宋体"/>
                <w:color w:val="000000"/>
                <w:kern w:val="0"/>
                <w:sz w:val="24"/>
              </w:rPr>
            </w:pPr>
            <w:r>
              <w:rPr>
                <w:rFonts w:hint="eastAsia" w:ascii="宋体" w:hAnsi="宋体" w:cs="宋体"/>
                <w:color w:val="000000"/>
                <w:kern w:val="0"/>
                <w:sz w:val="24"/>
              </w:rPr>
              <w:t>否</w:t>
            </w:r>
          </w:p>
        </w:tc>
      </w:tr>
      <w:tr w14:paraId="40C09D38">
        <w:tblPrEx>
          <w:tblCellMar>
            <w:top w:w="0" w:type="dxa"/>
            <w:left w:w="108" w:type="dxa"/>
            <w:bottom w:w="0" w:type="dxa"/>
            <w:right w:w="108" w:type="dxa"/>
          </w:tblCellMar>
        </w:tblPrEx>
        <w:trPr>
          <w:trHeight w:val="288" w:hRule="atLeast"/>
        </w:trPr>
        <w:tc>
          <w:tcPr>
            <w:tcW w:w="704" w:type="dxa"/>
            <w:tcBorders>
              <w:top w:val="nil"/>
              <w:left w:val="single" w:color="auto" w:sz="4" w:space="0"/>
              <w:bottom w:val="single" w:color="auto" w:sz="4" w:space="0"/>
              <w:right w:val="single" w:color="auto" w:sz="4" w:space="0"/>
            </w:tcBorders>
            <w:shd w:val="clear" w:color="000000" w:fill="FFFFFF"/>
            <w:vAlign w:val="center"/>
          </w:tcPr>
          <w:p w14:paraId="41A98A72">
            <w:pPr>
              <w:widowControl/>
              <w:jc w:val="center"/>
              <w:rPr>
                <w:rFonts w:hint="eastAsia" w:ascii="宋体" w:hAnsi="宋体" w:cs="宋体"/>
                <w:kern w:val="0"/>
                <w:sz w:val="24"/>
              </w:rPr>
            </w:pPr>
            <w:r>
              <w:rPr>
                <w:rFonts w:hint="eastAsia" w:ascii="宋体" w:hAnsi="宋体" w:cs="宋体"/>
                <w:kern w:val="0"/>
                <w:sz w:val="24"/>
              </w:rPr>
              <w:t>21</w:t>
            </w:r>
          </w:p>
        </w:tc>
        <w:tc>
          <w:tcPr>
            <w:tcW w:w="2851" w:type="dxa"/>
            <w:tcBorders>
              <w:top w:val="nil"/>
              <w:left w:val="nil"/>
              <w:bottom w:val="single" w:color="auto" w:sz="4" w:space="0"/>
              <w:right w:val="single" w:color="auto" w:sz="4" w:space="0"/>
            </w:tcBorders>
            <w:shd w:val="clear" w:color="000000" w:fill="FFFFFF"/>
            <w:vAlign w:val="center"/>
          </w:tcPr>
          <w:p w14:paraId="20311BBF">
            <w:pPr>
              <w:jc w:val="center"/>
              <w:rPr>
                <w:rFonts w:hint="eastAsia" w:ascii="宋体" w:hAnsi="宋体" w:cs="宋体"/>
                <w:sz w:val="24"/>
              </w:rPr>
            </w:pPr>
            <w:r>
              <w:rPr>
                <w:rFonts w:hint="eastAsia" w:ascii="宋体" w:hAnsi="宋体" w:cs="宋体"/>
                <w:sz w:val="24"/>
              </w:rPr>
              <w:t>分析吸头/分析杯2</w:t>
            </w:r>
          </w:p>
        </w:tc>
        <w:tc>
          <w:tcPr>
            <w:tcW w:w="1276" w:type="dxa"/>
            <w:tcBorders>
              <w:top w:val="nil"/>
              <w:left w:val="nil"/>
              <w:bottom w:val="single" w:color="auto" w:sz="4" w:space="0"/>
              <w:right w:val="single" w:color="auto" w:sz="4" w:space="0"/>
            </w:tcBorders>
            <w:shd w:val="clear" w:color="000000" w:fill="FFFFFF"/>
            <w:vAlign w:val="center"/>
          </w:tcPr>
          <w:p w14:paraId="17022A2F">
            <w:pPr>
              <w:widowControl/>
              <w:jc w:val="center"/>
              <w:rPr>
                <w:rFonts w:hint="eastAsia" w:ascii="宋体" w:hAnsi="宋体" w:cs="宋体"/>
                <w:kern w:val="0"/>
                <w:sz w:val="24"/>
              </w:rPr>
            </w:pPr>
            <w:r>
              <w:rPr>
                <w:rFonts w:hint="eastAsia" w:ascii="宋体" w:hAnsi="宋体" w:cs="宋体"/>
                <w:kern w:val="0"/>
                <w:sz w:val="24"/>
              </w:rPr>
              <w:t>3750</w:t>
            </w:r>
          </w:p>
        </w:tc>
        <w:tc>
          <w:tcPr>
            <w:tcW w:w="992" w:type="dxa"/>
            <w:tcBorders>
              <w:top w:val="nil"/>
              <w:left w:val="nil"/>
              <w:bottom w:val="single" w:color="auto" w:sz="4" w:space="0"/>
              <w:right w:val="single" w:color="auto" w:sz="4" w:space="0"/>
            </w:tcBorders>
            <w:shd w:val="clear" w:color="000000" w:fill="FFFFFF"/>
            <w:vAlign w:val="center"/>
          </w:tcPr>
          <w:p w14:paraId="4918FE9A">
            <w:pPr>
              <w:widowControl/>
              <w:jc w:val="center"/>
              <w:rPr>
                <w:rFonts w:hint="eastAsia" w:ascii="宋体" w:hAnsi="宋体" w:cs="宋体"/>
                <w:kern w:val="0"/>
                <w:sz w:val="24"/>
              </w:rPr>
            </w:pPr>
            <w:r>
              <w:rPr>
                <w:rFonts w:hint="eastAsia" w:ascii="宋体" w:hAnsi="宋体" w:cs="宋体"/>
                <w:kern w:val="0"/>
                <w:sz w:val="24"/>
              </w:rPr>
              <w:t>箱</w:t>
            </w:r>
          </w:p>
        </w:tc>
        <w:tc>
          <w:tcPr>
            <w:tcW w:w="992" w:type="dxa"/>
            <w:tcBorders>
              <w:top w:val="nil"/>
              <w:left w:val="nil"/>
              <w:bottom w:val="single" w:color="auto" w:sz="4" w:space="0"/>
              <w:right w:val="single" w:color="auto" w:sz="4" w:space="0"/>
            </w:tcBorders>
            <w:shd w:val="clear" w:color="000000" w:fill="FFFFFF"/>
            <w:noWrap/>
            <w:vAlign w:val="center"/>
          </w:tcPr>
          <w:p w14:paraId="5EEC3641">
            <w:pPr>
              <w:widowControl/>
              <w:jc w:val="center"/>
              <w:rPr>
                <w:rFonts w:hint="eastAsia" w:ascii="宋体" w:hAnsi="宋体" w:cs="宋体"/>
                <w:kern w:val="0"/>
                <w:sz w:val="24"/>
              </w:rPr>
            </w:pPr>
            <w:r>
              <w:rPr>
                <w:rFonts w:hint="eastAsia" w:ascii="宋体" w:hAnsi="宋体" w:cs="宋体"/>
                <w:kern w:val="0"/>
                <w:sz w:val="24"/>
              </w:rPr>
              <w:t>25</w:t>
            </w:r>
          </w:p>
        </w:tc>
        <w:tc>
          <w:tcPr>
            <w:tcW w:w="851" w:type="dxa"/>
            <w:tcBorders>
              <w:top w:val="nil"/>
              <w:left w:val="nil"/>
              <w:bottom w:val="single" w:color="auto" w:sz="4" w:space="0"/>
              <w:right w:val="single" w:color="auto" w:sz="4" w:space="0"/>
            </w:tcBorders>
            <w:shd w:val="clear" w:color="000000" w:fill="FFFFFF"/>
            <w:vAlign w:val="center"/>
          </w:tcPr>
          <w:p w14:paraId="26EA536D">
            <w:pPr>
              <w:widowControl/>
              <w:jc w:val="center"/>
              <w:rPr>
                <w:rFonts w:hint="eastAsia" w:ascii="宋体" w:hAnsi="宋体" w:cs="宋体"/>
                <w:color w:val="000000"/>
                <w:kern w:val="0"/>
                <w:sz w:val="24"/>
              </w:rPr>
            </w:pPr>
            <w:r>
              <w:rPr>
                <w:rFonts w:hint="eastAsia" w:ascii="宋体" w:hAnsi="宋体" w:cs="宋体"/>
                <w:color w:val="000000"/>
                <w:kern w:val="0"/>
                <w:sz w:val="24"/>
              </w:rPr>
              <w:t>是</w:t>
            </w:r>
          </w:p>
        </w:tc>
        <w:tc>
          <w:tcPr>
            <w:tcW w:w="952" w:type="dxa"/>
            <w:tcBorders>
              <w:top w:val="nil"/>
              <w:left w:val="nil"/>
              <w:bottom w:val="single" w:color="auto" w:sz="4" w:space="0"/>
              <w:right w:val="single" w:color="auto" w:sz="4" w:space="0"/>
            </w:tcBorders>
            <w:shd w:val="clear" w:color="000000" w:fill="FFFFFF"/>
            <w:vAlign w:val="center"/>
          </w:tcPr>
          <w:p w14:paraId="068F4116">
            <w:pPr>
              <w:widowControl/>
              <w:jc w:val="center"/>
              <w:rPr>
                <w:rFonts w:hint="eastAsia" w:ascii="宋体" w:hAnsi="宋体" w:cs="宋体"/>
                <w:color w:val="000000"/>
                <w:kern w:val="0"/>
                <w:sz w:val="24"/>
              </w:rPr>
            </w:pPr>
            <w:r>
              <w:rPr>
                <w:rFonts w:hint="eastAsia" w:ascii="宋体" w:hAnsi="宋体" w:cs="宋体"/>
                <w:color w:val="000000"/>
                <w:kern w:val="0"/>
                <w:sz w:val="24"/>
              </w:rPr>
              <w:t>否</w:t>
            </w:r>
          </w:p>
        </w:tc>
      </w:tr>
      <w:tr w14:paraId="0C8B65E0">
        <w:tblPrEx>
          <w:tblCellMar>
            <w:top w:w="0" w:type="dxa"/>
            <w:left w:w="108" w:type="dxa"/>
            <w:bottom w:w="0" w:type="dxa"/>
            <w:right w:w="108" w:type="dxa"/>
          </w:tblCellMar>
        </w:tblPrEx>
        <w:trPr>
          <w:trHeight w:val="288" w:hRule="atLeast"/>
        </w:trPr>
        <w:tc>
          <w:tcPr>
            <w:tcW w:w="704" w:type="dxa"/>
            <w:tcBorders>
              <w:top w:val="nil"/>
              <w:left w:val="single" w:color="auto" w:sz="4" w:space="0"/>
              <w:bottom w:val="single" w:color="auto" w:sz="4" w:space="0"/>
              <w:right w:val="single" w:color="auto" w:sz="4" w:space="0"/>
            </w:tcBorders>
            <w:shd w:val="clear" w:color="000000" w:fill="FFFFFF"/>
            <w:vAlign w:val="center"/>
          </w:tcPr>
          <w:p w14:paraId="385C37F9">
            <w:pPr>
              <w:widowControl/>
              <w:jc w:val="center"/>
              <w:rPr>
                <w:rFonts w:hint="eastAsia" w:ascii="宋体" w:hAnsi="宋体" w:cs="宋体"/>
                <w:kern w:val="0"/>
                <w:sz w:val="24"/>
              </w:rPr>
            </w:pPr>
            <w:r>
              <w:rPr>
                <w:rFonts w:hint="eastAsia" w:ascii="宋体" w:hAnsi="宋体" w:cs="宋体"/>
                <w:kern w:val="0"/>
                <w:sz w:val="24"/>
              </w:rPr>
              <w:t>22</w:t>
            </w:r>
          </w:p>
        </w:tc>
        <w:tc>
          <w:tcPr>
            <w:tcW w:w="2851" w:type="dxa"/>
            <w:tcBorders>
              <w:top w:val="nil"/>
              <w:left w:val="nil"/>
              <w:bottom w:val="single" w:color="auto" w:sz="4" w:space="0"/>
              <w:right w:val="single" w:color="auto" w:sz="4" w:space="0"/>
            </w:tcBorders>
            <w:shd w:val="clear" w:color="000000" w:fill="FFFFFF"/>
            <w:vAlign w:val="center"/>
          </w:tcPr>
          <w:p w14:paraId="44DC2200">
            <w:pPr>
              <w:jc w:val="center"/>
              <w:rPr>
                <w:rFonts w:hint="eastAsia" w:ascii="宋体" w:hAnsi="宋体" w:cs="宋体"/>
                <w:sz w:val="24"/>
              </w:rPr>
            </w:pPr>
            <w:r>
              <w:rPr>
                <w:rFonts w:hint="eastAsia" w:ascii="宋体" w:hAnsi="宋体" w:cs="宋体"/>
                <w:sz w:val="24"/>
              </w:rPr>
              <w:t>睾酮定标液</w:t>
            </w:r>
          </w:p>
        </w:tc>
        <w:tc>
          <w:tcPr>
            <w:tcW w:w="1276" w:type="dxa"/>
            <w:tcBorders>
              <w:top w:val="nil"/>
              <w:left w:val="nil"/>
              <w:bottom w:val="single" w:color="auto" w:sz="4" w:space="0"/>
              <w:right w:val="single" w:color="auto" w:sz="4" w:space="0"/>
            </w:tcBorders>
            <w:shd w:val="clear" w:color="000000" w:fill="FFFFFF"/>
            <w:vAlign w:val="center"/>
          </w:tcPr>
          <w:p w14:paraId="4C112BF9">
            <w:pPr>
              <w:widowControl/>
              <w:jc w:val="center"/>
              <w:rPr>
                <w:rFonts w:hint="eastAsia" w:ascii="宋体" w:hAnsi="宋体" w:cs="宋体"/>
                <w:kern w:val="0"/>
                <w:sz w:val="24"/>
              </w:rPr>
            </w:pPr>
            <w:r>
              <w:rPr>
                <w:rFonts w:hint="eastAsia" w:ascii="宋体" w:hAnsi="宋体" w:cs="宋体"/>
                <w:kern w:val="0"/>
                <w:sz w:val="24"/>
              </w:rPr>
              <w:t>300</w:t>
            </w:r>
          </w:p>
        </w:tc>
        <w:tc>
          <w:tcPr>
            <w:tcW w:w="992" w:type="dxa"/>
            <w:tcBorders>
              <w:top w:val="nil"/>
              <w:left w:val="nil"/>
              <w:bottom w:val="single" w:color="auto" w:sz="4" w:space="0"/>
              <w:right w:val="single" w:color="auto" w:sz="4" w:space="0"/>
            </w:tcBorders>
            <w:shd w:val="clear" w:color="000000" w:fill="FFFFFF"/>
            <w:vAlign w:val="center"/>
          </w:tcPr>
          <w:p w14:paraId="49D0BE5B">
            <w:pPr>
              <w:widowControl/>
              <w:jc w:val="center"/>
              <w:rPr>
                <w:rFonts w:hint="eastAsia" w:ascii="宋体" w:hAnsi="宋体" w:cs="宋体"/>
                <w:kern w:val="0"/>
                <w:sz w:val="24"/>
              </w:rPr>
            </w:pPr>
            <w:r>
              <w:rPr>
                <w:rFonts w:hint="eastAsia" w:ascii="宋体" w:hAnsi="宋体" w:cs="宋体"/>
                <w:kern w:val="0"/>
                <w:sz w:val="24"/>
              </w:rPr>
              <w:t>ml</w:t>
            </w:r>
          </w:p>
        </w:tc>
        <w:tc>
          <w:tcPr>
            <w:tcW w:w="992" w:type="dxa"/>
            <w:tcBorders>
              <w:top w:val="nil"/>
              <w:left w:val="nil"/>
              <w:bottom w:val="single" w:color="auto" w:sz="4" w:space="0"/>
              <w:right w:val="single" w:color="auto" w:sz="4" w:space="0"/>
            </w:tcBorders>
            <w:shd w:val="clear" w:color="000000" w:fill="FFFFFF"/>
            <w:noWrap/>
            <w:vAlign w:val="center"/>
          </w:tcPr>
          <w:p w14:paraId="68238D29">
            <w:pPr>
              <w:widowControl/>
              <w:jc w:val="center"/>
              <w:rPr>
                <w:rFonts w:hint="eastAsia" w:ascii="宋体" w:hAnsi="宋体" w:cs="宋体"/>
                <w:kern w:val="0"/>
                <w:sz w:val="24"/>
              </w:rPr>
            </w:pPr>
            <w:r>
              <w:rPr>
                <w:rFonts w:hint="eastAsia" w:ascii="宋体" w:hAnsi="宋体" w:cs="宋体"/>
                <w:kern w:val="0"/>
                <w:sz w:val="24"/>
              </w:rPr>
              <w:t>4</w:t>
            </w:r>
          </w:p>
        </w:tc>
        <w:tc>
          <w:tcPr>
            <w:tcW w:w="851" w:type="dxa"/>
            <w:tcBorders>
              <w:top w:val="nil"/>
              <w:left w:val="nil"/>
              <w:bottom w:val="single" w:color="auto" w:sz="4" w:space="0"/>
              <w:right w:val="single" w:color="auto" w:sz="4" w:space="0"/>
            </w:tcBorders>
            <w:shd w:val="clear" w:color="000000" w:fill="FFFFFF"/>
            <w:vAlign w:val="center"/>
          </w:tcPr>
          <w:p w14:paraId="36EB5182">
            <w:pPr>
              <w:widowControl/>
              <w:jc w:val="center"/>
              <w:rPr>
                <w:rFonts w:hint="eastAsia" w:ascii="宋体" w:hAnsi="宋体" w:cs="宋体"/>
                <w:color w:val="000000"/>
                <w:kern w:val="0"/>
                <w:sz w:val="24"/>
              </w:rPr>
            </w:pPr>
            <w:r>
              <w:rPr>
                <w:rFonts w:hint="eastAsia" w:ascii="宋体" w:hAnsi="宋体" w:cs="宋体"/>
                <w:color w:val="000000"/>
                <w:kern w:val="0"/>
                <w:sz w:val="24"/>
              </w:rPr>
              <w:t>是</w:t>
            </w:r>
          </w:p>
        </w:tc>
        <w:tc>
          <w:tcPr>
            <w:tcW w:w="952" w:type="dxa"/>
            <w:tcBorders>
              <w:top w:val="nil"/>
              <w:left w:val="nil"/>
              <w:bottom w:val="single" w:color="auto" w:sz="4" w:space="0"/>
              <w:right w:val="single" w:color="auto" w:sz="4" w:space="0"/>
            </w:tcBorders>
            <w:shd w:val="clear" w:color="000000" w:fill="FFFFFF"/>
            <w:vAlign w:val="center"/>
          </w:tcPr>
          <w:p w14:paraId="7CA2CC7A">
            <w:pPr>
              <w:widowControl/>
              <w:jc w:val="center"/>
              <w:rPr>
                <w:rFonts w:hint="eastAsia" w:ascii="宋体" w:hAnsi="宋体" w:cs="宋体"/>
                <w:color w:val="000000"/>
                <w:kern w:val="0"/>
                <w:sz w:val="24"/>
              </w:rPr>
            </w:pPr>
            <w:r>
              <w:rPr>
                <w:rFonts w:hint="eastAsia" w:ascii="宋体" w:hAnsi="宋体" w:cs="宋体"/>
                <w:color w:val="000000"/>
                <w:kern w:val="0"/>
                <w:sz w:val="24"/>
              </w:rPr>
              <w:t>否</w:t>
            </w:r>
          </w:p>
        </w:tc>
      </w:tr>
      <w:tr w14:paraId="2354B95A">
        <w:tblPrEx>
          <w:tblCellMar>
            <w:top w:w="0" w:type="dxa"/>
            <w:left w:w="108" w:type="dxa"/>
            <w:bottom w:w="0" w:type="dxa"/>
            <w:right w:w="108" w:type="dxa"/>
          </w:tblCellMar>
        </w:tblPrEx>
        <w:trPr>
          <w:trHeight w:val="288" w:hRule="atLeast"/>
        </w:trPr>
        <w:tc>
          <w:tcPr>
            <w:tcW w:w="704" w:type="dxa"/>
            <w:tcBorders>
              <w:top w:val="nil"/>
              <w:left w:val="single" w:color="auto" w:sz="4" w:space="0"/>
              <w:bottom w:val="single" w:color="auto" w:sz="4" w:space="0"/>
              <w:right w:val="single" w:color="auto" w:sz="4" w:space="0"/>
            </w:tcBorders>
            <w:shd w:val="clear" w:color="000000" w:fill="FFFFFF"/>
            <w:vAlign w:val="center"/>
          </w:tcPr>
          <w:p w14:paraId="5ACFF819">
            <w:pPr>
              <w:widowControl/>
              <w:jc w:val="center"/>
              <w:rPr>
                <w:rFonts w:hint="eastAsia" w:ascii="宋体" w:hAnsi="宋体" w:cs="宋体"/>
                <w:kern w:val="0"/>
                <w:sz w:val="24"/>
              </w:rPr>
            </w:pPr>
            <w:r>
              <w:rPr>
                <w:rFonts w:hint="eastAsia" w:ascii="宋体" w:hAnsi="宋体" w:cs="宋体"/>
                <w:kern w:val="0"/>
                <w:sz w:val="24"/>
              </w:rPr>
              <w:t>23</w:t>
            </w:r>
          </w:p>
        </w:tc>
        <w:tc>
          <w:tcPr>
            <w:tcW w:w="2851" w:type="dxa"/>
            <w:tcBorders>
              <w:top w:val="nil"/>
              <w:left w:val="nil"/>
              <w:bottom w:val="single" w:color="auto" w:sz="4" w:space="0"/>
              <w:right w:val="single" w:color="auto" w:sz="4" w:space="0"/>
            </w:tcBorders>
            <w:shd w:val="clear" w:color="000000" w:fill="FFFFFF"/>
            <w:vAlign w:val="center"/>
          </w:tcPr>
          <w:p w14:paraId="776DB9FC">
            <w:pPr>
              <w:jc w:val="center"/>
              <w:rPr>
                <w:rFonts w:hint="eastAsia" w:ascii="宋体" w:hAnsi="宋体" w:cs="宋体"/>
                <w:sz w:val="24"/>
              </w:rPr>
            </w:pPr>
            <w:r>
              <w:rPr>
                <w:rFonts w:hint="eastAsia" w:ascii="宋体" w:hAnsi="宋体" w:cs="宋体"/>
                <w:sz w:val="24"/>
              </w:rPr>
              <w:t>睾酮检测试剂盒</w:t>
            </w:r>
          </w:p>
        </w:tc>
        <w:tc>
          <w:tcPr>
            <w:tcW w:w="1276" w:type="dxa"/>
            <w:tcBorders>
              <w:top w:val="nil"/>
              <w:left w:val="nil"/>
              <w:bottom w:val="single" w:color="auto" w:sz="4" w:space="0"/>
              <w:right w:val="single" w:color="auto" w:sz="4" w:space="0"/>
            </w:tcBorders>
            <w:shd w:val="clear" w:color="000000" w:fill="FFFFFF"/>
            <w:vAlign w:val="center"/>
          </w:tcPr>
          <w:p w14:paraId="4784EFC2">
            <w:pPr>
              <w:widowControl/>
              <w:jc w:val="center"/>
              <w:rPr>
                <w:rFonts w:hint="eastAsia" w:ascii="宋体" w:hAnsi="宋体" w:cs="宋体"/>
                <w:kern w:val="0"/>
                <w:sz w:val="24"/>
              </w:rPr>
            </w:pPr>
            <w:r>
              <w:rPr>
                <w:rFonts w:hint="eastAsia" w:ascii="宋体" w:hAnsi="宋体" w:cs="宋体"/>
                <w:kern w:val="0"/>
                <w:sz w:val="24"/>
              </w:rPr>
              <w:t>18.01</w:t>
            </w:r>
          </w:p>
        </w:tc>
        <w:tc>
          <w:tcPr>
            <w:tcW w:w="992" w:type="dxa"/>
            <w:tcBorders>
              <w:top w:val="nil"/>
              <w:left w:val="nil"/>
              <w:bottom w:val="single" w:color="auto" w:sz="4" w:space="0"/>
              <w:right w:val="single" w:color="auto" w:sz="4" w:space="0"/>
            </w:tcBorders>
            <w:shd w:val="clear" w:color="000000" w:fill="FFFFFF"/>
            <w:vAlign w:val="center"/>
          </w:tcPr>
          <w:p w14:paraId="51EEBF04">
            <w:pPr>
              <w:widowControl/>
              <w:jc w:val="center"/>
              <w:rPr>
                <w:rFonts w:hint="eastAsia" w:ascii="宋体" w:hAnsi="宋体" w:cs="宋体"/>
                <w:kern w:val="0"/>
                <w:sz w:val="24"/>
              </w:rPr>
            </w:pPr>
            <w:r>
              <w:rPr>
                <w:rFonts w:hint="eastAsia" w:ascii="宋体" w:hAnsi="宋体" w:cs="宋体"/>
                <w:kern w:val="0"/>
                <w:sz w:val="24"/>
              </w:rPr>
              <w:t>人份</w:t>
            </w:r>
          </w:p>
        </w:tc>
        <w:tc>
          <w:tcPr>
            <w:tcW w:w="992" w:type="dxa"/>
            <w:tcBorders>
              <w:top w:val="nil"/>
              <w:left w:val="nil"/>
              <w:bottom w:val="single" w:color="auto" w:sz="4" w:space="0"/>
              <w:right w:val="single" w:color="auto" w:sz="4" w:space="0"/>
            </w:tcBorders>
            <w:shd w:val="clear" w:color="000000" w:fill="FFFFFF"/>
            <w:noWrap/>
            <w:vAlign w:val="center"/>
          </w:tcPr>
          <w:p w14:paraId="4F22D89D">
            <w:pPr>
              <w:widowControl/>
              <w:jc w:val="center"/>
              <w:rPr>
                <w:rFonts w:hint="eastAsia" w:ascii="宋体" w:hAnsi="宋体" w:cs="宋体"/>
                <w:kern w:val="0"/>
                <w:sz w:val="24"/>
              </w:rPr>
            </w:pPr>
            <w:r>
              <w:rPr>
                <w:rFonts w:hint="eastAsia" w:ascii="宋体" w:hAnsi="宋体" w:cs="宋体"/>
                <w:kern w:val="0"/>
                <w:sz w:val="24"/>
              </w:rPr>
              <w:t>1100</w:t>
            </w:r>
          </w:p>
        </w:tc>
        <w:tc>
          <w:tcPr>
            <w:tcW w:w="851" w:type="dxa"/>
            <w:tcBorders>
              <w:top w:val="nil"/>
              <w:left w:val="nil"/>
              <w:bottom w:val="single" w:color="auto" w:sz="4" w:space="0"/>
              <w:right w:val="single" w:color="auto" w:sz="4" w:space="0"/>
            </w:tcBorders>
            <w:shd w:val="clear" w:color="000000" w:fill="FFFFFF"/>
            <w:vAlign w:val="center"/>
          </w:tcPr>
          <w:p w14:paraId="06DCE8EA">
            <w:pPr>
              <w:widowControl/>
              <w:jc w:val="center"/>
              <w:rPr>
                <w:rFonts w:hint="eastAsia" w:ascii="宋体" w:hAnsi="宋体" w:cs="宋体"/>
                <w:color w:val="000000"/>
                <w:kern w:val="0"/>
                <w:sz w:val="24"/>
              </w:rPr>
            </w:pPr>
            <w:r>
              <w:rPr>
                <w:rFonts w:hint="eastAsia" w:ascii="宋体" w:hAnsi="宋体" w:cs="宋体"/>
                <w:color w:val="000000"/>
                <w:kern w:val="0"/>
                <w:sz w:val="24"/>
              </w:rPr>
              <w:t>是</w:t>
            </w:r>
          </w:p>
        </w:tc>
        <w:tc>
          <w:tcPr>
            <w:tcW w:w="952" w:type="dxa"/>
            <w:tcBorders>
              <w:top w:val="nil"/>
              <w:left w:val="nil"/>
              <w:bottom w:val="single" w:color="auto" w:sz="4" w:space="0"/>
              <w:right w:val="single" w:color="auto" w:sz="4" w:space="0"/>
            </w:tcBorders>
            <w:shd w:val="clear" w:color="000000" w:fill="FFFFFF"/>
            <w:vAlign w:val="center"/>
          </w:tcPr>
          <w:p w14:paraId="63DFFF5F">
            <w:pPr>
              <w:widowControl/>
              <w:jc w:val="center"/>
              <w:rPr>
                <w:rFonts w:hint="eastAsia" w:ascii="宋体" w:hAnsi="宋体" w:cs="宋体"/>
                <w:color w:val="000000"/>
                <w:kern w:val="0"/>
                <w:sz w:val="24"/>
              </w:rPr>
            </w:pPr>
            <w:r>
              <w:rPr>
                <w:rFonts w:hint="eastAsia" w:ascii="宋体" w:hAnsi="宋体" w:cs="宋体"/>
                <w:color w:val="000000"/>
                <w:kern w:val="0"/>
                <w:sz w:val="24"/>
              </w:rPr>
              <w:t>否</w:t>
            </w:r>
          </w:p>
        </w:tc>
      </w:tr>
      <w:tr w14:paraId="79014606">
        <w:tblPrEx>
          <w:tblCellMar>
            <w:top w:w="0" w:type="dxa"/>
            <w:left w:w="108" w:type="dxa"/>
            <w:bottom w:w="0" w:type="dxa"/>
            <w:right w:w="108" w:type="dxa"/>
          </w:tblCellMar>
        </w:tblPrEx>
        <w:trPr>
          <w:trHeight w:val="288" w:hRule="atLeast"/>
        </w:trPr>
        <w:tc>
          <w:tcPr>
            <w:tcW w:w="704" w:type="dxa"/>
            <w:tcBorders>
              <w:top w:val="nil"/>
              <w:left w:val="single" w:color="auto" w:sz="4" w:space="0"/>
              <w:bottom w:val="single" w:color="auto" w:sz="4" w:space="0"/>
              <w:right w:val="single" w:color="auto" w:sz="4" w:space="0"/>
            </w:tcBorders>
            <w:shd w:val="clear" w:color="000000" w:fill="FFFFFF"/>
            <w:vAlign w:val="center"/>
          </w:tcPr>
          <w:p w14:paraId="0457835F">
            <w:pPr>
              <w:widowControl/>
              <w:jc w:val="center"/>
              <w:rPr>
                <w:rFonts w:hint="eastAsia" w:ascii="宋体" w:hAnsi="宋体" w:cs="宋体"/>
                <w:kern w:val="0"/>
                <w:sz w:val="24"/>
              </w:rPr>
            </w:pPr>
            <w:r>
              <w:rPr>
                <w:rFonts w:hint="eastAsia" w:ascii="宋体" w:hAnsi="宋体" w:cs="宋体"/>
                <w:kern w:val="0"/>
                <w:sz w:val="24"/>
              </w:rPr>
              <w:t>24</w:t>
            </w:r>
          </w:p>
        </w:tc>
        <w:tc>
          <w:tcPr>
            <w:tcW w:w="2851" w:type="dxa"/>
            <w:tcBorders>
              <w:top w:val="nil"/>
              <w:left w:val="nil"/>
              <w:bottom w:val="single" w:color="auto" w:sz="4" w:space="0"/>
              <w:right w:val="single" w:color="auto" w:sz="4" w:space="0"/>
            </w:tcBorders>
            <w:shd w:val="clear" w:color="000000" w:fill="FFFFFF"/>
            <w:vAlign w:val="center"/>
          </w:tcPr>
          <w:p w14:paraId="2C57868A">
            <w:pPr>
              <w:jc w:val="center"/>
              <w:rPr>
                <w:rFonts w:hint="eastAsia" w:ascii="宋体" w:hAnsi="宋体" w:cs="宋体"/>
                <w:sz w:val="24"/>
              </w:rPr>
            </w:pPr>
            <w:r>
              <w:rPr>
                <w:rFonts w:hint="eastAsia" w:ascii="宋体" w:hAnsi="宋体" w:cs="宋体"/>
                <w:sz w:val="24"/>
              </w:rPr>
              <w:t>骨钙素定标液</w:t>
            </w:r>
          </w:p>
        </w:tc>
        <w:tc>
          <w:tcPr>
            <w:tcW w:w="1276" w:type="dxa"/>
            <w:tcBorders>
              <w:top w:val="nil"/>
              <w:left w:val="nil"/>
              <w:bottom w:val="single" w:color="auto" w:sz="4" w:space="0"/>
              <w:right w:val="single" w:color="auto" w:sz="4" w:space="0"/>
            </w:tcBorders>
            <w:shd w:val="clear" w:color="000000" w:fill="FFFFFF"/>
            <w:vAlign w:val="center"/>
          </w:tcPr>
          <w:p w14:paraId="34D12A5C">
            <w:pPr>
              <w:widowControl/>
              <w:jc w:val="center"/>
              <w:rPr>
                <w:rFonts w:hint="eastAsia" w:ascii="宋体" w:hAnsi="宋体" w:cs="宋体"/>
                <w:kern w:val="0"/>
                <w:sz w:val="24"/>
              </w:rPr>
            </w:pPr>
            <w:r>
              <w:rPr>
                <w:rFonts w:hint="eastAsia" w:ascii="宋体" w:hAnsi="宋体" w:cs="宋体"/>
                <w:kern w:val="0"/>
                <w:sz w:val="24"/>
              </w:rPr>
              <w:t>425</w:t>
            </w:r>
          </w:p>
        </w:tc>
        <w:tc>
          <w:tcPr>
            <w:tcW w:w="992" w:type="dxa"/>
            <w:tcBorders>
              <w:top w:val="nil"/>
              <w:left w:val="nil"/>
              <w:bottom w:val="single" w:color="auto" w:sz="4" w:space="0"/>
              <w:right w:val="single" w:color="auto" w:sz="4" w:space="0"/>
            </w:tcBorders>
            <w:shd w:val="clear" w:color="000000" w:fill="FFFFFF"/>
            <w:vAlign w:val="center"/>
          </w:tcPr>
          <w:p w14:paraId="5752D72C">
            <w:pPr>
              <w:widowControl/>
              <w:jc w:val="center"/>
              <w:rPr>
                <w:rFonts w:hint="eastAsia" w:ascii="宋体" w:hAnsi="宋体" w:cs="宋体"/>
                <w:kern w:val="0"/>
                <w:sz w:val="24"/>
              </w:rPr>
            </w:pPr>
            <w:r>
              <w:rPr>
                <w:rFonts w:hint="eastAsia" w:ascii="宋体" w:hAnsi="宋体" w:cs="宋体"/>
                <w:kern w:val="0"/>
                <w:sz w:val="24"/>
              </w:rPr>
              <w:t>ml</w:t>
            </w:r>
          </w:p>
        </w:tc>
        <w:tc>
          <w:tcPr>
            <w:tcW w:w="992" w:type="dxa"/>
            <w:tcBorders>
              <w:top w:val="nil"/>
              <w:left w:val="nil"/>
              <w:bottom w:val="single" w:color="auto" w:sz="4" w:space="0"/>
              <w:right w:val="single" w:color="auto" w:sz="4" w:space="0"/>
            </w:tcBorders>
            <w:shd w:val="clear" w:color="000000" w:fill="FFFFFF"/>
            <w:noWrap/>
            <w:vAlign w:val="center"/>
          </w:tcPr>
          <w:p w14:paraId="2015A554">
            <w:pPr>
              <w:widowControl/>
              <w:jc w:val="center"/>
              <w:rPr>
                <w:rFonts w:hint="eastAsia" w:ascii="宋体" w:hAnsi="宋体" w:cs="宋体"/>
                <w:kern w:val="0"/>
                <w:sz w:val="24"/>
              </w:rPr>
            </w:pPr>
            <w:r>
              <w:rPr>
                <w:rFonts w:hint="eastAsia" w:ascii="宋体" w:hAnsi="宋体" w:cs="宋体"/>
                <w:kern w:val="0"/>
                <w:sz w:val="24"/>
              </w:rPr>
              <w:t>4</w:t>
            </w:r>
          </w:p>
        </w:tc>
        <w:tc>
          <w:tcPr>
            <w:tcW w:w="851" w:type="dxa"/>
            <w:tcBorders>
              <w:top w:val="nil"/>
              <w:left w:val="nil"/>
              <w:bottom w:val="single" w:color="auto" w:sz="4" w:space="0"/>
              <w:right w:val="single" w:color="auto" w:sz="4" w:space="0"/>
            </w:tcBorders>
            <w:shd w:val="clear" w:color="000000" w:fill="FFFFFF"/>
            <w:vAlign w:val="center"/>
          </w:tcPr>
          <w:p w14:paraId="79744208">
            <w:pPr>
              <w:widowControl/>
              <w:jc w:val="center"/>
              <w:rPr>
                <w:rFonts w:hint="eastAsia" w:ascii="宋体" w:hAnsi="宋体" w:cs="宋体"/>
                <w:color w:val="000000"/>
                <w:kern w:val="0"/>
                <w:sz w:val="24"/>
              </w:rPr>
            </w:pPr>
            <w:r>
              <w:rPr>
                <w:rFonts w:hint="eastAsia" w:ascii="宋体" w:hAnsi="宋体" w:cs="宋体"/>
                <w:color w:val="000000"/>
                <w:kern w:val="0"/>
                <w:sz w:val="24"/>
              </w:rPr>
              <w:t>是</w:t>
            </w:r>
          </w:p>
        </w:tc>
        <w:tc>
          <w:tcPr>
            <w:tcW w:w="952" w:type="dxa"/>
            <w:tcBorders>
              <w:top w:val="nil"/>
              <w:left w:val="nil"/>
              <w:bottom w:val="single" w:color="auto" w:sz="4" w:space="0"/>
              <w:right w:val="single" w:color="auto" w:sz="4" w:space="0"/>
            </w:tcBorders>
            <w:shd w:val="clear" w:color="000000" w:fill="FFFFFF"/>
            <w:vAlign w:val="center"/>
          </w:tcPr>
          <w:p w14:paraId="7C1627C9">
            <w:pPr>
              <w:widowControl/>
              <w:jc w:val="center"/>
              <w:rPr>
                <w:rFonts w:hint="eastAsia" w:ascii="宋体" w:hAnsi="宋体" w:cs="宋体"/>
                <w:color w:val="000000"/>
                <w:kern w:val="0"/>
                <w:sz w:val="24"/>
              </w:rPr>
            </w:pPr>
            <w:r>
              <w:rPr>
                <w:rFonts w:hint="eastAsia" w:ascii="宋体" w:hAnsi="宋体" w:cs="宋体"/>
                <w:color w:val="000000"/>
                <w:kern w:val="0"/>
                <w:sz w:val="24"/>
              </w:rPr>
              <w:t>否</w:t>
            </w:r>
          </w:p>
        </w:tc>
      </w:tr>
      <w:tr w14:paraId="4520928B">
        <w:tblPrEx>
          <w:tblCellMar>
            <w:top w:w="0" w:type="dxa"/>
            <w:left w:w="108" w:type="dxa"/>
            <w:bottom w:w="0" w:type="dxa"/>
            <w:right w:w="108" w:type="dxa"/>
          </w:tblCellMar>
        </w:tblPrEx>
        <w:trPr>
          <w:trHeight w:val="288" w:hRule="atLeast"/>
        </w:trPr>
        <w:tc>
          <w:tcPr>
            <w:tcW w:w="704" w:type="dxa"/>
            <w:tcBorders>
              <w:top w:val="nil"/>
              <w:left w:val="single" w:color="auto" w:sz="4" w:space="0"/>
              <w:bottom w:val="single" w:color="auto" w:sz="4" w:space="0"/>
              <w:right w:val="single" w:color="auto" w:sz="4" w:space="0"/>
            </w:tcBorders>
            <w:shd w:val="clear" w:color="000000" w:fill="FFFFFF"/>
            <w:vAlign w:val="center"/>
          </w:tcPr>
          <w:p w14:paraId="40E845B2">
            <w:pPr>
              <w:widowControl/>
              <w:jc w:val="center"/>
              <w:rPr>
                <w:rFonts w:hint="eastAsia" w:ascii="宋体" w:hAnsi="宋体" w:cs="宋体"/>
                <w:kern w:val="0"/>
                <w:sz w:val="24"/>
              </w:rPr>
            </w:pPr>
            <w:r>
              <w:rPr>
                <w:rFonts w:hint="eastAsia" w:ascii="宋体" w:hAnsi="宋体" w:cs="宋体"/>
                <w:kern w:val="0"/>
                <w:sz w:val="24"/>
              </w:rPr>
              <w:t>25</w:t>
            </w:r>
          </w:p>
        </w:tc>
        <w:tc>
          <w:tcPr>
            <w:tcW w:w="2851" w:type="dxa"/>
            <w:tcBorders>
              <w:top w:val="nil"/>
              <w:left w:val="nil"/>
              <w:bottom w:val="single" w:color="auto" w:sz="4" w:space="0"/>
              <w:right w:val="single" w:color="auto" w:sz="4" w:space="0"/>
            </w:tcBorders>
            <w:shd w:val="clear" w:color="000000" w:fill="FFFFFF"/>
            <w:vAlign w:val="center"/>
          </w:tcPr>
          <w:p w14:paraId="29C69EB3">
            <w:pPr>
              <w:jc w:val="center"/>
              <w:rPr>
                <w:rFonts w:hint="eastAsia" w:ascii="宋体" w:hAnsi="宋体" w:cs="宋体"/>
                <w:sz w:val="24"/>
              </w:rPr>
            </w:pPr>
            <w:r>
              <w:rPr>
                <w:rFonts w:hint="eastAsia" w:ascii="宋体" w:hAnsi="宋体" w:cs="宋体"/>
                <w:sz w:val="24"/>
              </w:rPr>
              <w:t>骨钙素检测试剂盒</w:t>
            </w:r>
          </w:p>
        </w:tc>
        <w:tc>
          <w:tcPr>
            <w:tcW w:w="1276" w:type="dxa"/>
            <w:tcBorders>
              <w:top w:val="nil"/>
              <w:left w:val="nil"/>
              <w:bottom w:val="single" w:color="auto" w:sz="4" w:space="0"/>
              <w:right w:val="single" w:color="auto" w:sz="4" w:space="0"/>
            </w:tcBorders>
            <w:shd w:val="clear" w:color="000000" w:fill="FFFFFF"/>
            <w:vAlign w:val="center"/>
          </w:tcPr>
          <w:p w14:paraId="43C2F51F">
            <w:pPr>
              <w:widowControl/>
              <w:jc w:val="center"/>
              <w:rPr>
                <w:rFonts w:hint="eastAsia" w:ascii="宋体" w:hAnsi="宋体" w:cs="宋体"/>
                <w:kern w:val="0"/>
                <w:sz w:val="24"/>
              </w:rPr>
            </w:pPr>
            <w:r>
              <w:rPr>
                <w:rFonts w:hint="eastAsia" w:ascii="宋体" w:hAnsi="宋体" w:cs="宋体"/>
                <w:kern w:val="0"/>
                <w:sz w:val="24"/>
              </w:rPr>
              <w:t>33</w:t>
            </w:r>
          </w:p>
        </w:tc>
        <w:tc>
          <w:tcPr>
            <w:tcW w:w="992" w:type="dxa"/>
            <w:tcBorders>
              <w:top w:val="nil"/>
              <w:left w:val="nil"/>
              <w:bottom w:val="single" w:color="auto" w:sz="4" w:space="0"/>
              <w:right w:val="single" w:color="auto" w:sz="4" w:space="0"/>
            </w:tcBorders>
            <w:shd w:val="clear" w:color="000000" w:fill="FFFFFF"/>
            <w:vAlign w:val="center"/>
          </w:tcPr>
          <w:p w14:paraId="294273AA">
            <w:pPr>
              <w:widowControl/>
              <w:jc w:val="center"/>
              <w:rPr>
                <w:rFonts w:hint="eastAsia" w:ascii="宋体" w:hAnsi="宋体" w:cs="宋体"/>
                <w:kern w:val="0"/>
                <w:sz w:val="24"/>
              </w:rPr>
            </w:pPr>
            <w:r>
              <w:rPr>
                <w:rFonts w:hint="eastAsia" w:ascii="宋体" w:hAnsi="宋体" w:cs="宋体"/>
                <w:kern w:val="0"/>
                <w:sz w:val="24"/>
              </w:rPr>
              <w:t>人份</w:t>
            </w:r>
          </w:p>
        </w:tc>
        <w:tc>
          <w:tcPr>
            <w:tcW w:w="992" w:type="dxa"/>
            <w:tcBorders>
              <w:top w:val="nil"/>
              <w:left w:val="nil"/>
              <w:bottom w:val="single" w:color="auto" w:sz="4" w:space="0"/>
              <w:right w:val="single" w:color="auto" w:sz="4" w:space="0"/>
            </w:tcBorders>
            <w:shd w:val="clear" w:color="000000" w:fill="FFFFFF"/>
            <w:noWrap/>
            <w:vAlign w:val="center"/>
          </w:tcPr>
          <w:p w14:paraId="755C0C95">
            <w:pPr>
              <w:widowControl/>
              <w:jc w:val="center"/>
              <w:rPr>
                <w:rFonts w:hint="eastAsia" w:ascii="宋体" w:hAnsi="宋体" w:cs="宋体"/>
                <w:kern w:val="0"/>
                <w:sz w:val="24"/>
              </w:rPr>
            </w:pPr>
            <w:r>
              <w:rPr>
                <w:rFonts w:hint="eastAsia" w:ascii="宋体" w:hAnsi="宋体" w:cs="宋体"/>
                <w:kern w:val="0"/>
                <w:sz w:val="24"/>
              </w:rPr>
              <w:t>2000</w:t>
            </w:r>
          </w:p>
        </w:tc>
        <w:tc>
          <w:tcPr>
            <w:tcW w:w="851" w:type="dxa"/>
            <w:tcBorders>
              <w:top w:val="nil"/>
              <w:left w:val="nil"/>
              <w:bottom w:val="single" w:color="auto" w:sz="4" w:space="0"/>
              <w:right w:val="single" w:color="auto" w:sz="4" w:space="0"/>
            </w:tcBorders>
            <w:shd w:val="clear" w:color="000000" w:fill="FFFFFF"/>
            <w:vAlign w:val="center"/>
          </w:tcPr>
          <w:p w14:paraId="675BA970">
            <w:pPr>
              <w:widowControl/>
              <w:jc w:val="center"/>
              <w:rPr>
                <w:rFonts w:hint="eastAsia" w:ascii="宋体" w:hAnsi="宋体" w:cs="宋体"/>
                <w:color w:val="000000"/>
                <w:kern w:val="0"/>
                <w:sz w:val="24"/>
              </w:rPr>
            </w:pPr>
            <w:r>
              <w:rPr>
                <w:rFonts w:hint="eastAsia" w:ascii="宋体" w:hAnsi="宋体" w:cs="宋体"/>
                <w:color w:val="000000"/>
                <w:kern w:val="0"/>
                <w:sz w:val="24"/>
              </w:rPr>
              <w:t>是</w:t>
            </w:r>
          </w:p>
        </w:tc>
        <w:tc>
          <w:tcPr>
            <w:tcW w:w="952" w:type="dxa"/>
            <w:tcBorders>
              <w:top w:val="nil"/>
              <w:left w:val="nil"/>
              <w:bottom w:val="single" w:color="auto" w:sz="4" w:space="0"/>
              <w:right w:val="single" w:color="auto" w:sz="4" w:space="0"/>
            </w:tcBorders>
            <w:shd w:val="clear" w:color="000000" w:fill="FFFFFF"/>
            <w:vAlign w:val="center"/>
          </w:tcPr>
          <w:p w14:paraId="42800A86">
            <w:pPr>
              <w:widowControl/>
              <w:jc w:val="center"/>
              <w:rPr>
                <w:rFonts w:hint="eastAsia" w:ascii="宋体" w:hAnsi="宋体" w:cs="宋体"/>
                <w:color w:val="000000"/>
                <w:kern w:val="0"/>
                <w:sz w:val="24"/>
              </w:rPr>
            </w:pPr>
            <w:r>
              <w:rPr>
                <w:rFonts w:hint="eastAsia" w:ascii="宋体" w:hAnsi="宋体" w:cs="宋体"/>
                <w:color w:val="000000"/>
                <w:kern w:val="0"/>
                <w:sz w:val="24"/>
              </w:rPr>
              <w:t>否</w:t>
            </w:r>
          </w:p>
        </w:tc>
      </w:tr>
      <w:tr w14:paraId="4C7F1CAF">
        <w:tblPrEx>
          <w:tblCellMar>
            <w:top w:w="0" w:type="dxa"/>
            <w:left w:w="108" w:type="dxa"/>
            <w:bottom w:w="0" w:type="dxa"/>
            <w:right w:w="108" w:type="dxa"/>
          </w:tblCellMar>
        </w:tblPrEx>
        <w:trPr>
          <w:trHeight w:val="576" w:hRule="atLeast"/>
        </w:trPr>
        <w:tc>
          <w:tcPr>
            <w:tcW w:w="704" w:type="dxa"/>
            <w:tcBorders>
              <w:top w:val="nil"/>
              <w:left w:val="single" w:color="auto" w:sz="4" w:space="0"/>
              <w:bottom w:val="single" w:color="auto" w:sz="4" w:space="0"/>
              <w:right w:val="single" w:color="auto" w:sz="4" w:space="0"/>
            </w:tcBorders>
            <w:shd w:val="clear" w:color="000000" w:fill="FFFFFF"/>
            <w:vAlign w:val="center"/>
          </w:tcPr>
          <w:p w14:paraId="0DA2AC80">
            <w:pPr>
              <w:widowControl/>
              <w:jc w:val="center"/>
              <w:rPr>
                <w:rFonts w:hint="eastAsia" w:ascii="宋体" w:hAnsi="宋体" w:cs="宋体"/>
                <w:kern w:val="0"/>
                <w:sz w:val="24"/>
              </w:rPr>
            </w:pPr>
            <w:r>
              <w:rPr>
                <w:rFonts w:hint="eastAsia" w:ascii="宋体" w:hAnsi="宋体" w:cs="宋体"/>
                <w:kern w:val="0"/>
                <w:sz w:val="24"/>
              </w:rPr>
              <w:t>26</w:t>
            </w:r>
          </w:p>
        </w:tc>
        <w:tc>
          <w:tcPr>
            <w:tcW w:w="2851" w:type="dxa"/>
            <w:tcBorders>
              <w:top w:val="nil"/>
              <w:left w:val="nil"/>
              <w:bottom w:val="single" w:color="auto" w:sz="4" w:space="0"/>
              <w:right w:val="single" w:color="auto" w:sz="4" w:space="0"/>
            </w:tcBorders>
            <w:shd w:val="clear" w:color="000000" w:fill="FFFFFF"/>
            <w:vAlign w:val="center"/>
          </w:tcPr>
          <w:p w14:paraId="34C06159">
            <w:pPr>
              <w:jc w:val="center"/>
              <w:rPr>
                <w:rFonts w:hint="eastAsia" w:ascii="宋体" w:hAnsi="宋体" w:cs="宋体"/>
                <w:sz w:val="24"/>
              </w:rPr>
            </w:pPr>
            <w:r>
              <w:rPr>
                <w:rFonts w:hint="eastAsia" w:ascii="宋体" w:hAnsi="宋体" w:cs="宋体"/>
                <w:sz w:val="24"/>
              </w:rPr>
              <w:t>黄体生成激素检测试剂盒</w:t>
            </w:r>
          </w:p>
        </w:tc>
        <w:tc>
          <w:tcPr>
            <w:tcW w:w="1276" w:type="dxa"/>
            <w:tcBorders>
              <w:top w:val="nil"/>
              <w:left w:val="nil"/>
              <w:bottom w:val="single" w:color="auto" w:sz="4" w:space="0"/>
              <w:right w:val="single" w:color="auto" w:sz="4" w:space="0"/>
            </w:tcBorders>
            <w:shd w:val="clear" w:color="000000" w:fill="FFFFFF"/>
            <w:vAlign w:val="center"/>
          </w:tcPr>
          <w:p w14:paraId="53636BAC">
            <w:pPr>
              <w:widowControl/>
              <w:jc w:val="center"/>
              <w:rPr>
                <w:rFonts w:hint="eastAsia" w:ascii="宋体" w:hAnsi="宋体" w:cs="宋体"/>
                <w:kern w:val="0"/>
                <w:sz w:val="24"/>
              </w:rPr>
            </w:pPr>
            <w:r>
              <w:rPr>
                <w:rFonts w:hint="eastAsia" w:ascii="宋体" w:hAnsi="宋体" w:cs="宋体"/>
                <w:kern w:val="0"/>
                <w:sz w:val="24"/>
              </w:rPr>
              <w:t>18.51</w:t>
            </w:r>
          </w:p>
        </w:tc>
        <w:tc>
          <w:tcPr>
            <w:tcW w:w="992" w:type="dxa"/>
            <w:tcBorders>
              <w:top w:val="nil"/>
              <w:left w:val="nil"/>
              <w:bottom w:val="single" w:color="auto" w:sz="4" w:space="0"/>
              <w:right w:val="single" w:color="auto" w:sz="4" w:space="0"/>
            </w:tcBorders>
            <w:shd w:val="clear" w:color="000000" w:fill="FFFFFF"/>
            <w:vAlign w:val="center"/>
          </w:tcPr>
          <w:p w14:paraId="2826853F">
            <w:pPr>
              <w:widowControl/>
              <w:jc w:val="center"/>
              <w:rPr>
                <w:rFonts w:hint="eastAsia" w:ascii="宋体" w:hAnsi="宋体" w:cs="宋体"/>
                <w:kern w:val="0"/>
                <w:sz w:val="24"/>
              </w:rPr>
            </w:pPr>
            <w:r>
              <w:rPr>
                <w:rFonts w:hint="eastAsia" w:ascii="宋体" w:hAnsi="宋体" w:cs="宋体"/>
                <w:kern w:val="0"/>
                <w:sz w:val="24"/>
              </w:rPr>
              <w:t>人份</w:t>
            </w:r>
          </w:p>
        </w:tc>
        <w:tc>
          <w:tcPr>
            <w:tcW w:w="992" w:type="dxa"/>
            <w:tcBorders>
              <w:top w:val="nil"/>
              <w:left w:val="nil"/>
              <w:bottom w:val="single" w:color="auto" w:sz="4" w:space="0"/>
              <w:right w:val="single" w:color="auto" w:sz="4" w:space="0"/>
            </w:tcBorders>
            <w:shd w:val="clear" w:color="000000" w:fill="FFFFFF"/>
            <w:noWrap/>
            <w:vAlign w:val="center"/>
          </w:tcPr>
          <w:p w14:paraId="68D27A9B">
            <w:pPr>
              <w:widowControl/>
              <w:jc w:val="center"/>
              <w:rPr>
                <w:rFonts w:hint="eastAsia" w:ascii="宋体" w:hAnsi="宋体" w:cs="宋体"/>
                <w:kern w:val="0"/>
                <w:sz w:val="24"/>
              </w:rPr>
            </w:pPr>
            <w:r>
              <w:rPr>
                <w:rFonts w:hint="eastAsia" w:ascii="宋体" w:hAnsi="宋体" w:cs="宋体"/>
                <w:kern w:val="0"/>
                <w:sz w:val="24"/>
              </w:rPr>
              <w:t>1100</w:t>
            </w:r>
          </w:p>
        </w:tc>
        <w:tc>
          <w:tcPr>
            <w:tcW w:w="851" w:type="dxa"/>
            <w:tcBorders>
              <w:top w:val="nil"/>
              <w:left w:val="nil"/>
              <w:bottom w:val="single" w:color="auto" w:sz="4" w:space="0"/>
              <w:right w:val="single" w:color="auto" w:sz="4" w:space="0"/>
            </w:tcBorders>
            <w:shd w:val="clear" w:color="000000" w:fill="FFFFFF"/>
            <w:vAlign w:val="center"/>
          </w:tcPr>
          <w:p w14:paraId="6DB67967">
            <w:pPr>
              <w:widowControl/>
              <w:jc w:val="center"/>
              <w:rPr>
                <w:rFonts w:hint="eastAsia" w:ascii="宋体" w:hAnsi="宋体" w:cs="宋体"/>
                <w:color w:val="000000"/>
                <w:kern w:val="0"/>
                <w:sz w:val="24"/>
              </w:rPr>
            </w:pPr>
            <w:r>
              <w:rPr>
                <w:rFonts w:hint="eastAsia" w:ascii="宋体" w:hAnsi="宋体" w:cs="宋体"/>
                <w:color w:val="000000"/>
                <w:kern w:val="0"/>
                <w:sz w:val="24"/>
              </w:rPr>
              <w:t>是</w:t>
            </w:r>
          </w:p>
        </w:tc>
        <w:tc>
          <w:tcPr>
            <w:tcW w:w="952" w:type="dxa"/>
            <w:tcBorders>
              <w:top w:val="nil"/>
              <w:left w:val="nil"/>
              <w:bottom w:val="single" w:color="auto" w:sz="4" w:space="0"/>
              <w:right w:val="single" w:color="auto" w:sz="4" w:space="0"/>
            </w:tcBorders>
            <w:shd w:val="clear" w:color="000000" w:fill="FFFFFF"/>
            <w:vAlign w:val="center"/>
          </w:tcPr>
          <w:p w14:paraId="0C5C503E">
            <w:pPr>
              <w:widowControl/>
              <w:jc w:val="center"/>
              <w:rPr>
                <w:rFonts w:hint="eastAsia" w:ascii="宋体" w:hAnsi="宋体" w:cs="宋体"/>
                <w:color w:val="000000"/>
                <w:kern w:val="0"/>
                <w:sz w:val="24"/>
              </w:rPr>
            </w:pPr>
            <w:r>
              <w:rPr>
                <w:rFonts w:hint="eastAsia" w:ascii="宋体" w:hAnsi="宋体" w:cs="宋体"/>
                <w:color w:val="000000"/>
                <w:kern w:val="0"/>
                <w:sz w:val="24"/>
              </w:rPr>
              <w:t>否</w:t>
            </w:r>
          </w:p>
        </w:tc>
      </w:tr>
      <w:tr w14:paraId="42E562AB">
        <w:tblPrEx>
          <w:tblCellMar>
            <w:top w:w="0" w:type="dxa"/>
            <w:left w:w="108" w:type="dxa"/>
            <w:bottom w:w="0" w:type="dxa"/>
            <w:right w:w="108" w:type="dxa"/>
          </w:tblCellMar>
        </w:tblPrEx>
        <w:trPr>
          <w:trHeight w:val="288" w:hRule="atLeast"/>
        </w:trPr>
        <w:tc>
          <w:tcPr>
            <w:tcW w:w="704" w:type="dxa"/>
            <w:tcBorders>
              <w:top w:val="nil"/>
              <w:left w:val="single" w:color="auto" w:sz="4" w:space="0"/>
              <w:bottom w:val="single" w:color="auto" w:sz="4" w:space="0"/>
              <w:right w:val="single" w:color="auto" w:sz="4" w:space="0"/>
            </w:tcBorders>
            <w:shd w:val="clear" w:color="000000" w:fill="FFFFFF"/>
            <w:vAlign w:val="center"/>
          </w:tcPr>
          <w:p w14:paraId="437C4E53">
            <w:pPr>
              <w:widowControl/>
              <w:jc w:val="center"/>
              <w:rPr>
                <w:rFonts w:hint="eastAsia" w:ascii="宋体" w:hAnsi="宋体" w:cs="宋体"/>
                <w:kern w:val="0"/>
                <w:sz w:val="24"/>
              </w:rPr>
            </w:pPr>
            <w:r>
              <w:rPr>
                <w:rFonts w:hint="eastAsia" w:ascii="宋体" w:hAnsi="宋体" w:cs="宋体"/>
                <w:kern w:val="0"/>
                <w:sz w:val="24"/>
              </w:rPr>
              <w:t>27</w:t>
            </w:r>
          </w:p>
        </w:tc>
        <w:tc>
          <w:tcPr>
            <w:tcW w:w="2851" w:type="dxa"/>
            <w:tcBorders>
              <w:top w:val="nil"/>
              <w:left w:val="nil"/>
              <w:bottom w:val="single" w:color="auto" w:sz="4" w:space="0"/>
              <w:right w:val="single" w:color="auto" w:sz="4" w:space="0"/>
            </w:tcBorders>
            <w:shd w:val="clear" w:color="000000" w:fill="FFFFFF"/>
            <w:vAlign w:val="center"/>
          </w:tcPr>
          <w:p w14:paraId="12D59D72">
            <w:pPr>
              <w:jc w:val="center"/>
              <w:rPr>
                <w:rFonts w:hint="eastAsia" w:ascii="宋体" w:hAnsi="宋体" w:cs="宋体"/>
                <w:sz w:val="24"/>
              </w:rPr>
            </w:pPr>
            <w:r>
              <w:rPr>
                <w:rFonts w:hint="eastAsia" w:ascii="宋体" w:hAnsi="宋体" w:cs="宋体"/>
                <w:sz w:val="24"/>
              </w:rPr>
              <w:t>黄体生成素定标液</w:t>
            </w:r>
          </w:p>
        </w:tc>
        <w:tc>
          <w:tcPr>
            <w:tcW w:w="1276" w:type="dxa"/>
            <w:tcBorders>
              <w:top w:val="nil"/>
              <w:left w:val="nil"/>
              <w:bottom w:val="single" w:color="auto" w:sz="4" w:space="0"/>
              <w:right w:val="single" w:color="auto" w:sz="4" w:space="0"/>
            </w:tcBorders>
            <w:shd w:val="clear" w:color="000000" w:fill="FFFFFF"/>
            <w:vAlign w:val="center"/>
          </w:tcPr>
          <w:p w14:paraId="2805E958">
            <w:pPr>
              <w:widowControl/>
              <w:jc w:val="center"/>
              <w:rPr>
                <w:rFonts w:hint="eastAsia" w:ascii="宋体" w:hAnsi="宋体" w:cs="宋体"/>
                <w:kern w:val="0"/>
                <w:sz w:val="24"/>
              </w:rPr>
            </w:pPr>
            <w:r>
              <w:rPr>
                <w:rFonts w:hint="eastAsia" w:ascii="宋体" w:hAnsi="宋体" w:cs="宋体"/>
                <w:kern w:val="0"/>
                <w:sz w:val="24"/>
              </w:rPr>
              <w:t>287.5</w:t>
            </w:r>
          </w:p>
        </w:tc>
        <w:tc>
          <w:tcPr>
            <w:tcW w:w="992" w:type="dxa"/>
            <w:tcBorders>
              <w:top w:val="nil"/>
              <w:left w:val="nil"/>
              <w:bottom w:val="single" w:color="auto" w:sz="4" w:space="0"/>
              <w:right w:val="single" w:color="auto" w:sz="4" w:space="0"/>
            </w:tcBorders>
            <w:shd w:val="clear" w:color="000000" w:fill="FFFFFF"/>
            <w:vAlign w:val="center"/>
          </w:tcPr>
          <w:p w14:paraId="05D5A106">
            <w:pPr>
              <w:widowControl/>
              <w:jc w:val="center"/>
              <w:rPr>
                <w:rFonts w:hint="eastAsia" w:ascii="宋体" w:hAnsi="宋体" w:cs="宋体"/>
                <w:kern w:val="0"/>
                <w:sz w:val="24"/>
              </w:rPr>
            </w:pPr>
            <w:r>
              <w:rPr>
                <w:rFonts w:hint="eastAsia" w:ascii="宋体" w:hAnsi="宋体" w:cs="宋体"/>
                <w:kern w:val="0"/>
                <w:sz w:val="24"/>
              </w:rPr>
              <w:t>ml</w:t>
            </w:r>
          </w:p>
        </w:tc>
        <w:tc>
          <w:tcPr>
            <w:tcW w:w="992" w:type="dxa"/>
            <w:tcBorders>
              <w:top w:val="nil"/>
              <w:left w:val="nil"/>
              <w:bottom w:val="single" w:color="auto" w:sz="4" w:space="0"/>
              <w:right w:val="single" w:color="auto" w:sz="4" w:space="0"/>
            </w:tcBorders>
            <w:shd w:val="clear" w:color="000000" w:fill="FFFFFF"/>
            <w:noWrap/>
            <w:vAlign w:val="center"/>
          </w:tcPr>
          <w:p w14:paraId="6F8F24AA">
            <w:pPr>
              <w:widowControl/>
              <w:jc w:val="center"/>
              <w:rPr>
                <w:rFonts w:hint="eastAsia" w:ascii="宋体" w:hAnsi="宋体" w:cs="宋体"/>
                <w:kern w:val="0"/>
                <w:sz w:val="24"/>
              </w:rPr>
            </w:pPr>
            <w:r>
              <w:rPr>
                <w:rFonts w:hint="eastAsia" w:ascii="宋体" w:hAnsi="宋体" w:cs="宋体"/>
                <w:kern w:val="0"/>
                <w:sz w:val="24"/>
              </w:rPr>
              <w:t>4</w:t>
            </w:r>
          </w:p>
        </w:tc>
        <w:tc>
          <w:tcPr>
            <w:tcW w:w="851" w:type="dxa"/>
            <w:tcBorders>
              <w:top w:val="nil"/>
              <w:left w:val="nil"/>
              <w:bottom w:val="single" w:color="auto" w:sz="4" w:space="0"/>
              <w:right w:val="single" w:color="auto" w:sz="4" w:space="0"/>
            </w:tcBorders>
            <w:shd w:val="clear" w:color="000000" w:fill="FFFFFF"/>
            <w:vAlign w:val="center"/>
          </w:tcPr>
          <w:p w14:paraId="617E8484">
            <w:pPr>
              <w:widowControl/>
              <w:jc w:val="center"/>
              <w:rPr>
                <w:rFonts w:hint="eastAsia" w:ascii="宋体" w:hAnsi="宋体" w:cs="宋体"/>
                <w:color w:val="000000"/>
                <w:kern w:val="0"/>
                <w:sz w:val="24"/>
              </w:rPr>
            </w:pPr>
            <w:r>
              <w:rPr>
                <w:rFonts w:hint="eastAsia" w:ascii="宋体" w:hAnsi="宋体" w:cs="宋体"/>
                <w:color w:val="000000"/>
                <w:kern w:val="0"/>
                <w:sz w:val="24"/>
              </w:rPr>
              <w:t>是</w:t>
            </w:r>
          </w:p>
        </w:tc>
        <w:tc>
          <w:tcPr>
            <w:tcW w:w="952" w:type="dxa"/>
            <w:tcBorders>
              <w:top w:val="nil"/>
              <w:left w:val="nil"/>
              <w:bottom w:val="single" w:color="auto" w:sz="4" w:space="0"/>
              <w:right w:val="single" w:color="auto" w:sz="4" w:space="0"/>
            </w:tcBorders>
            <w:shd w:val="clear" w:color="000000" w:fill="FFFFFF"/>
            <w:vAlign w:val="center"/>
          </w:tcPr>
          <w:p w14:paraId="4DAEB869">
            <w:pPr>
              <w:widowControl/>
              <w:jc w:val="center"/>
              <w:rPr>
                <w:rFonts w:hint="eastAsia" w:ascii="宋体" w:hAnsi="宋体" w:cs="宋体"/>
                <w:color w:val="000000"/>
                <w:kern w:val="0"/>
                <w:sz w:val="24"/>
              </w:rPr>
            </w:pPr>
            <w:r>
              <w:rPr>
                <w:rFonts w:hint="eastAsia" w:ascii="宋体" w:hAnsi="宋体" w:cs="宋体"/>
                <w:color w:val="000000"/>
                <w:kern w:val="0"/>
                <w:sz w:val="24"/>
              </w:rPr>
              <w:t>否</w:t>
            </w:r>
          </w:p>
        </w:tc>
      </w:tr>
      <w:tr w14:paraId="0977C684">
        <w:tblPrEx>
          <w:tblCellMar>
            <w:top w:w="0" w:type="dxa"/>
            <w:left w:w="108" w:type="dxa"/>
            <w:bottom w:w="0" w:type="dxa"/>
            <w:right w:w="108" w:type="dxa"/>
          </w:tblCellMar>
        </w:tblPrEx>
        <w:trPr>
          <w:trHeight w:val="576" w:hRule="atLeast"/>
        </w:trPr>
        <w:tc>
          <w:tcPr>
            <w:tcW w:w="704" w:type="dxa"/>
            <w:tcBorders>
              <w:top w:val="nil"/>
              <w:left w:val="single" w:color="auto" w:sz="4" w:space="0"/>
              <w:bottom w:val="single" w:color="auto" w:sz="4" w:space="0"/>
              <w:right w:val="single" w:color="auto" w:sz="4" w:space="0"/>
            </w:tcBorders>
            <w:shd w:val="clear" w:color="000000" w:fill="FFFFFF"/>
            <w:vAlign w:val="center"/>
          </w:tcPr>
          <w:p w14:paraId="750721BE">
            <w:pPr>
              <w:widowControl/>
              <w:jc w:val="center"/>
              <w:rPr>
                <w:rFonts w:hint="eastAsia" w:ascii="宋体" w:hAnsi="宋体" w:cs="宋体"/>
                <w:kern w:val="0"/>
                <w:sz w:val="24"/>
              </w:rPr>
            </w:pPr>
            <w:r>
              <w:rPr>
                <w:rFonts w:hint="eastAsia" w:ascii="宋体" w:hAnsi="宋体" w:cs="宋体"/>
                <w:kern w:val="0"/>
                <w:sz w:val="24"/>
              </w:rPr>
              <w:t>28</w:t>
            </w:r>
          </w:p>
        </w:tc>
        <w:tc>
          <w:tcPr>
            <w:tcW w:w="2851" w:type="dxa"/>
            <w:tcBorders>
              <w:top w:val="nil"/>
              <w:left w:val="nil"/>
              <w:bottom w:val="single" w:color="auto" w:sz="4" w:space="0"/>
              <w:right w:val="single" w:color="auto" w:sz="4" w:space="0"/>
            </w:tcBorders>
            <w:shd w:val="clear" w:color="000000" w:fill="FFFFFF"/>
            <w:vAlign w:val="center"/>
          </w:tcPr>
          <w:p w14:paraId="2DA67E3F">
            <w:pPr>
              <w:jc w:val="center"/>
              <w:rPr>
                <w:rFonts w:hint="eastAsia" w:ascii="宋体" w:hAnsi="宋体" w:cs="宋体"/>
                <w:sz w:val="24"/>
              </w:rPr>
            </w:pPr>
            <w:r>
              <w:rPr>
                <w:rFonts w:hint="eastAsia" w:ascii="宋体" w:hAnsi="宋体" w:cs="宋体"/>
                <w:sz w:val="24"/>
              </w:rPr>
              <w:t>肌酸激酶-MB同功酶定标液</w:t>
            </w:r>
          </w:p>
        </w:tc>
        <w:tc>
          <w:tcPr>
            <w:tcW w:w="1276" w:type="dxa"/>
            <w:tcBorders>
              <w:top w:val="nil"/>
              <w:left w:val="nil"/>
              <w:bottom w:val="single" w:color="auto" w:sz="4" w:space="0"/>
              <w:right w:val="single" w:color="auto" w:sz="4" w:space="0"/>
            </w:tcBorders>
            <w:shd w:val="clear" w:color="000000" w:fill="FFFFFF"/>
            <w:vAlign w:val="center"/>
          </w:tcPr>
          <w:p w14:paraId="6745F30D">
            <w:pPr>
              <w:widowControl/>
              <w:jc w:val="center"/>
              <w:rPr>
                <w:rFonts w:hint="eastAsia" w:ascii="宋体" w:hAnsi="宋体" w:cs="宋体"/>
                <w:kern w:val="0"/>
                <w:sz w:val="24"/>
              </w:rPr>
            </w:pPr>
            <w:r>
              <w:rPr>
                <w:rFonts w:hint="eastAsia" w:ascii="宋体" w:hAnsi="宋体" w:cs="宋体"/>
                <w:kern w:val="0"/>
                <w:sz w:val="24"/>
              </w:rPr>
              <w:t>300</w:t>
            </w:r>
          </w:p>
        </w:tc>
        <w:tc>
          <w:tcPr>
            <w:tcW w:w="992" w:type="dxa"/>
            <w:tcBorders>
              <w:top w:val="nil"/>
              <w:left w:val="nil"/>
              <w:bottom w:val="single" w:color="auto" w:sz="4" w:space="0"/>
              <w:right w:val="single" w:color="auto" w:sz="4" w:space="0"/>
            </w:tcBorders>
            <w:shd w:val="clear" w:color="000000" w:fill="FFFFFF"/>
            <w:vAlign w:val="center"/>
          </w:tcPr>
          <w:p w14:paraId="018A3476">
            <w:pPr>
              <w:widowControl/>
              <w:jc w:val="center"/>
              <w:rPr>
                <w:rFonts w:hint="eastAsia" w:ascii="宋体" w:hAnsi="宋体" w:cs="宋体"/>
                <w:kern w:val="0"/>
                <w:sz w:val="24"/>
              </w:rPr>
            </w:pPr>
            <w:r>
              <w:rPr>
                <w:rFonts w:hint="eastAsia" w:ascii="宋体" w:hAnsi="宋体" w:cs="宋体"/>
                <w:kern w:val="0"/>
                <w:sz w:val="24"/>
              </w:rPr>
              <w:t>ml</w:t>
            </w:r>
          </w:p>
        </w:tc>
        <w:tc>
          <w:tcPr>
            <w:tcW w:w="992" w:type="dxa"/>
            <w:tcBorders>
              <w:top w:val="nil"/>
              <w:left w:val="nil"/>
              <w:bottom w:val="single" w:color="auto" w:sz="4" w:space="0"/>
              <w:right w:val="single" w:color="auto" w:sz="4" w:space="0"/>
            </w:tcBorders>
            <w:shd w:val="clear" w:color="000000" w:fill="FFFFFF"/>
            <w:noWrap/>
            <w:vAlign w:val="center"/>
          </w:tcPr>
          <w:p w14:paraId="2E0B3436">
            <w:pPr>
              <w:widowControl/>
              <w:jc w:val="center"/>
              <w:rPr>
                <w:rFonts w:hint="eastAsia" w:ascii="宋体" w:hAnsi="宋体" w:cs="宋体"/>
                <w:kern w:val="0"/>
                <w:sz w:val="24"/>
              </w:rPr>
            </w:pPr>
            <w:r>
              <w:rPr>
                <w:rFonts w:hint="eastAsia" w:ascii="宋体" w:hAnsi="宋体" w:cs="宋体"/>
                <w:kern w:val="0"/>
                <w:sz w:val="24"/>
              </w:rPr>
              <w:t>4</w:t>
            </w:r>
          </w:p>
        </w:tc>
        <w:tc>
          <w:tcPr>
            <w:tcW w:w="851" w:type="dxa"/>
            <w:tcBorders>
              <w:top w:val="nil"/>
              <w:left w:val="nil"/>
              <w:bottom w:val="single" w:color="auto" w:sz="4" w:space="0"/>
              <w:right w:val="single" w:color="auto" w:sz="4" w:space="0"/>
            </w:tcBorders>
            <w:shd w:val="clear" w:color="000000" w:fill="FFFFFF"/>
            <w:vAlign w:val="center"/>
          </w:tcPr>
          <w:p w14:paraId="7EDECEEF">
            <w:pPr>
              <w:widowControl/>
              <w:jc w:val="center"/>
              <w:rPr>
                <w:rFonts w:hint="eastAsia" w:ascii="宋体" w:hAnsi="宋体" w:cs="宋体"/>
                <w:color w:val="000000"/>
                <w:kern w:val="0"/>
                <w:sz w:val="24"/>
              </w:rPr>
            </w:pPr>
            <w:r>
              <w:rPr>
                <w:rFonts w:hint="eastAsia" w:ascii="宋体" w:hAnsi="宋体" w:cs="宋体"/>
                <w:color w:val="000000"/>
                <w:kern w:val="0"/>
                <w:sz w:val="24"/>
              </w:rPr>
              <w:t>是</w:t>
            </w:r>
          </w:p>
        </w:tc>
        <w:tc>
          <w:tcPr>
            <w:tcW w:w="952" w:type="dxa"/>
            <w:tcBorders>
              <w:top w:val="nil"/>
              <w:left w:val="nil"/>
              <w:bottom w:val="single" w:color="auto" w:sz="4" w:space="0"/>
              <w:right w:val="single" w:color="auto" w:sz="4" w:space="0"/>
            </w:tcBorders>
            <w:shd w:val="clear" w:color="000000" w:fill="FFFFFF"/>
            <w:vAlign w:val="center"/>
          </w:tcPr>
          <w:p w14:paraId="44B5B1EE">
            <w:pPr>
              <w:widowControl/>
              <w:jc w:val="center"/>
              <w:rPr>
                <w:rFonts w:hint="eastAsia" w:ascii="宋体" w:hAnsi="宋体" w:cs="宋体"/>
                <w:color w:val="000000"/>
                <w:kern w:val="0"/>
                <w:sz w:val="24"/>
              </w:rPr>
            </w:pPr>
            <w:r>
              <w:rPr>
                <w:rFonts w:hint="eastAsia" w:ascii="宋体" w:hAnsi="宋体" w:cs="宋体"/>
                <w:color w:val="000000"/>
                <w:kern w:val="0"/>
                <w:sz w:val="24"/>
              </w:rPr>
              <w:t>否</w:t>
            </w:r>
          </w:p>
        </w:tc>
      </w:tr>
      <w:tr w14:paraId="5D821AF6">
        <w:tblPrEx>
          <w:tblCellMar>
            <w:top w:w="0" w:type="dxa"/>
            <w:left w:w="108" w:type="dxa"/>
            <w:bottom w:w="0" w:type="dxa"/>
            <w:right w:w="108" w:type="dxa"/>
          </w:tblCellMar>
        </w:tblPrEx>
        <w:trPr>
          <w:trHeight w:val="576" w:hRule="atLeast"/>
        </w:trPr>
        <w:tc>
          <w:tcPr>
            <w:tcW w:w="704" w:type="dxa"/>
            <w:tcBorders>
              <w:top w:val="nil"/>
              <w:left w:val="single" w:color="auto" w:sz="4" w:space="0"/>
              <w:bottom w:val="single" w:color="auto" w:sz="4" w:space="0"/>
              <w:right w:val="single" w:color="auto" w:sz="4" w:space="0"/>
            </w:tcBorders>
            <w:shd w:val="clear" w:color="000000" w:fill="FFFFFF"/>
            <w:vAlign w:val="center"/>
          </w:tcPr>
          <w:p w14:paraId="53075B44">
            <w:pPr>
              <w:widowControl/>
              <w:jc w:val="center"/>
              <w:rPr>
                <w:rFonts w:hint="eastAsia" w:ascii="宋体" w:hAnsi="宋体" w:cs="宋体"/>
                <w:kern w:val="0"/>
                <w:sz w:val="24"/>
              </w:rPr>
            </w:pPr>
            <w:r>
              <w:rPr>
                <w:rFonts w:hint="eastAsia" w:ascii="宋体" w:hAnsi="宋体" w:cs="宋体"/>
                <w:kern w:val="0"/>
                <w:sz w:val="24"/>
              </w:rPr>
              <w:t>29</w:t>
            </w:r>
          </w:p>
        </w:tc>
        <w:tc>
          <w:tcPr>
            <w:tcW w:w="2851" w:type="dxa"/>
            <w:tcBorders>
              <w:top w:val="nil"/>
              <w:left w:val="nil"/>
              <w:bottom w:val="single" w:color="auto" w:sz="4" w:space="0"/>
              <w:right w:val="single" w:color="auto" w:sz="4" w:space="0"/>
            </w:tcBorders>
            <w:shd w:val="clear" w:color="000000" w:fill="FFFFFF"/>
            <w:vAlign w:val="center"/>
          </w:tcPr>
          <w:p w14:paraId="5C452B13">
            <w:pPr>
              <w:jc w:val="center"/>
              <w:rPr>
                <w:rFonts w:hint="eastAsia" w:ascii="宋体" w:hAnsi="宋体" w:cs="宋体"/>
                <w:sz w:val="24"/>
              </w:rPr>
            </w:pPr>
            <w:r>
              <w:rPr>
                <w:rFonts w:hint="eastAsia" w:ascii="宋体" w:hAnsi="宋体" w:cs="宋体"/>
                <w:sz w:val="24"/>
              </w:rPr>
              <w:t>肌酸激酶同工酶检测试剂盒</w:t>
            </w:r>
          </w:p>
        </w:tc>
        <w:tc>
          <w:tcPr>
            <w:tcW w:w="1276" w:type="dxa"/>
            <w:tcBorders>
              <w:top w:val="nil"/>
              <w:left w:val="nil"/>
              <w:bottom w:val="single" w:color="auto" w:sz="4" w:space="0"/>
              <w:right w:val="single" w:color="auto" w:sz="4" w:space="0"/>
            </w:tcBorders>
            <w:shd w:val="clear" w:color="000000" w:fill="FFFFFF"/>
            <w:vAlign w:val="center"/>
          </w:tcPr>
          <w:p w14:paraId="64925CE7">
            <w:pPr>
              <w:widowControl/>
              <w:jc w:val="center"/>
              <w:rPr>
                <w:rFonts w:hint="eastAsia" w:ascii="宋体" w:hAnsi="宋体" w:cs="宋体"/>
                <w:kern w:val="0"/>
                <w:sz w:val="24"/>
              </w:rPr>
            </w:pPr>
            <w:r>
              <w:rPr>
                <w:rFonts w:hint="eastAsia" w:ascii="宋体" w:hAnsi="宋体" w:cs="宋体"/>
                <w:kern w:val="0"/>
                <w:sz w:val="24"/>
              </w:rPr>
              <w:t>20</w:t>
            </w:r>
          </w:p>
        </w:tc>
        <w:tc>
          <w:tcPr>
            <w:tcW w:w="992" w:type="dxa"/>
            <w:tcBorders>
              <w:top w:val="nil"/>
              <w:left w:val="nil"/>
              <w:bottom w:val="single" w:color="auto" w:sz="4" w:space="0"/>
              <w:right w:val="single" w:color="auto" w:sz="4" w:space="0"/>
            </w:tcBorders>
            <w:shd w:val="clear" w:color="000000" w:fill="FFFFFF"/>
            <w:vAlign w:val="center"/>
          </w:tcPr>
          <w:p w14:paraId="5E03046D">
            <w:pPr>
              <w:widowControl/>
              <w:jc w:val="center"/>
              <w:rPr>
                <w:rFonts w:hint="eastAsia" w:ascii="宋体" w:hAnsi="宋体" w:cs="宋体"/>
                <w:kern w:val="0"/>
                <w:sz w:val="24"/>
              </w:rPr>
            </w:pPr>
            <w:r>
              <w:rPr>
                <w:rFonts w:hint="eastAsia" w:ascii="宋体" w:hAnsi="宋体" w:cs="宋体"/>
                <w:kern w:val="0"/>
                <w:sz w:val="24"/>
              </w:rPr>
              <w:t>人份</w:t>
            </w:r>
          </w:p>
        </w:tc>
        <w:tc>
          <w:tcPr>
            <w:tcW w:w="992" w:type="dxa"/>
            <w:tcBorders>
              <w:top w:val="nil"/>
              <w:left w:val="nil"/>
              <w:bottom w:val="single" w:color="auto" w:sz="4" w:space="0"/>
              <w:right w:val="single" w:color="auto" w:sz="4" w:space="0"/>
            </w:tcBorders>
            <w:shd w:val="clear" w:color="000000" w:fill="FFFFFF"/>
            <w:noWrap/>
            <w:vAlign w:val="center"/>
          </w:tcPr>
          <w:p w14:paraId="34CDA2C3">
            <w:pPr>
              <w:widowControl/>
              <w:jc w:val="center"/>
              <w:rPr>
                <w:rFonts w:hint="eastAsia" w:ascii="宋体" w:hAnsi="宋体" w:cs="宋体"/>
                <w:kern w:val="0"/>
                <w:sz w:val="24"/>
              </w:rPr>
            </w:pPr>
            <w:r>
              <w:rPr>
                <w:rFonts w:hint="eastAsia" w:ascii="宋体" w:hAnsi="宋体" w:cs="宋体"/>
                <w:kern w:val="0"/>
                <w:sz w:val="24"/>
              </w:rPr>
              <w:t>9500</w:t>
            </w:r>
          </w:p>
        </w:tc>
        <w:tc>
          <w:tcPr>
            <w:tcW w:w="851" w:type="dxa"/>
            <w:tcBorders>
              <w:top w:val="nil"/>
              <w:left w:val="nil"/>
              <w:bottom w:val="single" w:color="auto" w:sz="4" w:space="0"/>
              <w:right w:val="single" w:color="auto" w:sz="4" w:space="0"/>
            </w:tcBorders>
            <w:shd w:val="clear" w:color="000000" w:fill="FFFFFF"/>
            <w:vAlign w:val="center"/>
          </w:tcPr>
          <w:p w14:paraId="4FE9F286">
            <w:pPr>
              <w:widowControl/>
              <w:jc w:val="center"/>
              <w:rPr>
                <w:rFonts w:hint="eastAsia" w:ascii="宋体" w:hAnsi="宋体" w:cs="宋体"/>
                <w:color w:val="000000"/>
                <w:kern w:val="0"/>
                <w:sz w:val="24"/>
              </w:rPr>
            </w:pPr>
            <w:r>
              <w:rPr>
                <w:rFonts w:hint="eastAsia" w:ascii="宋体" w:hAnsi="宋体" w:cs="宋体"/>
                <w:color w:val="000000"/>
                <w:kern w:val="0"/>
                <w:sz w:val="24"/>
              </w:rPr>
              <w:t>是</w:t>
            </w:r>
          </w:p>
        </w:tc>
        <w:tc>
          <w:tcPr>
            <w:tcW w:w="952" w:type="dxa"/>
            <w:tcBorders>
              <w:top w:val="nil"/>
              <w:left w:val="nil"/>
              <w:bottom w:val="single" w:color="auto" w:sz="4" w:space="0"/>
              <w:right w:val="single" w:color="auto" w:sz="4" w:space="0"/>
            </w:tcBorders>
            <w:shd w:val="clear" w:color="000000" w:fill="FFFFFF"/>
            <w:vAlign w:val="center"/>
          </w:tcPr>
          <w:p w14:paraId="5D09D6CB">
            <w:pPr>
              <w:widowControl/>
              <w:jc w:val="center"/>
              <w:rPr>
                <w:rFonts w:hint="eastAsia" w:ascii="宋体" w:hAnsi="宋体" w:cs="宋体"/>
                <w:color w:val="000000"/>
                <w:kern w:val="0"/>
                <w:sz w:val="24"/>
              </w:rPr>
            </w:pPr>
            <w:r>
              <w:rPr>
                <w:rFonts w:hint="eastAsia" w:ascii="宋体" w:hAnsi="宋体" w:cs="宋体"/>
                <w:color w:val="000000"/>
                <w:kern w:val="0"/>
                <w:sz w:val="24"/>
              </w:rPr>
              <w:t>否</w:t>
            </w:r>
          </w:p>
        </w:tc>
      </w:tr>
      <w:tr w14:paraId="0A33A6B0">
        <w:tblPrEx>
          <w:tblCellMar>
            <w:top w:w="0" w:type="dxa"/>
            <w:left w:w="108" w:type="dxa"/>
            <w:bottom w:w="0" w:type="dxa"/>
            <w:right w:w="108" w:type="dxa"/>
          </w:tblCellMar>
        </w:tblPrEx>
        <w:trPr>
          <w:trHeight w:val="288" w:hRule="atLeast"/>
        </w:trPr>
        <w:tc>
          <w:tcPr>
            <w:tcW w:w="704" w:type="dxa"/>
            <w:tcBorders>
              <w:top w:val="nil"/>
              <w:left w:val="single" w:color="auto" w:sz="4" w:space="0"/>
              <w:bottom w:val="single" w:color="auto" w:sz="4" w:space="0"/>
              <w:right w:val="single" w:color="auto" w:sz="4" w:space="0"/>
            </w:tcBorders>
            <w:shd w:val="clear" w:color="000000" w:fill="FFFFFF"/>
            <w:vAlign w:val="center"/>
          </w:tcPr>
          <w:p w14:paraId="63513AD0">
            <w:pPr>
              <w:widowControl/>
              <w:jc w:val="center"/>
              <w:rPr>
                <w:rFonts w:hint="eastAsia" w:ascii="宋体" w:hAnsi="宋体" w:cs="宋体"/>
                <w:kern w:val="0"/>
                <w:sz w:val="24"/>
              </w:rPr>
            </w:pPr>
            <w:r>
              <w:rPr>
                <w:rFonts w:hint="eastAsia" w:ascii="宋体" w:hAnsi="宋体" w:cs="宋体"/>
                <w:kern w:val="0"/>
                <w:sz w:val="24"/>
              </w:rPr>
              <w:t>30</w:t>
            </w:r>
          </w:p>
        </w:tc>
        <w:tc>
          <w:tcPr>
            <w:tcW w:w="2851" w:type="dxa"/>
            <w:tcBorders>
              <w:top w:val="nil"/>
              <w:left w:val="nil"/>
              <w:bottom w:val="single" w:color="auto" w:sz="4" w:space="0"/>
              <w:right w:val="single" w:color="auto" w:sz="4" w:space="0"/>
            </w:tcBorders>
            <w:shd w:val="clear" w:color="000000" w:fill="FFFFFF"/>
            <w:vAlign w:val="center"/>
          </w:tcPr>
          <w:p w14:paraId="3E4A2989">
            <w:pPr>
              <w:jc w:val="center"/>
              <w:rPr>
                <w:rFonts w:hint="eastAsia" w:ascii="宋体" w:hAnsi="宋体" w:cs="宋体"/>
                <w:sz w:val="24"/>
              </w:rPr>
            </w:pPr>
            <w:r>
              <w:rPr>
                <w:rFonts w:hint="eastAsia" w:ascii="宋体" w:hAnsi="宋体" w:cs="宋体"/>
                <w:sz w:val="24"/>
              </w:rPr>
              <w:t>甲胎蛋白定标液</w:t>
            </w:r>
          </w:p>
        </w:tc>
        <w:tc>
          <w:tcPr>
            <w:tcW w:w="1276" w:type="dxa"/>
            <w:tcBorders>
              <w:top w:val="nil"/>
              <w:left w:val="nil"/>
              <w:bottom w:val="single" w:color="auto" w:sz="4" w:space="0"/>
              <w:right w:val="single" w:color="auto" w:sz="4" w:space="0"/>
            </w:tcBorders>
            <w:shd w:val="clear" w:color="000000" w:fill="FFFFFF"/>
            <w:vAlign w:val="center"/>
          </w:tcPr>
          <w:p w14:paraId="3E283CCB">
            <w:pPr>
              <w:widowControl/>
              <w:jc w:val="center"/>
              <w:rPr>
                <w:rFonts w:hint="eastAsia" w:ascii="宋体" w:hAnsi="宋体" w:cs="宋体"/>
                <w:kern w:val="0"/>
                <w:sz w:val="24"/>
              </w:rPr>
            </w:pPr>
            <w:r>
              <w:rPr>
                <w:rFonts w:hint="eastAsia" w:ascii="宋体" w:hAnsi="宋体" w:cs="宋体"/>
                <w:kern w:val="0"/>
                <w:sz w:val="24"/>
              </w:rPr>
              <w:t>400</w:t>
            </w:r>
          </w:p>
        </w:tc>
        <w:tc>
          <w:tcPr>
            <w:tcW w:w="992" w:type="dxa"/>
            <w:tcBorders>
              <w:top w:val="nil"/>
              <w:left w:val="nil"/>
              <w:bottom w:val="single" w:color="auto" w:sz="4" w:space="0"/>
              <w:right w:val="single" w:color="auto" w:sz="4" w:space="0"/>
            </w:tcBorders>
            <w:shd w:val="clear" w:color="000000" w:fill="FFFFFF"/>
            <w:vAlign w:val="center"/>
          </w:tcPr>
          <w:p w14:paraId="28B1114A">
            <w:pPr>
              <w:widowControl/>
              <w:jc w:val="center"/>
              <w:rPr>
                <w:rFonts w:hint="eastAsia" w:ascii="宋体" w:hAnsi="宋体" w:cs="宋体"/>
                <w:kern w:val="0"/>
                <w:sz w:val="24"/>
              </w:rPr>
            </w:pPr>
            <w:r>
              <w:rPr>
                <w:rFonts w:hint="eastAsia" w:ascii="宋体" w:hAnsi="宋体" w:cs="宋体"/>
                <w:kern w:val="0"/>
                <w:sz w:val="24"/>
              </w:rPr>
              <w:t>ml</w:t>
            </w:r>
          </w:p>
        </w:tc>
        <w:tc>
          <w:tcPr>
            <w:tcW w:w="992" w:type="dxa"/>
            <w:tcBorders>
              <w:top w:val="nil"/>
              <w:left w:val="nil"/>
              <w:bottom w:val="single" w:color="auto" w:sz="4" w:space="0"/>
              <w:right w:val="single" w:color="auto" w:sz="4" w:space="0"/>
            </w:tcBorders>
            <w:shd w:val="clear" w:color="000000" w:fill="FFFFFF"/>
            <w:noWrap/>
            <w:vAlign w:val="center"/>
          </w:tcPr>
          <w:p w14:paraId="2BF0F9AF">
            <w:pPr>
              <w:widowControl/>
              <w:jc w:val="center"/>
              <w:rPr>
                <w:rFonts w:hint="eastAsia" w:ascii="宋体" w:hAnsi="宋体" w:cs="宋体"/>
                <w:kern w:val="0"/>
                <w:sz w:val="24"/>
              </w:rPr>
            </w:pPr>
            <w:r>
              <w:rPr>
                <w:rFonts w:hint="eastAsia" w:ascii="宋体" w:hAnsi="宋体" w:cs="宋体"/>
                <w:kern w:val="0"/>
                <w:sz w:val="24"/>
              </w:rPr>
              <w:t>4</w:t>
            </w:r>
          </w:p>
        </w:tc>
        <w:tc>
          <w:tcPr>
            <w:tcW w:w="851" w:type="dxa"/>
            <w:tcBorders>
              <w:top w:val="nil"/>
              <w:left w:val="nil"/>
              <w:bottom w:val="single" w:color="auto" w:sz="4" w:space="0"/>
              <w:right w:val="single" w:color="auto" w:sz="4" w:space="0"/>
            </w:tcBorders>
            <w:shd w:val="clear" w:color="000000" w:fill="FFFFFF"/>
            <w:vAlign w:val="center"/>
          </w:tcPr>
          <w:p w14:paraId="56A77215">
            <w:pPr>
              <w:widowControl/>
              <w:jc w:val="center"/>
              <w:rPr>
                <w:rFonts w:hint="eastAsia" w:ascii="宋体" w:hAnsi="宋体" w:cs="宋体"/>
                <w:color w:val="000000"/>
                <w:kern w:val="0"/>
                <w:sz w:val="24"/>
              </w:rPr>
            </w:pPr>
            <w:r>
              <w:rPr>
                <w:rFonts w:hint="eastAsia" w:ascii="宋体" w:hAnsi="宋体" w:cs="宋体"/>
                <w:color w:val="000000"/>
                <w:kern w:val="0"/>
                <w:sz w:val="24"/>
              </w:rPr>
              <w:t>是</w:t>
            </w:r>
          </w:p>
        </w:tc>
        <w:tc>
          <w:tcPr>
            <w:tcW w:w="952" w:type="dxa"/>
            <w:tcBorders>
              <w:top w:val="nil"/>
              <w:left w:val="nil"/>
              <w:bottom w:val="single" w:color="auto" w:sz="4" w:space="0"/>
              <w:right w:val="single" w:color="auto" w:sz="4" w:space="0"/>
            </w:tcBorders>
            <w:shd w:val="clear" w:color="000000" w:fill="FFFFFF"/>
            <w:vAlign w:val="center"/>
          </w:tcPr>
          <w:p w14:paraId="70D082B7">
            <w:pPr>
              <w:widowControl/>
              <w:jc w:val="center"/>
              <w:rPr>
                <w:rFonts w:hint="eastAsia" w:ascii="宋体" w:hAnsi="宋体" w:cs="宋体"/>
                <w:color w:val="000000"/>
                <w:kern w:val="0"/>
                <w:sz w:val="24"/>
              </w:rPr>
            </w:pPr>
            <w:r>
              <w:rPr>
                <w:rFonts w:hint="eastAsia" w:ascii="宋体" w:hAnsi="宋体" w:cs="宋体"/>
                <w:color w:val="000000"/>
                <w:kern w:val="0"/>
                <w:sz w:val="24"/>
              </w:rPr>
              <w:t>否</w:t>
            </w:r>
          </w:p>
        </w:tc>
      </w:tr>
      <w:tr w14:paraId="6CDD734B">
        <w:tblPrEx>
          <w:tblCellMar>
            <w:top w:w="0" w:type="dxa"/>
            <w:left w:w="108" w:type="dxa"/>
            <w:bottom w:w="0" w:type="dxa"/>
            <w:right w:w="108" w:type="dxa"/>
          </w:tblCellMar>
        </w:tblPrEx>
        <w:trPr>
          <w:trHeight w:val="288" w:hRule="atLeast"/>
        </w:trPr>
        <w:tc>
          <w:tcPr>
            <w:tcW w:w="704" w:type="dxa"/>
            <w:tcBorders>
              <w:top w:val="nil"/>
              <w:left w:val="single" w:color="auto" w:sz="4" w:space="0"/>
              <w:bottom w:val="single" w:color="auto" w:sz="4" w:space="0"/>
              <w:right w:val="single" w:color="auto" w:sz="4" w:space="0"/>
            </w:tcBorders>
            <w:shd w:val="clear" w:color="000000" w:fill="FFFFFF"/>
            <w:vAlign w:val="center"/>
          </w:tcPr>
          <w:p w14:paraId="7A8E5951">
            <w:pPr>
              <w:widowControl/>
              <w:jc w:val="center"/>
              <w:rPr>
                <w:rFonts w:hint="eastAsia" w:ascii="宋体" w:hAnsi="宋体" w:cs="宋体"/>
                <w:kern w:val="0"/>
                <w:sz w:val="24"/>
              </w:rPr>
            </w:pPr>
            <w:r>
              <w:rPr>
                <w:rFonts w:hint="eastAsia" w:ascii="宋体" w:hAnsi="宋体" w:cs="宋体"/>
                <w:kern w:val="0"/>
                <w:sz w:val="24"/>
              </w:rPr>
              <w:t>31</w:t>
            </w:r>
          </w:p>
        </w:tc>
        <w:tc>
          <w:tcPr>
            <w:tcW w:w="2851" w:type="dxa"/>
            <w:tcBorders>
              <w:top w:val="nil"/>
              <w:left w:val="nil"/>
              <w:bottom w:val="single" w:color="auto" w:sz="4" w:space="0"/>
              <w:right w:val="single" w:color="auto" w:sz="4" w:space="0"/>
            </w:tcBorders>
            <w:shd w:val="clear" w:color="000000" w:fill="FFFFFF"/>
            <w:vAlign w:val="center"/>
          </w:tcPr>
          <w:p w14:paraId="42057F26">
            <w:pPr>
              <w:jc w:val="center"/>
              <w:rPr>
                <w:rFonts w:hint="eastAsia" w:ascii="宋体" w:hAnsi="宋体" w:cs="宋体"/>
                <w:sz w:val="24"/>
              </w:rPr>
            </w:pPr>
            <w:r>
              <w:rPr>
                <w:rFonts w:hint="eastAsia" w:ascii="宋体" w:hAnsi="宋体" w:cs="宋体"/>
                <w:sz w:val="24"/>
              </w:rPr>
              <w:t>甲胎蛋白检测试剂盒</w:t>
            </w:r>
          </w:p>
        </w:tc>
        <w:tc>
          <w:tcPr>
            <w:tcW w:w="1276" w:type="dxa"/>
            <w:tcBorders>
              <w:top w:val="nil"/>
              <w:left w:val="nil"/>
              <w:bottom w:val="single" w:color="auto" w:sz="4" w:space="0"/>
              <w:right w:val="single" w:color="auto" w:sz="4" w:space="0"/>
            </w:tcBorders>
            <w:shd w:val="clear" w:color="000000" w:fill="FFFFFF"/>
            <w:vAlign w:val="center"/>
          </w:tcPr>
          <w:p w14:paraId="67EB9F0E">
            <w:pPr>
              <w:widowControl/>
              <w:jc w:val="center"/>
              <w:rPr>
                <w:rFonts w:hint="eastAsia" w:ascii="宋体" w:hAnsi="宋体" w:cs="宋体"/>
                <w:kern w:val="0"/>
                <w:sz w:val="24"/>
              </w:rPr>
            </w:pPr>
            <w:r>
              <w:rPr>
                <w:rFonts w:hint="eastAsia" w:ascii="宋体" w:hAnsi="宋体" w:cs="宋体"/>
                <w:kern w:val="0"/>
                <w:sz w:val="24"/>
              </w:rPr>
              <w:t>14.67</w:t>
            </w:r>
          </w:p>
        </w:tc>
        <w:tc>
          <w:tcPr>
            <w:tcW w:w="992" w:type="dxa"/>
            <w:tcBorders>
              <w:top w:val="nil"/>
              <w:left w:val="nil"/>
              <w:bottom w:val="single" w:color="auto" w:sz="4" w:space="0"/>
              <w:right w:val="single" w:color="auto" w:sz="4" w:space="0"/>
            </w:tcBorders>
            <w:shd w:val="clear" w:color="000000" w:fill="FFFFFF"/>
            <w:vAlign w:val="center"/>
          </w:tcPr>
          <w:p w14:paraId="5541DC83">
            <w:pPr>
              <w:widowControl/>
              <w:jc w:val="center"/>
              <w:rPr>
                <w:rFonts w:hint="eastAsia" w:ascii="宋体" w:hAnsi="宋体" w:cs="宋体"/>
                <w:kern w:val="0"/>
                <w:sz w:val="24"/>
              </w:rPr>
            </w:pPr>
            <w:r>
              <w:rPr>
                <w:rFonts w:hint="eastAsia" w:ascii="宋体" w:hAnsi="宋体" w:cs="宋体"/>
                <w:kern w:val="0"/>
                <w:sz w:val="24"/>
              </w:rPr>
              <w:t>人份</w:t>
            </w:r>
          </w:p>
        </w:tc>
        <w:tc>
          <w:tcPr>
            <w:tcW w:w="992" w:type="dxa"/>
            <w:tcBorders>
              <w:top w:val="nil"/>
              <w:left w:val="nil"/>
              <w:bottom w:val="single" w:color="auto" w:sz="4" w:space="0"/>
              <w:right w:val="single" w:color="auto" w:sz="4" w:space="0"/>
            </w:tcBorders>
            <w:shd w:val="clear" w:color="000000" w:fill="FFFFFF"/>
            <w:noWrap/>
            <w:vAlign w:val="center"/>
          </w:tcPr>
          <w:p w14:paraId="5AB5742A">
            <w:pPr>
              <w:widowControl/>
              <w:jc w:val="center"/>
              <w:rPr>
                <w:rFonts w:hint="eastAsia" w:ascii="宋体" w:hAnsi="宋体" w:cs="宋体"/>
                <w:kern w:val="0"/>
                <w:sz w:val="24"/>
              </w:rPr>
            </w:pPr>
            <w:r>
              <w:rPr>
                <w:rFonts w:hint="eastAsia" w:ascii="宋体" w:hAnsi="宋体" w:cs="宋体"/>
                <w:kern w:val="0"/>
                <w:sz w:val="24"/>
              </w:rPr>
              <w:t>42000</w:t>
            </w:r>
          </w:p>
        </w:tc>
        <w:tc>
          <w:tcPr>
            <w:tcW w:w="851" w:type="dxa"/>
            <w:tcBorders>
              <w:top w:val="nil"/>
              <w:left w:val="nil"/>
              <w:bottom w:val="single" w:color="auto" w:sz="4" w:space="0"/>
              <w:right w:val="single" w:color="auto" w:sz="4" w:space="0"/>
            </w:tcBorders>
            <w:shd w:val="clear" w:color="000000" w:fill="FFFFFF"/>
            <w:vAlign w:val="center"/>
          </w:tcPr>
          <w:p w14:paraId="7E3662A5">
            <w:pPr>
              <w:widowControl/>
              <w:jc w:val="center"/>
              <w:rPr>
                <w:rFonts w:hint="eastAsia" w:ascii="宋体" w:hAnsi="宋体" w:cs="宋体"/>
                <w:color w:val="000000"/>
                <w:kern w:val="0"/>
                <w:sz w:val="24"/>
              </w:rPr>
            </w:pPr>
            <w:r>
              <w:rPr>
                <w:rFonts w:hint="eastAsia" w:ascii="宋体" w:hAnsi="宋体" w:cs="宋体"/>
                <w:color w:val="000000"/>
                <w:kern w:val="0"/>
                <w:sz w:val="24"/>
              </w:rPr>
              <w:t>是</w:t>
            </w:r>
          </w:p>
        </w:tc>
        <w:tc>
          <w:tcPr>
            <w:tcW w:w="952" w:type="dxa"/>
            <w:tcBorders>
              <w:top w:val="nil"/>
              <w:left w:val="nil"/>
              <w:bottom w:val="single" w:color="auto" w:sz="4" w:space="0"/>
              <w:right w:val="single" w:color="auto" w:sz="4" w:space="0"/>
            </w:tcBorders>
            <w:shd w:val="clear" w:color="000000" w:fill="FFFFFF"/>
            <w:vAlign w:val="center"/>
          </w:tcPr>
          <w:p w14:paraId="077349A8">
            <w:pPr>
              <w:widowControl/>
              <w:jc w:val="center"/>
              <w:rPr>
                <w:rFonts w:hint="eastAsia" w:ascii="宋体" w:hAnsi="宋体" w:cs="宋体"/>
                <w:color w:val="000000"/>
                <w:kern w:val="0"/>
                <w:sz w:val="24"/>
              </w:rPr>
            </w:pPr>
            <w:r>
              <w:rPr>
                <w:rFonts w:hint="eastAsia" w:ascii="宋体" w:hAnsi="宋体" w:cs="宋体"/>
                <w:color w:val="000000"/>
                <w:kern w:val="0"/>
                <w:sz w:val="24"/>
              </w:rPr>
              <w:t>是</w:t>
            </w:r>
          </w:p>
        </w:tc>
      </w:tr>
      <w:tr w14:paraId="340DF64B">
        <w:tblPrEx>
          <w:tblCellMar>
            <w:top w:w="0" w:type="dxa"/>
            <w:left w:w="108" w:type="dxa"/>
            <w:bottom w:w="0" w:type="dxa"/>
            <w:right w:w="108" w:type="dxa"/>
          </w:tblCellMar>
        </w:tblPrEx>
        <w:trPr>
          <w:trHeight w:val="288" w:hRule="atLeast"/>
        </w:trPr>
        <w:tc>
          <w:tcPr>
            <w:tcW w:w="704" w:type="dxa"/>
            <w:tcBorders>
              <w:top w:val="nil"/>
              <w:left w:val="single" w:color="auto" w:sz="4" w:space="0"/>
              <w:bottom w:val="single" w:color="auto" w:sz="4" w:space="0"/>
              <w:right w:val="single" w:color="auto" w:sz="4" w:space="0"/>
            </w:tcBorders>
            <w:shd w:val="clear" w:color="000000" w:fill="FFFFFF"/>
            <w:vAlign w:val="center"/>
          </w:tcPr>
          <w:p w14:paraId="069CE61B">
            <w:pPr>
              <w:widowControl/>
              <w:jc w:val="center"/>
              <w:rPr>
                <w:rFonts w:hint="eastAsia" w:ascii="宋体" w:hAnsi="宋体" w:cs="宋体"/>
                <w:kern w:val="0"/>
                <w:sz w:val="24"/>
              </w:rPr>
            </w:pPr>
            <w:r>
              <w:rPr>
                <w:rFonts w:hint="eastAsia" w:ascii="宋体" w:hAnsi="宋体" w:cs="宋体"/>
                <w:kern w:val="0"/>
                <w:sz w:val="24"/>
              </w:rPr>
              <w:t>32</w:t>
            </w:r>
          </w:p>
        </w:tc>
        <w:tc>
          <w:tcPr>
            <w:tcW w:w="2851" w:type="dxa"/>
            <w:tcBorders>
              <w:top w:val="nil"/>
              <w:left w:val="nil"/>
              <w:bottom w:val="single" w:color="auto" w:sz="4" w:space="0"/>
              <w:right w:val="single" w:color="auto" w:sz="4" w:space="0"/>
            </w:tcBorders>
            <w:shd w:val="clear" w:color="000000" w:fill="FFFFFF"/>
            <w:vAlign w:val="center"/>
          </w:tcPr>
          <w:p w14:paraId="4C3455FA">
            <w:pPr>
              <w:jc w:val="center"/>
              <w:rPr>
                <w:rFonts w:hint="eastAsia" w:ascii="宋体" w:hAnsi="宋体" w:cs="宋体"/>
                <w:sz w:val="24"/>
              </w:rPr>
            </w:pPr>
            <w:r>
              <w:rPr>
                <w:rFonts w:hint="eastAsia" w:ascii="宋体" w:hAnsi="宋体" w:cs="宋体"/>
                <w:sz w:val="24"/>
              </w:rPr>
              <w:t>甲状腺球蛋白定标液</w:t>
            </w:r>
          </w:p>
        </w:tc>
        <w:tc>
          <w:tcPr>
            <w:tcW w:w="1276" w:type="dxa"/>
            <w:tcBorders>
              <w:top w:val="nil"/>
              <w:left w:val="nil"/>
              <w:bottom w:val="single" w:color="auto" w:sz="4" w:space="0"/>
              <w:right w:val="single" w:color="auto" w:sz="4" w:space="0"/>
            </w:tcBorders>
            <w:shd w:val="clear" w:color="000000" w:fill="FFFFFF"/>
            <w:vAlign w:val="center"/>
          </w:tcPr>
          <w:p w14:paraId="0ED32C31">
            <w:pPr>
              <w:widowControl/>
              <w:jc w:val="center"/>
              <w:rPr>
                <w:rFonts w:hint="eastAsia" w:ascii="宋体" w:hAnsi="宋体" w:cs="宋体"/>
                <w:kern w:val="0"/>
                <w:sz w:val="24"/>
              </w:rPr>
            </w:pPr>
            <w:r>
              <w:rPr>
                <w:rFonts w:hint="eastAsia" w:ascii="宋体" w:hAnsi="宋体" w:cs="宋体"/>
                <w:kern w:val="0"/>
                <w:sz w:val="24"/>
              </w:rPr>
              <w:t>400</w:t>
            </w:r>
          </w:p>
        </w:tc>
        <w:tc>
          <w:tcPr>
            <w:tcW w:w="992" w:type="dxa"/>
            <w:tcBorders>
              <w:top w:val="nil"/>
              <w:left w:val="nil"/>
              <w:bottom w:val="single" w:color="auto" w:sz="4" w:space="0"/>
              <w:right w:val="single" w:color="auto" w:sz="4" w:space="0"/>
            </w:tcBorders>
            <w:shd w:val="clear" w:color="000000" w:fill="FFFFFF"/>
            <w:vAlign w:val="center"/>
          </w:tcPr>
          <w:p w14:paraId="56531B82">
            <w:pPr>
              <w:widowControl/>
              <w:jc w:val="center"/>
              <w:rPr>
                <w:rFonts w:hint="eastAsia" w:ascii="宋体" w:hAnsi="宋体" w:cs="宋体"/>
                <w:kern w:val="0"/>
                <w:sz w:val="24"/>
              </w:rPr>
            </w:pPr>
            <w:r>
              <w:rPr>
                <w:rFonts w:hint="eastAsia" w:ascii="宋体" w:hAnsi="宋体" w:cs="宋体"/>
                <w:kern w:val="0"/>
                <w:sz w:val="24"/>
              </w:rPr>
              <w:t>ml</w:t>
            </w:r>
          </w:p>
        </w:tc>
        <w:tc>
          <w:tcPr>
            <w:tcW w:w="992" w:type="dxa"/>
            <w:tcBorders>
              <w:top w:val="nil"/>
              <w:left w:val="nil"/>
              <w:bottom w:val="single" w:color="auto" w:sz="4" w:space="0"/>
              <w:right w:val="single" w:color="auto" w:sz="4" w:space="0"/>
            </w:tcBorders>
            <w:shd w:val="clear" w:color="000000" w:fill="FFFFFF"/>
            <w:noWrap/>
            <w:vAlign w:val="center"/>
          </w:tcPr>
          <w:p w14:paraId="4D531D8C">
            <w:pPr>
              <w:widowControl/>
              <w:jc w:val="center"/>
              <w:rPr>
                <w:rFonts w:hint="eastAsia" w:ascii="宋体" w:hAnsi="宋体" w:cs="宋体"/>
                <w:kern w:val="0"/>
                <w:sz w:val="24"/>
              </w:rPr>
            </w:pPr>
            <w:r>
              <w:rPr>
                <w:rFonts w:hint="eastAsia" w:ascii="宋体" w:hAnsi="宋体" w:cs="宋体"/>
                <w:kern w:val="0"/>
                <w:sz w:val="24"/>
              </w:rPr>
              <w:t>8</w:t>
            </w:r>
          </w:p>
        </w:tc>
        <w:tc>
          <w:tcPr>
            <w:tcW w:w="851" w:type="dxa"/>
            <w:tcBorders>
              <w:top w:val="nil"/>
              <w:left w:val="nil"/>
              <w:bottom w:val="single" w:color="auto" w:sz="4" w:space="0"/>
              <w:right w:val="single" w:color="auto" w:sz="4" w:space="0"/>
            </w:tcBorders>
            <w:shd w:val="clear" w:color="000000" w:fill="FFFFFF"/>
            <w:vAlign w:val="center"/>
          </w:tcPr>
          <w:p w14:paraId="08A15D1A">
            <w:pPr>
              <w:widowControl/>
              <w:jc w:val="center"/>
              <w:rPr>
                <w:rFonts w:hint="eastAsia" w:ascii="宋体" w:hAnsi="宋体" w:cs="宋体"/>
                <w:color w:val="000000"/>
                <w:kern w:val="0"/>
                <w:sz w:val="24"/>
              </w:rPr>
            </w:pPr>
            <w:r>
              <w:rPr>
                <w:rFonts w:hint="eastAsia" w:ascii="宋体" w:hAnsi="宋体" w:cs="宋体"/>
                <w:color w:val="000000"/>
                <w:kern w:val="0"/>
                <w:sz w:val="24"/>
              </w:rPr>
              <w:t>是</w:t>
            </w:r>
          </w:p>
        </w:tc>
        <w:tc>
          <w:tcPr>
            <w:tcW w:w="952" w:type="dxa"/>
            <w:tcBorders>
              <w:top w:val="nil"/>
              <w:left w:val="nil"/>
              <w:bottom w:val="single" w:color="auto" w:sz="4" w:space="0"/>
              <w:right w:val="single" w:color="auto" w:sz="4" w:space="0"/>
            </w:tcBorders>
            <w:shd w:val="clear" w:color="000000" w:fill="FFFFFF"/>
            <w:vAlign w:val="center"/>
          </w:tcPr>
          <w:p w14:paraId="317D6EBC">
            <w:pPr>
              <w:widowControl/>
              <w:jc w:val="center"/>
              <w:rPr>
                <w:rFonts w:hint="eastAsia" w:ascii="宋体" w:hAnsi="宋体" w:cs="宋体"/>
                <w:color w:val="000000"/>
                <w:kern w:val="0"/>
                <w:sz w:val="24"/>
              </w:rPr>
            </w:pPr>
            <w:r>
              <w:rPr>
                <w:rFonts w:hint="eastAsia" w:ascii="宋体" w:hAnsi="宋体" w:cs="宋体"/>
                <w:color w:val="000000"/>
                <w:kern w:val="0"/>
                <w:sz w:val="24"/>
              </w:rPr>
              <w:t>否</w:t>
            </w:r>
          </w:p>
        </w:tc>
      </w:tr>
      <w:tr w14:paraId="7070DA5A">
        <w:tblPrEx>
          <w:tblCellMar>
            <w:top w:w="0" w:type="dxa"/>
            <w:left w:w="108" w:type="dxa"/>
            <w:bottom w:w="0" w:type="dxa"/>
            <w:right w:w="108" w:type="dxa"/>
          </w:tblCellMar>
        </w:tblPrEx>
        <w:trPr>
          <w:trHeight w:val="576" w:hRule="atLeast"/>
        </w:trPr>
        <w:tc>
          <w:tcPr>
            <w:tcW w:w="704" w:type="dxa"/>
            <w:tcBorders>
              <w:top w:val="nil"/>
              <w:left w:val="single" w:color="auto" w:sz="4" w:space="0"/>
              <w:bottom w:val="single" w:color="auto" w:sz="4" w:space="0"/>
              <w:right w:val="single" w:color="auto" w:sz="4" w:space="0"/>
            </w:tcBorders>
            <w:shd w:val="clear" w:color="000000" w:fill="FFFFFF"/>
            <w:vAlign w:val="center"/>
          </w:tcPr>
          <w:p w14:paraId="16AE667A">
            <w:pPr>
              <w:widowControl/>
              <w:jc w:val="center"/>
              <w:rPr>
                <w:rFonts w:hint="eastAsia" w:ascii="宋体" w:hAnsi="宋体" w:cs="宋体"/>
                <w:kern w:val="0"/>
                <w:sz w:val="24"/>
              </w:rPr>
            </w:pPr>
            <w:r>
              <w:rPr>
                <w:rFonts w:hint="eastAsia" w:ascii="宋体" w:hAnsi="宋体" w:cs="宋体"/>
                <w:kern w:val="0"/>
                <w:sz w:val="24"/>
              </w:rPr>
              <w:t>33</w:t>
            </w:r>
          </w:p>
        </w:tc>
        <w:tc>
          <w:tcPr>
            <w:tcW w:w="2851" w:type="dxa"/>
            <w:tcBorders>
              <w:top w:val="nil"/>
              <w:left w:val="nil"/>
              <w:bottom w:val="single" w:color="auto" w:sz="4" w:space="0"/>
              <w:right w:val="single" w:color="auto" w:sz="4" w:space="0"/>
            </w:tcBorders>
            <w:shd w:val="clear" w:color="000000" w:fill="FFFFFF"/>
            <w:vAlign w:val="center"/>
          </w:tcPr>
          <w:p w14:paraId="3B9E17E2">
            <w:pPr>
              <w:jc w:val="center"/>
              <w:rPr>
                <w:rFonts w:hint="eastAsia" w:ascii="宋体" w:hAnsi="宋体" w:cs="宋体"/>
                <w:sz w:val="24"/>
              </w:rPr>
            </w:pPr>
            <w:r>
              <w:rPr>
                <w:rFonts w:hint="eastAsia" w:ascii="宋体" w:hAnsi="宋体" w:cs="宋体"/>
                <w:sz w:val="24"/>
              </w:rPr>
              <w:t>甲状腺球蛋白检测试剂盒1</w:t>
            </w:r>
          </w:p>
        </w:tc>
        <w:tc>
          <w:tcPr>
            <w:tcW w:w="1276" w:type="dxa"/>
            <w:tcBorders>
              <w:top w:val="nil"/>
              <w:left w:val="nil"/>
              <w:bottom w:val="single" w:color="auto" w:sz="4" w:space="0"/>
              <w:right w:val="single" w:color="auto" w:sz="4" w:space="0"/>
            </w:tcBorders>
            <w:shd w:val="clear" w:color="000000" w:fill="FFFFFF"/>
            <w:vAlign w:val="center"/>
          </w:tcPr>
          <w:p w14:paraId="3B071078">
            <w:pPr>
              <w:widowControl/>
              <w:jc w:val="center"/>
              <w:rPr>
                <w:rFonts w:hint="eastAsia" w:ascii="宋体" w:hAnsi="宋体" w:cs="宋体"/>
                <w:kern w:val="0"/>
                <w:sz w:val="24"/>
              </w:rPr>
            </w:pPr>
            <w:r>
              <w:rPr>
                <w:rFonts w:hint="eastAsia" w:ascii="宋体" w:hAnsi="宋体" w:cs="宋体"/>
                <w:kern w:val="0"/>
                <w:sz w:val="24"/>
              </w:rPr>
              <w:t>22.92</w:t>
            </w:r>
          </w:p>
        </w:tc>
        <w:tc>
          <w:tcPr>
            <w:tcW w:w="992" w:type="dxa"/>
            <w:tcBorders>
              <w:top w:val="nil"/>
              <w:left w:val="nil"/>
              <w:bottom w:val="single" w:color="auto" w:sz="4" w:space="0"/>
              <w:right w:val="single" w:color="auto" w:sz="4" w:space="0"/>
            </w:tcBorders>
            <w:shd w:val="clear" w:color="000000" w:fill="FFFFFF"/>
            <w:vAlign w:val="center"/>
          </w:tcPr>
          <w:p w14:paraId="190F9D7E">
            <w:pPr>
              <w:widowControl/>
              <w:jc w:val="center"/>
              <w:rPr>
                <w:rFonts w:hint="eastAsia" w:ascii="宋体" w:hAnsi="宋体" w:cs="宋体"/>
                <w:kern w:val="0"/>
                <w:sz w:val="24"/>
              </w:rPr>
            </w:pPr>
            <w:r>
              <w:rPr>
                <w:rFonts w:hint="eastAsia" w:ascii="宋体" w:hAnsi="宋体" w:cs="宋体"/>
                <w:kern w:val="0"/>
                <w:sz w:val="24"/>
              </w:rPr>
              <w:t>人份</w:t>
            </w:r>
          </w:p>
        </w:tc>
        <w:tc>
          <w:tcPr>
            <w:tcW w:w="992" w:type="dxa"/>
            <w:tcBorders>
              <w:top w:val="nil"/>
              <w:left w:val="nil"/>
              <w:bottom w:val="single" w:color="auto" w:sz="4" w:space="0"/>
              <w:right w:val="single" w:color="auto" w:sz="4" w:space="0"/>
            </w:tcBorders>
            <w:shd w:val="clear" w:color="000000" w:fill="FFFFFF"/>
            <w:noWrap/>
            <w:vAlign w:val="center"/>
          </w:tcPr>
          <w:p w14:paraId="0719B2B5">
            <w:pPr>
              <w:widowControl/>
              <w:jc w:val="center"/>
              <w:rPr>
                <w:rFonts w:hint="eastAsia" w:ascii="宋体" w:hAnsi="宋体" w:cs="宋体"/>
                <w:kern w:val="0"/>
                <w:sz w:val="24"/>
              </w:rPr>
            </w:pPr>
            <w:r>
              <w:rPr>
                <w:rFonts w:hint="eastAsia" w:ascii="宋体" w:hAnsi="宋体" w:cs="宋体"/>
                <w:kern w:val="0"/>
                <w:sz w:val="24"/>
              </w:rPr>
              <w:t>3000</w:t>
            </w:r>
          </w:p>
        </w:tc>
        <w:tc>
          <w:tcPr>
            <w:tcW w:w="851" w:type="dxa"/>
            <w:tcBorders>
              <w:top w:val="nil"/>
              <w:left w:val="nil"/>
              <w:bottom w:val="single" w:color="auto" w:sz="4" w:space="0"/>
              <w:right w:val="single" w:color="auto" w:sz="4" w:space="0"/>
            </w:tcBorders>
            <w:shd w:val="clear" w:color="000000" w:fill="FFFFFF"/>
            <w:vAlign w:val="center"/>
          </w:tcPr>
          <w:p w14:paraId="7FE98B9D">
            <w:pPr>
              <w:widowControl/>
              <w:jc w:val="center"/>
              <w:rPr>
                <w:rFonts w:hint="eastAsia" w:ascii="宋体" w:hAnsi="宋体" w:cs="宋体"/>
                <w:color w:val="000000"/>
                <w:kern w:val="0"/>
                <w:sz w:val="24"/>
              </w:rPr>
            </w:pPr>
            <w:r>
              <w:rPr>
                <w:rFonts w:hint="eastAsia" w:ascii="宋体" w:hAnsi="宋体" w:cs="宋体"/>
                <w:color w:val="000000"/>
                <w:kern w:val="0"/>
                <w:sz w:val="24"/>
              </w:rPr>
              <w:t>是</w:t>
            </w:r>
          </w:p>
        </w:tc>
        <w:tc>
          <w:tcPr>
            <w:tcW w:w="952" w:type="dxa"/>
            <w:tcBorders>
              <w:top w:val="nil"/>
              <w:left w:val="nil"/>
              <w:bottom w:val="single" w:color="auto" w:sz="4" w:space="0"/>
              <w:right w:val="single" w:color="auto" w:sz="4" w:space="0"/>
            </w:tcBorders>
            <w:shd w:val="clear" w:color="000000" w:fill="FFFFFF"/>
            <w:vAlign w:val="center"/>
          </w:tcPr>
          <w:p w14:paraId="3D9DF946">
            <w:pPr>
              <w:widowControl/>
              <w:jc w:val="center"/>
              <w:rPr>
                <w:rFonts w:hint="eastAsia" w:ascii="宋体" w:hAnsi="宋体" w:cs="宋体"/>
                <w:color w:val="000000"/>
                <w:kern w:val="0"/>
                <w:sz w:val="24"/>
              </w:rPr>
            </w:pPr>
            <w:r>
              <w:rPr>
                <w:rFonts w:hint="eastAsia" w:ascii="宋体" w:hAnsi="宋体" w:cs="宋体"/>
                <w:color w:val="000000"/>
                <w:kern w:val="0"/>
                <w:sz w:val="24"/>
              </w:rPr>
              <w:t>否</w:t>
            </w:r>
          </w:p>
        </w:tc>
      </w:tr>
      <w:tr w14:paraId="0AB4B620">
        <w:tblPrEx>
          <w:tblCellMar>
            <w:top w:w="0" w:type="dxa"/>
            <w:left w:w="108" w:type="dxa"/>
            <w:bottom w:w="0" w:type="dxa"/>
            <w:right w:w="108" w:type="dxa"/>
          </w:tblCellMar>
        </w:tblPrEx>
        <w:trPr>
          <w:trHeight w:val="576" w:hRule="atLeast"/>
        </w:trPr>
        <w:tc>
          <w:tcPr>
            <w:tcW w:w="704" w:type="dxa"/>
            <w:tcBorders>
              <w:top w:val="nil"/>
              <w:left w:val="single" w:color="auto" w:sz="4" w:space="0"/>
              <w:bottom w:val="single" w:color="auto" w:sz="4" w:space="0"/>
              <w:right w:val="single" w:color="auto" w:sz="4" w:space="0"/>
            </w:tcBorders>
            <w:shd w:val="clear" w:color="000000" w:fill="FFFFFF"/>
            <w:vAlign w:val="center"/>
          </w:tcPr>
          <w:p w14:paraId="3475AC6D">
            <w:pPr>
              <w:widowControl/>
              <w:jc w:val="center"/>
              <w:rPr>
                <w:rFonts w:hint="eastAsia" w:ascii="宋体" w:hAnsi="宋体" w:cs="宋体"/>
                <w:kern w:val="0"/>
                <w:sz w:val="24"/>
              </w:rPr>
            </w:pPr>
            <w:r>
              <w:rPr>
                <w:rFonts w:hint="eastAsia" w:ascii="宋体" w:hAnsi="宋体" w:cs="宋体"/>
                <w:kern w:val="0"/>
                <w:sz w:val="24"/>
              </w:rPr>
              <w:t>34</w:t>
            </w:r>
          </w:p>
        </w:tc>
        <w:tc>
          <w:tcPr>
            <w:tcW w:w="2851" w:type="dxa"/>
            <w:tcBorders>
              <w:top w:val="nil"/>
              <w:left w:val="nil"/>
              <w:bottom w:val="single" w:color="auto" w:sz="4" w:space="0"/>
              <w:right w:val="single" w:color="auto" w:sz="4" w:space="0"/>
            </w:tcBorders>
            <w:shd w:val="clear" w:color="000000" w:fill="FFFFFF"/>
            <w:vAlign w:val="center"/>
          </w:tcPr>
          <w:p w14:paraId="2164A3A5">
            <w:pPr>
              <w:jc w:val="center"/>
              <w:rPr>
                <w:rFonts w:hint="eastAsia" w:ascii="宋体" w:hAnsi="宋体" w:cs="宋体"/>
                <w:sz w:val="24"/>
              </w:rPr>
            </w:pPr>
            <w:r>
              <w:rPr>
                <w:rFonts w:hint="eastAsia" w:ascii="宋体" w:hAnsi="宋体" w:cs="宋体"/>
                <w:sz w:val="24"/>
              </w:rPr>
              <w:t>甲状腺球蛋白检测试剂盒2</w:t>
            </w:r>
          </w:p>
        </w:tc>
        <w:tc>
          <w:tcPr>
            <w:tcW w:w="1276" w:type="dxa"/>
            <w:tcBorders>
              <w:top w:val="nil"/>
              <w:left w:val="nil"/>
              <w:bottom w:val="single" w:color="auto" w:sz="4" w:space="0"/>
              <w:right w:val="single" w:color="auto" w:sz="4" w:space="0"/>
            </w:tcBorders>
            <w:shd w:val="clear" w:color="000000" w:fill="FFFFFF"/>
            <w:vAlign w:val="center"/>
          </w:tcPr>
          <w:p w14:paraId="2CE6C6D0">
            <w:pPr>
              <w:widowControl/>
              <w:jc w:val="center"/>
              <w:rPr>
                <w:rFonts w:hint="eastAsia" w:ascii="宋体" w:hAnsi="宋体" w:cs="宋体"/>
                <w:kern w:val="0"/>
                <w:sz w:val="24"/>
              </w:rPr>
            </w:pPr>
            <w:r>
              <w:rPr>
                <w:rFonts w:hint="eastAsia" w:ascii="宋体" w:hAnsi="宋体" w:cs="宋体"/>
                <w:kern w:val="0"/>
                <w:sz w:val="24"/>
              </w:rPr>
              <w:t>26</w:t>
            </w:r>
          </w:p>
        </w:tc>
        <w:tc>
          <w:tcPr>
            <w:tcW w:w="992" w:type="dxa"/>
            <w:tcBorders>
              <w:top w:val="nil"/>
              <w:left w:val="nil"/>
              <w:bottom w:val="single" w:color="auto" w:sz="4" w:space="0"/>
              <w:right w:val="single" w:color="auto" w:sz="4" w:space="0"/>
            </w:tcBorders>
            <w:shd w:val="clear" w:color="000000" w:fill="FFFFFF"/>
            <w:vAlign w:val="center"/>
          </w:tcPr>
          <w:p w14:paraId="2C65D32F">
            <w:pPr>
              <w:widowControl/>
              <w:jc w:val="center"/>
              <w:rPr>
                <w:rFonts w:hint="eastAsia" w:ascii="宋体" w:hAnsi="宋体" w:cs="宋体"/>
                <w:kern w:val="0"/>
                <w:sz w:val="24"/>
              </w:rPr>
            </w:pPr>
            <w:r>
              <w:rPr>
                <w:rFonts w:hint="eastAsia" w:ascii="宋体" w:hAnsi="宋体" w:cs="宋体"/>
                <w:kern w:val="0"/>
                <w:sz w:val="24"/>
              </w:rPr>
              <w:t>人份</w:t>
            </w:r>
          </w:p>
        </w:tc>
        <w:tc>
          <w:tcPr>
            <w:tcW w:w="992" w:type="dxa"/>
            <w:tcBorders>
              <w:top w:val="nil"/>
              <w:left w:val="nil"/>
              <w:bottom w:val="single" w:color="auto" w:sz="4" w:space="0"/>
              <w:right w:val="single" w:color="auto" w:sz="4" w:space="0"/>
            </w:tcBorders>
            <w:shd w:val="clear" w:color="000000" w:fill="FFFFFF"/>
            <w:noWrap/>
            <w:vAlign w:val="center"/>
          </w:tcPr>
          <w:p w14:paraId="59637FB3">
            <w:pPr>
              <w:widowControl/>
              <w:jc w:val="center"/>
              <w:rPr>
                <w:rFonts w:hint="eastAsia" w:ascii="宋体" w:hAnsi="宋体" w:cs="宋体"/>
                <w:kern w:val="0"/>
                <w:sz w:val="24"/>
              </w:rPr>
            </w:pPr>
            <w:r>
              <w:rPr>
                <w:rFonts w:hint="eastAsia" w:ascii="宋体" w:hAnsi="宋体" w:cs="宋体"/>
                <w:kern w:val="0"/>
                <w:sz w:val="24"/>
              </w:rPr>
              <w:t>100</w:t>
            </w:r>
          </w:p>
        </w:tc>
        <w:tc>
          <w:tcPr>
            <w:tcW w:w="851" w:type="dxa"/>
            <w:tcBorders>
              <w:top w:val="nil"/>
              <w:left w:val="nil"/>
              <w:bottom w:val="single" w:color="auto" w:sz="4" w:space="0"/>
              <w:right w:val="single" w:color="auto" w:sz="4" w:space="0"/>
            </w:tcBorders>
            <w:shd w:val="clear" w:color="000000" w:fill="FFFFFF"/>
            <w:vAlign w:val="center"/>
          </w:tcPr>
          <w:p w14:paraId="5926D6C2">
            <w:pPr>
              <w:widowControl/>
              <w:jc w:val="center"/>
              <w:rPr>
                <w:rFonts w:hint="eastAsia" w:ascii="宋体" w:hAnsi="宋体" w:cs="宋体"/>
                <w:color w:val="000000"/>
                <w:kern w:val="0"/>
                <w:sz w:val="24"/>
              </w:rPr>
            </w:pPr>
            <w:r>
              <w:rPr>
                <w:rFonts w:hint="eastAsia" w:ascii="宋体" w:hAnsi="宋体" w:cs="宋体"/>
                <w:color w:val="000000"/>
                <w:kern w:val="0"/>
                <w:sz w:val="24"/>
              </w:rPr>
              <w:t>是</w:t>
            </w:r>
          </w:p>
        </w:tc>
        <w:tc>
          <w:tcPr>
            <w:tcW w:w="952" w:type="dxa"/>
            <w:tcBorders>
              <w:top w:val="nil"/>
              <w:left w:val="nil"/>
              <w:bottom w:val="single" w:color="auto" w:sz="4" w:space="0"/>
              <w:right w:val="single" w:color="auto" w:sz="4" w:space="0"/>
            </w:tcBorders>
            <w:shd w:val="clear" w:color="000000" w:fill="FFFFFF"/>
            <w:vAlign w:val="center"/>
          </w:tcPr>
          <w:p w14:paraId="4209BD6C">
            <w:pPr>
              <w:widowControl/>
              <w:jc w:val="center"/>
              <w:rPr>
                <w:rFonts w:hint="eastAsia" w:ascii="宋体" w:hAnsi="宋体" w:cs="宋体"/>
                <w:color w:val="000000"/>
                <w:kern w:val="0"/>
                <w:sz w:val="24"/>
              </w:rPr>
            </w:pPr>
            <w:r>
              <w:rPr>
                <w:rFonts w:hint="eastAsia" w:ascii="宋体" w:hAnsi="宋体" w:cs="宋体"/>
                <w:color w:val="000000"/>
                <w:kern w:val="0"/>
                <w:sz w:val="24"/>
              </w:rPr>
              <w:t>否</w:t>
            </w:r>
          </w:p>
        </w:tc>
      </w:tr>
      <w:tr w14:paraId="79224374">
        <w:tblPrEx>
          <w:tblCellMar>
            <w:top w:w="0" w:type="dxa"/>
            <w:left w:w="108" w:type="dxa"/>
            <w:bottom w:w="0" w:type="dxa"/>
            <w:right w:w="108" w:type="dxa"/>
          </w:tblCellMar>
        </w:tblPrEx>
        <w:trPr>
          <w:trHeight w:val="576" w:hRule="atLeast"/>
        </w:trPr>
        <w:tc>
          <w:tcPr>
            <w:tcW w:w="704" w:type="dxa"/>
            <w:tcBorders>
              <w:top w:val="nil"/>
              <w:left w:val="single" w:color="auto" w:sz="4" w:space="0"/>
              <w:bottom w:val="single" w:color="auto" w:sz="4" w:space="0"/>
              <w:right w:val="single" w:color="auto" w:sz="4" w:space="0"/>
            </w:tcBorders>
            <w:shd w:val="clear" w:color="000000" w:fill="FFFFFF"/>
            <w:vAlign w:val="center"/>
          </w:tcPr>
          <w:p w14:paraId="51BB8D97">
            <w:pPr>
              <w:widowControl/>
              <w:jc w:val="center"/>
              <w:rPr>
                <w:rFonts w:hint="eastAsia" w:ascii="宋体" w:hAnsi="宋体" w:cs="宋体"/>
                <w:kern w:val="0"/>
                <w:sz w:val="24"/>
              </w:rPr>
            </w:pPr>
            <w:r>
              <w:rPr>
                <w:rFonts w:hint="eastAsia" w:ascii="宋体" w:hAnsi="宋体" w:cs="宋体"/>
                <w:kern w:val="0"/>
                <w:sz w:val="24"/>
              </w:rPr>
              <w:t>35</w:t>
            </w:r>
          </w:p>
        </w:tc>
        <w:tc>
          <w:tcPr>
            <w:tcW w:w="2851" w:type="dxa"/>
            <w:tcBorders>
              <w:top w:val="nil"/>
              <w:left w:val="nil"/>
              <w:bottom w:val="single" w:color="auto" w:sz="4" w:space="0"/>
              <w:right w:val="single" w:color="auto" w:sz="4" w:space="0"/>
            </w:tcBorders>
            <w:shd w:val="clear" w:color="000000" w:fill="FFFFFF"/>
            <w:vAlign w:val="center"/>
          </w:tcPr>
          <w:p w14:paraId="2333BAE4">
            <w:pPr>
              <w:jc w:val="center"/>
              <w:rPr>
                <w:rFonts w:hint="eastAsia" w:ascii="宋体" w:hAnsi="宋体" w:cs="宋体"/>
                <w:sz w:val="24"/>
              </w:rPr>
            </w:pPr>
            <w:r>
              <w:rPr>
                <w:rFonts w:hint="eastAsia" w:ascii="宋体" w:hAnsi="宋体" w:cs="宋体"/>
                <w:sz w:val="24"/>
              </w:rPr>
              <w:t>甲状腺球蛋白抗体定标液</w:t>
            </w:r>
          </w:p>
        </w:tc>
        <w:tc>
          <w:tcPr>
            <w:tcW w:w="1276" w:type="dxa"/>
            <w:tcBorders>
              <w:top w:val="nil"/>
              <w:left w:val="nil"/>
              <w:bottom w:val="single" w:color="auto" w:sz="4" w:space="0"/>
              <w:right w:val="single" w:color="auto" w:sz="4" w:space="0"/>
            </w:tcBorders>
            <w:shd w:val="clear" w:color="000000" w:fill="FFFFFF"/>
            <w:vAlign w:val="center"/>
          </w:tcPr>
          <w:p w14:paraId="129578EC">
            <w:pPr>
              <w:widowControl/>
              <w:jc w:val="center"/>
              <w:rPr>
                <w:rFonts w:hint="eastAsia" w:ascii="宋体" w:hAnsi="宋体" w:cs="宋体"/>
                <w:kern w:val="0"/>
                <w:sz w:val="24"/>
              </w:rPr>
            </w:pPr>
            <w:r>
              <w:rPr>
                <w:rFonts w:hint="eastAsia" w:ascii="宋体" w:hAnsi="宋体" w:cs="宋体"/>
                <w:kern w:val="0"/>
                <w:sz w:val="24"/>
              </w:rPr>
              <w:t>183.34</w:t>
            </w:r>
          </w:p>
        </w:tc>
        <w:tc>
          <w:tcPr>
            <w:tcW w:w="992" w:type="dxa"/>
            <w:tcBorders>
              <w:top w:val="nil"/>
              <w:left w:val="nil"/>
              <w:bottom w:val="single" w:color="auto" w:sz="4" w:space="0"/>
              <w:right w:val="single" w:color="auto" w:sz="4" w:space="0"/>
            </w:tcBorders>
            <w:shd w:val="clear" w:color="000000" w:fill="FFFFFF"/>
            <w:vAlign w:val="center"/>
          </w:tcPr>
          <w:p w14:paraId="0B4CC324">
            <w:pPr>
              <w:widowControl/>
              <w:jc w:val="center"/>
              <w:rPr>
                <w:rFonts w:hint="eastAsia" w:ascii="宋体" w:hAnsi="宋体" w:cs="宋体"/>
                <w:kern w:val="0"/>
                <w:sz w:val="24"/>
              </w:rPr>
            </w:pPr>
            <w:r>
              <w:rPr>
                <w:rFonts w:hint="eastAsia" w:ascii="宋体" w:hAnsi="宋体" w:cs="宋体"/>
                <w:kern w:val="0"/>
                <w:sz w:val="24"/>
              </w:rPr>
              <w:t>ml</w:t>
            </w:r>
          </w:p>
        </w:tc>
        <w:tc>
          <w:tcPr>
            <w:tcW w:w="992" w:type="dxa"/>
            <w:tcBorders>
              <w:top w:val="nil"/>
              <w:left w:val="nil"/>
              <w:bottom w:val="single" w:color="auto" w:sz="4" w:space="0"/>
              <w:right w:val="single" w:color="auto" w:sz="4" w:space="0"/>
            </w:tcBorders>
            <w:shd w:val="clear" w:color="000000" w:fill="FFFFFF"/>
            <w:noWrap/>
            <w:vAlign w:val="center"/>
          </w:tcPr>
          <w:p w14:paraId="1AE6E18B">
            <w:pPr>
              <w:widowControl/>
              <w:jc w:val="center"/>
              <w:rPr>
                <w:rFonts w:hint="eastAsia" w:ascii="宋体" w:hAnsi="宋体" w:cs="宋体"/>
                <w:kern w:val="0"/>
                <w:sz w:val="24"/>
              </w:rPr>
            </w:pPr>
            <w:r>
              <w:rPr>
                <w:rFonts w:hint="eastAsia" w:ascii="宋体" w:hAnsi="宋体" w:cs="宋体"/>
                <w:kern w:val="0"/>
                <w:sz w:val="24"/>
              </w:rPr>
              <w:t>6</w:t>
            </w:r>
          </w:p>
        </w:tc>
        <w:tc>
          <w:tcPr>
            <w:tcW w:w="851" w:type="dxa"/>
            <w:tcBorders>
              <w:top w:val="nil"/>
              <w:left w:val="nil"/>
              <w:bottom w:val="single" w:color="auto" w:sz="4" w:space="0"/>
              <w:right w:val="single" w:color="auto" w:sz="4" w:space="0"/>
            </w:tcBorders>
            <w:shd w:val="clear" w:color="000000" w:fill="FFFFFF"/>
            <w:vAlign w:val="center"/>
          </w:tcPr>
          <w:p w14:paraId="26676472">
            <w:pPr>
              <w:widowControl/>
              <w:jc w:val="center"/>
              <w:rPr>
                <w:rFonts w:hint="eastAsia" w:ascii="宋体" w:hAnsi="宋体" w:cs="宋体"/>
                <w:color w:val="000000"/>
                <w:kern w:val="0"/>
                <w:sz w:val="24"/>
              </w:rPr>
            </w:pPr>
            <w:r>
              <w:rPr>
                <w:rFonts w:hint="eastAsia" w:ascii="宋体" w:hAnsi="宋体" w:cs="宋体"/>
                <w:color w:val="000000"/>
                <w:kern w:val="0"/>
                <w:sz w:val="24"/>
              </w:rPr>
              <w:t>是</w:t>
            </w:r>
          </w:p>
        </w:tc>
        <w:tc>
          <w:tcPr>
            <w:tcW w:w="952" w:type="dxa"/>
            <w:tcBorders>
              <w:top w:val="nil"/>
              <w:left w:val="nil"/>
              <w:bottom w:val="single" w:color="auto" w:sz="4" w:space="0"/>
              <w:right w:val="single" w:color="auto" w:sz="4" w:space="0"/>
            </w:tcBorders>
            <w:shd w:val="clear" w:color="000000" w:fill="FFFFFF"/>
            <w:vAlign w:val="center"/>
          </w:tcPr>
          <w:p w14:paraId="67851FCF">
            <w:pPr>
              <w:widowControl/>
              <w:jc w:val="center"/>
              <w:rPr>
                <w:rFonts w:hint="eastAsia" w:ascii="宋体" w:hAnsi="宋体" w:cs="宋体"/>
                <w:color w:val="000000"/>
                <w:kern w:val="0"/>
                <w:sz w:val="24"/>
              </w:rPr>
            </w:pPr>
            <w:r>
              <w:rPr>
                <w:rFonts w:hint="eastAsia" w:ascii="宋体" w:hAnsi="宋体" w:cs="宋体"/>
                <w:color w:val="000000"/>
                <w:kern w:val="0"/>
                <w:sz w:val="24"/>
              </w:rPr>
              <w:t>否</w:t>
            </w:r>
          </w:p>
        </w:tc>
      </w:tr>
      <w:tr w14:paraId="668CF68B">
        <w:tblPrEx>
          <w:tblCellMar>
            <w:top w:w="0" w:type="dxa"/>
            <w:left w:w="108" w:type="dxa"/>
            <w:bottom w:w="0" w:type="dxa"/>
            <w:right w:w="108" w:type="dxa"/>
          </w:tblCellMar>
        </w:tblPrEx>
        <w:trPr>
          <w:trHeight w:val="576" w:hRule="atLeast"/>
        </w:trPr>
        <w:tc>
          <w:tcPr>
            <w:tcW w:w="704" w:type="dxa"/>
            <w:tcBorders>
              <w:top w:val="nil"/>
              <w:left w:val="single" w:color="auto" w:sz="4" w:space="0"/>
              <w:bottom w:val="single" w:color="auto" w:sz="4" w:space="0"/>
              <w:right w:val="single" w:color="auto" w:sz="4" w:space="0"/>
            </w:tcBorders>
            <w:shd w:val="clear" w:color="000000" w:fill="FFFFFF"/>
            <w:vAlign w:val="center"/>
          </w:tcPr>
          <w:p w14:paraId="3282B1A0">
            <w:pPr>
              <w:widowControl/>
              <w:jc w:val="center"/>
              <w:rPr>
                <w:rFonts w:hint="eastAsia" w:ascii="宋体" w:hAnsi="宋体" w:cs="宋体"/>
                <w:kern w:val="0"/>
                <w:sz w:val="24"/>
              </w:rPr>
            </w:pPr>
            <w:r>
              <w:rPr>
                <w:rFonts w:hint="eastAsia" w:ascii="宋体" w:hAnsi="宋体" w:cs="宋体"/>
                <w:kern w:val="0"/>
                <w:sz w:val="24"/>
              </w:rPr>
              <w:t>36</w:t>
            </w:r>
          </w:p>
        </w:tc>
        <w:tc>
          <w:tcPr>
            <w:tcW w:w="2851" w:type="dxa"/>
            <w:tcBorders>
              <w:top w:val="nil"/>
              <w:left w:val="nil"/>
              <w:bottom w:val="single" w:color="auto" w:sz="4" w:space="0"/>
              <w:right w:val="single" w:color="auto" w:sz="4" w:space="0"/>
            </w:tcBorders>
            <w:shd w:val="clear" w:color="000000" w:fill="FFFFFF"/>
            <w:vAlign w:val="center"/>
          </w:tcPr>
          <w:p w14:paraId="5AE523F6">
            <w:pPr>
              <w:jc w:val="center"/>
              <w:rPr>
                <w:rFonts w:hint="eastAsia" w:ascii="宋体" w:hAnsi="宋体" w:cs="宋体"/>
                <w:sz w:val="24"/>
              </w:rPr>
            </w:pPr>
            <w:r>
              <w:rPr>
                <w:rFonts w:hint="eastAsia" w:ascii="宋体" w:hAnsi="宋体" w:cs="宋体"/>
                <w:sz w:val="24"/>
              </w:rPr>
              <w:t>甲状腺球蛋白抗体检测试剂盒</w:t>
            </w:r>
          </w:p>
        </w:tc>
        <w:tc>
          <w:tcPr>
            <w:tcW w:w="1276" w:type="dxa"/>
            <w:tcBorders>
              <w:top w:val="nil"/>
              <w:left w:val="nil"/>
              <w:bottom w:val="single" w:color="auto" w:sz="4" w:space="0"/>
              <w:right w:val="single" w:color="auto" w:sz="4" w:space="0"/>
            </w:tcBorders>
            <w:shd w:val="clear" w:color="000000" w:fill="FFFFFF"/>
            <w:vAlign w:val="center"/>
          </w:tcPr>
          <w:p w14:paraId="23A1703B">
            <w:pPr>
              <w:widowControl/>
              <w:jc w:val="center"/>
              <w:rPr>
                <w:rFonts w:hint="eastAsia" w:ascii="宋体" w:hAnsi="宋体" w:cs="宋体"/>
                <w:kern w:val="0"/>
                <w:sz w:val="24"/>
              </w:rPr>
            </w:pPr>
            <w:r>
              <w:rPr>
                <w:rFonts w:hint="eastAsia" w:ascii="宋体" w:hAnsi="宋体" w:cs="宋体"/>
                <w:kern w:val="0"/>
                <w:sz w:val="24"/>
              </w:rPr>
              <w:t>17.8</w:t>
            </w:r>
          </w:p>
        </w:tc>
        <w:tc>
          <w:tcPr>
            <w:tcW w:w="992" w:type="dxa"/>
            <w:tcBorders>
              <w:top w:val="nil"/>
              <w:left w:val="nil"/>
              <w:bottom w:val="single" w:color="auto" w:sz="4" w:space="0"/>
              <w:right w:val="single" w:color="auto" w:sz="4" w:space="0"/>
            </w:tcBorders>
            <w:shd w:val="clear" w:color="000000" w:fill="FFFFFF"/>
            <w:vAlign w:val="center"/>
          </w:tcPr>
          <w:p w14:paraId="035B5570">
            <w:pPr>
              <w:widowControl/>
              <w:jc w:val="center"/>
              <w:rPr>
                <w:rFonts w:hint="eastAsia" w:ascii="宋体" w:hAnsi="宋体" w:cs="宋体"/>
                <w:kern w:val="0"/>
                <w:sz w:val="24"/>
              </w:rPr>
            </w:pPr>
            <w:r>
              <w:rPr>
                <w:rFonts w:hint="eastAsia" w:ascii="宋体" w:hAnsi="宋体" w:cs="宋体"/>
                <w:kern w:val="0"/>
                <w:sz w:val="24"/>
              </w:rPr>
              <w:t>人份</w:t>
            </w:r>
          </w:p>
        </w:tc>
        <w:tc>
          <w:tcPr>
            <w:tcW w:w="992" w:type="dxa"/>
            <w:tcBorders>
              <w:top w:val="nil"/>
              <w:left w:val="nil"/>
              <w:bottom w:val="single" w:color="auto" w:sz="4" w:space="0"/>
              <w:right w:val="single" w:color="auto" w:sz="4" w:space="0"/>
            </w:tcBorders>
            <w:shd w:val="clear" w:color="000000" w:fill="FFFFFF"/>
            <w:noWrap/>
            <w:vAlign w:val="center"/>
          </w:tcPr>
          <w:p w14:paraId="61E96089">
            <w:pPr>
              <w:widowControl/>
              <w:jc w:val="center"/>
              <w:rPr>
                <w:rFonts w:hint="eastAsia" w:ascii="宋体" w:hAnsi="宋体" w:cs="宋体"/>
                <w:kern w:val="0"/>
                <w:sz w:val="24"/>
              </w:rPr>
            </w:pPr>
            <w:r>
              <w:rPr>
                <w:rFonts w:hint="eastAsia" w:ascii="宋体" w:hAnsi="宋体" w:cs="宋体"/>
                <w:kern w:val="0"/>
                <w:sz w:val="24"/>
              </w:rPr>
              <w:t>3300</w:t>
            </w:r>
          </w:p>
        </w:tc>
        <w:tc>
          <w:tcPr>
            <w:tcW w:w="851" w:type="dxa"/>
            <w:tcBorders>
              <w:top w:val="nil"/>
              <w:left w:val="nil"/>
              <w:bottom w:val="single" w:color="auto" w:sz="4" w:space="0"/>
              <w:right w:val="single" w:color="auto" w:sz="4" w:space="0"/>
            </w:tcBorders>
            <w:shd w:val="clear" w:color="000000" w:fill="FFFFFF"/>
            <w:vAlign w:val="center"/>
          </w:tcPr>
          <w:p w14:paraId="5129401C">
            <w:pPr>
              <w:widowControl/>
              <w:jc w:val="center"/>
              <w:rPr>
                <w:rFonts w:hint="eastAsia" w:ascii="宋体" w:hAnsi="宋体" w:cs="宋体"/>
                <w:color w:val="000000"/>
                <w:kern w:val="0"/>
                <w:sz w:val="24"/>
              </w:rPr>
            </w:pPr>
            <w:r>
              <w:rPr>
                <w:rFonts w:hint="eastAsia" w:ascii="宋体" w:hAnsi="宋体" w:cs="宋体"/>
                <w:color w:val="000000"/>
                <w:kern w:val="0"/>
                <w:sz w:val="24"/>
              </w:rPr>
              <w:t>是</w:t>
            </w:r>
          </w:p>
        </w:tc>
        <w:tc>
          <w:tcPr>
            <w:tcW w:w="952" w:type="dxa"/>
            <w:tcBorders>
              <w:top w:val="nil"/>
              <w:left w:val="nil"/>
              <w:bottom w:val="single" w:color="auto" w:sz="4" w:space="0"/>
              <w:right w:val="single" w:color="auto" w:sz="4" w:space="0"/>
            </w:tcBorders>
            <w:shd w:val="clear" w:color="000000" w:fill="FFFFFF"/>
            <w:vAlign w:val="center"/>
          </w:tcPr>
          <w:p w14:paraId="368D51EE">
            <w:pPr>
              <w:widowControl/>
              <w:jc w:val="center"/>
              <w:rPr>
                <w:rFonts w:hint="eastAsia" w:ascii="宋体" w:hAnsi="宋体" w:cs="宋体"/>
                <w:color w:val="000000"/>
                <w:kern w:val="0"/>
                <w:sz w:val="24"/>
              </w:rPr>
            </w:pPr>
            <w:r>
              <w:rPr>
                <w:rFonts w:hint="eastAsia" w:ascii="宋体" w:hAnsi="宋体" w:cs="宋体"/>
                <w:color w:val="000000"/>
                <w:kern w:val="0"/>
                <w:sz w:val="24"/>
              </w:rPr>
              <w:t>否</w:t>
            </w:r>
          </w:p>
        </w:tc>
      </w:tr>
      <w:tr w14:paraId="387353B3">
        <w:tblPrEx>
          <w:tblCellMar>
            <w:top w:w="0" w:type="dxa"/>
            <w:left w:w="108" w:type="dxa"/>
            <w:bottom w:w="0" w:type="dxa"/>
            <w:right w:w="108" w:type="dxa"/>
          </w:tblCellMar>
        </w:tblPrEx>
        <w:trPr>
          <w:trHeight w:val="288" w:hRule="atLeast"/>
        </w:trPr>
        <w:tc>
          <w:tcPr>
            <w:tcW w:w="704" w:type="dxa"/>
            <w:tcBorders>
              <w:top w:val="nil"/>
              <w:left w:val="single" w:color="auto" w:sz="4" w:space="0"/>
              <w:bottom w:val="single" w:color="auto" w:sz="4" w:space="0"/>
              <w:right w:val="single" w:color="auto" w:sz="4" w:space="0"/>
            </w:tcBorders>
            <w:shd w:val="clear" w:color="000000" w:fill="FFFFFF"/>
            <w:vAlign w:val="center"/>
          </w:tcPr>
          <w:p w14:paraId="48DB1F97">
            <w:pPr>
              <w:widowControl/>
              <w:jc w:val="center"/>
              <w:rPr>
                <w:rFonts w:hint="eastAsia" w:ascii="宋体" w:hAnsi="宋体" w:cs="宋体"/>
                <w:kern w:val="0"/>
                <w:sz w:val="24"/>
              </w:rPr>
            </w:pPr>
            <w:r>
              <w:rPr>
                <w:rFonts w:hint="eastAsia" w:ascii="宋体" w:hAnsi="宋体" w:cs="宋体"/>
                <w:kern w:val="0"/>
                <w:sz w:val="24"/>
              </w:rPr>
              <w:t>37</w:t>
            </w:r>
          </w:p>
        </w:tc>
        <w:tc>
          <w:tcPr>
            <w:tcW w:w="2851" w:type="dxa"/>
            <w:tcBorders>
              <w:top w:val="nil"/>
              <w:left w:val="nil"/>
              <w:bottom w:val="single" w:color="auto" w:sz="4" w:space="0"/>
              <w:right w:val="single" w:color="auto" w:sz="4" w:space="0"/>
            </w:tcBorders>
            <w:shd w:val="clear" w:color="000000" w:fill="FFFFFF"/>
            <w:vAlign w:val="center"/>
          </w:tcPr>
          <w:p w14:paraId="1957CFAE">
            <w:pPr>
              <w:jc w:val="center"/>
              <w:rPr>
                <w:rFonts w:hint="eastAsia" w:ascii="宋体" w:hAnsi="宋体" w:cs="宋体"/>
                <w:sz w:val="24"/>
              </w:rPr>
            </w:pPr>
            <w:r>
              <w:rPr>
                <w:rFonts w:hint="eastAsia" w:ascii="宋体" w:hAnsi="宋体" w:cs="宋体"/>
                <w:sz w:val="24"/>
              </w:rPr>
              <w:t>甲状腺素定标液</w:t>
            </w:r>
          </w:p>
        </w:tc>
        <w:tc>
          <w:tcPr>
            <w:tcW w:w="1276" w:type="dxa"/>
            <w:tcBorders>
              <w:top w:val="nil"/>
              <w:left w:val="nil"/>
              <w:bottom w:val="single" w:color="auto" w:sz="4" w:space="0"/>
              <w:right w:val="single" w:color="auto" w:sz="4" w:space="0"/>
            </w:tcBorders>
            <w:shd w:val="clear" w:color="000000" w:fill="FFFFFF"/>
            <w:vAlign w:val="center"/>
          </w:tcPr>
          <w:p w14:paraId="58C7084C">
            <w:pPr>
              <w:widowControl/>
              <w:jc w:val="center"/>
              <w:rPr>
                <w:rFonts w:hint="eastAsia" w:ascii="宋体" w:hAnsi="宋体" w:cs="宋体"/>
                <w:kern w:val="0"/>
                <w:sz w:val="24"/>
              </w:rPr>
            </w:pPr>
            <w:r>
              <w:rPr>
                <w:rFonts w:hint="eastAsia" w:ascii="宋体" w:hAnsi="宋体" w:cs="宋体"/>
                <w:kern w:val="0"/>
                <w:sz w:val="24"/>
              </w:rPr>
              <w:t>362.5</w:t>
            </w:r>
          </w:p>
        </w:tc>
        <w:tc>
          <w:tcPr>
            <w:tcW w:w="992" w:type="dxa"/>
            <w:tcBorders>
              <w:top w:val="nil"/>
              <w:left w:val="nil"/>
              <w:bottom w:val="single" w:color="auto" w:sz="4" w:space="0"/>
              <w:right w:val="single" w:color="auto" w:sz="4" w:space="0"/>
            </w:tcBorders>
            <w:shd w:val="clear" w:color="000000" w:fill="FFFFFF"/>
            <w:vAlign w:val="center"/>
          </w:tcPr>
          <w:p w14:paraId="66962D64">
            <w:pPr>
              <w:widowControl/>
              <w:jc w:val="center"/>
              <w:rPr>
                <w:rFonts w:hint="eastAsia" w:ascii="宋体" w:hAnsi="宋体" w:cs="宋体"/>
                <w:kern w:val="0"/>
                <w:sz w:val="24"/>
              </w:rPr>
            </w:pPr>
            <w:r>
              <w:rPr>
                <w:rFonts w:hint="eastAsia" w:ascii="宋体" w:hAnsi="宋体" w:cs="宋体"/>
                <w:kern w:val="0"/>
                <w:sz w:val="24"/>
              </w:rPr>
              <w:t>ml</w:t>
            </w:r>
          </w:p>
        </w:tc>
        <w:tc>
          <w:tcPr>
            <w:tcW w:w="992" w:type="dxa"/>
            <w:tcBorders>
              <w:top w:val="nil"/>
              <w:left w:val="nil"/>
              <w:bottom w:val="single" w:color="auto" w:sz="4" w:space="0"/>
              <w:right w:val="single" w:color="auto" w:sz="4" w:space="0"/>
            </w:tcBorders>
            <w:shd w:val="clear" w:color="000000" w:fill="FFFFFF"/>
            <w:noWrap/>
            <w:vAlign w:val="center"/>
          </w:tcPr>
          <w:p w14:paraId="2A5830BE">
            <w:pPr>
              <w:widowControl/>
              <w:jc w:val="center"/>
              <w:rPr>
                <w:rFonts w:hint="eastAsia" w:ascii="宋体" w:hAnsi="宋体" w:cs="宋体"/>
                <w:kern w:val="0"/>
                <w:sz w:val="24"/>
              </w:rPr>
            </w:pPr>
            <w:r>
              <w:rPr>
                <w:rFonts w:hint="eastAsia" w:ascii="宋体" w:hAnsi="宋体" w:cs="宋体"/>
                <w:kern w:val="0"/>
                <w:sz w:val="24"/>
              </w:rPr>
              <w:t>4</w:t>
            </w:r>
          </w:p>
        </w:tc>
        <w:tc>
          <w:tcPr>
            <w:tcW w:w="851" w:type="dxa"/>
            <w:tcBorders>
              <w:top w:val="nil"/>
              <w:left w:val="nil"/>
              <w:bottom w:val="single" w:color="auto" w:sz="4" w:space="0"/>
              <w:right w:val="single" w:color="auto" w:sz="4" w:space="0"/>
            </w:tcBorders>
            <w:shd w:val="clear" w:color="000000" w:fill="FFFFFF"/>
            <w:vAlign w:val="center"/>
          </w:tcPr>
          <w:p w14:paraId="1452B395">
            <w:pPr>
              <w:widowControl/>
              <w:jc w:val="center"/>
              <w:rPr>
                <w:rFonts w:hint="eastAsia" w:ascii="宋体" w:hAnsi="宋体" w:cs="宋体"/>
                <w:color w:val="000000"/>
                <w:kern w:val="0"/>
                <w:sz w:val="24"/>
              </w:rPr>
            </w:pPr>
            <w:r>
              <w:rPr>
                <w:rFonts w:hint="eastAsia" w:ascii="宋体" w:hAnsi="宋体" w:cs="宋体"/>
                <w:color w:val="000000"/>
                <w:kern w:val="0"/>
                <w:sz w:val="24"/>
              </w:rPr>
              <w:t>是</w:t>
            </w:r>
          </w:p>
        </w:tc>
        <w:tc>
          <w:tcPr>
            <w:tcW w:w="952" w:type="dxa"/>
            <w:tcBorders>
              <w:top w:val="nil"/>
              <w:left w:val="nil"/>
              <w:bottom w:val="single" w:color="auto" w:sz="4" w:space="0"/>
              <w:right w:val="single" w:color="auto" w:sz="4" w:space="0"/>
            </w:tcBorders>
            <w:shd w:val="clear" w:color="000000" w:fill="FFFFFF"/>
            <w:vAlign w:val="center"/>
          </w:tcPr>
          <w:p w14:paraId="43C00457">
            <w:pPr>
              <w:widowControl/>
              <w:jc w:val="center"/>
              <w:rPr>
                <w:rFonts w:hint="eastAsia" w:ascii="宋体" w:hAnsi="宋体" w:cs="宋体"/>
                <w:color w:val="000000"/>
                <w:kern w:val="0"/>
                <w:sz w:val="24"/>
              </w:rPr>
            </w:pPr>
            <w:r>
              <w:rPr>
                <w:rFonts w:hint="eastAsia" w:ascii="宋体" w:hAnsi="宋体" w:cs="宋体"/>
                <w:color w:val="000000"/>
                <w:kern w:val="0"/>
                <w:sz w:val="24"/>
              </w:rPr>
              <w:t>否</w:t>
            </w:r>
          </w:p>
        </w:tc>
      </w:tr>
      <w:tr w14:paraId="32DA113B">
        <w:tblPrEx>
          <w:tblCellMar>
            <w:top w:w="0" w:type="dxa"/>
            <w:left w:w="108" w:type="dxa"/>
            <w:bottom w:w="0" w:type="dxa"/>
            <w:right w:w="108" w:type="dxa"/>
          </w:tblCellMar>
        </w:tblPrEx>
        <w:trPr>
          <w:trHeight w:val="288" w:hRule="atLeast"/>
        </w:trPr>
        <w:tc>
          <w:tcPr>
            <w:tcW w:w="704" w:type="dxa"/>
            <w:tcBorders>
              <w:top w:val="nil"/>
              <w:left w:val="single" w:color="auto" w:sz="4" w:space="0"/>
              <w:bottom w:val="single" w:color="auto" w:sz="4" w:space="0"/>
              <w:right w:val="single" w:color="auto" w:sz="4" w:space="0"/>
            </w:tcBorders>
            <w:shd w:val="clear" w:color="000000" w:fill="FFFFFF"/>
            <w:vAlign w:val="center"/>
          </w:tcPr>
          <w:p w14:paraId="3B5EC88E">
            <w:pPr>
              <w:widowControl/>
              <w:jc w:val="center"/>
              <w:rPr>
                <w:rFonts w:hint="eastAsia" w:ascii="宋体" w:hAnsi="宋体" w:cs="宋体"/>
                <w:kern w:val="0"/>
                <w:sz w:val="24"/>
              </w:rPr>
            </w:pPr>
            <w:r>
              <w:rPr>
                <w:rFonts w:hint="eastAsia" w:ascii="宋体" w:hAnsi="宋体" w:cs="宋体"/>
                <w:kern w:val="0"/>
                <w:sz w:val="24"/>
              </w:rPr>
              <w:t>38</w:t>
            </w:r>
          </w:p>
        </w:tc>
        <w:tc>
          <w:tcPr>
            <w:tcW w:w="2851" w:type="dxa"/>
            <w:tcBorders>
              <w:top w:val="nil"/>
              <w:left w:val="nil"/>
              <w:bottom w:val="single" w:color="auto" w:sz="4" w:space="0"/>
              <w:right w:val="single" w:color="auto" w:sz="4" w:space="0"/>
            </w:tcBorders>
            <w:shd w:val="clear" w:color="000000" w:fill="FFFFFF"/>
            <w:vAlign w:val="center"/>
          </w:tcPr>
          <w:p w14:paraId="3E40B0D9">
            <w:pPr>
              <w:jc w:val="center"/>
              <w:rPr>
                <w:rFonts w:hint="eastAsia" w:ascii="宋体" w:hAnsi="宋体" w:cs="宋体"/>
                <w:sz w:val="24"/>
              </w:rPr>
            </w:pPr>
            <w:r>
              <w:rPr>
                <w:rFonts w:hint="eastAsia" w:ascii="宋体" w:hAnsi="宋体" w:cs="宋体"/>
                <w:sz w:val="24"/>
              </w:rPr>
              <w:t>甲状腺素检测试剂盒1</w:t>
            </w:r>
          </w:p>
        </w:tc>
        <w:tc>
          <w:tcPr>
            <w:tcW w:w="1276" w:type="dxa"/>
            <w:tcBorders>
              <w:top w:val="nil"/>
              <w:left w:val="nil"/>
              <w:bottom w:val="single" w:color="auto" w:sz="4" w:space="0"/>
              <w:right w:val="single" w:color="auto" w:sz="4" w:space="0"/>
            </w:tcBorders>
            <w:shd w:val="clear" w:color="000000" w:fill="FFFFFF"/>
            <w:vAlign w:val="center"/>
          </w:tcPr>
          <w:p w14:paraId="52CD56B0">
            <w:pPr>
              <w:widowControl/>
              <w:jc w:val="center"/>
              <w:rPr>
                <w:rFonts w:hint="eastAsia" w:ascii="宋体" w:hAnsi="宋体" w:cs="宋体"/>
                <w:kern w:val="0"/>
                <w:sz w:val="24"/>
              </w:rPr>
            </w:pPr>
            <w:r>
              <w:rPr>
                <w:rFonts w:hint="eastAsia" w:ascii="宋体" w:hAnsi="宋体" w:cs="宋体"/>
                <w:kern w:val="0"/>
                <w:sz w:val="24"/>
              </w:rPr>
              <w:t>12</w:t>
            </w:r>
          </w:p>
        </w:tc>
        <w:tc>
          <w:tcPr>
            <w:tcW w:w="992" w:type="dxa"/>
            <w:tcBorders>
              <w:top w:val="nil"/>
              <w:left w:val="nil"/>
              <w:bottom w:val="single" w:color="auto" w:sz="4" w:space="0"/>
              <w:right w:val="single" w:color="auto" w:sz="4" w:space="0"/>
            </w:tcBorders>
            <w:shd w:val="clear" w:color="000000" w:fill="FFFFFF"/>
            <w:vAlign w:val="center"/>
          </w:tcPr>
          <w:p w14:paraId="2A838052">
            <w:pPr>
              <w:widowControl/>
              <w:jc w:val="center"/>
              <w:rPr>
                <w:rFonts w:hint="eastAsia" w:ascii="宋体" w:hAnsi="宋体" w:cs="宋体"/>
                <w:kern w:val="0"/>
                <w:sz w:val="24"/>
              </w:rPr>
            </w:pPr>
            <w:r>
              <w:rPr>
                <w:rFonts w:hint="eastAsia" w:ascii="宋体" w:hAnsi="宋体" w:cs="宋体"/>
                <w:kern w:val="0"/>
                <w:sz w:val="24"/>
              </w:rPr>
              <w:t>人份</w:t>
            </w:r>
          </w:p>
        </w:tc>
        <w:tc>
          <w:tcPr>
            <w:tcW w:w="992" w:type="dxa"/>
            <w:tcBorders>
              <w:top w:val="nil"/>
              <w:left w:val="nil"/>
              <w:bottom w:val="single" w:color="auto" w:sz="4" w:space="0"/>
              <w:right w:val="single" w:color="auto" w:sz="4" w:space="0"/>
            </w:tcBorders>
            <w:shd w:val="clear" w:color="000000" w:fill="FFFFFF"/>
            <w:noWrap/>
            <w:vAlign w:val="center"/>
          </w:tcPr>
          <w:p w14:paraId="11DE903A">
            <w:pPr>
              <w:widowControl/>
              <w:jc w:val="center"/>
              <w:rPr>
                <w:rFonts w:hint="eastAsia" w:ascii="宋体" w:hAnsi="宋体" w:cs="宋体"/>
                <w:kern w:val="0"/>
                <w:sz w:val="24"/>
              </w:rPr>
            </w:pPr>
            <w:r>
              <w:rPr>
                <w:rFonts w:hint="eastAsia" w:ascii="宋体" w:hAnsi="宋体" w:cs="宋体"/>
                <w:kern w:val="0"/>
                <w:sz w:val="24"/>
              </w:rPr>
              <w:t>6000</w:t>
            </w:r>
          </w:p>
        </w:tc>
        <w:tc>
          <w:tcPr>
            <w:tcW w:w="851" w:type="dxa"/>
            <w:tcBorders>
              <w:top w:val="nil"/>
              <w:left w:val="nil"/>
              <w:bottom w:val="single" w:color="auto" w:sz="4" w:space="0"/>
              <w:right w:val="single" w:color="auto" w:sz="4" w:space="0"/>
            </w:tcBorders>
            <w:shd w:val="clear" w:color="000000" w:fill="FFFFFF"/>
            <w:vAlign w:val="center"/>
          </w:tcPr>
          <w:p w14:paraId="224FAAA8">
            <w:pPr>
              <w:widowControl/>
              <w:jc w:val="center"/>
              <w:rPr>
                <w:rFonts w:hint="eastAsia" w:ascii="宋体" w:hAnsi="宋体" w:cs="宋体"/>
                <w:color w:val="000000"/>
                <w:kern w:val="0"/>
                <w:sz w:val="24"/>
              </w:rPr>
            </w:pPr>
            <w:r>
              <w:rPr>
                <w:rFonts w:hint="eastAsia" w:ascii="宋体" w:hAnsi="宋体" w:cs="宋体"/>
                <w:color w:val="000000"/>
                <w:kern w:val="0"/>
                <w:sz w:val="24"/>
              </w:rPr>
              <w:t>是</w:t>
            </w:r>
          </w:p>
        </w:tc>
        <w:tc>
          <w:tcPr>
            <w:tcW w:w="952" w:type="dxa"/>
            <w:tcBorders>
              <w:top w:val="nil"/>
              <w:left w:val="nil"/>
              <w:bottom w:val="single" w:color="auto" w:sz="4" w:space="0"/>
              <w:right w:val="single" w:color="auto" w:sz="4" w:space="0"/>
            </w:tcBorders>
            <w:shd w:val="clear" w:color="000000" w:fill="FFFFFF"/>
            <w:vAlign w:val="center"/>
          </w:tcPr>
          <w:p w14:paraId="6552C19A">
            <w:pPr>
              <w:widowControl/>
              <w:jc w:val="center"/>
              <w:rPr>
                <w:rFonts w:hint="eastAsia" w:ascii="宋体" w:hAnsi="宋体" w:cs="宋体"/>
                <w:color w:val="000000"/>
                <w:kern w:val="0"/>
                <w:sz w:val="24"/>
              </w:rPr>
            </w:pPr>
            <w:r>
              <w:rPr>
                <w:rFonts w:hint="eastAsia" w:ascii="宋体" w:hAnsi="宋体" w:cs="宋体"/>
                <w:color w:val="000000"/>
                <w:kern w:val="0"/>
                <w:sz w:val="24"/>
              </w:rPr>
              <w:t>否</w:t>
            </w:r>
          </w:p>
        </w:tc>
      </w:tr>
      <w:tr w14:paraId="70C19A6D">
        <w:tblPrEx>
          <w:tblCellMar>
            <w:top w:w="0" w:type="dxa"/>
            <w:left w:w="108" w:type="dxa"/>
            <w:bottom w:w="0" w:type="dxa"/>
            <w:right w:w="108" w:type="dxa"/>
          </w:tblCellMar>
        </w:tblPrEx>
        <w:trPr>
          <w:trHeight w:val="288" w:hRule="atLeast"/>
        </w:trPr>
        <w:tc>
          <w:tcPr>
            <w:tcW w:w="704" w:type="dxa"/>
            <w:tcBorders>
              <w:top w:val="nil"/>
              <w:left w:val="single" w:color="auto" w:sz="4" w:space="0"/>
              <w:bottom w:val="single" w:color="auto" w:sz="4" w:space="0"/>
              <w:right w:val="single" w:color="auto" w:sz="4" w:space="0"/>
            </w:tcBorders>
            <w:shd w:val="clear" w:color="000000" w:fill="FFFFFF"/>
            <w:vAlign w:val="center"/>
          </w:tcPr>
          <w:p w14:paraId="72D3C791">
            <w:pPr>
              <w:widowControl/>
              <w:jc w:val="center"/>
              <w:rPr>
                <w:rFonts w:hint="eastAsia" w:ascii="宋体" w:hAnsi="宋体" w:cs="宋体"/>
                <w:kern w:val="0"/>
                <w:sz w:val="24"/>
              </w:rPr>
            </w:pPr>
            <w:r>
              <w:rPr>
                <w:rFonts w:hint="eastAsia" w:ascii="宋体" w:hAnsi="宋体" w:cs="宋体"/>
                <w:kern w:val="0"/>
                <w:sz w:val="24"/>
              </w:rPr>
              <w:t>39</w:t>
            </w:r>
          </w:p>
        </w:tc>
        <w:tc>
          <w:tcPr>
            <w:tcW w:w="2851" w:type="dxa"/>
            <w:tcBorders>
              <w:top w:val="nil"/>
              <w:left w:val="nil"/>
              <w:bottom w:val="single" w:color="auto" w:sz="4" w:space="0"/>
              <w:right w:val="single" w:color="auto" w:sz="4" w:space="0"/>
            </w:tcBorders>
            <w:shd w:val="clear" w:color="000000" w:fill="FFFFFF"/>
            <w:vAlign w:val="center"/>
          </w:tcPr>
          <w:p w14:paraId="419BFC4A">
            <w:pPr>
              <w:jc w:val="center"/>
              <w:rPr>
                <w:rFonts w:hint="eastAsia" w:ascii="宋体" w:hAnsi="宋体" w:cs="宋体"/>
                <w:sz w:val="24"/>
              </w:rPr>
            </w:pPr>
            <w:r>
              <w:rPr>
                <w:rFonts w:hint="eastAsia" w:ascii="宋体" w:hAnsi="宋体" w:cs="宋体"/>
                <w:sz w:val="24"/>
              </w:rPr>
              <w:t>甲状腺素检测试剂盒2</w:t>
            </w:r>
          </w:p>
        </w:tc>
        <w:tc>
          <w:tcPr>
            <w:tcW w:w="1276" w:type="dxa"/>
            <w:tcBorders>
              <w:top w:val="nil"/>
              <w:left w:val="nil"/>
              <w:bottom w:val="single" w:color="auto" w:sz="4" w:space="0"/>
              <w:right w:val="single" w:color="auto" w:sz="4" w:space="0"/>
            </w:tcBorders>
            <w:shd w:val="clear" w:color="000000" w:fill="FFFFFF"/>
            <w:vAlign w:val="center"/>
          </w:tcPr>
          <w:p w14:paraId="182A6B0B">
            <w:pPr>
              <w:widowControl/>
              <w:jc w:val="center"/>
              <w:rPr>
                <w:rFonts w:hint="eastAsia" w:ascii="宋体" w:hAnsi="宋体" w:cs="宋体"/>
                <w:kern w:val="0"/>
                <w:sz w:val="24"/>
              </w:rPr>
            </w:pPr>
            <w:r>
              <w:rPr>
                <w:rFonts w:hint="eastAsia" w:ascii="宋体" w:hAnsi="宋体" w:cs="宋体"/>
                <w:kern w:val="0"/>
                <w:sz w:val="24"/>
              </w:rPr>
              <w:t>12.5</w:t>
            </w:r>
          </w:p>
        </w:tc>
        <w:tc>
          <w:tcPr>
            <w:tcW w:w="992" w:type="dxa"/>
            <w:tcBorders>
              <w:top w:val="nil"/>
              <w:left w:val="nil"/>
              <w:bottom w:val="single" w:color="auto" w:sz="4" w:space="0"/>
              <w:right w:val="single" w:color="auto" w:sz="4" w:space="0"/>
            </w:tcBorders>
            <w:shd w:val="clear" w:color="000000" w:fill="FFFFFF"/>
            <w:vAlign w:val="center"/>
          </w:tcPr>
          <w:p w14:paraId="2E593567">
            <w:pPr>
              <w:widowControl/>
              <w:jc w:val="center"/>
              <w:rPr>
                <w:rFonts w:hint="eastAsia" w:ascii="宋体" w:hAnsi="宋体" w:cs="宋体"/>
                <w:kern w:val="0"/>
                <w:sz w:val="24"/>
              </w:rPr>
            </w:pPr>
            <w:r>
              <w:rPr>
                <w:rFonts w:hint="eastAsia" w:ascii="宋体" w:hAnsi="宋体" w:cs="宋体"/>
                <w:kern w:val="0"/>
                <w:sz w:val="24"/>
              </w:rPr>
              <w:t>人份</w:t>
            </w:r>
          </w:p>
        </w:tc>
        <w:tc>
          <w:tcPr>
            <w:tcW w:w="992" w:type="dxa"/>
            <w:tcBorders>
              <w:top w:val="nil"/>
              <w:left w:val="nil"/>
              <w:bottom w:val="single" w:color="auto" w:sz="4" w:space="0"/>
              <w:right w:val="single" w:color="auto" w:sz="4" w:space="0"/>
            </w:tcBorders>
            <w:shd w:val="clear" w:color="000000" w:fill="FFFFFF"/>
            <w:noWrap/>
            <w:vAlign w:val="center"/>
          </w:tcPr>
          <w:p w14:paraId="2F6270EF">
            <w:pPr>
              <w:widowControl/>
              <w:jc w:val="center"/>
              <w:rPr>
                <w:rFonts w:hint="eastAsia" w:ascii="宋体" w:hAnsi="宋体" w:cs="宋体"/>
                <w:kern w:val="0"/>
                <w:sz w:val="24"/>
              </w:rPr>
            </w:pPr>
            <w:r>
              <w:rPr>
                <w:rFonts w:hint="eastAsia" w:ascii="宋体" w:hAnsi="宋体" w:cs="宋体"/>
                <w:kern w:val="0"/>
                <w:sz w:val="24"/>
              </w:rPr>
              <w:t>200</w:t>
            </w:r>
          </w:p>
        </w:tc>
        <w:tc>
          <w:tcPr>
            <w:tcW w:w="851" w:type="dxa"/>
            <w:tcBorders>
              <w:top w:val="nil"/>
              <w:left w:val="nil"/>
              <w:bottom w:val="single" w:color="auto" w:sz="4" w:space="0"/>
              <w:right w:val="single" w:color="auto" w:sz="4" w:space="0"/>
            </w:tcBorders>
            <w:shd w:val="clear" w:color="000000" w:fill="FFFFFF"/>
            <w:vAlign w:val="center"/>
          </w:tcPr>
          <w:p w14:paraId="6E93435C">
            <w:pPr>
              <w:widowControl/>
              <w:jc w:val="center"/>
              <w:rPr>
                <w:rFonts w:hint="eastAsia" w:ascii="宋体" w:hAnsi="宋体" w:cs="宋体"/>
                <w:color w:val="000000"/>
                <w:kern w:val="0"/>
                <w:sz w:val="24"/>
              </w:rPr>
            </w:pPr>
            <w:r>
              <w:rPr>
                <w:rFonts w:hint="eastAsia" w:ascii="宋体" w:hAnsi="宋体" w:cs="宋体"/>
                <w:color w:val="000000"/>
                <w:kern w:val="0"/>
                <w:sz w:val="24"/>
              </w:rPr>
              <w:t>是</w:t>
            </w:r>
          </w:p>
        </w:tc>
        <w:tc>
          <w:tcPr>
            <w:tcW w:w="952" w:type="dxa"/>
            <w:tcBorders>
              <w:top w:val="nil"/>
              <w:left w:val="nil"/>
              <w:bottom w:val="single" w:color="auto" w:sz="4" w:space="0"/>
              <w:right w:val="single" w:color="auto" w:sz="4" w:space="0"/>
            </w:tcBorders>
            <w:shd w:val="clear" w:color="000000" w:fill="FFFFFF"/>
            <w:vAlign w:val="center"/>
          </w:tcPr>
          <w:p w14:paraId="228C05A7">
            <w:pPr>
              <w:widowControl/>
              <w:jc w:val="center"/>
              <w:rPr>
                <w:rFonts w:hint="eastAsia" w:ascii="宋体" w:hAnsi="宋体" w:cs="宋体"/>
                <w:color w:val="000000"/>
                <w:kern w:val="0"/>
                <w:sz w:val="24"/>
              </w:rPr>
            </w:pPr>
            <w:r>
              <w:rPr>
                <w:rFonts w:hint="eastAsia" w:ascii="宋体" w:hAnsi="宋体" w:cs="宋体"/>
                <w:color w:val="000000"/>
                <w:kern w:val="0"/>
                <w:sz w:val="24"/>
              </w:rPr>
              <w:t>否</w:t>
            </w:r>
          </w:p>
        </w:tc>
      </w:tr>
      <w:tr w14:paraId="60381DC2">
        <w:tblPrEx>
          <w:tblCellMar>
            <w:top w:w="0" w:type="dxa"/>
            <w:left w:w="108" w:type="dxa"/>
            <w:bottom w:w="0" w:type="dxa"/>
            <w:right w:w="108" w:type="dxa"/>
          </w:tblCellMar>
        </w:tblPrEx>
        <w:trPr>
          <w:trHeight w:val="576" w:hRule="atLeast"/>
        </w:trPr>
        <w:tc>
          <w:tcPr>
            <w:tcW w:w="704" w:type="dxa"/>
            <w:tcBorders>
              <w:top w:val="nil"/>
              <w:left w:val="single" w:color="auto" w:sz="4" w:space="0"/>
              <w:bottom w:val="single" w:color="auto" w:sz="4" w:space="0"/>
              <w:right w:val="single" w:color="auto" w:sz="4" w:space="0"/>
            </w:tcBorders>
            <w:shd w:val="clear" w:color="000000" w:fill="FFFFFF"/>
            <w:vAlign w:val="center"/>
          </w:tcPr>
          <w:p w14:paraId="4E4E41BB">
            <w:pPr>
              <w:widowControl/>
              <w:jc w:val="center"/>
              <w:rPr>
                <w:rFonts w:hint="eastAsia" w:ascii="宋体" w:hAnsi="宋体" w:cs="宋体"/>
                <w:kern w:val="0"/>
                <w:sz w:val="24"/>
              </w:rPr>
            </w:pPr>
            <w:r>
              <w:rPr>
                <w:rFonts w:hint="eastAsia" w:ascii="宋体" w:hAnsi="宋体" w:cs="宋体"/>
                <w:kern w:val="0"/>
                <w:sz w:val="24"/>
              </w:rPr>
              <w:t>40</w:t>
            </w:r>
          </w:p>
        </w:tc>
        <w:tc>
          <w:tcPr>
            <w:tcW w:w="2851" w:type="dxa"/>
            <w:tcBorders>
              <w:top w:val="nil"/>
              <w:left w:val="nil"/>
              <w:bottom w:val="single" w:color="auto" w:sz="4" w:space="0"/>
              <w:right w:val="single" w:color="auto" w:sz="4" w:space="0"/>
            </w:tcBorders>
            <w:shd w:val="clear" w:color="000000" w:fill="FFFFFF"/>
            <w:vAlign w:val="center"/>
          </w:tcPr>
          <w:p w14:paraId="2B3C7FC5">
            <w:pPr>
              <w:jc w:val="center"/>
              <w:rPr>
                <w:rFonts w:hint="eastAsia" w:ascii="宋体" w:hAnsi="宋体" w:cs="宋体"/>
                <w:sz w:val="24"/>
              </w:rPr>
            </w:pPr>
            <w:r>
              <w:rPr>
                <w:rFonts w:hint="eastAsia" w:ascii="宋体" w:hAnsi="宋体" w:cs="宋体"/>
                <w:sz w:val="24"/>
              </w:rPr>
              <w:t>甲状腺相关自身抗体质控品</w:t>
            </w:r>
          </w:p>
        </w:tc>
        <w:tc>
          <w:tcPr>
            <w:tcW w:w="1276" w:type="dxa"/>
            <w:tcBorders>
              <w:top w:val="nil"/>
              <w:left w:val="nil"/>
              <w:bottom w:val="single" w:color="auto" w:sz="4" w:space="0"/>
              <w:right w:val="single" w:color="auto" w:sz="4" w:space="0"/>
            </w:tcBorders>
            <w:shd w:val="clear" w:color="000000" w:fill="FFFFFF"/>
            <w:vAlign w:val="center"/>
          </w:tcPr>
          <w:p w14:paraId="4AFE846E">
            <w:pPr>
              <w:widowControl/>
              <w:jc w:val="center"/>
              <w:rPr>
                <w:rFonts w:hint="eastAsia" w:ascii="宋体" w:hAnsi="宋体" w:cs="宋体"/>
                <w:kern w:val="0"/>
                <w:sz w:val="24"/>
              </w:rPr>
            </w:pPr>
            <w:r>
              <w:rPr>
                <w:rFonts w:hint="eastAsia" w:ascii="宋体" w:hAnsi="宋体" w:cs="宋体"/>
                <w:kern w:val="0"/>
                <w:sz w:val="24"/>
              </w:rPr>
              <w:t>325</w:t>
            </w:r>
          </w:p>
        </w:tc>
        <w:tc>
          <w:tcPr>
            <w:tcW w:w="992" w:type="dxa"/>
            <w:tcBorders>
              <w:top w:val="nil"/>
              <w:left w:val="nil"/>
              <w:bottom w:val="single" w:color="auto" w:sz="4" w:space="0"/>
              <w:right w:val="single" w:color="auto" w:sz="4" w:space="0"/>
            </w:tcBorders>
            <w:shd w:val="clear" w:color="000000" w:fill="FFFFFF"/>
            <w:vAlign w:val="center"/>
          </w:tcPr>
          <w:p w14:paraId="212B3DF7">
            <w:pPr>
              <w:widowControl/>
              <w:jc w:val="center"/>
              <w:rPr>
                <w:rFonts w:hint="eastAsia" w:ascii="宋体" w:hAnsi="宋体" w:cs="宋体"/>
                <w:kern w:val="0"/>
                <w:sz w:val="24"/>
              </w:rPr>
            </w:pPr>
            <w:r>
              <w:rPr>
                <w:rFonts w:hint="eastAsia" w:ascii="宋体" w:hAnsi="宋体" w:cs="宋体"/>
                <w:kern w:val="0"/>
                <w:sz w:val="24"/>
              </w:rPr>
              <w:t>ml</w:t>
            </w:r>
          </w:p>
        </w:tc>
        <w:tc>
          <w:tcPr>
            <w:tcW w:w="992" w:type="dxa"/>
            <w:tcBorders>
              <w:top w:val="nil"/>
              <w:left w:val="nil"/>
              <w:bottom w:val="single" w:color="auto" w:sz="4" w:space="0"/>
              <w:right w:val="single" w:color="auto" w:sz="4" w:space="0"/>
            </w:tcBorders>
            <w:shd w:val="clear" w:color="000000" w:fill="FFFFFF"/>
            <w:noWrap/>
            <w:vAlign w:val="center"/>
          </w:tcPr>
          <w:p w14:paraId="12F4E395">
            <w:pPr>
              <w:widowControl/>
              <w:jc w:val="center"/>
              <w:rPr>
                <w:rFonts w:hint="eastAsia" w:ascii="宋体" w:hAnsi="宋体" w:cs="宋体"/>
                <w:kern w:val="0"/>
                <w:sz w:val="24"/>
              </w:rPr>
            </w:pPr>
            <w:r>
              <w:rPr>
                <w:rFonts w:hint="eastAsia" w:ascii="宋体" w:hAnsi="宋体" w:cs="宋体"/>
                <w:kern w:val="0"/>
                <w:sz w:val="24"/>
              </w:rPr>
              <w:t>88</w:t>
            </w:r>
          </w:p>
        </w:tc>
        <w:tc>
          <w:tcPr>
            <w:tcW w:w="851" w:type="dxa"/>
            <w:tcBorders>
              <w:top w:val="nil"/>
              <w:left w:val="nil"/>
              <w:bottom w:val="single" w:color="auto" w:sz="4" w:space="0"/>
              <w:right w:val="single" w:color="auto" w:sz="4" w:space="0"/>
            </w:tcBorders>
            <w:shd w:val="clear" w:color="000000" w:fill="FFFFFF"/>
            <w:vAlign w:val="center"/>
          </w:tcPr>
          <w:p w14:paraId="57CB7D1B">
            <w:pPr>
              <w:widowControl/>
              <w:jc w:val="center"/>
              <w:rPr>
                <w:rFonts w:hint="eastAsia" w:ascii="宋体" w:hAnsi="宋体" w:cs="宋体"/>
                <w:color w:val="000000"/>
                <w:kern w:val="0"/>
                <w:sz w:val="24"/>
              </w:rPr>
            </w:pPr>
            <w:r>
              <w:rPr>
                <w:rFonts w:hint="eastAsia" w:ascii="宋体" w:hAnsi="宋体" w:cs="宋体"/>
                <w:color w:val="000000"/>
                <w:kern w:val="0"/>
                <w:sz w:val="24"/>
              </w:rPr>
              <w:t>是</w:t>
            </w:r>
          </w:p>
        </w:tc>
        <w:tc>
          <w:tcPr>
            <w:tcW w:w="952" w:type="dxa"/>
            <w:tcBorders>
              <w:top w:val="nil"/>
              <w:left w:val="nil"/>
              <w:bottom w:val="single" w:color="auto" w:sz="4" w:space="0"/>
              <w:right w:val="single" w:color="auto" w:sz="4" w:space="0"/>
            </w:tcBorders>
            <w:shd w:val="clear" w:color="000000" w:fill="FFFFFF"/>
            <w:vAlign w:val="center"/>
          </w:tcPr>
          <w:p w14:paraId="348B5491">
            <w:pPr>
              <w:widowControl/>
              <w:jc w:val="center"/>
              <w:rPr>
                <w:rFonts w:hint="eastAsia" w:ascii="宋体" w:hAnsi="宋体" w:cs="宋体"/>
                <w:color w:val="000000"/>
                <w:kern w:val="0"/>
                <w:sz w:val="24"/>
              </w:rPr>
            </w:pPr>
            <w:r>
              <w:rPr>
                <w:rFonts w:hint="eastAsia" w:ascii="宋体" w:hAnsi="宋体" w:cs="宋体"/>
                <w:color w:val="000000"/>
                <w:kern w:val="0"/>
                <w:sz w:val="24"/>
              </w:rPr>
              <w:t>否</w:t>
            </w:r>
          </w:p>
        </w:tc>
      </w:tr>
      <w:tr w14:paraId="714C6549">
        <w:tblPrEx>
          <w:tblCellMar>
            <w:top w:w="0" w:type="dxa"/>
            <w:left w:w="108" w:type="dxa"/>
            <w:bottom w:w="0" w:type="dxa"/>
            <w:right w:w="108" w:type="dxa"/>
          </w:tblCellMar>
        </w:tblPrEx>
        <w:trPr>
          <w:trHeight w:val="576" w:hRule="atLeast"/>
        </w:trPr>
        <w:tc>
          <w:tcPr>
            <w:tcW w:w="704" w:type="dxa"/>
            <w:tcBorders>
              <w:top w:val="nil"/>
              <w:left w:val="single" w:color="auto" w:sz="4" w:space="0"/>
              <w:bottom w:val="single" w:color="auto" w:sz="4" w:space="0"/>
              <w:right w:val="single" w:color="auto" w:sz="4" w:space="0"/>
            </w:tcBorders>
            <w:shd w:val="clear" w:color="000000" w:fill="FFFFFF"/>
            <w:vAlign w:val="center"/>
          </w:tcPr>
          <w:p w14:paraId="63DA8892">
            <w:pPr>
              <w:widowControl/>
              <w:jc w:val="center"/>
              <w:rPr>
                <w:rFonts w:hint="eastAsia" w:ascii="宋体" w:hAnsi="宋体" w:cs="宋体"/>
                <w:kern w:val="0"/>
                <w:sz w:val="24"/>
              </w:rPr>
            </w:pPr>
            <w:r>
              <w:rPr>
                <w:rFonts w:hint="eastAsia" w:ascii="宋体" w:hAnsi="宋体" w:cs="宋体"/>
                <w:kern w:val="0"/>
                <w:sz w:val="24"/>
              </w:rPr>
              <w:t>41</w:t>
            </w:r>
          </w:p>
        </w:tc>
        <w:tc>
          <w:tcPr>
            <w:tcW w:w="2851" w:type="dxa"/>
            <w:tcBorders>
              <w:top w:val="nil"/>
              <w:left w:val="nil"/>
              <w:bottom w:val="single" w:color="auto" w:sz="4" w:space="0"/>
              <w:right w:val="single" w:color="auto" w:sz="4" w:space="0"/>
            </w:tcBorders>
            <w:shd w:val="clear" w:color="000000" w:fill="FFFFFF"/>
            <w:vAlign w:val="center"/>
          </w:tcPr>
          <w:p w14:paraId="51B634DC">
            <w:pPr>
              <w:jc w:val="center"/>
              <w:rPr>
                <w:rFonts w:hint="eastAsia" w:ascii="宋体" w:hAnsi="宋体" w:cs="宋体"/>
                <w:sz w:val="24"/>
              </w:rPr>
            </w:pPr>
            <w:r>
              <w:rPr>
                <w:rFonts w:hint="eastAsia" w:ascii="宋体" w:hAnsi="宋体" w:cs="宋体"/>
                <w:sz w:val="24"/>
              </w:rPr>
              <w:t>抗甲状腺过氧化物酶抗体定标液</w:t>
            </w:r>
          </w:p>
        </w:tc>
        <w:tc>
          <w:tcPr>
            <w:tcW w:w="1276" w:type="dxa"/>
            <w:tcBorders>
              <w:top w:val="nil"/>
              <w:left w:val="nil"/>
              <w:bottom w:val="single" w:color="auto" w:sz="4" w:space="0"/>
              <w:right w:val="single" w:color="auto" w:sz="4" w:space="0"/>
            </w:tcBorders>
            <w:shd w:val="clear" w:color="000000" w:fill="FFFFFF"/>
            <w:vAlign w:val="center"/>
          </w:tcPr>
          <w:p w14:paraId="5616C45F">
            <w:pPr>
              <w:widowControl/>
              <w:jc w:val="center"/>
              <w:rPr>
                <w:rFonts w:hint="eastAsia" w:ascii="宋体" w:hAnsi="宋体" w:cs="宋体"/>
                <w:kern w:val="0"/>
                <w:sz w:val="24"/>
              </w:rPr>
            </w:pPr>
            <w:r>
              <w:rPr>
                <w:rFonts w:hint="eastAsia" w:ascii="宋体" w:hAnsi="宋体" w:cs="宋体"/>
                <w:kern w:val="0"/>
                <w:sz w:val="24"/>
              </w:rPr>
              <w:t>175</w:t>
            </w:r>
          </w:p>
        </w:tc>
        <w:tc>
          <w:tcPr>
            <w:tcW w:w="992" w:type="dxa"/>
            <w:tcBorders>
              <w:top w:val="nil"/>
              <w:left w:val="nil"/>
              <w:bottom w:val="single" w:color="auto" w:sz="4" w:space="0"/>
              <w:right w:val="single" w:color="auto" w:sz="4" w:space="0"/>
            </w:tcBorders>
            <w:shd w:val="clear" w:color="000000" w:fill="FFFFFF"/>
            <w:vAlign w:val="center"/>
          </w:tcPr>
          <w:p w14:paraId="4278524B">
            <w:pPr>
              <w:widowControl/>
              <w:jc w:val="center"/>
              <w:rPr>
                <w:rFonts w:hint="eastAsia" w:ascii="宋体" w:hAnsi="宋体" w:cs="宋体"/>
                <w:kern w:val="0"/>
                <w:sz w:val="24"/>
              </w:rPr>
            </w:pPr>
            <w:r>
              <w:rPr>
                <w:rFonts w:hint="eastAsia" w:ascii="宋体" w:hAnsi="宋体" w:cs="宋体"/>
                <w:kern w:val="0"/>
                <w:sz w:val="24"/>
              </w:rPr>
              <w:t>ml</w:t>
            </w:r>
          </w:p>
        </w:tc>
        <w:tc>
          <w:tcPr>
            <w:tcW w:w="992" w:type="dxa"/>
            <w:tcBorders>
              <w:top w:val="nil"/>
              <w:left w:val="nil"/>
              <w:bottom w:val="single" w:color="auto" w:sz="4" w:space="0"/>
              <w:right w:val="single" w:color="auto" w:sz="4" w:space="0"/>
            </w:tcBorders>
            <w:shd w:val="clear" w:color="000000" w:fill="FFFFFF"/>
            <w:noWrap/>
            <w:vAlign w:val="center"/>
          </w:tcPr>
          <w:p w14:paraId="1CF9E2A9">
            <w:pPr>
              <w:widowControl/>
              <w:jc w:val="center"/>
              <w:rPr>
                <w:rFonts w:hint="eastAsia" w:ascii="宋体" w:hAnsi="宋体" w:cs="宋体"/>
                <w:kern w:val="0"/>
                <w:sz w:val="24"/>
              </w:rPr>
            </w:pPr>
            <w:r>
              <w:rPr>
                <w:rFonts w:hint="eastAsia" w:ascii="宋体" w:hAnsi="宋体" w:cs="宋体"/>
                <w:kern w:val="0"/>
                <w:sz w:val="24"/>
              </w:rPr>
              <w:t>6</w:t>
            </w:r>
          </w:p>
        </w:tc>
        <w:tc>
          <w:tcPr>
            <w:tcW w:w="851" w:type="dxa"/>
            <w:tcBorders>
              <w:top w:val="nil"/>
              <w:left w:val="nil"/>
              <w:bottom w:val="single" w:color="auto" w:sz="4" w:space="0"/>
              <w:right w:val="single" w:color="auto" w:sz="4" w:space="0"/>
            </w:tcBorders>
            <w:shd w:val="clear" w:color="000000" w:fill="FFFFFF"/>
            <w:vAlign w:val="center"/>
          </w:tcPr>
          <w:p w14:paraId="397937F3">
            <w:pPr>
              <w:widowControl/>
              <w:jc w:val="center"/>
              <w:rPr>
                <w:rFonts w:hint="eastAsia" w:ascii="宋体" w:hAnsi="宋体" w:cs="宋体"/>
                <w:color w:val="000000"/>
                <w:kern w:val="0"/>
                <w:sz w:val="24"/>
              </w:rPr>
            </w:pPr>
            <w:r>
              <w:rPr>
                <w:rFonts w:hint="eastAsia" w:ascii="宋体" w:hAnsi="宋体" w:cs="宋体"/>
                <w:color w:val="000000"/>
                <w:kern w:val="0"/>
                <w:sz w:val="24"/>
              </w:rPr>
              <w:t>是</w:t>
            </w:r>
          </w:p>
        </w:tc>
        <w:tc>
          <w:tcPr>
            <w:tcW w:w="952" w:type="dxa"/>
            <w:tcBorders>
              <w:top w:val="nil"/>
              <w:left w:val="nil"/>
              <w:bottom w:val="single" w:color="auto" w:sz="4" w:space="0"/>
              <w:right w:val="single" w:color="auto" w:sz="4" w:space="0"/>
            </w:tcBorders>
            <w:shd w:val="clear" w:color="000000" w:fill="FFFFFF"/>
            <w:vAlign w:val="center"/>
          </w:tcPr>
          <w:p w14:paraId="7A6434D9">
            <w:pPr>
              <w:widowControl/>
              <w:jc w:val="center"/>
              <w:rPr>
                <w:rFonts w:hint="eastAsia" w:ascii="宋体" w:hAnsi="宋体" w:cs="宋体"/>
                <w:color w:val="000000"/>
                <w:kern w:val="0"/>
                <w:sz w:val="24"/>
              </w:rPr>
            </w:pPr>
            <w:r>
              <w:rPr>
                <w:rFonts w:hint="eastAsia" w:ascii="宋体" w:hAnsi="宋体" w:cs="宋体"/>
                <w:color w:val="000000"/>
                <w:kern w:val="0"/>
                <w:sz w:val="24"/>
              </w:rPr>
              <w:t>否</w:t>
            </w:r>
          </w:p>
        </w:tc>
      </w:tr>
      <w:tr w14:paraId="4A4B6E91">
        <w:tblPrEx>
          <w:tblCellMar>
            <w:top w:w="0" w:type="dxa"/>
            <w:left w:w="108" w:type="dxa"/>
            <w:bottom w:w="0" w:type="dxa"/>
            <w:right w:w="108" w:type="dxa"/>
          </w:tblCellMar>
        </w:tblPrEx>
        <w:trPr>
          <w:trHeight w:val="576" w:hRule="atLeast"/>
        </w:trPr>
        <w:tc>
          <w:tcPr>
            <w:tcW w:w="704" w:type="dxa"/>
            <w:tcBorders>
              <w:top w:val="nil"/>
              <w:left w:val="single" w:color="auto" w:sz="4" w:space="0"/>
              <w:bottom w:val="single" w:color="auto" w:sz="4" w:space="0"/>
              <w:right w:val="single" w:color="auto" w:sz="4" w:space="0"/>
            </w:tcBorders>
            <w:shd w:val="clear" w:color="000000" w:fill="FFFFFF"/>
            <w:vAlign w:val="center"/>
          </w:tcPr>
          <w:p w14:paraId="1AD6967C">
            <w:pPr>
              <w:widowControl/>
              <w:jc w:val="center"/>
              <w:rPr>
                <w:rFonts w:hint="eastAsia" w:ascii="宋体" w:hAnsi="宋体" w:cs="宋体"/>
                <w:kern w:val="0"/>
                <w:sz w:val="24"/>
              </w:rPr>
            </w:pPr>
            <w:r>
              <w:rPr>
                <w:rFonts w:hint="eastAsia" w:ascii="宋体" w:hAnsi="宋体" w:cs="宋体"/>
                <w:kern w:val="0"/>
                <w:sz w:val="24"/>
              </w:rPr>
              <w:t>42</w:t>
            </w:r>
          </w:p>
        </w:tc>
        <w:tc>
          <w:tcPr>
            <w:tcW w:w="2851" w:type="dxa"/>
            <w:tcBorders>
              <w:top w:val="nil"/>
              <w:left w:val="nil"/>
              <w:bottom w:val="single" w:color="auto" w:sz="4" w:space="0"/>
              <w:right w:val="single" w:color="auto" w:sz="4" w:space="0"/>
            </w:tcBorders>
            <w:shd w:val="clear" w:color="000000" w:fill="FFFFFF"/>
            <w:vAlign w:val="center"/>
          </w:tcPr>
          <w:p w14:paraId="3557DB5B">
            <w:pPr>
              <w:jc w:val="center"/>
              <w:rPr>
                <w:rFonts w:hint="eastAsia" w:ascii="宋体" w:hAnsi="宋体" w:cs="宋体"/>
                <w:sz w:val="24"/>
              </w:rPr>
            </w:pPr>
            <w:r>
              <w:rPr>
                <w:rFonts w:hint="eastAsia" w:ascii="宋体" w:hAnsi="宋体" w:cs="宋体"/>
                <w:sz w:val="24"/>
              </w:rPr>
              <w:t>抗甲状腺过氧化物酶抗体检测试剂盒</w:t>
            </w:r>
          </w:p>
        </w:tc>
        <w:tc>
          <w:tcPr>
            <w:tcW w:w="1276" w:type="dxa"/>
            <w:tcBorders>
              <w:top w:val="nil"/>
              <w:left w:val="nil"/>
              <w:bottom w:val="single" w:color="auto" w:sz="4" w:space="0"/>
              <w:right w:val="single" w:color="auto" w:sz="4" w:space="0"/>
            </w:tcBorders>
            <w:shd w:val="clear" w:color="000000" w:fill="FFFFFF"/>
            <w:vAlign w:val="center"/>
          </w:tcPr>
          <w:p w14:paraId="0686F067">
            <w:pPr>
              <w:widowControl/>
              <w:jc w:val="center"/>
              <w:rPr>
                <w:rFonts w:hint="eastAsia" w:ascii="宋体" w:hAnsi="宋体" w:cs="宋体"/>
                <w:kern w:val="0"/>
                <w:sz w:val="24"/>
              </w:rPr>
            </w:pPr>
            <w:r>
              <w:rPr>
                <w:rFonts w:hint="eastAsia" w:ascii="宋体" w:hAnsi="宋体" w:cs="宋体"/>
                <w:kern w:val="0"/>
                <w:sz w:val="24"/>
              </w:rPr>
              <w:t>18.8</w:t>
            </w:r>
          </w:p>
        </w:tc>
        <w:tc>
          <w:tcPr>
            <w:tcW w:w="992" w:type="dxa"/>
            <w:tcBorders>
              <w:top w:val="nil"/>
              <w:left w:val="nil"/>
              <w:bottom w:val="single" w:color="auto" w:sz="4" w:space="0"/>
              <w:right w:val="single" w:color="auto" w:sz="4" w:space="0"/>
            </w:tcBorders>
            <w:shd w:val="clear" w:color="000000" w:fill="FFFFFF"/>
            <w:vAlign w:val="center"/>
          </w:tcPr>
          <w:p w14:paraId="01C157B1">
            <w:pPr>
              <w:widowControl/>
              <w:jc w:val="center"/>
              <w:rPr>
                <w:rFonts w:hint="eastAsia" w:ascii="宋体" w:hAnsi="宋体" w:cs="宋体"/>
                <w:kern w:val="0"/>
                <w:sz w:val="24"/>
              </w:rPr>
            </w:pPr>
            <w:r>
              <w:rPr>
                <w:rFonts w:hint="eastAsia" w:ascii="宋体" w:hAnsi="宋体" w:cs="宋体"/>
                <w:kern w:val="0"/>
                <w:sz w:val="24"/>
              </w:rPr>
              <w:t>人份</w:t>
            </w:r>
          </w:p>
        </w:tc>
        <w:tc>
          <w:tcPr>
            <w:tcW w:w="992" w:type="dxa"/>
            <w:tcBorders>
              <w:top w:val="nil"/>
              <w:left w:val="nil"/>
              <w:bottom w:val="single" w:color="auto" w:sz="4" w:space="0"/>
              <w:right w:val="single" w:color="auto" w:sz="4" w:space="0"/>
            </w:tcBorders>
            <w:shd w:val="clear" w:color="000000" w:fill="FFFFFF"/>
            <w:noWrap/>
            <w:vAlign w:val="center"/>
          </w:tcPr>
          <w:p w14:paraId="714DE495">
            <w:pPr>
              <w:widowControl/>
              <w:jc w:val="center"/>
              <w:rPr>
                <w:rFonts w:hint="eastAsia" w:ascii="宋体" w:hAnsi="宋体" w:cs="宋体"/>
                <w:kern w:val="0"/>
                <w:sz w:val="24"/>
              </w:rPr>
            </w:pPr>
            <w:r>
              <w:rPr>
                <w:rFonts w:hint="eastAsia" w:ascii="宋体" w:hAnsi="宋体" w:cs="宋体"/>
                <w:kern w:val="0"/>
                <w:sz w:val="24"/>
              </w:rPr>
              <w:t>3000</w:t>
            </w:r>
          </w:p>
        </w:tc>
        <w:tc>
          <w:tcPr>
            <w:tcW w:w="851" w:type="dxa"/>
            <w:tcBorders>
              <w:top w:val="nil"/>
              <w:left w:val="nil"/>
              <w:bottom w:val="single" w:color="auto" w:sz="4" w:space="0"/>
              <w:right w:val="single" w:color="auto" w:sz="4" w:space="0"/>
            </w:tcBorders>
            <w:shd w:val="clear" w:color="000000" w:fill="FFFFFF"/>
            <w:vAlign w:val="center"/>
          </w:tcPr>
          <w:p w14:paraId="54472CAE">
            <w:pPr>
              <w:widowControl/>
              <w:jc w:val="center"/>
              <w:rPr>
                <w:rFonts w:hint="eastAsia" w:ascii="宋体" w:hAnsi="宋体" w:cs="宋体"/>
                <w:color w:val="000000"/>
                <w:kern w:val="0"/>
                <w:sz w:val="24"/>
              </w:rPr>
            </w:pPr>
            <w:r>
              <w:rPr>
                <w:rFonts w:hint="eastAsia" w:ascii="宋体" w:hAnsi="宋体" w:cs="宋体"/>
                <w:color w:val="000000"/>
                <w:kern w:val="0"/>
                <w:sz w:val="24"/>
              </w:rPr>
              <w:t>是</w:t>
            </w:r>
          </w:p>
        </w:tc>
        <w:tc>
          <w:tcPr>
            <w:tcW w:w="952" w:type="dxa"/>
            <w:tcBorders>
              <w:top w:val="nil"/>
              <w:left w:val="nil"/>
              <w:bottom w:val="single" w:color="auto" w:sz="4" w:space="0"/>
              <w:right w:val="single" w:color="auto" w:sz="4" w:space="0"/>
            </w:tcBorders>
            <w:shd w:val="clear" w:color="000000" w:fill="FFFFFF"/>
            <w:vAlign w:val="center"/>
          </w:tcPr>
          <w:p w14:paraId="4989E60D">
            <w:pPr>
              <w:widowControl/>
              <w:jc w:val="center"/>
              <w:rPr>
                <w:rFonts w:hint="eastAsia" w:ascii="宋体" w:hAnsi="宋体" w:cs="宋体"/>
                <w:color w:val="000000"/>
                <w:kern w:val="0"/>
                <w:sz w:val="24"/>
              </w:rPr>
            </w:pPr>
            <w:r>
              <w:rPr>
                <w:rFonts w:hint="eastAsia" w:ascii="宋体" w:hAnsi="宋体" w:cs="宋体"/>
                <w:color w:val="000000"/>
                <w:kern w:val="0"/>
                <w:sz w:val="24"/>
              </w:rPr>
              <w:t>否</w:t>
            </w:r>
          </w:p>
        </w:tc>
      </w:tr>
      <w:tr w14:paraId="1764856A">
        <w:tblPrEx>
          <w:tblCellMar>
            <w:top w:w="0" w:type="dxa"/>
            <w:left w:w="108" w:type="dxa"/>
            <w:bottom w:w="0" w:type="dxa"/>
            <w:right w:w="108" w:type="dxa"/>
          </w:tblCellMar>
        </w:tblPrEx>
        <w:trPr>
          <w:trHeight w:val="576" w:hRule="atLeast"/>
        </w:trPr>
        <w:tc>
          <w:tcPr>
            <w:tcW w:w="704" w:type="dxa"/>
            <w:tcBorders>
              <w:top w:val="nil"/>
              <w:left w:val="single" w:color="auto" w:sz="4" w:space="0"/>
              <w:bottom w:val="single" w:color="auto" w:sz="4" w:space="0"/>
              <w:right w:val="single" w:color="auto" w:sz="4" w:space="0"/>
            </w:tcBorders>
            <w:shd w:val="clear" w:color="000000" w:fill="FFFFFF"/>
            <w:vAlign w:val="center"/>
          </w:tcPr>
          <w:p w14:paraId="4ADD9574">
            <w:pPr>
              <w:widowControl/>
              <w:jc w:val="center"/>
              <w:rPr>
                <w:rFonts w:hint="eastAsia" w:ascii="宋体" w:hAnsi="宋体" w:cs="宋体"/>
                <w:kern w:val="0"/>
                <w:sz w:val="24"/>
              </w:rPr>
            </w:pPr>
            <w:r>
              <w:rPr>
                <w:rFonts w:hint="eastAsia" w:ascii="宋体" w:hAnsi="宋体" w:cs="宋体"/>
                <w:kern w:val="0"/>
                <w:sz w:val="24"/>
              </w:rPr>
              <w:t>43</w:t>
            </w:r>
          </w:p>
        </w:tc>
        <w:tc>
          <w:tcPr>
            <w:tcW w:w="2851" w:type="dxa"/>
            <w:tcBorders>
              <w:top w:val="nil"/>
              <w:left w:val="nil"/>
              <w:bottom w:val="single" w:color="auto" w:sz="4" w:space="0"/>
              <w:right w:val="single" w:color="auto" w:sz="4" w:space="0"/>
            </w:tcBorders>
            <w:shd w:val="clear" w:color="000000" w:fill="FFFFFF"/>
            <w:vAlign w:val="center"/>
          </w:tcPr>
          <w:p w14:paraId="31BB68BF">
            <w:pPr>
              <w:jc w:val="center"/>
              <w:rPr>
                <w:rFonts w:hint="eastAsia" w:ascii="宋体" w:hAnsi="宋体" w:cs="宋体"/>
                <w:sz w:val="24"/>
              </w:rPr>
            </w:pPr>
            <w:r>
              <w:rPr>
                <w:rFonts w:hint="eastAsia" w:ascii="宋体" w:hAnsi="宋体" w:cs="宋体"/>
                <w:sz w:val="24"/>
              </w:rPr>
              <w:t>鳞状上皮细胞癌抗原定标液</w:t>
            </w:r>
          </w:p>
        </w:tc>
        <w:tc>
          <w:tcPr>
            <w:tcW w:w="1276" w:type="dxa"/>
            <w:tcBorders>
              <w:top w:val="nil"/>
              <w:left w:val="nil"/>
              <w:bottom w:val="single" w:color="auto" w:sz="4" w:space="0"/>
              <w:right w:val="single" w:color="auto" w:sz="4" w:space="0"/>
            </w:tcBorders>
            <w:shd w:val="clear" w:color="000000" w:fill="FFFFFF"/>
            <w:vAlign w:val="center"/>
          </w:tcPr>
          <w:p w14:paraId="7DAE268C">
            <w:pPr>
              <w:widowControl/>
              <w:jc w:val="center"/>
              <w:rPr>
                <w:rFonts w:hint="eastAsia" w:ascii="宋体" w:hAnsi="宋体" w:cs="宋体"/>
                <w:kern w:val="0"/>
                <w:sz w:val="24"/>
              </w:rPr>
            </w:pPr>
            <w:r>
              <w:rPr>
                <w:rFonts w:hint="eastAsia" w:ascii="宋体" w:hAnsi="宋体" w:cs="宋体"/>
                <w:kern w:val="0"/>
                <w:sz w:val="24"/>
              </w:rPr>
              <w:t>425</w:t>
            </w:r>
          </w:p>
        </w:tc>
        <w:tc>
          <w:tcPr>
            <w:tcW w:w="992" w:type="dxa"/>
            <w:tcBorders>
              <w:top w:val="nil"/>
              <w:left w:val="nil"/>
              <w:bottom w:val="single" w:color="auto" w:sz="4" w:space="0"/>
              <w:right w:val="single" w:color="auto" w:sz="4" w:space="0"/>
            </w:tcBorders>
            <w:shd w:val="clear" w:color="000000" w:fill="FFFFFF"/>
            <w:vAlign w:val="center"/>
          </w:tcPr>
          <w:p w14:paraId="1D09CDC9">
            <w:pPr>
              <w:widowControl/>
              <w:jc w:val="center"/>
              <w:rPr>
                <w:rFonts w:hint="eastAsia" w:ascii="宋体" w:hAnsi="宋体" w:cs="宋体"/>
                <w:kern w:val="0"/>
                <w:sz w:val="24"/>
              </w:rPr>
            </w:pPr>
            <w:r>
              <w:rPr>
                <w:rFonts w:hint="eastAsia" w:ascii="宋体" w:hAnsi="宋体" w:cs="宋体"/>
                <w:kern w:val="0"/>
                <w:sz w:val="24"/>
              </w:rPr>
              <w:t>ml</w:t>
            </w:r>
          </w:p>
        </w:tc>
        <w:tc>
          <w:tcPr>
            <w:tcW w:w="992" w:type="dxa"/>
            <w:tcBorders>
              <w:top w:val="nil"/>
              <w:left w:val="nil"/>
              <w:bottom w:val="single" w:color="auto" w:sz="4" w:space="0"/>
              <w:right w:val="single" w:color="auto" w:sz="4" w:space="0"/>
            </w:tcBorders>
            <w:shd w:val="clear" w:color="000000" w:fill="FFFFFF"/>
            <w:noWrap/>
            <w:vAlign w:val="center"/>
          </w:tcPr>
          <w:p w14:paraId="1C28547D">
            <w:pPr>
              <w:widowControl/>
              <w:jc w:val="center"/>
              <w:rPr>
                <w:rFonts w:hint="eastAsia" w:ascii="宋体" w:hAnsi="宋体" w:cs="宋体"/>
                <w:kern w:val="0"/>
                <w:sz w:val="24"/>
              </w:rPr>
            </w:pPr>
            <w:r>
              <w:rPr>
                <w:rFonts w:hint="eastAsia" w:ascii="宋体" w:hAnsi="宋体" w:cs="宋体"/>
                <w:kern w:val="0"/>
                <w:sz w:val="24"/>
              </w:rPr>
              <w:t>4</w:t>
            </w:r>
          </w:p>
        </w:tc>
        <w:tc>
          <w:tcPr>
            <w:tcW w:w="851" w:type="dxa"/>
            <w:tcBorders>
              <w:top w:val="nil"/>
              <w:left w:val="nil"/>
              <w:bottom w:val="single" w:color="auto" w:sz="4" w:space="0"/>
              <w:right w:val="single" w:color="auto" w:sz="4" w:space="0"/>
            </w:tcBorders>
            <w:shd w:val="clear" w:color="000000" w:fill="FFFFFF"/>
            <w:vAlign w:val="center"/>
          </w:tcPr>
          <w:p w14:paraId="523E094A">
            <w:pPr>
              <w:widowControl/>
              <w:jc w:val="center"/>
              <w:rPr>
                <w:rFonts w:hint="eastAsia" w:ascii="宋体" w:hAnsi="宋体" w:cs="宋体"/>
                <w:color w:val="000000"/>
                <w:kern w:val="0"/>
                <w:sz w:val="24"/>
              </w:rPr>
            </w:pPr>
            <w:r>
              <w:rPr>
                <w:rFonts w:hint="eastAsia" w:ascii="宋体" w:hAnsi="宋体" w:cs="宋体"/>
                <w:color w:val="000000"/>
                <w:kern w:val="0"/>
                <w:sz w:val="24"/>
              </w:rPr>
              <w:t>是</w:t>
            </w:r>
          </w:p>
        </w:tc>
        <w:tc>
          <w:tcPr>
            <w:tcW w:w="952" w:type="dxa"/>
            <w:tcBorders>
              <w:top w:val="nil"/>
              <w:left w:val="nil"/>
              <w:bottom w:val="single" w:color="auto" w:sz="4" w:space="0"/>
              <w:right w:val="single" w:color="auto" w:sz="4" w:space="0"/>
            </w:tcBorders>
            <w:shd w:val="clear" w:color="000000" w:fill="FFFFFF"/>
            <w:vAlign w:val="center"/>
          </w:tcPr>
          <w:p w14:paraId="30F73978">
            <w:pPr>
              <w:widowControl/>
              <w:jc w:val="center"/>
              <w:rPr>
                <w:rFonts w:hint="eastAsia" w:ascii="宋体" w:hAnsi="宋体" w:cs="宋体"/>
                <w:color w:val="000000"/>
                <w:kern w:val="0"/>
                <w:sz w:val="24"/>
              </w:rPr>
            </w:pPr>
            <w:r>
              <w:rPr>
                <w:rFonts w:hint="eastAsia" w:ascii="宋体" w:hAnsi="宋体" w:cs="宋体"/>
                <w:color w:val="000000"/>
                <w:kern w:val="0"/>
                <w:sz w:val="24"/>
              </w:rPr>
              <w:t>否</w:t>
            </w:r>
          </w:p>
        </w:tc>
      </w:tr>
      <w:tr w14:paraId="2A5A57C8">
        <w:tblPrEx>
          <w:tblCellMar>
            <w:top w:w="0" w:type="dxa"/>
            <w:left w:w="108" w:type="dxa"/>
            <w:bottom w:w="0" w:type="dxa"/>
            <w:right w:w="108" w:type="dxa"/>
          </w:tblCellMar>
        </w:tblPrEx>
        <w:trPr>
          <w:trHeight w:val="576" w:hRule="atLeast"/>
        </w:trPr>
        <w:tc>
          <w:tcPr>
            <w:tcW w:w="704" w:type="dxa"/>
            <w:tcBorders>
              <w:top w:val="nil"/>
              <w:left w:val="single" w:color="auto" w:sz="4" w:space="0"/>
              <w:bottom w:val="single" w:color="auto" w:sz="4" w:space="0"/>
              <w:right w:val="single" w:color="auto" w:sz="4" w:space="0"/>
            </w:tcBorders>
            <w:shd w:val="clear" w:color="000000" w:fill="FFFFFF"/>
            <w:vAlign w:val="center"/>
          </w:tcPr>
          <w:p w14:paraId="065EFEAA">
            <w:pPr>
              <w:widowControl/>
              <w:jc w:val="center"/>
              <w:rPr>
                <w:rFonts w:hint="eastAsia" w:ascii="宋体" w:hAnsi="宋体" w:cs="宋体"/>
                <w:kern w:val="0"/>
                <w:sz w:val="24"/>
              </w:rPr>
            </w:pPr>
            <w:r>
              <w:rPr>
                <w:rFonts w:hint="eastAsia" w:ascii="宋体" w:hAnsi="宋体" w:cs="宋体"/>
                <w:kern w:val="0"/>
                <w:sz w:val="24"/>
              </w:rPr>
              <w:t>44</w:t>
            </w:r>
          </w:p>
        </w:tc>
        <w:tc>
          <w:tcPr>
            <w:tcW w:w="2851" w:type="dxa"/>
            <w:tcBorders>
              <w:top w:val="nil"/>
              <w:left w:val="nil"/>
              <w:bottom w:val="single" w:color="auto" w:sz="4" w:space="0"/>
              <w:right w:val="single" w:color="auto" w:sz="4" w:space="0"/>
            </w:tcBorders>
            <w:shd w:val="clear" w:color="000000" w:fill="FFFFFF"/>
            <w:vAlign w:val="center"/>
          </w:tcPr>
          <w:p w14:paraId="055C7A5B">
            <w:pPr>
              <w:jc w:val="center"/>
              <w:rPr>
                <w:rFonts w:hint="eastAsia" w:ascii="宋体" w:hAnsi="宋体" w:cs="宋体"/>
                <w:sz w:val="24"/>
              </w:rPr>
            </w:pPr>
            <w:r>
              <w:rPr>
                <w:rFonts w:hint="eastAsia" w:ascii="宋体" w:hAnsi="宋体" w:cs="宋体"/>
                <w:sz w:val="24"/>
              </w:rPr>
              <w:t>鳞状上皮细胞癌抗原检测试剂盒</w:t>
            </w:r>
          </w:p>
        </w:tc>
        <w:tc>
          <w:tcPr>
            <w:tcW w:w="1276" w:type="dxa"/>
            <w:tcBorders>
              <w:top w:val="nil"/>
              <w:left w:val="nil"/>
              <w:bottom w:val="single" w:color="auto" w:sz="4" w:space="0"/>
              <w:right w:val="single" w:color="auto" w:sz="4" w:space="0"/>
            </w:tcBorders>
            <w:shd w:val="clear" w:color="000000" w:fill="FFFFFF"/>
            <w:vAlign w:val="center"/>
          </w:tcPr>
          <w:p w14:paraId="47CEAA2F">
            <w:pPr>
              <w:widowControl/>
              <w:jc w:val="center"/>
              <w:rPr>
                <w:rFonts w:hint="eastAsia" w:ascii="宋体" w:hAnsi="宋体" w:cs="宋体"/>
                <w:kern w:val="0"/>
                <w:sz w:val="24"/>
              </w:rPr>
            </w:pPr>
            <w:r>
              <w:rPr>
                <w:rFonts w:hint="eastAsia" w:ascii="宋体" w:hAnsi="宋体" w:cs="宋体"/>
                <w:kern w:val="0"/>
                <w:sz w:val="24"/>
              </w:rPr>
              <w:t>21.46</w:t>
            </w:r>
          </w:p>
        </w:tc>
        <w:tc>
          <w:tcPr>
            <w:tcW w:w="992" w:type="dxa"/>
            <w:tcBorders>
              <w:top w:val="nil"/>
              <w:left w:val="nil"/>
              <w:bottom w:val="single" w:color="auto" w:sz="4" w:space="0"/>
              <w:right w:val="single" w:color="auto" w:sz="4" w:space="0"/>
            </w:tcBorders>
            <w:shd w:val="clear" w:color="000000" w:fill="FFFFFF"/>
            <w:vAlign w:val="center"/>
          </w:tcPr>
          <w:p w14:paraId="5E639E98">
            <w:pPr>
              <w:widowControl/>
              <w:jc w:val="center"/>
              <w:rPr>
                <w:rFonts w:hint="eastAsia" w:ascii="宋体" w:hAnsi="宋体" w:cs="宋体"/>
                <w:kern w:val="0"/>
                <w:sz w:val="24"/>
              </w:rPr>
            </w:pPr>
            <w:r>
              <w:rPr>
                <w:rFonts w:hint="eastAsia" w:ascii="宋体" w:hAnsi="宋体" w:cs="宋体"/>
                <w:kern w:val="0"/>
                <w:sz w:val="24"/>
              </w:rPr>
              <w:t>人份</w:t>
            </w:r>
          </w:p>
        </w:tc>
        <w:tc>
          <w:tcPr>
            <w:tcW w:w="992" w:type="dxa"/>
            <w:tcBorders>
              <w:top w:val="nil"/>
              <w:left w:val="nil"/>
              <w:bottom w:val="single" w:color="auto" w:sz="4" w:space="0"/>
              <w:right w:val="single" w:color="auto" w:sz="4" w:space="0"/>
            </w:tcBorders>
            <w:shd w:val="clear" w:color="000000" w:fill="FFFFFF"/>
            <w:noWrap/>
            <w:vAlign w:val="center"/>
          </w:tcPr>
          <w:p w14:paraId="2EC81F09">
            <w:pPr>
              <w:widowControl/>
              <w:jc w:val="center"/>
              <w:rPr>
                <w:rFonts w:hint="eastAsia" w:ascii="宋体" w:hAnsi="宋体" w:cs="宋体"/>
                <w:kern w:val="0"/>
                <w:sz w:val="24"/>
              </w:rPr>
            </w:pPr>
            <w:r>
              <w:rPr>
                <w:rFonts w:hint="eastAsia" w:ascii="宋体" w:hAnsi="宋体" w:cs="宋体"/>
                <w:kern w:val="0"/>
                <w:sz w:val="24"/>
              </w:rPr>
              <w:t>3500</w:t>
            </w:r>
          </w:p>
        </w:tc>
        <w:tc>
          <w:tcPr>
            <w:tcW w:w="851" w:type="dxa"/>
            <w:tcBorders>
              <w:top w:val="nil"/>
              <w:left w:val="nil"/>
              <w:bottom w:val="single" w:color="auto" w:sz="4" w:space="0"/>
              <w:right w:val="single" w:color="auto" w:sz="4" w:space="0"/>
            </w:tcBorders>
            <w:shd w:val="clear" w:color="000000" w:fill="FFFFFF"/>
            <w:vAlign w:val="center"/>
          </w:tcPr>
          <w:p w14:paraId="4E5B72BC">
            <w:pPr>
              <w:widowControl/>
              <w:jc w:val="center"/>
              <w:rPr>
                <w:rFonts w:hint="eastAsia" w:ascii="宋体" w:hAnsi="宋体" w:cs="宋体"/>
                <w:color w:val="000000"/>
                <w:kern w:val="0"/>
                <w:sz w:val="24"/>
              </w:rPr>
            </w:pPr>
            <w:r>
              <w:rPr>
                <w:rFonts w:hint="eastAsia" w:ascii="宋体" w:hAnsi="宋体" w:cs="宋体"/>
                <w:color w:val="000000"/>
                <w:kern w:val="0"/>
                <w:sz w:val="24"/>
              </w:rPr>
              <w:t>是</w:t>
            </w:r>
          </w:p>
        </w:tc>
        <w:tc>
          <w:tcPr>
            <w:tcW w:w="952" w:type="dxa"/>
            <w:tcBorders>
              <w:top w:val="nil"/>
              <w:left w:val="nil"/>
              <w:bottom w:val="single" w:color="auto" w:sz="4" w:space="0"/>
              <w:right w:val="single" w:color="auto" w:sz="4" w:space="0"/>
            </w:tcBorders>
            <w:shd w:val="clear" w:color="000000" w:fill="FFFFFF"/>
            <w:vAlign w:val="center"/>
          </w:tcPr>
          <w:p w14:paraId="254D87AA">
            <w:pPr>
              <w:widowControl/>
              <w:jc w:val="center"/>
              <w:rPr>
                <w:rFonts w:hint="eastAsia" w:ascii="宋体" w:hAnsi="宋体" w:cs="宋体"/>
                <w:color w:val="000000"/>
                <w:kern w:val="0"/>
                <w:sz w:val="24"/>
              </w:rPr>
            </w:pPr>
            <w:r>
              <w:rPr>
                <w:rFonts w:hint="eastAsia" w:ascii="宋体" w:hAnsi="宋体" w:cs="宋体"/>
                <w:color w:val="000000"/>
                <w:kern w:val="0"/>
                <w:sz w:val="24"/>
              </w:rPr>
              <w:t>否</w:t>
            </w:r>
          </w:p>
        </w:tc>
      </w:tr>
      <w:tr w14:paraId="11DCAB0C">
        <w:tblPrEx>
          <w:tblCellMar>
            <w:top w:w="0" w:type="dxa"/>
            <w:left w:w="108" w:type="dxa"/>
            <w:bottom w:w="0" w:type="dxa"/>
            <w:right w:w="108" w:type="dxa"/>
          </w:tblCellMar>
        </w:tblPrEx>
        <w:trPr>
          <w:trHeight w:val="288" w:hRule="atLeast"/>
        </w:trPr>
        <w:tc>
          <w:tcPr>
            <w:tcW w:w="704" w:type="dxa"/>
            <w:tcBorders>
              <w:top w:val="nil"/>
              <w:left w:val="single" w:color="auto" w:sz="4" w:space="0"/>
              <w:bottom w:val="single" w:color="auto" w:sz="4" w:space="0"/>
              <w:right w:val="single" w:color="auto" w:sz="4" w:space="0"/>
            </w:tcBorders>
            <w:shd w:val="clear" w:color="000000" w:fill="FFFFFF"/>
            <w:vAlign w:val="center"/>
          </w:tcPr>
          <w:p w14:paraId="66E65105">
            <w:pPr>
              <w:widowControl/>
              <w:jc w:val="center"/>
              <w:rPr>
                <w:rFonts w:hint="eastAsia" w:ascii="宋体" w:hAnsi="宋体" w:cs="宋体"/>
                <w:kern w:val="0"/>
                <w:sz w:val="24"/>
              </w:rPr>
            </w:pPr>
            <w:r>
              <w:rPr>
                <w:rFonts w:hint="eastAsia" w:ascii="宋体" w:hAnsi="宋体" w:cs="宋体"/>
                <w:kern w:val="0"/>
                <w:sz w:val="24"/>
              </w:rPr>
              <w:t>45</w:t>
            </w:r>
          </w:p>
        </w:tc>
        <w:tc>
          <w:tcPr>
            <w:tcW w:w="2851" w:type="dxa"/>
            <w:tcBorders>
              <w:top w:val="nil"/>
              <w:left w:val="nil"/>
              <w:bottom w:val="single" w:color="auto" w:sz="4" w:space="0"/>
              <w:right w:val="single" w:color="auto" w:sz="4" w:space="0"/>
            </w:tcBorders>
            <w:shd w:val="clear" w:color="000000" w:fill="FFFFFF"/>
            <w:vAlign w:val="center"/>
          </w:tcPr>
          <w:p w14:paraId="2CBF23F4">
            <w:pPr>
              <w:jc w:val="center"/>
              <w:rPr>
                <w:rFonts w:hint="eastAsia" w:ascii="宋体" w:hAnsi="宋体" w:cs="宋体"/>
                <w:sz w:val="24"/>
              </w:rPr>
            </w:pPr>
            <w:r>
              <w:rPr>
                <w:rFonts w:hint="eastAsia" w:ascii="宋体" w:hAnsi="宋体" w:cs="宋体"/>
                <w:sz w:val="24"/>
              </w:rPr>
              <w:t>卵泡刺激素定标液</w:t>
            </w:r>
          </w:p>
        </w:tc>
        <w:tc>
          <w:tcPr>
            <w:tcW w:w="1276" w:type="dxa"/>
            <w:tcBorders>
              <w:top w:val="nil"/>
              <w:left w:val="nil"/>
              <w:bottom w:val="single" w:color="auto" w:sz="4" w:space="0"/>
              <w:right w:val="single" w:color="auto" w:sz="4" w:space="0"/>
            </w:tcBorders>
            <w:shd w:val="clear" w:color="000000" w:fill="FFFFFF"/>
            <w:vAlign w:val="center"/>
          </w:tcPr>
          <w:p w14:paraId="3BD31A23">
            <w:pPr>
              <w:widowControl/>
              <w:jc w:val="center"/>
              <w:rPr>
                <w:rFonts w:hint="eastAsia" w:ascii="宋体" w:hAnsi="宋体" w:cs="宋体"/>
                <w:kern w:val="0"/>
                <w:sz w:val="24"/>
              </w:rPr>
            </w:pPr>
            <w:r>
              <w:rPr>
                <w:rFonts w:hint="eastAsia" w:ascii="宋体" w:hAnsi="宋体" w:cs="宋体"/>
                <w:kern w:val="0"/>
                <w:sz w:val="24"/>
              </w:rPr>
              <w:t>387.5</w:t>
            </w:r>
          </w:p>
        </w:tc>
        <w:tc>
          <w:tcPr>
            <w:tcW w:w="992" w:type="dxa"/>
            <w:tcBorders>
              <w:top w:val="nil"/>
              <w:left w:val="nil"/>
              <w:bottom w:val="single" w:color="auto" w:sz="4" w:space="0"/>
              <w:right w:val="single" w:color="auto" w:sz="4" w:space="0"/>
            </w:tcBorders>
            <w:shd w:val="clear" w:color="000000" w:fill="FFFFFF"/>
            <w:vAlign w:val="center"/>
          </w:tcPr>
          <w:p w14:paraId="2C9E8A08">
            <w:pPr>
              <w:widowControl/>
              <w:jc w:val="center"/>
              <w:rPr>
                <w:rFonts w:hint="eastAsia" w:ascii="宋体" w:hAnsi="宋体" w:cs="宋体"/>
                <w:kern w:val="0"/>
                <w:sz w:val="24"/>
              </w:rPr>
            </w:pPr>
            <w:r>
              <w:rPr>
                <w:rFonts w:hint="eastAsia" w:ascii="宋体" w:hAnsi="宋体" w:cs="宋体"/>
                <w:kern w:val="0"/>
                <w:sz w:val="24"/>
              </w:rPr>
              <w:t>ml</w:t>
            </w:r>
          </w:p>
        </w:tc>
        <w:tc>
          <w:tcPr>
            <w:tcW w:w="992" w:type="dxa"/>
            <w:tcBorders>
              <w:top w:val="nil"/>
              <w:left w:val="nil"/>
              <w:bottom w:val="single" w:color="auto" w:sz="4" w:space="0"/>
              <w:right w:val="single" w:color="auto" w:sz="4" w:space="0"/>
            </w:tcBorders>
            <w:shd w:val="clear" w:color="000000" w:fill="FFFFFF"/>
            <w:noWrap/>
            <w:vAlign w:val="center"/>
          </w:tcPr>
          <w:p w14:paraId="59221C29">
            <w:pPr>
              <w:widowControl/>
              <w:jc w:val="center"/>
              <w:rPr>
                <w:rFonts w:hint="eastAsia" w:ascii="宋体" w:hAnsi="宋体" w:cs="宋体"/>
                <w:kern w:val="0"/>
                <w:sz w:val="24"/>
              </w:rPr>
            </w:pPr>
            <w:r>
              <w:rPr>
                <w:rFonts w:hint="eastAsia" w:ascii="宋体" w:hAnsi="宋体" w:cs="宋体"/>
                <w:kern w:val="0"/>
                <w:sz w:val="24"/>
              </w:rPr>
              <w:t>4</w:t>
            </w:r>
          </w:p>
        </w:tc>
        <w:tc>
          <w:tcPr>
            <w:tcW w:w="851" w:type="dxa"/>
            <w:tcBorders>
              <w:top w:val="nil"/>
              <w:left w:val="nil"/>
              <w:bottom w:val="single" w:color="auto" w:sz="4" w:space="0"/>
              <w:right w:val="single" w:color="auto" w:sz="4" w:space="0"/>
            </w:tcBorders>
            <w:shd w:val="clear" w:color="000000" w:fill="FFFFFF"/>
            <w:vAlign w:val="center"/>
          </w:tcPr>
          <w:p w14:paraId="0C9F4723">
            <w:pPr>
              <w:widowControl/>
              <w:jc w:val="center"/>
              <w:rPr>
                <w:rFonts w:hint="eastAsia" w:ascii="宋体" w:hAnsi="宋体" w:cs="宋体"/>
                <w:color w:val="000000"/>
                <w:kern w:val="0"/>
                <w:sz w:val="24"/>
              </w:rPr>
            </w:pPr>
            <w:r>
              <w:rPr>
                <w:rFonts w:hint="eastAsia" w:ascii="宋体" w:hAnsi="宋体" w:cs="宋体"/>
                <w:color w:val="000000"/>
                <w:kern w:val="0"/>
                <w:sz w:val="24"/>
              </w:rPr>
              <w:t>是</w:t>
            </w:r>
          </w:p>
        </w:tc>
        <w:tc>
          <w:tcPr>
            <w:tcW w:w="952" w:type="dxa"/>
            <w:tcBorders>
              <w:top w:val="nil"/>
              <w:left w:val="nil"/>
              <w:bottom w:val="single" w:color="auto" w:sz="4" w:space="0"/>
              <w:right w:val="single" w:color="auto" w:sz="4" w:space="0"/>
            </w:tcBorders>
            <w:shd w:val="clear" w:color="000000" w:fill="FFFFFF"/>
            <w:vAlign w:val="center"/>
          </w:tcPr>
          <w:p w14:paraId="5578AEF4">
            <w:pPr>
              <w:widowControl/>
              <w:jc w:val="center"/>
              <w:rPr>
                <w:rFonts w:hint="eastAsia" w:ascii="宋体" w:hAnsi="宋体" w:cs="宋体"/>
                <w:color w:val="000000"/>
                <w:kern w:val="0"/>
                <w:sz w:val="24"/>
              </w:rPr>
            </w:pPr>
            <w:r>
              <w:rPr>
                <w:rFonts w:hint="eastAsia" w:ascii="宋体" w:hAnsi="宋体" w:cs="宋体"/>
                <w:color w:val="000000"/>
                <w:kern w:val="0"/>
                <w:sz w:val="24"/>
              </w:rPr>
              <w:t>否</w:t>
            </w:r>
          </w:p>
        </w:tc>
      </w:tr>
      <w:tr w14:paraId="5A67752A">
        <w:tblPrEx>
          <w:tblCellMar>
            <w:top w:w="0" w:type="dxa"/>
            <w:left w:w="108" w:type="dxa"/>
            <w:bottom w:w="0" w:type="dxa"/>
            <w:right w:w="108" w:type="dxa"/>
          </w:tblCellMar>
        </w:tblPrEx>
        <w:trPr>
          <w:trHeight w:val="576" w:hRule="atLeast"/>
        </w:trPr>
        <w:tc>
          <w:tcPr>
            <w:tcW w:w="704" w:type="dxa"/>
            <w:tcBorders>
              <w:top w:val="nil"/>
              <w:left w:val="single" w:color="auto" w:sz="4" w:space="0"/>
              <w:bottom w:val="single" w:color="auto" w:sz="4" w:space="0"/>
              <w:right w:val="single" w:color="auto" w:sz="4" w:space="0"/>
            </w:tcBorders>
            <w:shd w:val="clear" w:color="000000" w:fill="FFFFFF"/>
            <w:vAlign w:val="center"/>
          </w:tcPr>
          <w:p w14:paraId="599AAE1F">
            <w:pPr>
              <w:widowControl/>
              <w:jc w:val="center"/>
              <w:rPr>
                <w:rFonts w:hint="eastAsia" w:ascii="宋体" w:hAnsi="宋体" w:cs="宋体"/>
                <w:kern w:val="0"/>
                <w:sz w:val="24"/>
              </w:rPr>
            </w:pPr>
            <w:r>
              <w:rPr>
                <w:rFonts w:hint="eastAsia" w:ascii="宋体" w:hAnsi="宋体" w:cs="宋体"/>
                <w:kern w:val="0"/>
                <w:sz w:val="24"/>
              </w:rPr>
              <w:t>46</w:t>
            </w:r>
          </w:p>
        </w:tc>
        <w:tc>
          <w:tcPr>
            <w:tcW w:w="2851" w:type="dxa"/>
            <w:tcBorders>
              <w:top w:val="nil"/>
              <w:left w:val="nil"/>
              <w:bottom w:val="single" w:color="auto" w:sz="4" w:space="0"/>
              <w:right w:val="single" w:color="auto" w:sz="4" w:space="0"/>
            </w:tcBorders>
            <w:shd w:val="clear" w:color="000000" w:fill="FFFFFF"/>
            <w:vAlign w:val="center"/>
          </w:tcPr>
          <w:p w14:paraId="1E16AF09">
            <w:pPr>
              <w:jc w:val="center"/>
              <w:rPr>
                <w:rFonts w:hint="eastAsia" w:ascii="宋体" w:hAnsi="宋体" w:cs="宋体"/>
                <w:sz w:val="24"/>
              </w:rPr>
            </w:pPr>
            <w:r>
              <w:rPr>
                <w:rFonts w:hint="eastAsia" w:ascii="宋体" w:hAnsi="宋体" w:cs="宋体"/>
                <w:sz w:val="24"/>
              </w:rPr>
              <w:t>梅毒螺旋体抗体检测试剂盒</w:t>
            </w:r>
          </w:p>
        </w:tc>
        <w:tc>
          <w:tcPr>
            <w:tcW w:w="1276" w:type="dxa"/>
            <w:tcBorders>
              <w:top w:val="nil"/>
              <w:left w:val="nil"/>
              <w:bottom w:val="single" w:color="auto" w:sz="4" w:space="0"/>
              <w:right w:val="single" w:color="auto" w:sz="4" w:space="0"/>
            </w:tcBorders>
            <w:shd w:val="clear" w:color="000000" w:fill="FFFFFF"/>
            <w:vAlign w:val="center"/>
          </w:tcPr>
          <w:p w14:paraId="6745A297">
            <w:pPr>
              <w:widowControl/>
              <w:jc w:val="center"/>
              <w:rPr>
                <w:rFonts w:hint="eastAsia" w:ascii="宋体" w:hAnsi="宋体" w:cs="宋体"/>
                <w:kern w:val="0"/>
                <w:sz w:val="24"/>
              </w:rPr>
            </w:pPr>
            <w:r>
              <w:rPr>
                <w:rFonts w:hint="eastAsia" w:ascii="宋体" w:hAnsi="宋体" w:cs="宋体"/>
                <w:kern w:val="0"/>
                <w:sz w:val="24"/>
              </w:rPr>
              <w:t>16.5</w:t>
            </w:r>
          </w:p>
        </w:tc>
        <w:tc>
          <w:tcPr>
            <w:tcW w:w="992" w:type="dxa"/>
            <w:tcBorders>
              <w:top w:val="nil"/>
              <w:left w:val="nil"/>
              <w:bottom w:val="single" w:color="auto" w:sz="4" w:space="0"/>
              <w:right w:val="single" w:color="auto" w:sz="4" w:space="0"/>
            </w:tcBorders>
            <w:shd w:val="clear" w:color="000000" w:fill="FFFFFF"/>
            <w:vAlign w:val="center"/>
          </w:tcPr>
          <w:p w14:paraId="757B6F24">
            <w:pPr>
              <w:widowControl/>
              <w:jc w:val="center"/>
              <w:rPr>
                <w:rFonts w:hint="eastAsia" w:ascii="宋体" w:hAnsi="宋体" w:cs="宋体"/>
                <w:kern w:val="0"/>
                <w:sz w:val="24"/>
              </w:rPr>
            </w:pPr>
            <w:r>
              <w:rPr>
                <w:rFonts w:hint="eastAsia" w:ascii="宋体" w:hAnsi="宋体" w:cs="宋体"/>
                <w:kern w:val="0"/>
                <w:sz w:val="24"/>
              </w:rPr>
              <w:t>人份</w:t>
            </w:r>
          </w:p>
        </w:tc>
        <w:tc>
          <w:tcPr>
            <w:tcW w:w="992" w:type="dxa"/>
            <w:tcBorders>
              <w:top w:val="nil"/>
              <w:left w:val="nil"/>
              <w:bottom w:val="single" w:color="auto" w:sz="4" w:space="0"/>
              <w:right w:val="single" w:color="auto" w:sz="4" w:space="0"/>
            </w:tcBorders>
            <w:shd w:val="clear" w:color="000000" w:fill="FFFFFF"/>
            <w:noWrap/>
            <w:vAlign w:val="center"/>
          </w:tcPr>
          <w:p w14:paraId="1B63B4B0">
            <w:pPr>
              <w:widowControl/>
              <w:jc w:val="center"/>
              <w:rPr>
                <w:rFonts w:hint="eastAsia" w:ascii="宋体" w:hAnsi="宋体" w:cs="宋体"/>
                <w:kern w:val="0"/>
                <w:sz w:val="24"/>
              </w:rPr>
            </w:pPr>
            <w:r>
              <w:rPr>
                <w:rFonts w:hint="eastAsia" w:ascii="宋体" w:hAnsi="宋体" w:cs="宋体"/>
                <w:kern w:val="0"/>
                <w:sz w:val="24"/>
              </w:rPr>
              <w:t>5700</w:t>
            </w:r>
          </w:p>
        </w:tc>
        <w:tc>
          <w:tcPr>
            <w:tcW w:w="851" w:type="dxa"/>
            <w:tcBorders>
              <w:top w:val="nil"/>
              <w:left w:val="nil"/>
              <w:bottom w:val="single" w:color="auto" w:sz="4" w:space="0"/>
              <w:right w:val="single" w:color="auto" w:sz="4" w:space="0"/>
            </w:tcBorders>
            <w:shd w:val="clear" w:color="000000" w:fill="FFFFFF"/>
            <w:vAlign w:val="center"/>
          </w:tcPr>
          <w:p w14:paraId="5B177A1C">
            <w:pPr>
              <w:widowControl/>
              <w:jc w:val="center"/>
              <w:rPr>
                <w:rFonts w:hint="eastAsia" w:ascii="宋体" w:hAnsi="宋体" w:cs="宋体"/>
                <w:color w:val="000000"/>
                <w:kern w:val="0"/>
                <w:sz w:val="24"/>
              </w:rPr>
            </w:pPr>
            <w:r>
              <w:rPr>
                <w:rFonts w:hint="eastAsia" w:ascii="宋体" w:hAnsi="宋体" w:cs="宋体"/>
                <w:color w:val="000000"/>
                <w:kern w:val="0"/>
                <w:sz w:val="24"/>
              </w:rPr>
              <w:t>是</w:t>
            </w:r>
          </w:p>
        </w:tc>
        <w:tc>
          <w:tcPr>
            <w:tcW w:w="952" w:type="dxa"/>
            <w:tcBorders>
              <w:top w:val="nil"/>
              <w:left w:val="nil"/>
              <w:bottom w:val="single" w:color="auto" w:sz="4" w:space="0"/>
              <w:right w:val="single" w:color="auto" w:sz="4" w:space="0"/>
            </w:tcBorders>
            <w:shd w:val="clear" w:color="000000" w:fill="FFFFFF"/>
            <w:vAlign w:val="center"/>
          </w:tcPr>
          <w:p w14:paraId="2EB46A86">
            <w:pPr>
              <w:widowControl/>
              <w:jc w:val="center"/>
              <w:rPr>
                <w:rFonts w:hint="eastAsia" w:ascii="宋体" w:hAnsi="宋体" w:cs="宋体"/>
                <w:color w:val="000000"/>
                <w:kern w:val="0"/>
                <w:sz w:val="24"/>
              </w:rPr>
            </w:pPr>
            <w:r>
              <w:rPr>
                <w:rFonts w:hint="eastAsia" w:ascii="宋体" w:hAnsi="宋体" w:cs="宋体"/>
                <w:color w:val="000000"/>
                <w:kern w:val="0"/>
                <w:sz w:val="24"/>
              </w:rPr>
              <w:t>否</w:t>
            </w:r>
          </w:p>
        </w:tc>
      </w:tr>
      <w:tr w14:paraId="1993EA0E">
        <w:tblPrEx>
          <w:tblCellMar>
            <w:top w:w="0" w:type="dxa"/>
            <w:left w:w="108" w:type="dxa"/>
            <w:bottom w:w="0" w:type="dxa"/>
            <w:right w:w="108" w:type="dxa"/>
          </w:tblCellMar>
        </w:tblPrEx>
        <w:trPr>
          <w:trHeight w:val="288" w:hRule="atLeast"/>
        </w:trPr>
        <w:tc>
          <w:tcPr>
            <w:tcW w:w="704" w:type="dxa"/>
            <w:tcBorders>
              <w:top w:val="nil"/>
              <w:left w:val="single" w:color="auto" w:sz="4" w:space="0"/>
              <w:bottom w:val="single" w:color="auto" w:sz="4" w:space="0"/>
              <w:right w:val="single" w:color="auto" w:sz="4" w:space="0"/>
            </w:tcBorders>
            <w:shd w:val="clear" w:color="000000" w:fill="FFFFFF"/>
            <w:vAlign w:val="center"/>
          </w:tcPr>
          <w:p w14:paraId="4E06A7F8">
            <w:pPr>
              <w:widowControl/>
              <w:jc w:val="center"/>
              <w:rPr>
                <w:rFonts w:hint="eastAsia" w:ascii="宋体" w:hAnsi="宋体" w:cs="宋体"/>
                <w:kern w:val="0"/>
                <w:sz w:val="24"/>
              </w:rPr>
            </w:pPr>
            <w:r>
              <w:rPr>
                <w:rFonts w:hint="eastAsia" w:ascii="宋体" w:hAnsi="宋体" w:cs="宋体"/>
                <w:kern w:val="0"/>
                <w:sz w:val="24"/>
              </w:rPr>
              <w:t>47</w:t>
            </w:r>
          </w:p>
        </w:tc>
        <w:tc>
          <w:tcPr>
            <w:tcW w:w="2851" w:type="dxa"/>
            <w:tcBorders>
              <w:top w:val="nil"/>
              <w:left w:val="nil"/>
              <w:bottom w:val="single" w:color="auto" w:sz="4" w:space="0"/>
              <w:right w:val="single" w:color="auto" w:sz="4" w:space="0"/>
            </w:tcBorders>
            <w:shd w:val="clear" w:color="000000" w:fill="FFFFFF"/>
            <w:vAlign w:val="center"/>
          </w:tcPr>
          <w:p w14:paraId="7066BB85">
            <w:pPr>
              <w:jc w:val="center"/>
              <w:rPr>
                <w:rFonts w:hint="eastAsia" w:ascii="宋体" w:hAnsi="宋体" w:cs="宋体"/>
                <w:sz w:val="24"/>
              </w:rPr>
            </w:pPr>
            <w:r>
              <w:rPr>
                <w:rFonts w:hint="eastAsia" w:ascii="宋体" w:hAnsi="宋体" w:cs="宋体"/>
                <w:sz w:val="24"/>
              </w:rPr>
              <w:t>梅毒螺旋体抗体质控品</w:t>
            </w:r>
          </w:p>
        </w:tc>
        <w:tc>
          <w:tcPr>
            <w:tcW w:w="1276" w:type="dxa"/>
            <w:tcBorders>
              <w:top w:val="nil"/>
              <w:left w:val="nil"/>
              <w:bottom w:val="single" w:color="auto" w:sz="4" w:space="0"/>
              <w:right w:val="single" w:color="auto" w:sz="4" w:space="0"/>
            </w:tcBorders>
            <w:shd w:val="clear" w:color="000000" w:fill="FFFFFF"/>
            <w:vAlign w:val="center"/>
          </w:tcPr>
          <w:p w14:paraId="3034C2C5">
            <w:pPr>
              <w:widowControl/>
              <w:jc w:val="center"/>
              <w:rPr>
                <w:rFonts w:hint="eastAsia" w:ascii="宋体" w:hAnsi="宋体" w:cs="宋体"/>
                <w:kern w:val="0"/>
                <w:sz w:val="24"/>
              </w:rPr>
            </w:pPr>
            <w:r>
              <w:rPr>
                <w:rFonts w:hint="eastAsia" w:ascii="宋体" w:hAnsi="宋体" w:cs="宋体"/>
                <w:kern w:val="0"/>
                <w:sz w:val="24"/>
              </w:rPr>
              <w:t>156.25</w:t>
            </w:r>
          </w:p>
        </w:tc>
        <w:tc>
          <w:tcPr>
            <w:tcW w:w="992" w:type="dxa"/>
            <w:tcBorders>
              <w:top w:val="nil"/>
              <w:left w:val="nil"/>
              <w:bottom w:val="single" w:color="auto" w:sz="4" w:space="0"/>
              <w:right w:val="single" w:color="auto" w:sz="4" w:space="0"/>
            </w:tcBorders>
            <w:shd w:val="clear" w:color="000000" w:fill="FFFFFF"/>
            <w:vAlign w:val="center"/>
          </w:tcPr>
          <w:p w14:paraId="7320D74E">
            <w:pPr>
              <w:widowControl/>
              <w:jc w:val="center"/>
              <w:rPr>
                <w:rFonts w:hint="eastAsia" w:ascii="宋体" w:hAnsi="宋体" w:cs="宋体"/>
                <w:kern w:val="0"/>
                <w:sz w:val="24"/>
              </w:rPr>
            </w:pPr>
            <w:r>
              <w:rPr>
                <w:rFonts w:hint="eastAsia" w:ascii="宋体" w:hAnsi="宋体" w:cs="宋体"/>
                <w:kern w:val="0"/>
                <w:sz w:val="24"/>
              </w:rPr>
              <w:t>ml</w:t>
            </w:r>
          </w:p>
        </w:tc>
        <w:tc>
          <w:tcPr>
            <w:tcW w:w="992" w:type="dxa"/>
            <w:tcBorders>
              <w:top w:val="nil"/>
              <w:left w:val="nil"/>
              <w:bottom w:val="single" w:color="auto" w:sz="4" w:space="0"/>
              <w:right w:val="single" w:color="auto" w:sz="4" w:space="0"/>
            </w:tcBorders>
            <w:shd w:val="clear" w:color="000000" w:fill="FFFFFF"/>
            <w:noWrap/>
            <w:vAlign w:val="center"/>
          </w:tcPr>
          <w:p w14:paraId="4DF0C013">
            <w:pPr>
              <w:widowControl/>
              <w:jc w:val="center"/>
              <w:rPr>
                <w:rFonts w:hint="eastAsia" w:ascii="宋体" w:hAnsi="宋体" w:cs="宋体"/>
                <w:kern w:val="0"/>
                <w:sz w:val="24"/>
              </w:rPr>
            </w:pPr>
            <w:r>
              <w:rPr>
                <w:rFonts w:hint="eastAsia" w:ascii="宋体" w:hAnsi="宋体" w:cs="宋体"/>
                <w:kern w:val="0"/>
                <w:sz w:val="24"/>
              </w:rPr>
              <w:t>56</w:t>
            </w:r>
          </w:p>
        </w:tc>
        <w:tc>
          <w:tcPr>
            <w:tcW w:w="851" w:type="dxa"/>
            <w:tcBorders>
              <w:top w:val="nil"/>
              <w:left w:val="nil"/>
              <w:bottom w:val="single" w:color="auto" w:sz="4" w:space="0"/>
              <w:right w:val="single" w:color="auto" w:sz="4" w:space="0"/>
            </w:tcBorders>
            <w:shd w:val="clear" w:color="000000" w:fill="FFFFFF"/>
            <w:vAlign w:val="center"/>
          </w:tcPr>
          <w:p w14:paraId="280572BE">
            <w:pPr>
              <w:widowControl/>
              <w:jc w:val="center"/>
              <w:rPr>
                <w:rFonts w:hint="eastAsia" w:ascii="宋体" w:hAnsi="宋体" w:cs="宋体"/>
                <w:color w:val="000000"/>
                <w:kern w:val="0"/>
                <w:sz w:val="24"/>
              </w:rPr>
            </w:pPr>
            <w:r>
              <w:rPr>
                <w:rFonts w:hint="eastAsia" w:ascii="宋体" w:hAnsi="宋体" w:cs="宋体"/>
                <w:color w:val="000000"/>
                <w:kern w:val="0"/>
                <w:sz w:val="24"/>
              </w:rPr>
              <w:t>是</w:t>
            </w:r>
          </w:p>
        </w:tc>
        <w:tc>
          <w:tcPr>
            <w:tcW w:w="952" w:type="dxa"/>
            <w:tcBorders>
              <w:top w:val="nil"/>
              <w:left w:val="nil"/>
              <w:bottom w:val="single" w:color="auto" w:sz="4" w:space="0"/>
              <w:right w:val="single" w:color="auto" w:sz="4" w:space="0"/>
            </w:tcBorders>
            <w:shd w:val="clear" w:color="000000" w:fill="FFFFFF"/>
            <w:vAlign w:val="center"/>
          </w:tcPr>
          <w:p w14:paraId="740FB4B1">
            <w:pPr>
              <w:widowControl/>
              <w:jc w:val="center"/>
              <w:rPr>
                <w:rFonts w:hint="eastAsia" w:ascii="宋体" w:hAnsi="宋体" w:cs="宋体"/>
                <w:color w:val="000000"/>
                <w:kern w:val="0"/>
                <w:sz w:val="24"/>
              </w:rPr>
            </w:pPr>
            <w:r>
              <w:rPr>
                <w:rFonts w:hint="eastAsia" w:ascii="宋体" w:hAnsi="宋体" w:cs="宋体"/>
                <w:color w:val="000000"/>
                <w:kern w:val="0"/>
                <w:sz w:val="24"/>
              </w:rPr>
              <w:t>否</w:t>
            </w:r>
          </w:p>
        </w:tc>
      </w:tr>
      <w:tr w14:paraId="30A961B1">
        <w:tblPrEx>
          <w:tblCellMar>
            <w:top w:w="0" w:type="dxa"/>
            <w:left w:w="108" w:type="dxa"/>
            <w:bottom w:w="0" w:type="dxa"/>
            <w:right w:w="108" w:type="dxa"/>
          </w:tblCellMar>
        </w:tblPrEx>
        <w:trPr>
          <w:trHeight w:val="288" w:hRule="atLeast"/>
        </w:trPr>
        <w:tc>
          <w:tcPr>
            <w:tcW w:w="704" w:type="dxa"/>
            <w:tcBorders>
              <w:top w:val="nil"/>
              <w:left w:val="single" w:color="auto" w:sz="4" w:space="0"/>
              <w:bottom w:val="single" w:color="auto" w:sz="4" w:space="0"/>
              <w:right w:val="single" w:color="auto" w:sz="4" w:space="0"/>
            </w:tcBorders>
            <w:shd w:val="clear" w:color="000000" w:fill="FFFFFF"/>
            <w:vAlign w:val="center"/>
          </w:tcPr>
          <w:p w14:paraId="5A86E962">
            <w:pPr>
              <w:widowControl/>
              <w:jc w:val="center"/>
              <w:rPr>
                <w:rFonts w:hint="eastAsia" w:ascii="宋体" w:hAnsi="宋体" w:cs="宋体"/>
                <w:kern w:val="0"/>
                <w:sz w:val="24"/>
              </w:rPr>
            </w:pPr>
            <w:r>
              <w:rPr>
                <w:rFonts w:hint="eastAsia" w:ascii="宋体" w:hAnsi="宋体" w:cs="宋体"/>
                <w:kern w:val="0"/>
                <w:sz w:val="24"/>
              </w:rPr>
              <w:t>48</w:t>
            </w:r>
          </w:p>
        </w:tc>
        <w:tc>
          <w:tcPr>
            <w:tcW w:w="2851" w:type="dxa"/>
            <w:tcBorders>
              <w:top w:val="nil"/>
              <w:left w:val="nil"/>
              <w:bottom w:val="single" w:color="auto" w:sz="4" w:space="0"/>
              <w:right w:val="single" w:color="auto" w:sz="4" w:space="0"/>
            </w:tcBorders>
            <w:shd w:val="clear" w:color="000000" w:fill="FFFFFF"/>
            <w:vAlign w:val="center"/>
          </w:tcPr>
          <w:p w14:paraId="04B44DB1">
            <w:pPr>
              <w:jc w:val="center"/>
              <w:rPr>
                <w:rFonts w:hint="eastAsia" w:ascii="宋体" w:hAnsi="宋体" w:cs="宋体"/>
                <w:sz w:val="24"/>
              </w:rPr>
            </w:pPr>
            <w:r>
              <w:rPr>
                <w:rFonts w:hint="eastAsia" w:ascii="宋体" w:hAnsi="宋体" w:cs="宋体"/>
                <w:sz w:val="24"/>
              </w:rPr>
              <w:t>免疫多项质控品</w:t>
            </w:r>
          </w:p>
        </w:tc>
        <w:tc>
          <w:tcPr>
            <w:tcW w:w="1276" w:type="dxa"/>
            <w:tcBorders>
              <w:top w:val="nil"/>
              <w:left w:val="nil"/>
              <w:bottom w:val="single" w:color="auto" w:sz="4" w:space="0"/>
              <w:right w:val="single" w:color="auto" w:sz="4" w:space="0"/>
            </w:tcBorders>
            <w:shd w:val="clear" w:color="000000" w:fill="FFFFFF"/>
            <w:vAlign w:val="center"/>
          </w:tcPr>
          <w:p w14:paraId="141520CC">
            <w:pPr>
              <w:widowControl/>
              <w:jc w:val="center"/>
              <w:rPr>
                <w:rFonts w:hint="eastAsia" w:ascii="宋体" w:hAnsi="宋体" w:cs="宋体"/>
                <w:kern w:val="0"/>
                <w:sz w:val="24"/>
              </w:rPr>
            </w:pPr>
            <w:r>
              <w:rPr>
                <w:rFonts w:hint="eastAsia" w:ascii="宋体" w:hAnsi="宋体" w:cs="宋体"/>
                <w:kern w:val="0"/>
                <w:sz w:val="24"/>
              </w:rPr>
              <w:t>95.84</w:t>
            </w:r>
          </w:p>
        </w:tc>
        <w:tc>
          <w:tcPr>
            <w:tcW w:w="992" w:type="dxa"/>
            <w:tcBorders>
              <w:top w:val="nil"/>
              <w:left w:val="nil"/>
              <w:bottom w:val="single" w:color="auto" w:sz="4" w:space="0"/>
              <w:right w:val="single" w:color="auto" w:sz="4" w:space="0"/>
            </w:tcBorders>
            <w:shd w:val="clear" w:color="000000" w:fill="FFFFFF"/>
            <w:vAlign w:val="center"/>
          </w:tcPr>
          <w:p w14:paraId="0997ED02">
            <w:pPr>
              <w:widowControl/>
              <w:jc w:val="center"/>
              <w:rPr>
                <w:rFonts w:hint="eastAsia" w:ascii="宋体" w:hAnsi="宋体" w:cs="宋体"/>
                <w:kern w:val="0"/>
                <w:sz w:val="24"/>
              </w:rPr>
            </w:pPr>
            <w:r>
              <w:rPr>
                <w:rFonts w:hint="eastAsia" w:ascii="宋体" w:hAnsi="宋体" w:cs="宋体"/>
                <w:kern w:val="0"/>
                <w:sz w:val="24"/>
              </w:rPr>
              <w:t>ml</w:t>
            </w:r>
          </w:p>
        </w:tc>
        <w:tc>
          <w:tcPr>
            <w:tcW w:w="992" w:type="dxa"/>
            <w:tcBorders>
              <w:top w:val="nil"/>
              <w:left w:val="nil"/>
              <w:bottom w:val="single" w:color="auto" w:sz="4" w:space="0"/>
              <w:right w:val="single" w:color="auto" w:sz="4" w:space="0"/>
            </w:tcBorders>
            <w:shd w:val="clear" w:color="000000" w:fill="FFFFFF"/>
            <w:noWrap/>
            <w:vAlign w:val="center"/>
          </w:tcPr>
          <w:p w14:paraId="246C105D">
            <w:pPr>
              <w:widowControl/>
              <w:jc w:val="center"/>
              <w:rPr>
                <w:rFonts w:hint="eastAsia" w:ascii="宋体" w:hAnsi="宋体" w:cs="宋体"/>
                <w:kern w:val="0"/>
                <w:sz w:val="24"/>
              </w:rPr>
            </w:pPr>
            <w:r>
              <w:rPr>
                <w:rFonts w:hint="eastAsia" w:ascii="宋体" w:hAnsi="宋体" w:cs="宋体"/>
                <w:kern w:val="0"/>
                <w:sz w:val="24"/>
              </w:rPr>
              <w:t>144</w:t>
            </w:r>
          </w:p>
        </w:tc>
        <w:tc>
          <w:tcPr>
            <w:tcW w:w="851" w:type="dxa"/>
            <w:tcBorders>
              <w:top w:val="nil"/>
              <w:left w:val="nil"/>
              <w:bottom w:val="single" w:color="auto" w:sz="4" w:space="0"/>
              <w:right w:val="single" w:color="auto" w:sz="4" w:space="0"/>
            </w:tcBorders>
            <w:shd w:val="clear" w:color="000000" w:fill="FFFFFF"/>
            <w:vAlign w:val="center"/>
          </w:tcPr>
          <w:p w14:paraId="60BC80D2">
            <w:pPr>
              <w:widowControl/>
              <w:jc w:val="center"/>
              <w:rPr>
                <w:rFonts w:hint="eastAsia" w:ascii="宋体" w:hAnsi="宋体" w:cs="宋体"/>
                <w:color w:val="000000"/>
                <w:kern w:val="0"/>
                <w:sz w:val="24"/>
              </w:rPr>
            </w:pPr>
            <w:r>
              <w:rPr>
                <w:rFonts w:hint="eastAsia" w:ascii="宋体" w:hAnsi="宋体" w:cs="宋体"/>
                <w:color w:val="000000"/>
                <w:kern w:val="0"/>
                <w:sz w:val="24"/>
              </w:rPr>
              <w:t>是</w:t>
            </w:r>
          </w:p>
        </w:tc>
        <w:tc>
          <w:tcPr>
            <w:tcW w:w="952" w:type="dxa"/>
            <w:tcBorders>
              <w:top w:val="nil"/>
              <w:left w:val="nil"/>
              <w:bottom w:val="single" w:color="auto" w:sz="4" w:space="0"/>
              <w:right w:val="single" w:color="auto" w:sz="4" w:space="0"/>
            </w:tcBorders>
            <w:shd w:val="clear" w:color="000000" w:fill="FFFFFF"/>
            <w:vAlign w:val="center"/>
          </w:tcPr>
          <w:p w14:paraId="3AA6EB9B">
            <w:pPr>
              <w:widowControl/>
              <w:jc w:val="center"/>
              <w:rPr>
                <w:rFonts w:hint="eastAsia" w:ascii="宋体" w:hAnsi="宋体" w:cs="宋体"/>
                <w:color w:val="000000"/>
                <w:kern w:val="0"/>
                <w:sz w:val="24"/>
              </w:rPr>
            </w:pPr>
            <w:r>
              <w:rPr>
                <w:rFonts w:hint="eastAsia" w:ascii="宋体" w:hAnsi="宋体" w:cs="宋体"/>
                <w:color w:val="000000"/>
                <w:kern w:val="0"/>
                <w:sz w:val="24"/>
              </w:rPr>
              <w:t>否</w:t>
            </w:r>
          </w:p>
        </w:tc>
      </w:tr>
      <w:tr w14:paraId="7E0DEFCB">
        <w:tblPrEx>
          <w:tblCellMar>
            <w:top w:w="0" w:type="dxa"/>
            <w:left w:w="108" w:type="dxa"/>
            <w:bottom w:w="0" w:type="dxa"/>
            <w:right w:w="108" w:type="dxa"/>
          </w:tblCellMar>
        </w:tblPrEx>
        <w:trPr>
          <w:trHeight w:val="288" w:hRule="atLeast"/>
        </w:trPr>
        <w:tc>
          <w:tcPr>
            <w:tcW w:w="704" w:type="dxa"/>
            <w:tcBorders>
              <w:top w:val="nil"/>
              <w:left w:val="single" w:color="auto" w:sz="4" w:space="0"/>
              <w:bottom w:val="single" w:color="auto" w:sz="4" w:space="0"/>
              <w:right w:val="single" w:color="auto" w:sz="4" w:space="0"/>
            </w:tcBorders>
            <w:shd w:val="clear" w:color="000000" w:fill="FFFFFF"/>
            <w:vAlign w:val="center"/>
          </w:tcPr>
          <w:p w14:paraId="6D15889B">
            <w:pPr>
              <w:widowControl/>
              <w:jc w:val="center"/>
              <w:rPr>
                <w:rFonts w:hint="eastAsia" w:ascii="宋体" w:hAnsi="宋体" w:cs="宋体"/>
                <w:kern w:val="0"/>
                <w:sz w:val="24"/>
              </w:rPr>
            </w:pPr>
            <w:r>
              <w:rPr>
                <w:rFonts w:hint="eastAsia" w:ascii="宋体" w:hAnsi="宋体" w:cs="宋体"/>
                <w:kern w:val="0"/>
                <w:sz w:val="24"/>
              </w:rPr>
              <w:t>49</w:t>
            </w:r>
          </w:p>
        </w:tc>
        <w:tc>
          <w:tcPr>
            <w:tcW w:w="2851" w:type="dxa"/>
            <w:tcBorders>
              <w:top w:val="nil"/>
              <w:left w:val="nil"/>
              <w:bottom w:val="single" w:color="auto" w:sz="4" w:space="0"/>
              <w:right w:val="single" w:color="auto" w:sz="4" w:space="0"/>
            </w:tcBorders>
            <w:shd w:val="clear" w:color="000000" w:fill="FFFFFF"/>
            <w:vAlign w:val="center"/>
          </w:tcPr>
          <w:p w14:paraId="6E26A32F">
            <w:pPr>
              <w:jc w:val="center"/>
              <w:rPr>
                <w:rFonts w:hint="eastAsia" w:ascii="宋体" w:hAnsi="宋体" w:cs="宋体"/>
                <w:sz w:val="24"/>
              </w:rPr>
            </w:pPr>
            <w:r>
              <w:rPr>
                <w:rFonts w:hint="eastAsia" w:ascii="宋体" w:hAnsi="宋体" w:cs="宋体"/>
                <w:sz w:val="24"/>
              </w:rPr>
              <w:t>免疫通用质控品</w:t>
            </w:r>
          </w:p>
        </w:tc>
        <w:tc>
          <w:tcPr>
            <w:tcW w:w="1276" w:type="dxa"/>
            <w:tcBorders>
              <w:top w:val="nil"/>
              <w:left w:val="nil"/>
              <w:bottom w:val="single" w:color="auto" w:sz="4" w:space="0"/>
              <w:right w:val="single" w:color="auto" w:sz="4" w:space="0"/>
            </w:tcBorders>
            <w:shd w:val="clear" w:color="000000" w:fill="FFFFFF"/>
            <w:vAlign w:val="center"/>
          </w:tcPr>
          <w:p w14:paraId="5B4F2C19">
            <w:pPr>
              <w:widowControl/>
              <w:jc w:val="center"/>
              <w:rPr>
                <w:rFonts w:hint="eastAsia" w:ascii="宋体" w:hAnsi="宋体" w:cs="宋体"/>
                <w:kern w:val="0"/>
                <w:sz w:val="24"/>
              </w:rPr>
            </w:pPr>
            <w:r>
              <w:rPr>
                <w:rFonts w:hint="eastAsia" w:ascii="宋体" w:hAnsi="宋体" w:cs="宋体"/>
                <w:kern w:val="0"/>
                <w:sz w:val="24"/>
              </w:rPr>
              <w:t>70.84</w:t>
            </w:r>
          </w:p>
        </w:tc>
        <w:tc>
          <w:tcPr>
            <w:tcW w:w="992" w:type="dxa"/>
            <w:tcBorders>
              <w:top w:val="nil"/>
              <w:left w:val="nil"/>
              <w:bottom w:val="single" w:color="auto" w:sz="4" w:space="0"/>
              <w:right w:val="single" w:color="auto" w:sz="4" w:space="0"/>
            </w:tcBorders>
            <w:shd w:val="clear" w:color="000000" w:fill="FFFFFF"/>
            <w:vAlign w:val="center"/>
          </w:tcPr>
          <w:p w14:paraId="075B95D3">
            <w:pPr>
              <w:widowControl/>
              <w:jc w:val="center"/>
              <w:rPr>
                <w:rFonts w:hint="eastAsia" w:ascii="宋体" w:hAnsi="宋体" w:cs="宋体"/>
                <w:kern w:val="0"/>
                <w:sz w:val="24"/>
              </w:rPr>
            </w:pPr>
            <w:r>
              <w:rPr>
                <w:rFonts w:hint="eastAsia" w:ascii="宋体" w:hAnsi="宋体" w:cs="宋体"/>
                <w:kern w:val="0"/>
                <w:sz w:val="24"/>
              </w:rPr>
              <w:t>ml</w:t>
            </w:r>
          </w:p>
        </w:tc>
        <w:tc>
          <w:tcPr>
            <w:tcW w:w="992" w:type="dxa"/>
            <w:tcBorders>
              <w:top w:val="nil"/>
              <w:left w:val="nil"/>
              <w:bottom w:val="single" w:color="auto" w:sz="4" w:space="0"/>
              <w:right w:val="single" w:color="auto" w:sz="4" w:space="0"/>
            </w:tcBorders>
            <w:shd w:val="clear" w:color="000000" w:fill="FFFFFF"/>
            <w:noWrap/>
            <w:vAlign w:val="center"/>
          </w:tcPr>
          <w:p w14:paraId="5F8F71DA">
            <w:pPr>
              <w:widowControl/>
              <w:jc w:val="center"/>
              <w:rPr>
                <w:rFonts w:hint="eastAsia" w:ascii="宋体" w:hAnsi="宋体" w:cs="宋体"/>
                <w:kern w:val="0"/>
                <w:sz w:val="24"/>
              </w:rPr>
            </w:pPr>
            <w:r>
              <w:rPr>
                <w:rFonts w:hint="eastAsia" w:ascii="宋体" w:hAnsi="宋体" w:cs="宋体"/>
                <w:kern w:val="0"/>
                <w:sz w:val="24"/>
              </w:rPr>
              <w:t>156</w:t>
            </w:r>
          </w:p>
        </w:tc>
        <w:tc>
          <w:tcPr>
            <w:tcW w:w="851" w:type="dxa"/>
            <w:tcBorders>
              <w:top w:val="nil"/>
              <w:left w:val="nil"/>
              <w:bottom w:val="single" w:color="auto" w:sz="4" w:space="0"/>
              <w:right w:val="single" w:color="auto" w:sz="4" w:space="0"/>
            </w:tcBorders>
            <w:shd w:val="clear" w:color="000000" w:fill="FFFFFF"/>
            <w:vAlign w:val="center"/>
          </w:tcPr>
          <w:p w14:paraId="1D0FACDC">
            <w:pPr>
              <w:widowControl/>
              <w:jc w:val="center"/>
              <w:rPr>
                <w:rFonts w:hint="eastAsia" w:ascii="宋体" w:hAnsi="宋体" w:cs="宋体"/>
                <w:color w:val="000000"/>
                <w:kern w:val="0"/>
                <w:sz w:val="24"/>
              </w:rPr>
            </w:pPr>
            <w:r>
              <w:rPr>
                <w:rFonts w:hint="eastAsia" w:ascii="宋体" w:hAnsi="宋体" w:cs="宋体"/>
                <w:color w:val="000000"/>
                <w:kern w:val="0"/>
                <w:sz w:val="24"/>
              </w:rPr>
              <w:t>是</w:t>
            </w:r>
          </w:p>
        </w:tc>
        <w:tc>
          <w:tcPr>
            <w:tcW w:w="952" w:type="dxa"/>
            <w:tcBorders>
              <w:top w:val="nil"/>
              <w:left w:val="nil"/>
              <w:bottom w:val="single" w:color="auto" w:sz="4" w:space="0"/>
              <w:right w:val="single" w:color="auto" w:sz="4" w:space="0"/>
            </w:tcBorders>
            <w:shd w:val="clear" w:color="000000" w:fill="FFFFFF"/>
            <w:vAlign w:val="center"/>
          </w:tcPr>
          <w:p w14:paraId="7D6746A4">
            <w:pPr>
              <w:widowControl/>
              <w:jc w:val="center"/>
              <w:rPr>
                <w:rFonts w:hint="eastAsia" w:ascii="宋体" w:hAnsi="宋体" w:cs="宋体"/>
                <w:color w:val="000000"/>
                <w:kern w:val="0"/>
                <w:sz w:val="24"/>
              </w:rPr>
            </w:pPr>
            <w:r>
              <w:rPr>
                <w:rFonts w:hint="eastAsia" w:ascii="宋体" w:hAnsi="宋体" w:cs="宋体"/>
                <w:color w:val="000000"/>
                <w:kern w:val="0"/>
                <w:sz w:val="24"/>
              </w:rPr>
              <w:t>否</w:t>
            </w:r>
          </w:p>
        </w:tc>
      </w:tr>
      <w:tr w14:paraId="0D920AA5">
        <w:tblPrEx>
          <w:tblCellMar>
            <w:top w:w="0" w:type="dxa"/>
            <w:left w:w="108" w:type="dxa"/>
            <w:bottom w:w="0" w:type="dxa"/>
            <w:right w:w="108" w:type="dxa"/>
          </w:tblCellMar>
        </w:tblPrEx>
        <w:trPr>
          <w:trHeight w:val="288" w:hRule="atLeast"/>
        </w:trPr>
        <w:tc>
          <w:tcPr>
            <w:tcW w:w="704" w:type="dxa"/>
            <w:tcBorders>
              <w:top w:val="nil"/>
              <w:left w:val="single" w:color="auto" w:sz="4" w:space="0"/>
              <w:bottom w:val="single" w:color="auto" w:sz="4" w:space="0"/>
              <w:right w:val="single" w:color="auto" w:sz="4" w:space="0"/>
            </w:tcBorders>
            <w:shd w:val="clear" w:color="000000" w:fill="FFFFFF"/>
            <w:vAlign w:val="center"/>
          </w:tcPr>
          <w:p w14:paraId="77B54670">
            <w:pPr>
              <w:widowControl/>
              <w:jc w:val="center"/>
              <w:rPr>
                <w:rFonts w:hint="eastAsia" w:ascii="宋体" w:hAnsi="宋体" w:cs="宋体"/>
                <w:kern w:val="0"/>
                <w:sz w:val="24"/>
              </w:rPr>
            </w:pPr>
            <w:r>
              <w:rPr>
                <w:rFonts w:hint="eastAsia" w:ascii="宋体" w:hAnsi="宋体" w:cs="宋体"/>
                <w:kern w:val="0"/>
                <w:sz w:val="24"/>
              </w:rPr>
              <w:t>50</w:t>
            </w:r>
          </w:p>
        </w:tc>
        <w:tc>
          <w:tcPr>
            <w:tcW w:w="2851" w:type="dxa"/>
            <w:tcBorders>
              <w:top w:val="nil"/>
              <w:left w:val="nil"/>
              <w:bottom w:val="single" w:color="auto" w:sz="4" w:space="0"/>
              <w:right w:val="single" w:color="auto" w:sz="4" w:space="0"/>
            </w:tcBorders>
            <w:shd w:val="clear" w:color="000000" w:fill="FFFFFF"/>
            <w:vAlign w:val="center"/>
          </w:tcPr>
          <w:p w14:paraId="005C3519">
            <w:pPr>
              <w:jc w:val="center"/>
              <w:rPr>
                <w:rFonts w:hint="eastAsia" w:ascii="宋体" w:hAnsi="宋体" w:cs="宋体"/>
                <w:sz w:val="24"/>
              </w:rPr>
            </w:pPr>
            <w:r>
              <w:rPr>
                <w:rFonts w:hint="eastAsia" w:ascii="宋体" w:hAnsi="宋体" w:cs="宋体"/>
                <w:sz w:val="24"/>
              </w:rPr>
              <w:t>清洗液 ISE</w:t>
            </w:r>
          </w:p>
        </w:tc>
        <w:tc>
          <w:tcPr>
            <w:tcW w:w="1276" w:type="dxa"/>
            <w:tcBorders>
              <w:top w:val="nil"/>
              <w:left w:val="nil"/>
              <w:bottom w:val="single" w:color="auto" w:sz="4" w:space="0"/>
              <w:right w:val="single" w:color="auto" w:sz="4" w:space="0"/>
            </w:tcBorders>
            <w:shd w:val="clear" w:color="000000" w:fill="FFFFFF"/>
            <w:vAlign w:val="center"/>
          </w:tcPr>
          <w:p w14:paraId="6C6D9DAD">
            <w:pPr>
              <w:widowControl/>
              <w:jc w:val="center"/>
              <w:rPr>
                <w:rFonts w:hint="eastAsia" w:ascii="宋体" w:hAnsi="宋体" w:cs="宋体"/>
                <w:kern w:val="0"/>
                <w:sz w:val="24"/>
              </w:rPr>
            </w:pPr>
            <w:r>
              <w:rPr>
                <w:rFonts w:hint="eastAsia" w:ascii="宋体" w:hAnsi="宋体" w:cs="宋体"/>
                <w:kern w:val="0"/>
                <w:sz w:val="24"/>
              </w:rPr>
              <w:t>4</w:t>
            </w:r>
          </w:p>
        </w:tc>
        <w:tc>
          <w:tcPr>
            <w:tcW w:w="992" w:type="dxa"/>
            <w:tcBorders>
              <w:top w:val="nil"/>
              <w:left w:val="nil"/>
              <w:bottom w:val="single" w:color="auto" w:sz="4" w:space="0"/>
              <w:right w:val="single" w:color="auto" w:sz="4" w:space="0"/>
            </w:tcBorders>
            <w:shd w:val="clear" w:color="000000" w:fill="FFFFFF"/>
            <w:vAlign w:val="center"/>
          </w:tcPr>
          <w:p w14:paraId="4446EC63">
            <w:pPr>
              <w:widowControl/>
              <w:jc w:val="center"/>
              <w:rPr>
                <w:rFonts w:hint="eastAsia" w:ascii="宋体" w:hAnsi="宋体" w:cs="宋体"/>
                <w:kern w:val="0"/>
                <w:sz w:val="24"/>
              </w:rPr>
            </w:pPr>
            <w:r>
              <w:rPr>
                <w:rFonts w:hint="eastAsia" w:ascii="宋体" w:hAnsi="宋体" w:cs="宋体"/>
                <w:kern w:val="0"/>
                <w:sz w:val="24"/>
              </w:rPr>
              <w:t>ml</w:t>
            </w:r>
          </w:p>
        </w:tc>
        <w:tc>
          <w:tcPr>
            <w:tcW w:w="992" w:type="dxa"/>
            <w:tcBorders>
              <w:top w:val="nil"/>
              <w:left w:val="nil"/>
              <w:bottom w:val="single" w:color="auto" w:sz="4" w:space="0"/>
              <w:right w:val="single" w:color="auto" w:sz="4" w:space="0"/>
            </w:tcBorders>
            <w:shd w:val="clear" w:color="000000" w:fill="FFFFFF"/>
            <w:noWrap/>
            <w:vAlign w:val="center"/>
          </w:tcPr>
          <w:p w14:paraId="6FE76176">
            <w:pPr>
              <w:widowControl/>
              <w:jc w:val="center"/>
              <w:rPr>
                <w:rFonts w:hint="eastAsia" w:ascii="宋体" w:hAnsi="宋体" w:cs="宋体"/>
                <w:kern w:val="0"/>
                <w:sz w:val="24"/>
              </w:rPr>
            </w:pPr>
            <w:r>
              <w:rPr>
                <w:rFonts w:hint="eastAsia" w:ascii="宋体" w:hAnsi="宋体" w:cs="宋体"/>
                <w:kern w:val="0"/>
                <w:sz w:val="24"/>
              </w:rPr>
              <w:t>1500</w:t>
            </w:r>
          </w:p>
        </w:tc>
        <w:tc>
          <w:tcPr>
            <w:tcW w:w="851" w:type="dxa"/>
            <w:tcBorders>
              <w:top w:val="nil"/>
              <w:left w:val="nil"/>
              <w:bottom w:val="single" w:color="auto" w:sz="4" w:space="0"/>
              <w:right w:val="single" w:color="auto" w:sz="4" w:space="0"/>
            </w:tcBorders>
            <w:shd w:val="clear" w:color="000000" w:fill="FFFFFF"/>
            <w:vAlign w:val="center"/>
          </w:tcPr>
          <w:p w14:paraId="1A92E15B">
            <w:pPr>
              <w:widowControl/>
              <w:jc w:val="center"/>
              <w:rPr>
                <w:rFonts w:hint="eastAsia" w:ascii="宋体" w:hAnsi="宋体" w:cs="宋体"/>
                <w:color w:val="000000"/>
                <w:kern w:val="0"/>
                <w:sz w:val="24"/>
              </w:rPr>
            </w:pPr>
            <w:r>
              <w:rPr>
                <w:rFonts w:hint="eastAsia" w:ascii="宋体" w:hAnsi="宋体" w:cs="宋体"/>
                <w:color w:val="000000"/>
                <w:kern w:val="0"/>
                <w:sz w:val="24"/>
              </w:rPr>
              <w:t>是</w:t>
            </w:r>
          </w:p>
        </w:tc>
        <w:tc>
          <w:tcPr>
            <w:tcW w:w="952" w:type="dxa"/>
            <w:tcBorders>
              <w:top w:val="nil"/>
              <w:left w:val="nil"/>
              <w:bottom w:val="single" w:color="auto" w:sz="4" w:space="0"/>
              <w:right w:val="single" w:color="auto" w:sz="4" w:space="0"/>
            </w:tcBorders>
            <w:shd w:val="clear" w:color="000000" w:fill="FFFFFF"/>
            <w:vAlign w:val="center"/>
          </w:tcPr>
          <w:p w14:paraId="0FDC32B5">
            <w:pPr>
              <w:widowControl/>
              <w:jc w:val="center"/>
              <w:rPr>
                <w:rFonts w:hint="eastAsia" w:ascii="宋体" w:hAnsi="宋体" w:cs="宋体"/>
                <w:color w:val="000000"/>
                <w:kern w:val="0"/>
                <w:sz w:val="24"/>
              </w:rPr>
            </w:pPr>
            <w:r>
              <w:rPr>
                <w:rFonts w:hint="eastAsia" w:ascii="宋体" w:hAnsi="宋体" w:cs="宋体"/>
                <w:color w:val="000000"/>
                <w:kern w:val="0"/>
                <w:sz w:val="24"/>
              </w:rPr>
              <w:t>否</w:t>
            </w:r>
          </w:p>
        </w:tc>
      </w:tr>
      <w:tr w14:paraId="65E9A3E9">
        <w:tblPrEx>
          <w:tblCellMar>
            <w:top w:w="0" w:type="dxa"/>
            <w:left w:w="108" w:type="dxa"/>
            <w:bottom w:w="0" w:type="dxa"/>
            <w:right w:w="108" w:type="dxa"/>
          </w:tblCellMar>
        </w:tblPrEx>
        <w:trPr>
          <w:trHeight w:val="576" w:hRule="atLeast"/>
        </w:trPr>
        <w:tc>
          <w:tcPr>
            <w:tcW w:w="704" w:type="dxa"/>
            <w:tcBorders>
              <w:top w:val="nil"/>
              <w:left w:val="single" w:color="auto" w:sz="4" w:space="0"/>
              <w:bottom w:val="single" w:color="auto" w:sz="4" w:space="0"/>
              <w:right w:val="single" w:color="auto" w:sz="4" w:space="0"/>
            </w:tcBorders>
            <w:shd w:val="clear" w:color="000000" w:fill="FFFFFF"/>
            <w:vAlign w:val="center"/>
          </w:tcPr>
          <w:p w14:paraId="36AF1AF5">
            <w:pPr>
              <w:widowControl/>
              <w:jc w:val="center"/>
              <w:rPr>
                <w:rFonts w:hint="eastAsia" w:ascii="宋体" w:hAnsi="宋体" w:cs="宋体"/>
                <w:kern w:val="0"/>
                <w:sz w:val="24"/>
              </w:rPr>
            </w:pPr>
            <w:r>
              <w:rPr>
                <w:rFonts w:hint="eastAsia" w:ascii="宋体" w:hAnsi="宋体" w:cs="宋体"/>
                <w:kern w:val="0"/>
                <w:sz w:val="24"/>
              </w:rPr>
              <w:t>51</w:t>
            </w:r>
          </w:p>
        </w:tc>
        <w:tc>
          <w:tcPr>
            <w:tcW w:w="2851" w:type="dxa"/>
            <w:tcBorders>
              <w:top w:val="nil"/>
              <w:left w:val="nil"/>
              <w:bottom w:val="single" w:color="auto" w:sz="4" w:space="0"/>
              <w:right w:val="single" w:color="auto" w:sz="4" w:space="0"/>
            </w:tcBorders>
            <w:shd w:val="clear" w:color="000000" w:fill="FFFFFF"/>
            <w:vAlign w:val="center"/>
          </w:tcPr>
          <w:p w14:paraId="76A9F9A0">
            <w:pPr>
              <w:jc w:val="center"/>
              <w:rPr>
                <w:rFonts w:hint="eastAsia" w:ascii="宋体" w:hAnsi="宋体" w:cs="宋体"/>
                <w:sz w:val="24"/>
              </w:rPr>
            </w:pPr>
            <w:r>
              <w:rPr>
                <w:rFonts w:hint="eastAsia" w:ascii="宋体" w:hAnsi="宋体" w:cs="宋体"/>
                <w:sz w:val="24"/>
              </w:rPr>
              <w:t>预清洗液</w:t>
            </w:r>
          </w:p>
        </w:tc>
        <w:tc>
          <w:tcPr>
            <w:tcW w:w="1276" w:type="dxa"/>
            <w:tcBorders>
              <w:top w:val="nil"/>
              <w:left w:val="nil"/>
              <w:bottom w:val="single" w:color="auto" w:sz="4" w:space="0"/>
              <w:right w:val="single" w:color="auto" w:sz="4" w:space="0"/>
            </w:tcBorders>
            <w:shd w:val="clear" w:color="000000" w:fill="FFFFFF"/>
            <w:vAlign w:val="center"/>
          </w:tcPr>
          <w:p w14:paraId="71DA5A0C">
            <w:pPr>
              <w:widowControl/>
              <w:jc w:val="center"/>
              <w:rPr>
                <w:rFonts w:hint="eastAsia" w:ascii="宋体" w:hAnsi="宋体" w:cs="宋体"/>
                <w:kern w:val="0"/>
                <w:sz w:val="24"/>
              </w:rPr>
            </w:pPr>
            <w:r>
              <w:rPr>
                <w:rFonts w:hint="eastAsia" w:ascii="宋体" w:hAnsi="宋体" w:cs="宋体"/>
                <w:kern w:val="0"/>
                <w:sz w:val="24"/>
              </w:rPr>
              <w:t>283.34</w:t>
            </w:r>
          </w:p>
        </w:tc>
        <w:tc>
          <w:tcPr>
            <w:tcW w:w="992" w:type="dxa"/>
            <w:tcBorders>
              <w:top w:val="nil"/>
              <w:left w:val="nil"/>
              <w:bottom w:val="single" w:color="auto" w:sz="4" w:space="0"/>
              <w:right w:val="single" w:color="auto" w:sz="4" w:space="0"/>
            </w:tcBorders>
            <w:shd w:val="clear" w:color="000000" w:fill="FFFFFF"/>
            <w:vAlign w:val="center"/>
          </w:tcPr>
          <w:p w14:paraId="60BD5FFD">
            <w:pPr>
              <w:widowControl/>
              <w:jc w:val="center"/>
              <w:rPr>
                <w:rFonts w:hint="eastAsia" w:ascii="宋体" w:hAnsi="宋体" w:cs="宋体"/>
                <w:kern w:val="0"/>
                <w:sz w:val="24"/>
              </w:rPr>
            </w:pPr>
            <w:r>
              <w:rPr>
                <w:rFonts w:hint="eastAsia" w:ascii="宋体" w:hAnsi="宋体" w:cs="宋体"/>
                <w:kern w:val="0"/>
                <w:sz w:val="24"/>
              </w:rPr>
              <w:t>L</w:t>
            </w:r>
          </w:p>
        </w:tc>
        <w:tc>
          <w:tcPr>
            <w:tcW w:w="992" w:type="dxa"/>
            <w:tcBorders>
              <w:top w:val="nil"/>
              <w:left w:val="nil"/>
              <w:bottom w:val="single" w:color="auto" w:sz="4" w:space="0"/>
              <w:right w:val="single" w:color="auto" w:sz="4" w:space="0"/>
            </w:tcBorders>
            <w:shd w:val="clear" w:color="000000" w:fill="FFFFFF"/>
            <w:noWrap/>
            <w:vAlign w:val="center"/>
          </w:tcPr>
          <w:p w14:paraId="5C1860D3">
            <w:pPr>
              <w:widowControl/>
              <w:jc w:val="center"/>
              <w:rPr>
                <w:rFonts w:hint="eastAsia" w:ascii="宋体" w:hAnsi="宋体" w:cs="宋体"/>
                <w:kern w:val="0"/>
                <w:sz w:val="24"/>
              </w:rPr>
            </w:pPr>
            <w:r>
              <w:rPr>
                <w:rFonts w:hint="eastAsia" w:ascii="宋体" w:hAnsi="宋体" w:cs="宋体"/>
                <w:kern w:val="0"/>
                <w:sz w:val="24"/>
              </w:rPr>
              <w:t>129</w:t>
            </w:r>
          </w:p>
        </w:tc>
        <w:tc>
          <w:tcPr>
            <w:tcW w:w="851" w:type="dxa"/>
            <w:tcBorders>
              <w:top w:val="nil"/>
              <w:left w:val="nil"/>
              <w:bottom w:val="single" w:color="auto" w:sz="4" w:space="0"/>
              <w:right w:val="single" w:color="auto" w:sz="4" w:space="0"/>
            </w:tcBorders>
            <w:shd w:val="clear" w:color="000000" w:fill="FFFFFF"/>
            <w:vAlign w:val="center"/>
          </w:tcPr>
          <w:p w14:paraId="2E47586B">
            <w:pPr>
              <w:widowControl/>
              <w:jc w:val="center"/>
              <w:rPr>
                <w:rFonts w:hint="eastAsia" w:ascii="宋体" w:hAnsi="宋体" w:cs="宋体"/>
                <w:color w:val="000000"/>
                <w:kern w:val="0"/>
                <w:sz w:val="24"/>
              </w:rPr>
            </w:pPr>
            <w:r>
              <w:rPr>
                <w:rFonts w:hint="eastAsia" w:ascii="宋体" w:hAnsi="宋体" w:cs="宋体"/>
                <w:color w:val="000000"/>
                <w:kern w:val="0"/>
                <w:sz w:val="24"/>
              </w:rPr>
              <w:t>是</w:t>
            </w:r>
          </w:p>
        </w:tc>
        <w:tc>
          <w:tcPr>
            <w:tcW w:w="952" w:type="dxa"/>
            <w:tcBorders>
              <w:top w:val="nil"/>
              <w:left w:val="nil"/>
              <w:bottom w:val="single" w:color="auto" w:sz="4" w:space="0"/>
              <w:right w:val="single" w:color="auto" w:sz="4" w:space="0"/>
            </w:tcBorders>
            <w:shd w:val="clear" w:color="000000" w:fill="FFFFFF"/>
            <w:vAlign w:val="center"/>
          </w:tcPr>
          <w:p w14:paraId="0217CB94">
            <w:pPr>
              <w:widowControl/>
              <w:jc w:val="center"/>
              <w:rPr>
                <w:rFonts w:hint="eastAsia" w:ascii="宋体" w:hAnsi="宋体" w:cs="宋体"/>
                <w:color w:val="000000"/>
                <w:kern w:val="0"/>
                <w:sz w:val="24"/>
              </w:rPr>
            </w:pPr>
            <w:r>
              <w:rPr>
                <w:rFonts w:hint="eastAsia" w:ascii="宋体" w:hAnsi="宋体" w:cs="宋体"/>
                <w:color w:val="000000"/>
                <w:kern w:val="0"/>
                <w:sz w:val="24"/>
              </w:rPr>
              <w:t>否</w:t>
            </w:r>
          </w:p>
        </w:tc>
      </w:tr>
      <w:tr w14:paraId="23B19722">
        <w:tblPrEx>
          <w:tblCellMar>
            <w:top w:w="0" w:type="dxa"/>
            <w:left w:w="108" w:type="dxa"/>
            <w:bottom w:w="0" w:type="dxa"/>
            <w:right w:w="108" w:type="dxa"/>
          </w:tblCellMar>
        </w:tblPrEx>
        <w:trPr>
          <w:trHeight w:val="288" w:hRule="atLeast"/>
        </w:trPr>
        <w:tc>
          <w:tcPr>
            <w:tcW w:w="704" w:type="dxa"/>
            <w:tcBorders>
              <w:top w:val="nil"/>
              <w:left w:val="single" w:color="auto" w:sz="4" w:space="0"/>
              <w:bottom w:val="single" w:color="auto" w:sz="4" w:space="0"/>
              <w:right w:val="single" w:color="auto" w:sz="4" w:space="0"/>
            </w:tcBorders>
            <w:shd w:val="clear" w:color="000000" w:fill="FFFFFF"/>
            <w:vAlign w:val="center"/>
          </w:tcPr>
          <w:p w14:paraId="4F4215DC">
            <w:pPr>
              <w:widowControl/>
              <w:jc w:val="center"/>
              <w:rPr>
                <w:rFonts w:hint="eastAsia" w:ascii="宋体" w:hAnsi="宋体" w:cs="宋体"/>
                <w:kern w:val="0"/>
                <w:sz w:val="24"/>
              </w:rPr>
            </w:pPr>
            <w:r>
              <w:rPr>
                <w:rFonts w:hint="eastAsia" w:ascii="宋体" w:hAnsi="宋体" w:cs="宋体"/>
                <w:kern w:val="0"/>
                <w:sz w:val="24"/>
              </w:rPr>
              <w:t>52</w:t>
            </w:r>
          </w:p>
        </w:tc>
        <w:tc>
          <w:tcPr>
            <w:tcW w:w="2851" w:type="dxa"/>
            <w:tcBorders>
              <w:top w:val="nil"/>
              <w:left w:val="nil"/>
              <w:bottom w:val="single" w:color="auto" w:sz="4" w:space="0"/>
              <w:right w:val="single" w:color="auto" w:sz="4" w:space="0"/>
            </w:tcBorders>
            <w:shd w:val="clear" w:color="000000" w:fill="FFFFFF"/>
            <w:vAlign w:val="center"/>
          </w:tcPr>
          <w:p w14:paraId="354D7F33">
            <w:pPr>
              <w:jc w:val="center"/>
              <w:rPr>
                <w:rFonts w:hint="eastAsia" w:ascii="宋体" w:hAnsi="宋体" w:cs="宋体"/>
                <w:sz w:val="24"/>
              </w:rPr>
            </w:pPr>
            <w:r>
              <w:rPr>
                <w:rFonts w:hint="eastAsia" w:ascii="宋体" w:hAnsi="宋体" w:cs="宋体"/>
                <w:sz w:val="24"/>
              </w:rPr>
              <w:t>洗针液</w:t>
            </w:r>
          </w:p>
        </w:tc>
        <w:tc>
          <w:tcPr>
            <w:tcW w:w="1276" w:type="dxa"/>
            <w:tcBorders>
              <w:top w:val="nil"/>
              <w:left w:val="nil"/>
              <w:bottom w:val="single" w:color="auto" w:sz="4" w:space="0"/>
              <w:right w:val="single" w:color="auto" w:sz="4" w:space="0"/>
            </w:tcBorders>
            <w:shd w:val="clear" w:color="000000" w:fill="FFFFFF"/>
            <w:vAlign w:val="center"/>
          </w:tcPr>
          <w:p w14:paraId="79159F0A">
            <w:pPr>
              <w:widowControl/>
              <w:jc w:val="center"/>
              <w:rPr>
                <w:rFonts w:hint="eastAsia" w:ascii="宋体" w:hAnsi="宋体" w:cs="宋体"/>
                <w:kern w:val="0"/>
                <w:sz w:val="24"/>
              </w:rPr>
            </w:pPr>
            <w:r>
              <w:rPr>
                <w:rFonts w:hint="eastAsia" w:ascii="宋体" w:hAnsi="宋体" w:cs="宋体"/>
                <w:kern w:val="0"/>
                <w:sz w:val="24"/>
              </w:rPr>
              <w:t>1.428</w:t>
            </w:r>
          </w:p>
        </w:tc>
        <w:tc>
          <w:tcPr>
            <w:tcW w:w="992" w:type="dxa"/>
            <w:tcBorders>
              <w:top w:val="nil"/>
              <w:left w:val="nil"/>
              <w:bottom w:val="single" w:color="auto" w:sz="4" w:space="0"/>
              <w:right w:val="single" w:color="auto" w:sz="4" w:space="0"/>
            </w:tcBorders>
            <w:shd w:val="clear" w:color="000000" w:fill="FFFFFF"/>
            <w:vAlign w:val="center"/>
          </w:tcPr>
          <w:p w14:paraId="4D8348D4">
            <w:pPr>
              <w:widowControl/>
              <w:jc w:val="center"/>
              <w:rPr>
                <w:rFonts w:hint="eastAsia" w:ascii="宋体" w:hAnsi="宋体" w:cs="宋体"/>
                <w:kern w:val="0"/>
                <w:sz w:val="24"/>
              </w:rPr>
            </w:pPr>
            <w:r>
              <w:rPr>
                <w:rFonts w:hint="eastAsia" w:ascii="宋体" w:hAnsi="宋体" w:cs="宋体"/>
                <w:kern w:val="0"/>
                <w:sz w:val="24"/>
              </w:rPr>
              <w:t>ml</w:t>
            </w:r>
          </w:p>
        </w:tc>
        <w:tc>
          <w:tcPr>
            <w:tcW w:w="992" w:type="dxa"/>
            <w:tcBorders>
              <w:top w:val="nil"/>
              <w:left w:val="nil"/>
              <w:bottom w:val="single" w:color="auto" w:sz="4" w:space="0"/>
              <w:right w:val="single" w:color="auto" w:sz="4" w:space="0"/>
            </w:tcBorders>
            <w:shd w:val="clear" w:color="000000" w:fill="FFFFFF"/>
            <w:noWrap/>
            <w:vAlign w:val="center"/>
          </w:tcPr>
          <w:p w14:paraId="408DD325">
            <w:pPr>
              <w:widowControl/>
              <w:jc w:val="center"/>
              <w:rPr>
                <w:rFonts w:hint="eastAsia" w:ascii="宋体" w:hAnsi="宋体" w:cs="宋体"/>
                <w:kern w:val="0"/>
                <w:sz w:val="24"/>
              </w:rPr>
            </w:pPr>
            <w:r>
              <w:rPr>
                <w:rFonts w:hint="eastAsia" w:ascii="宋体" w:hAnsi="宋体" w:cs="宋体"/>
                <w:kern w:val="0"/>
                <w:sz w:val="24"/>
              </w:rPr>
              <w:t>1680</w:t>
            </w:r>
          </w:p>
        </w:tc>
        <w:tc>
          <w:tcPr>
            <w:tcW w:w="851" w:type="dxa"/>
            <w:tcBorders>
              <w:top w:val="nil"/>
              <w:left w:val="nil"/>
              <w:bottom w:val="single" w:color="auto" w:sz="4" w:space="0"/>
              <w:right w:val="single" w:color="auto" w:sz="4" w:space="0"/>
            </w:tcBorders>
            <w:shd w:val="clear" w:color="000000" w:fill="FFFFFF"/>
            <w:vAlign w:val="center"/>
          </w:tcPr>
          <w:p w14:paraId="1BE9FC06">
            <w:pPr>
              <w:widowControl/>
              <w:jc w:val="center"/>
              <w:rPr>
                <w:rFonts w:hint="eastAsia" w:ascii="宋体" w:hAnsi="宋体" w:cs="宋体"/>
                <w:color w:val="000000"/>
                <w:kern w:val="0"/>
                <w:sz w:val="24"/>
              </w:rPr>
            </w:pPr>
            <w:r>
              <w:rPr>
                <w:rFonts w:hint="eastAsia" w:ascii="宋体" w:hAnsi="宋体" w:cs="宋体"/>
                <w:color w:val="000000"/>
                <w:kern w:val="0"/>
                <w:sz w:val="24"/>
              </w:rPr>
              <w:t>是</w:t>
            </w:r>
          </w:p>
        </w:tc>
        <w:tc>
          <w:tcPr>
            <w:tcW w:w="952" w:type="dxa"/>
            <w:tcBorders>
              <w:top w:val="nil"/>
              <w:left w:val="nil"/>
              <w:bottom w:val="single" w:color="auto" w:sz="4" w:space="0"/>
              <w:right w:val="single" w:color="auto" w:sz="4" w:space="0"/>
            </w:tcBorders>
            <w:shd w:val="clear" w:color="000000" w:fill="FFFFFF"/>
            <w:vAlign w:val="center"/>
          </w:tcPr>
          <w:p w14:paraId="7A7633E3">
            <w:pPr>
              <w:widowControl/>
              <w:jc w:val="center"/>
              <w:rPr>
                <w:rFonts w:hint="eastAsia" w:ascii="宋体" w:hAnsi="宋体" w:cs="宋体"/>
                <w:color w:val="000000"/>
                <w:kern w:val="0"/>
                <w:sz w:val="24"/>
              </w:rPr>
            </w:pPr>
            <w:r>
              <w:rPr>
                <w:rFonts w:hint="eastAsia" w:ascii="宋体" w:hAnsi="宋体" w:cs="宋体"/>
                <w:color w:val="000000"/>
                <w:kern w:val="0"/>
                <w:sz w:val="24"/>
              </w:rPr>
              <w:t>否</w:t>
            </w:r>
          </w:p>
        </w:tc>
      </w:tr>
      <w:tr w14:paraId="009729BE">
        <w:tblPrEx>
          <w:tblCellMar>
            <w:top w:w="0" w:type="dxa"/>
            <w:left w:w="108" w:type="dxa"/>
            <w:bottom w:w="0" w:type="dxa"/>
            <w:right w:w="108" w:type="dxa"/>
          </w:tblCellMar>
        </w:tblPrEx>
        <w:trPr>
          <w:trHeight w:val="576" w:hRule="atLeast"/>
        </w:trPr>
        <w:tc>
          <w:tcPr>
            <w:tcW w:w="704" w:type="dxa"/>
            <w:tcBorders>
              <w:top w:val="nil"/>
              <w:left w:val="single" w:color="auto" w:sz="4" w:space="0"/>
              <w:bottom w:val="single" w:color="auto" w:sz="4" w:space="0"/>
              <w:right w:val="single" w:color="auto" w:sz="4" w:space="0"/>
            </w:tcBorders>
            <w:shd w:val="clear" w:color="000000" w:fill="FFFFFF"/>
            <w:vAlign w:val="center"/>
          </w:tcPr>
          <w:p w14:paraId="6EFFBD01">
            <w:pPr>
              <w:widowControl/>
              <w:jc w:val="center"/>
              <w:rPr>
                <w:rFonts w:hint="eastAsia" w:ascii="宋体" w:hAnsi="宋体" w:cs="宋体"/>
                <w:kern w:val="0"/>
                <w:sz w:val="24"/>
              </w:rPr>
            </w:pPr>
            <w:r>
              <w:rPr>
                <w:rFonts w:hint="eastAsia" w:ascii="宋体" w:hAnsi="宋体" w:cs="宋体"/>
                <w:kern w:val="0"/>
                <w:sz w:val="24"/>
              </w:rPr>
              <w:t>53</w:t>
            </w:r>
          </w:p>
        </w:tc>
        <w:tc>
          <w:tcPr>
            <w:tcW w:w="2851" w:type="dxa"/>
            <w:tcBorders>
              <w:top w:val="nil"/>
              <w:left w:val="nil"/>
              <w:bottom w:val="single" w:color="auto" w:sz="4" w:space="0"/>
              <w:right w:val="single" w:color="auto" w:sz="4" w:space="0"/>
            </w:tcBorders>
            <w:shd w:val="clear" w:color="000000" w:fill="FFFFFF"/>
            <w:vAlign w:val="center"/>
          </w:tcPr>
          <w:p w14:paraId="6402BE68">
            <w:pPr>
              <w:jc w:val="center"/>
              <w:rPr>
                <w:rFonts w:hint="eastAsia" w:ascii="宋体" w:hAnsi="宋体" w:cs="宋体"/>
                <w:sz w:val="24"/>
              </w:rPr>
            </w:pPr>
            <w:r>
              <w:rPr>
                <w:rFonts w:hint="eastAsia" w:ascii="宋体" w:hAnsi="宋体" w:cs="宋体"/>
                <w:sz w:val="24"/>
              </w:rPr>
              <w:t>人类免疫缺陷病毒抗体和抗原(P24)检测试剂盒</w:t>
            </w:r>
          </w:p>
        </w:tc>
        <w:tc>
          <w:tcPr>
            <w:tcW w:w="1276" w:type="dxa"/>
            <w:tcBorders>
              <w:top w:val="nil"/>
              <w:left w:val="nil"/>
              <w:bottom w:val="single" w:color="auto" w:sz="4" w:space="0"/>
              <w:right w:val="single" w:color="auto" w:sz="4" w:space="0"/>
            </w:tcBorders>
            <w:shd w:val="clear" w:color="000000" w:fill="FFFFFF"/>
            <w:vAlign w:val="center"/>
          </w:tcPr>
          <w:p w14:paraId="584F7D1D">
            <w:pPr>
              <w:widowControl/>
              <w:jc w:val="center"/>
              <w:rPr>
                <w:rFonts w:hint="eastAsia" w:ascii="宋体" w:hAnsi="宋体" w:cs="宋体"/>
                <w:kern w:val="0"/>
                <w:sz w:val="24"/>
              </w:rPr>
            </w:pPr>
            <w:r>
              <w:rPr>
                <w:rFonts w:hint="eastAsia" w:ascii="宋体" w:hAnsi="宋体" w:cs="宋体"/>
                <w:kern w:val="0"/>
                <w:sz w:val="24"/>
              </w:rPr>
              <w:t>29.567</w:t>
            </w:r>
          </w:p>
        </w:tc>
        <w:tc>
          <w:tcPr>
            <w:tcW w:w="992" w:type="dxa"/>
            <w:tcBorders>
              <w:top w:val="nil"/>
              <w:left w:val="nil"/>
              <w:bottom w:val="single" w:color="auto" w:sz="4" w:space="0"/>
              <w:right w:val="single" w:color="auto" w:sz="4" w:space="0"/>
            </w:tcBorders>
            <w:shd w:val="clear" w:color="000000" w:fill="FFFFFF"/>
            <w:vAlign w:val="center"/>
          </w:tcPr>
          <w:p w14:paraId="7C7F997F">
            <w:pPr>
              <w:widowControl/>
              <w:jc w:val="center"/>
              <w:rPr>
                <w:rFonts w:hint="eastAsia" w:ascii="宋体" w:hAnsi="宋体" w:cs="宋体"/>
                <w:kern w:val="0"/>
                <w:sz w:val="24"/>
              </w:rPr>
            </w:pPr>
            <w:r>
              <w:rPr>
                <w:rFonts w:hint="eastAsia" w:ascii="宋体" w:hAnsi="宋体" w:cs="宋体"/>
                <w:kern w:val="0"/>
                <w:sz w:val="24"/>
              </w:rPr>
              <w:t>人份</w:t>
            </w:r>
          </w:p>
        </w:tc>
        <w:tc>
          <w:tcPr>
            <w:tcW w:w="992" w:type="dxa"/>
            <w:tcBorders>
              <w:top w:val="nil"/>
              <w:left w:val="nil"/>
              <w:bottom w:val="single" w:color="auto" w:sz="4" w:space="0"/>
              <w:right w:val="single" w:color="auto" w:sz="4" w:space="0"/>
            </w:tcBorders>
            <w:shd w:val="clear" w:color="000000" w:fill="FFFFFF"/>
            <w:noWrap/>
            <w:vAlign w:val="center"/>
          </w:tcPr>
          <w:p w14:paraId="4630A6C8">
            <w:pPr>
              <w:widowControl/>
              <w:jc w:val="center"/>
              <w:rPr>
                <w:rFonts w:hint="eastAsia" w:ascii="宋体" w:hAnsi="宋体" w:cs="宋体"/>
                <w:kern w:val="0"/>
                <w:sz w:val="24"/>
              </w:rPr>
            </w:pPr>
            <w:r>
              <w:rPr>
                <w:rFonts w:hint="eastAsia" w:ascii="宋体" w:hAnsi="宋体" w:cs="宋体"/>
                <w:kern w:val="0"/>
                <w:sz w:val="24"/>
              </w:rPr>
              <w:t>3000</w:t>
            </w:r>
          </w:p>
        </w:tc>
        <w:tc>
          <w:tcPr>
            <w:tcW w:w="851" w:type="dxa"/>
            <w:tcBorders>
              <w:top w:val="nil"/>
              <w:left w:val="nil"/>
              <w:bottom w:val="single" w:color="auto" w:sz="4" w:space="0"/>
              <w:right w:val="single" w:color="auto" w:sz="4" w:space="0"/>
            </w:tcBorders>
            <w:shd w:val="clear" w:color="000000" w:fill="FFFFFF"/>
            <w:vAlign w:val="center"/>
          </w:tcPr>
          <w:p w14:paraId="537B140E">
            <w:pPr>
              <w:widowControl/>
              <w:jc w:val="center"/>
              <w:rPr>
                <w:rFonts w:hint="eastAsia" w:ascii="宋体" w:hAnsi="宋体" w:cs="宋体"/>
                <w:color w:val="000000"/>
                <w:kern w:val="0"/>
                <w:sz w:val="24"/>
              </w:rPr>
            </w:pPr>
            <w:r>
              <w:rPr>
                <w:rFonts w:hint="eastAsia" w:ascii="宋体" w:hAnsi="宋体" w:cs="宋体"/>
                <w:color w:val="000000"/>
                <w:kern w:val="0"/>
                <w:sz w:val="24"/>
              </w:rPr>
              <w:t>是</w:t>
            </w:r>
          </w:p>
        </w:tc>
        <w:tc>
          <w:tcPr>
            <w:tcW w:w="952" w:type="dxa"/>
            <w:tcBorders>
              <w:top w:val="nil"/>
              <w:left w:val="nil"/>
              <w:bottom w:val="single" w:color="auto" w:sz="4" w:space="0"/>
              <w:right w:val="single" w:color="auto" w:sz="4" w:space="0"/>
            </w:tcBorders>
            <w:shd w:val="clear" w:color="000000" w:fill="FFFFFF"/>
            <w:vAlign w:val="center"/>
          </w:tcPr>
          <w:p w14:paraId="33BD4F47">
            <w:pPr>
              <w:widowControl/>
              <w:jc w:val="center"/>
              <w:rPr>
                <w:rFonts w:hint="eastAsia" w:ascii="宋体" w:hAnsi="宋体" w:cs="宋体"/>
                <w:color w:val="000000"/>
                <w:kern w:val="0"/>
                <w:sz w:val="24"/>
              </w:rPr>
            </w:pPr>
            <w:r>
              <w:rPr>
                <w:rFonts w:hint="eastAsia" w:ascii="宋体" w:hAnsi="宋体" w:cs="宋体"/>
                <w:color w:val="000000"/>
                <w:kern w:val="0"/>
                <w:sz w:val="24"/>
              </w:rPr>
              <w:t>否</w:t>
            </w:r>
          </w:p>
        </w:tc>
      </w:tr>
      <w:tr w14:paraId="68367197">
        <w:tblPrEx>
          <w:tblCellMar>
            <w:top w:w="0" w:type="dxa"/>
            <w:left w:w="108" w:type="dxa"/>
            <w:bottom w:w="0" w:type="dxa"/>
            <w:right w:w="108" w:type="dxa"/>
          </w:tblCellMar>
        </w:tblPrEx>
        <w:trPr>
          <w:trHeight w:val="576" w:hRule="atLeast"/>
        </w:trPr>
        <w:tc>
          <w:tcPr>
            <w:tcW w:w="704" w:type="dxa"/>
            <w:tcBorders>
              <w:top w:val="nil"/>
              <w:left w:val="single" w:color="auto" w:sz="4" w:space="0"/>
              <w:bottom w:val="single" w:color="auto" w:sz="4" w:space="0"/>
              <w:right w:val="single" w:color="auto" w:sz="4" w:space="0"/>
            </w:tcBorders>
            <w:shd w:val="clear" w:color="000000" w:fill="FFFFFF"/>
            <w:vAlign w:val="center"/>
          </w:tcPr>
          <w:p w14:paraId="4229146C">
            <w:pPr>
              <w:widowControl/>
              <w:jc w:val="center"/>
              <w:rPr>
                <w:rFonts w:hint="eastAsia" w:ascii="宋体" w:hAnsi="宋体" w:cs="宋体"/>
                <w:kern w:val="0"/>
                <w:sz w:val="24"/>
              </w:rPr>
            </w:pPr>
            <w:r>
              <w:rPr>
                <w:rFonts w:hint="eastAsia" w:ascii="宋体" w:hAnsi="宋体" w:cs="宋体"/>
                <w:kern w:val="0"/>
                <w:sz w:val="24"/>
              </w:rPr>
              <w:t>54</w:t>
            </w:r>
          </w:p>
        </w:tc>
        <w:tc>
          <w:tcPr>
            <w:tcW w:w="2851" w:type="dxa"/>
            <w:tcBorders>
              <w:top w:val="nil"/>
              <w:left w:val="nil"/>
              <w:bottom w:val="single" w:color="auto" w:sz="4" w:space="0"/>
              <w:right w:val="single" w:color="auto" w:sz="4" w:space="0"/>
            </w:tcBorders>
            <w:shd w:val="clear" w:color="000000" w:fill="FFFFFF"/>
            <w:vAlign w:val="center"/>
          </w:tcPr>
          <w:p w14:paraId="3D014821">
            <w:pPr>
              <w:jc w:val="center"/>
              <w:rPr>
                <w:rFonts w:hint="eastAsia" w:ascii="宋体" w:hAnsi="宋体" w:cs="宋体"/>
                <w:sz w:val="24"/>
              </w:rPr>
            </w:pPr>
            <w:r>
              <w:rPr>
                <w:rFonts w:hint="eastAsia" w:ascii="宋体" w:hAnsi="宋体" w:cs="宋体"/>
                <w:sz w:val="24"/>
              </w:rPr>
              <w:t>人类免疫缺陷病毒质控品</w:t>
            </w:r>
          </w:p>
        </w:tc>
        <w:tc>
          <w:tcPr>
            <w:tcW w:w="1276" w:type="dxa"/>
            <w:tcBorders>
              <w:top w:val="nil"/>
              <w:left w:val="nil"/>
              <w:bottom w:val="single" w:color="auto" w:sz="4" w:space="0"/>
              <w:right w:val="single" w:color="auto" w:sz="4" w:space="0"/>
            </w:tcBorders>
            <w:shd w:val="clear" w:color="000000" w:fill="FFFFFF"/>
            <w:vAlign w:val="center"/>
          </w:tcPr>
          <w:p w14:paraId="7538F792">
            <w:pPr>
              <w:widowControl/>
              <w:jc w:val="center"/>
              <w:rPr>
                <w:rFonts w:hint="eastAsia" w:ascii="宋体" w:hAnsi="宋体" w:cs="宋体"/>
                <w:kern w:val="0"/>
                <w:sz w:val="24"/>
              </w:rPr>
            </w:pPr>
            <w:r>
              <w:rPr>
                <w:rFonts w:hint="eastAsia" w:ascii="宋体" w:hAnsi="宋体" w:cs="宋体"/>
                <w:kern w:val="0"/>
                <w:sz w:val="24"/>
              </w:rPr>
              <w:t>81.67</w:t>
            </w:r>
          </w:p>
        </w:tc>
        <w:tc>
          <w:tcPr>
            <w:tcW w:w="992" w:type="dxa"/>
            <w:tcBorders>
              <w:top w:val="nil"/>
              <w:left w:val="nil"/>
              <w:bottom w:val="single" w:color="auto" w:sz="4" w:space="0"/>
              <w:right w:val="single" w:color="auto" w:sz="4" w:space="0"/>
            </w:tcBorders>
            <w:shd w:val="clear" w:color="000000" w:fill="FFFFFF"/>
            <w:vAlign w:val="center"/>
          </w:tcPr>
          <w:p w14:paraId="257E9739">
            <w:pPr>
              <w:widowControl/>
              <w:jc w:val="center"/>
              <w:rPr>
                <w:rFonts w:hint="eastAsia" w:ascii="宋体" w:hAnsi="宋体" w:cs="宋体"/>
                <w:kern w:val="0"/>
                <w:sz w:val="24"/>
              </w:rPr>
            </w:pPr>
            <w:r>
              <w:rPr>
                <w:rFonts w:hint="eastAsia" w:ascii="宋体" w:hAnsi="宋体" w:cs="宋体"/>
                <w:kern w:val="0"/>
                <w:sz w:val="24"/>
              </w:rPr>
              <w:t>ml</w:t>
            </w:r>
          </w:p>
        </w:tc>
        <w:tc>
          <w:tcPr>
            <w:tcW w:w="992" w:type="dxa"/>
            <w:tcBorders>
              <w:top w:val="nil"/>
              <w:left w:val="nil"/>
              <w:bottom w:val="single" w:color="auto" w:sz="4" w:space="0"/>
              <w:right w:val="single" w:color="auto" w:sz="4" w:space="0"/>
            </w:tcBorders>
            <w:shd w:val="clear" w:color="000000" w:fill="FFFFFF"/>
            <w:noWrap/>
            <w:vAlign w:val="center"/>
          </w:tcPr>
          <w:p w14:paraId="047C30DD">
            <w:pPr>
              <w:widowControl/>
              <w:jc w:val="center"/>
              <w:rPr>
                <w:rFonts w:hint="eastAsia" w:ascii="宋体" w:hAnsi="宋体" w:cs="宋体"/>
                <w:kern w:val="0"/>
                <w:sz w:val="24"/>
              </w:rPr>
            </w:pPr>
            <w:r>
              <w:rPr>
                <w:rFonts w:hint="eastAsia" w:ascii="宋体" w:hAnsi="宋体" w:cs="宋体"/>
                <w:kern w:val="0"/>
                <w:sz w:val="24"/>
              </w:rPr>
              <w:t>72</w:t>
            </w:r>
          </w:p>
        </w:tc>
        <w:tc>
          <w:tcPr>
            <w:tcW w:w="851" w:type="dxa"/>
            <w:tcBorders>
              <w:top w:val="nil"/>
              <w:left w:val="nil"/>
              <w:bottom w:val="single" w:color="auto" w:sz="4" w:space="0"/>
              <w:right w:val="single" w:color="auto" w:sz="4" w:space="0"/>
            </w:tcBorders>
            <w:shd w:val="clear" w:color="000000" w:fill="FFFFFF"/>
            <w:vAlign w:val="center"/>
          </w:tcPr>
          <w:p w14:paraId="2B6B48E1">
            <w:pPr>
              <w:widowControl/>
              <w:jc w:val="center"/>
              <w:rPr>
                <w:rFonts w:hint="eastAsia" w:ascii="宋体" w:hAnsi="宋体" w:cs="宋体"/>
                <w:color w:val="000000"/>
                <w:kern w:val="0"/>
                <w:sz w:val="24"/>
              </w:rPr>
            </w:pPr>
            <w:r>
              <w:rPr>
                <w:rFonts w:hint="eastAsia" w:ascii="宋体" w:hAnsi="宋体" w:cs="宋体"/>
                <w:color w:val="000000"/>
                <w:kern w:val="0"/>
                <w:sz w:val="24"/>
              </w:rPr>
              <w:t>是</w:t>
            </w:r>
          </w:p>
        </w:tc>
        <w:tc>
          <w:tcPr>
            <w:tcW w:w="952" w:type="dxa"/>
            <w:tcBorders>
              <w:top w:val="nil"/>
              <w:left w:val="nil"/>
              <w:bottom w:val="single" w:color="auto" w:sz="4" w:space="0"/>
              <w:right w:val="single" w:color="auto" w:sz="4" w:space="0"/>
            </w:tcBorders>
            <w:shd w:val="clear" w:color="000000" w:fill="FFFFFF"/>
            <w:vAlign w:val="center"/>
          </w:tcPr>
          <w:p w14:paraId="4DD7BB3A">
            <w:pPr>
              <w:widowControl/>
              <w:jc w:val="center"/>
              <w:rPr>
                <w:rFonts w:hint="eastAsia" w:ascii="宋体" w:hAnsi="宋体" w:cs="宋体"/>
                <w:color w:val="000000"/>
                <w:kern w:val="0"/>
                <w:sz w:val="24"/>
              </w:rPr>
            </w:pPr>
            <w:r>
              <w:rPr>
                <w:rFonts w:hint="eastAsia" w:ascii="宋体" w:hAnsi="宋体" w:cs="宋体"/>
                <w:color w:val="000000"/>
                <w:kern w:val="0"/>
                <w:sz w:val="24"/>
              </w:rPr>
              <w:t>否</w:t>
            </w:r>
          </w:p>
        </w:tc>
      </w:tr>
      <w:tr w14:paraId="77E92424">
        <w:tblPrEx>
          <w:tblCellMar>
            <w:top w:w="0" w:type="dxa"/>
            <w:left w:w="108" w:type="dxa"/>
            <w:bottom w:w="0" w:type="dxa"/>
            <w:right w:w="108" w:type="dxa"/>
          </w:tblCellMar>
        </w:tblPrEx>
        <w:trPr>
          <w:trHeight w:val="288" w:hRule="atLeast"/>
        </w:trPr>
        <w:tc>
          <w:tcPr>
            <w:tcW w:w="704" w:type="dxa"/>
            <w:tcBorders>
              <w:top w:val="nil"/>
              <w:left w:val="single" w:color="auto" w:sz="4" w:space="0"/>
              <w:bottom w:val="single" w:color="auto" w:sz="4" w:space="0"/>
              <w:right w:val="single" w:color="auto" w:sz="4" w:space="0"/>
            </w:tcBorders>
            <w:shd w:val="clear" w:color="000000" w:fill="FFFFFF"/>
            <w:vAlign w:val="center"/>
          </w:tcPr>
          <w:p w14:paraId="0BB09FAD">
            <w:pPr>
              <w:widowControl/>
              <w:jc w:val="center"/>
              <w:rPr>
                <w:rFonts w:hint="eastAsia" w:ascii="宋体" w:hAnsi="宋体" w:cs="宋体"/>
                <w:kern w:val="0"/>
                <w:sz w:val="24"/>
              </w:rPr>
            </w:pPr>
            <w:r>
              <w:rPr>
                <w:rFonts w:hint="eastAsia" w:ascii="宋体" w:hAnsi="宋体" w:cs="宋体"/>
                <w:kern w:val="0"/>
                <w:sz w:val="24"/>
              </w:rPr>
              <w:t>55</w:t>
            </w:r>
          </w:p>
        </w:tc>
        <w:tc>
          <w:tcPr>
            <w:tcW w:w="2851" w:type="dxa"/>
            <w:tcBorders>
              <w:top w:val="nil"/>
              <w:left w:val="nil"/>
              <w:bottom w:val="single" w:color="auto" w:sz="4" w:space="0"/>
              <w:right w:val="single" w:color="auto" w:sz="4" w:space="0"/>
            </w:tcBorders>
            <w:shd w:val="clear" w:color="000000" w:fill="FFFFFF"/>
            <w:vAlign w:val="center"/>
          </w:tcPr>
          <w:p w14:paraId="11EA5FF4">
            <w:pPr>
              <w:jc w:val="center"/>
              <w:rPr>
                <w:rFonts w:hint="eastAsia" w:ascii="宋体" w:hAnsi="宋体" w:cs="宋体"/>
                <w:sz w:val="24"/>
              </w:rPr>
            </w:pPr>
            <w:r>
              <w:rPr>
                <w:rFonts w:hint="eastAsia" w:ascii="宋体" w:hAnsi="宋体" w:cs="宋体"/>
                <w:sz w:val="24"/>
              </w:rPr>
              <w:t>三丙胺缓冲液</w:t>
            </w:r>
          </w:p>
        </w:tc>
        <w:tc>
          <w:tcPr>
            <w:tcW w:w="1276" w:type="dxa"/>
            <w:tcBorders>
              <w:top w:val="nil"/>
              <w:left w:val="nil"/>
              <w:bottom w:val="single" w:color="auto" w:sz="4" w:space="0"/>
              <w:right w:val="single" w:color="auto" w:sz="4" w:space="0"/>
            </w:tcBorders>
            <w:shd w:val="clear" w:color="000000" w:fill="FFFFFF"/>
            <w:vAlign w:val="center"/>
          </w:tcPr>
          <w:p w14:paraId="676FDEA4">
            <w:pPr>
              <w:widowControl/>
              <w:jc w:val="center"/>
              <w:rPr>
                <w:rFonts w:hint="eastAsia" w:ascii="宋体" w:hAnsi="宋体" w:cs="宋体"/>
                <w:kern w:val="0"/>
                <w:sz w:val="24"/>
              </w:rPr>
            </w:pPr>
            <w:r>
              <w:rPr>
                <w:rFonts w:hint="eastAsia" w:ascii="宋体" w:hAnsi="宋体" w:cs="宋体"/>
                <w:kern w:val="0"/>
                <w:sz w:val="24"/>
              </w:rPr>
              <w:t>350</w:t>
            </w:r>
          </w:p>
        </w:tc>
        <w:tc>
          <w:tcPr>
            <w:tcW w:w="992" w:type="dxa"/>
            <w:tcBorders>
              <w:top w:val="nil"/>
              <w:left w:val="nil"/>
              <w:bottom w:val="single" w:color="auto" w:sz="4" w:space="0"/>
              <w:right w:val="single" w:color="auto" w:sz="4" w:space="0"/>
            </w:tcBorders>
            <w:shd w:val="clear" w:color="000000" w:fill="FFFFFF"/>
            <w:vAlign w:val="center"/>
          </w:tcPr>
          <w:p w14:paraId="49BD32F6">
            <w:pPr>
              <w:widowControl/>
              <w:jc w:val="center"/>
              <w:rPr>
                <w:rFonts w:hint="eastAsia" w:ascii="宋体" w:hAnsi="宋体" w:cs="宋体"/>
                <w:kern w:val="0"/>
                <w:sz w:val="24"/>
              </w:rPr>
            </w:pPr>
            <w:r>
              <w:rPr>
                <w:rFonts w:hint="eastAsia" w:ascii="宋体" w:hAnsi="宋体" w:cs="宋体"/>
                <w:kern w:val="0"/>
                <w:sz w:val="24"/>
              </w:rPr>
              <w:t>L</w:t>
            </w:r>
          </w:p>
        </w:tc>
        <w:tc>
          <w:tcPr>
            <w:tcW w:w="992" w:type="dxa"/>
            <w:tcBorders>
              <w:top w:val="nil"/>
              <w:left w:val="nil"/>
              <w:bottom w:val="single" w:color="auto" w:sz="4" w:space="0"/>
              <w:right w:val="single" w:color="auto" w:sz="4" w:space="0"/>
            </w:tcBorders>
            <w:shd w:val="clear" w:color="000000" w:fill="FFFFFF"/>
            <w:noWrap/>
            <w:vAlign w:val="center"/>
          </w:tcPr>
          <w:p w14:paraId="7A58EB18">
            <w:pPr>
              <w:widowControl/>
              <w:jc w:val="center"/>
              <w:rPr>
                <w:rFonts w:hint="eastAsia" w:ascii="宋体" w:hAnsi="宋体" w:cs="宋体"/>
                <w:kern w:val="0"/>
                <w:sz w:val="24"/>
              </w:rPr>
            </w:pPr>
            <w:r>
              <w:rPr>
                <w:rFonts w:hint="eastAsia" w:ascii="宋体" w:hAnsi="宋体" w:cs="宋体"/>
                <w:kern w:val="0"/>
                <w:sz w:val="24"/>
              </w:rPr>
              <w:t>384</w:t>
            </w:r>
          </w:p>
        </w:tc>
        <w:tc>
          <w:tcPr>
            <w:tcW w:w="851" w:type="dxa"/>
            <w:tcBorders>
              <w:top w:val="nil"/>
              <w:left w:val="nil"/>
              <w:bottom w:val="single" w:color="auto" w:sz="4" w:space="0"/>
              <w:right w:val="single" w:color="auto" w:sz="4" w:space="0"/>
            </w:tcBorders>
            <w:shd w:val="clear" w:color="000000" w:fill="FFFFFF"/>
            <w:vAlign w:val="center"/>
          </w:tcPr>
          <w:p w14:paraId="403FEEDB">
            <w:pPr>
              <w:widowControl/>
              <w:jc w:val="center"/>
              <w:rPr>
                <w:rFonts w:hint="eastAsia" w:ascii="宋体" w:hAnsi="宋体" w:cs="宋体"/>
                <w:color w:val="000000"/>
                <w:kern w:val="0"/>
                <w:sz w:val="24"/>
              </w:rPr>
            </w:pPr>
            <w:r>
              <w:rPr>
                <w:rFonts w:hint="eastAsia" w:ascii="宋体" w:hAnsi="宋体" w:cs="宋体"/>
                <w:color w:val="000000"/>
                <w:kern w:val="0"/>
                <w:sz w:val="24"/>
              </w:rPr>
              <w:t>是</w:t>
            </w:r>
          </w:p>
        </w:tc>
        <w:tc>
          <w:tcPr>
            <w:tcW w:w="952" w:type="dxa"/>
            <w:tcBorders>
              <w:top w:val="nil"/>
              <w:left w:val="nil"/>
              <w:bottom w:val="single" w:color="auto" w:sz="4" w:space="0"/>
              <w:right w:val="single" w:color="auto" w:sz="4" w:space="0"/>
            </w:tcBorders>
            <w:shd w:val="clear" w:color="000000" w:fill="FFFFFF"/>
            <w:vAlign w:val="center"/>
          </w:tcPr>
          <w:p w14:paraId="6FBB1A34">
            <w:pPr>
              <w:widowControl/>
              <w:jc w:val="center"/>
              <w:rPr>
                <w:rFonts w:hint="eastAsia" w:ascii="宋体" w:hAnsi="宋体" w:cs="宋体"/>
                <w:color w:val="000000"/>
                <w:kern w:val="0"/>
                <w:sz w:val="24"/>
              </w:rPr>
            </w:pPr>
            <w:r>
              <w:rPr>
                <w:rFonts w:hint="eastAsia" w:ascii="宋体" w:hAnsi="宋体" w:cs="宋体"/>
                <w:color w:val="000000"/>
                <w:kern w:val="0"/>
                <w:sz w:val="24"/>
              </w:rPr>
              <w:t>否</w:t>
            </w:r>
          </w:p>
        </w:tc>
      </w:tr>
      <w:tr w14:paraId="2C47F00C">
        <w:tblPrEx>
          <w:tblCellMar>
            <w:top w:w="0" w:type="dxa"/>
            <w:left w:w="108" w:type="dxa"/>
            <w:bottom w:w="0" w:type="dxa"/>
            <w:right w:w="108" w:type="dxa"/>
          </w:tblCellMar>
        </w:tblPrEx>
        <w:trPr>
          <w:trHeight w:val="576" w:hRule="atLeast"/>
        </w:trPr>
        <w:tc>
          <w:tcPr>
            <w:tcW w:w="704" w:type="dxa"/>
            <w:tcBorders>
              <w:top w:val="nil"/>
              <w:left w:val="single" w:color="auto" w:sz="4" w:space="0"/>
              <w:bottom w:val="single" w:color="auto" w:sz="4" w:space="0"/>
              <w:right w:val="single" w:color="auto" w:sz="4" w:space="0"/>
            </w:tcBorders>
            <w:shd w:val="clear" w:color="000000" w:fill="FFFFFF"/>
            <w:vAlign w:val="center"/>
          </w:tcPr>
          <w:p w14:paraId="461C5E9B">
            <w:pPr>
              <w:widowControl/>
              <w:jc w:val="center"/>
              <w:rPr>
                <w:rFonts w:hint="eastAsia" w:ascii="宋体" w:hAnsi="宋体" w:cs="宋体"/>
                <w:kern w:val="0"/>
                <w:sz w:val="24"/>
              </w:rPr>
            </w:pPr>
            <w:r>
              <w:rPr>
                <w:rFonts w:hint="eastAsia" w:ascii="宋体" w:hAnsi="宋体" w:cs="宋体"/>
                <w:kern w:val="0"/>
                <w:sz w:val="24"/>
              </w:rPr>
              <w:t>56</w:t>
            </w:r>
          </w:p>
        </w:tc>
        <w:tc>
          <w:tcPr>
            <w:tcW w:w="2851" w:type="dxa"/>
            <w:tcBorders>
              <w:top w:val="nil"/>
              <w:left w:val="nil"/>
              <w:bottom w:val="single" w:color="auto" w:sz="4" w:space="0"/>
              <w:right w:val="single" w:color="auto" w:sz="4" w:space="0"/>
            </w:tcBorders>
            <w:shd w:val="clear" w:color="000000" w:fill="FFFFFF"/>
            <w:vAlign w:val="center"/>
          </w:tcPr>
          <w:p w14:paraId="49663EF1">
            <w:pPr>
              <w:jc w:val="center"/>
              <w:rPr>
                <w:rFonts w:hint="eastAsia" w:ascii="宋体" w:hAnsi="宋体" w:cs="宋体"/>
                <w:sz w:val="24"/>
              </w:rPr>
            </w:pPr>
            <w:r>
              <w:rPr>
                <w:rFonts w:hint="eastAsia" w:ascii="宋体" w:hAnsi="宋体" w:cs="宋体"/>
                <w:sz w:val="24"/>
              </w:rPr>
              <w:t>三碘甲状腺原氨酸定标液</w:t>
            </w:r>
          </w:p>
        </w:tc>
        <w:tc>
          <w:tcPr>
            <w:tcW w:w="1276" w:type="dxa"/>
            <w:tcBorders>
              <w:top w:val="nil"/>
              <w:left w:val="nil"/>
              <w:bottom w:val="single" w:color="auto" w:sz="4" w:space="0"/>
              <w:right w:val="single" w:color="auto" w:sz="4" w:space="0"/>
            </w:tcBorders>
            <w:shd w:val="clear" w:color="000000" w:fill="FFFFFF"/>
            <w:vAlign w:val="center"/>
          </w:tcPr>
          <w:p w14:paraId="72898D32">
            <w:pPr>
              <w:widowControl/>
              <w:jc w:val="center"/>
              <w:rPr>
                <w:rFonts w:hint="eastAsia" w:ascii="宋体" w:hAnsi="宋体" w:cs="宋体"/>
                <w:kern w:val="0"/>
                <w:sz w:val="24"/>
              </w:rPr>
            </w:pPr>
            <w:r>
              <w:rPr>
                <w:rFonts w:hint="eastAsia" w:ascii="宋体" w:hAnsi="宋体" w:cs="宋体"/>
                <w:kern w:val="0"/>
                <w:sz w:val="24"/>
              </w:rPr>
              <w:t>362.5</w:t>
            </w:r>
          </w:p>
        </w:tc>
        <w:tc>
          <w:tcPr>
            <w:tcW w:w="992" w:type="dxa"/>
            <w:tcBorders>
              <w:top w:val="nil"/>
              <w:left w:val="nil"/>
              <w:bottom w:val="single" w:color="auto" w:sz="4" w:space="0"/>
              <w:right w:val="single" w:color="auto" w:sz="4" w:space="0"/>
            </w:tcBorders>
            <w:shd w:val="clear" w:color="000000" w:fill="FFFFFF"/>
            <w:vAlign w:val="center"/>
          </w:tcPr>
          <w:p w14:paraId="21FABBB7">
            <w:pPr>
              <w:widowControl/>
              <w:jc w:val="center"/>
              <w:rPr>
                <w:rFonts w:hint="eastAsia" w:ascii="宋体" w:hAnsi="宋体" w:cs="宋体"/>
                <w:kern w:val="0"/>
                <w:sz w:val="24"/>
              </w:rPr>
            </w:pPr>
            <w:r>
              <w:rPr>
                <w:rFonts w:hint="eastAsia" w:ascii="宋体" w:hAnsi="宋体" w:cs="宋体"/>
                <w:kern w:val="0"/>
                <w:sz w:val="24"/>
              </w:rPr>
              <w:t>ml</w:t>
            </w:r>
          </w:p>
        </w:tc>
        <w:tc>
          <w:tcPr>
            <w:tcW w:w="992" w:type="dxa"/>
            <w:tcBorders>
              <w:top w:val="nil"/>
              <w:left w:val="nil"/>
              <w:bottom w:val="single" w:color="auto" w:sz="4" w:space="0"/>
              <w:right w:val="single" w:color="auto" w:sz="4" w:space="0"/>
            </w:tcBorders>
            <w:shd w:val="clear" w:color="000000" w:fill="FFFFFF"/>
            <w:noWrap/>
            <w:vAlign w:val="center"/>
          </w:tcPr>
          <w:p w14:paraId="2B001B65">
            <w:pPr>
              <w:widowControl/>
              <w:jc w:val="center"/>
              <w:rPr>
                <w:rFonts w:hint="eastAsia" w:ascii="宋体" w:hAnsi="宋体" w:cs="宋体"/>
                <w:kern w:val="0"/>
                <w:sz w:val="24"/>
              </w:rPr>
            </w:pPr>
            <w:r>
              <w:rPr>
                <w:rFonts w:hint="eastAsia" w:ascii="宋体" w:hAnsi="宋体" w:cs="宋体"/>
                <w:kern w:val="0"/>
                <w:sz w:val="24"/>
              </w:rPr>
              <w:t>4</w:t>
            </w:r>
          </w:p>
        </w:tc>
        <w:tc>
          <w:tcPr>
            <w:tcW w:w="851" w:type="dxa"/>
            <w:tcBorders>
              <w:top w:val="nil"/>
              <w:left w:val="nil"/>
              <w:bottom w:val="single" w:color="auto" w:sz="4" w:space="0"/>
              <w:right w:val="single" w:color="auto" w:sz="4" w:space="0"/>
            </w:tcBorders>
            <w:shd w:val="clear" w:color="000000" w:fill="FFFFFF"/>
            <w:vAlign w:val="center"/>
          </w:tcPr>
          <w:p w14:paraId="3E27C935">
            <w:pPr>
              <w:widowControl/>
              <w:jc w:val="center"/>
              <w:rPr>
                <w:rFonts w:hint="eastAsia" w:ascii="宋体" w:hAnsi="宋体" w:cs="宋体"/>
                <w:color w:val="000000"/>
                <w:kern w:val="0"/>
                <w:sz w:val="24"/>
              </w:rPr>
            </w:pPr>
            <w:r>
              <w:rPr>
                <w:rFonts w:hint="eastAsia" w:ascii="宋体" w:hAnsi="宋体" w:cs="宋体"/>
                <w:color w:val="000000"/>
                <w:kern w:val="0"/>
                <w:sz w:val="24"/>
              </w:rPr>
              <w:t>是</w:t>
            </w:r>
          </w:p>
        </w:tc>
        <w:tc>
          <w:tcPr>
            <w:tcW w:w="952" w:type="dxa"/>
            <w:tcBorders>
              <w:top w:val="nil"/>
              <w:left w:val="nil"/>
              <w:bottom w:val="single" w:color="auto" w:sz="4" w:space="0"/>
              <w:right w:val="single" w:color="auto" w:sz="4" w:space="0"/>
            </w:tcBorders>
            <w:shd w:val="clear" w:color="000000" w:fill="FFFFFF"/>
            <w:vAlign w:val="center"/>
          </w:tcPr>
          <w:p w14:paraId="175ED617">
            <w:pPr>
              <w:widowControl/>
              <w:jc w:val="center"/>
              <w:rPr>
                <w:rFonts w:hint="eastAsia" w:ascii="宋体" w:hAnsi="宋体" w:cs="宋体"/>
                <w:color w:val="000000"/>
                <w:kern w:val="0"/>
                <w:sz w:val="24"/>
              </w:rPr>
            </w:pPr>
            <w:r>
              <w:rPr>
                <w:rFonts w:hint="eastAsia" w:ascii="宋体" w:hAnsi="宋体" w:cs="宋体"/>
                <w:color w:val="000000"/>
                <w:kern w:val="0"/>
                <w:sz w:val="24"/>
              </w:rPr>
              <w:t>否</w:t>
            </w:r>
          </w:p>
        </w:tc>
      </w:tr>
      <w:tr w14:paraId="72B0166D">
        <w:tblPrEx>
          <w:tblCellMar>
            <w:top w:w="0" w:type="dxa"/>
            <w:left w:w="108" w:type="dxa"/>
            <w:bottom w:w="0" w:type="dxa"/>
            <w:right w:w="108" w:type="dxa"/>
          </w:tblCellMar>
        </w:tblPrEx>
        <w:trPr>
          <w:trHeight w:val="576" w:hRule="atLeast"/>
        </w:trPr>
        <w:tc>
          <w:tcPr>
            <w:tcW w:w="704" w:type="dxa"/>
            <w:tcBorders>
              <w:top w:val="nil"/>
              <w:left w:val="single" w:color="auto" w:sz="4" w:space="0"/>
              <w:bottom w:val="single" w:color="auto" w:sz="4" w:space="0"/>
              <w:right w:val="single" w:color="auto" w:sz="4" w:space="0"/>
            </w:tcBorders>
            <w:shd w:val="clear" w:color="000000" w:fill="FFFFFF"/>
            <w:vAlign w:val="center"/>
          </w:tcPr>
          <w:p w14:paraId="5ED0BEF8">
            <w:pPr>
              <w:widowControl/>
              <w:jc w:val="center"/>
              <w:rPr>
                <w:rFonts w:hint="eastAsia" w:ascii="宋体" w:hAnsi="宋体" w:cs="宋体"/>
                <w:kern w:val="0"/>
                <w:sz w:val="24"/>
              </w:rPr>
            </w:pPr>
            <w:r>
              <w:rPr>
                <w:rFonts w:hint="eastAsia" w:ascii="宋体" w:hAnsi="宋体" w:cs="宋体"/>
                <w:kern w:val="0"/>
                <w:sz w:val="24"/>
              </w:rPr>
              <w:t>57</w:t>
            </w:r>
          </w:p>
        </w:tc>
        <w:tc>
          <w:tcPr>
            <w:tcW w:w="2851" w:type="dxa"/>
            <w:tcBorders>
              <w:top w:val="nil"/>
              <w:left w:val="nil"/>
              <w:bottom w:val="single" w:color="auto" w:sz="4" w:space="0"/>
              <w:right w:val="single" w:color="auto" w:sz="4" w:space="0"/>
            </w:tcBorders>
            <w:shd w:val="clear" w:color="000000" w:fill="FFFFFF"/>
            <w:vAlign w:val="center"/>
          </w:tcPr>
          <w:p w14:paraId="093B1C4B">
            <w:pPr>
              <w:jc w:val="center"/>
              <w:rPr>
                <w:rFonts w:hint="eastAsia" w:ascii="宋体" w:hAnsi="宋体" w:cs="宋体"/>
                <w:sz w:val="24"/>
              </w:rPr>
            </w:pPr>
            <w:r>
              <w:rPr>
                <w:rFonts w:hint="eastAsia" w:ascii="宋体" w:hAnsi="宋体" w:cs="宋体"/>
                <w:sz w:val="24"/>
              </w:rPr>
              <w:t>三碘甲状腺原氨酸检测试剂盒</w:t>
            </w:r>
          </w:p>
        </w:tc>
        <w:tc>
          <w:tcPr>
            <w:tcW w:w="1276" w:type="dxa"/>
            <w:tcBorders>
              <w:top w:val="nil"/>
              <w:left w:val="nil"/>
              <w:bottom w:val="single" w:color="auto" w:sz="4" w:space="0"/>
              <w:right w:val="single" w:color="auto" w:sz="4" w:space="0"/>
            </w:tcBorders>
            <w:shd w:val="clear" w:color="000000" w:fill="FFFFFF"/>
            <w:vAlign w:val="center"/>
          </w:tcPr>
          <w:p w14:paraId="3BB927D0">
            <w:pPr>
              <w:widowControl/>
              <w:jc w:val="center"/>
              <w:rPr>
                <w:rFonts w:hint="eastAsia" w:ascii="宋体" w:hAnsi="宋体" w:cs="宋体"/>
                <w:kern w:val="0"/>
                <w:sz w:val="24"/>
              </w:rPr>
            </w:pPr>
            <w:r>
              <w:rPr>
                <w:rFonts w:hint="eastAsia" w:ascii="宋体" w:hAnsi="宋体" w:cs="宋体"/>
                <w:kern w:val="0"/>
                <w:sz w:val="24"/>
              </w:rPr>
              <w:t>10.8</w:t>
            </w:r>
          </w:p>
        </w:tc>
        <w:tc>
          <w:tcPr>
            <w:tcW w:w="992" w:type="dxa"/>
            <w:tcBorders>
              <w:top w:val="nil"/>
              <w:left w:val="nil"/>
              <w:bottom w:val="single" w:color="auto" w:sz="4" w:space="0"/>
              <w:right w:val="single" w:color="auto" w:sz="4" w:space="0"/>
            </w:tcBorders>
            <w:shd w:val="clear" w:color="000000" w:fill="FFFFFF"/>
            <w:vAlign w:val="center"/>
          </w:tcPr>
          <w:p w14:paraId="493923BD">
            <w:pPr>
              <w:widowControl/>
              <w:jc w:val="center"/>
              <w:rPr>
                <w:rFonts w:hint="eastAsia" w:ascii="宋体" w:hAnsi="宋体" w:cs="宋体"/>
                <w:kern w:val="0"/>
                <w:sz w:val="24"/>
              </w:rPr>
            </w:pPr>
            <w:r>
              <w:rPr>
                <w:rFonts w:hint="eastAsia" w:ascii="宋体" w:hAnsi="宋体" w:cs="宋体"/>
                <w:kern w:val="0"/>
                <w:sz w:val="24"/>
              </w:rPr>
              <w:t>人份</w:t>
            </w:r>
          </w:p>
        </w:tc>
        <w:tc>
          <w:tcPr>
            <w:tcW w:w="992" w:type="dxa"/>
            <w:tcBorders>
              <w:top w:val="nil"/>
              <w:left w:val="nil"/>
              <w:bottom w:val="single" w:color="auto" w:sz="4" w:space="0"/>
              <w:right w:val="single" w:color="auto" w:sz="4" w:space="0"/>
            </w:tcBorders>
            <w:shd w:val="clear" w:color="000000" w:fill="FFFFFF"/>
            <w:noWrap/>
            <w:vAlign w:val="center"/>
          </w:tcPr>
          <w:p w14:paraId="301CE6F2">
            <w:pPr>
              <w:widowControl/>
              <w:jc w:val="center"/>
              <w:rPr>
                <w:rFonts w:hint="eastAsia" w:ascii="宋体" w:hAnsi="宋体" w:cs="宋体"/>
                <w:kern w:val="0"/>
                <w:sz w:val="24"/>
              </w:rPr>
            </w:pPr>
            <w:r>
              <w:rPr>
                <w:rFonts w:hint="eastAsia" w:ascii="宋体" w:hAnsi="宋体" w:cs="宋体"/>
                <w:kern w:val="0"/>
                <w:sz w:val="24"/>
              </w:rPr>
              <w:t>5700</w:t>
            </w:r>
          </w:p>
        </w:tc>
        <w:tc>
          <w:tcPr>
            <w:tcW w:w="851" w:type="dxa"/>
            <w:tcBorders>
              <w:top w:val="nil"/>
              <w:left w:val="nil"/>
              <w:bottom w:val="single" w:color="auto" w:sz="4" w:space="0"/>
              <w:right w:val="single" w:color="auto" w:sz="4" w:space="0"/>
            </w:tcBorders>
            <w:shd w:val="clear" w:color="000000" w:fill="FFFFFF"/>
            <w:vAlign w:val="center"/>
          </w:tcPr>
          <w:p w14:paraId="5FD4B139">
            <w:pPr>
              <w:widowControl/>
              <w:jc w:val="center"/>
              <w:rPr>
                <w:rFonts w:hint="eastAsia" w:ascii="宋体" w:hAnsi="宋体" w:cs="宋体"/>
                <w:color w:val="000000"/>
                <w:kern w:val="0"/>
                <w:sz w:val="24"/>
              </w:rPr>
            </w:pPr>
            <w:r>
              <w:rPr>
                <w:rFonts w:hint="eastAsia" w:ascii="宋体" w:hAnsi="宋体" w:cs="宋体"/>
                <w:color w:val="000000"/>
                <w:kern w:val="0"/>
                <w:sz w:val="24"/>
              </w:rPr>
              <w:t>是</w:t>
            </w:r>
          </w:p>
        </w:tc>
        <w:tc>
          <w:tcPr>
            <w:tcW w:w="952" w:type="dxa"/>
            <w:tcBorders>
              <w:top w:val="nil"/>
              <w:left w:val="nil"/>
              <w:bottom w:val="single" w:color="auto" w:sz="4" w:space="0"/>
              <w:right w:val="single" w:color="auto" w:sz="4" w:space="0"/>
            </w:tcBorders>
            <w:shd w:val="clear" w:color="000000" w:fill="FFFFFF"/>
            <w:vAlign w:val="center"/>
          </w:tcPr>
          <w:p w14:paraId="7D9FB357">
            <w:pPr>
              <w:widowControl/>
              <w:jc w:val="center"/>
              <w:rPr>
                <w:rFonts w:hint="eastAsia" w:ascii="宋体" w:hAnsi="宋体" w:cs="宋体"/>
                <w:color w:val="000000"/>
                <w:kern w:val="0"/>
                <w:sz w:val="24"/>
              </w:rPr>
            </w:pPr>
            <w:r>
              <w:rPr>
                <w:rFonts w:hint="eastAsia" w:ascii="宋体" w:hAnsi="宋体" w:cs="宋体"/>
                <w:color w:val="000000"/>
                <w:kern w:val="0"/>
                <w:sz w:val="24"/>
              </w:rPr>
              <w:t>否</w:t>
            </w:r>
          </w:p>
        </w:tc>
      </w:tr>
      <w:tr w14:paraId="78C767E0">
        <w:tblPrEx>
          <w:tblCellMar>
            <w:top w:w="0" w:type="dxa"/>
            <w:left w:w="108" w:type="dxa"/>
            <w:bottom w:w="0" w:type="dxa"/>
            <w:right w:w="108" w:type="dxa"/>
          </w:tblCellMar>
        </w:tblPrEx>
        <w:trPr>
          <w:trHeight w:val="576" w:hRule="atLeast"/>
        </w:trPr>
        <w:tc>
          <w:tcPr>
            <w:tcW w:w="704" w:type="dxa"/>
            <w:tcBorders>
              <w:top w:val="nil"/>
              <w:left w:val="single" w:color="auto" w:sz="4" w:space="0"/>
              <w:bottom w:val="single" w:color="auto" w:sz="4" w:space="0"/>
              <w:right w:val="single" w:color="auto" w:sz="4" w:space="0"/>
            </w:tcBorders>
            <w:shd w:val="clear" w:color="000000" w:fill="FFFFFF"/>
            <w:vAlign w:val="center"/>
          </w:tcPr>
          <w:p w14:paraId="68593D52">
            <w:pPr>
              <w:widowControl/>
              <w:jc w:val="center"/>
              <w:rPr>
                <w:rFonts w:hint="eastAsia" w:ascii="宋体" w:hAnsi="宋体" w:cs="宋体"/>
                <w:kern w:val="0"/>
                <w:sz w:val="24"/>
              </w:rPr>
            </w:pPr>
            <w:r>
              <w:rPr>
                <w:rFonts w:hint="eastAsia" w:ascii="宋体" w:hAnsi="宋体" w:cs="宋体"/>
                <w:kern w:val="0"/>
                <w:sz w:val="24"/>
              </w:rPr>
              <w:t>58</w:t>
            </w:r>
          </w:p>
        </w:tc>
        <w:tc>
          <w:tcPr>
            <w:tcW w:w="2851" w:type="dxa"/>
            <w:tcBorders>
              <w:top w:val="nil"/>
              <w:left w:val="nil"/>
              <w:bottom w:val="single" w:color="auto" w:sz="4" w:space="0"/>
              <w:right w:val="single" w:color="auto" w:sz="4" w:space="0"/>
            </w:tcBorders>
            <w:shd w:val="clear" w:color="000000" w:fill="FFFFFF"/>
            <w:vAlign w:val="center"/>
          </w:tcPr>
          <w:p w14:paraId="42925804">
            <w:pPr>
              <w:jc w:val="center"/>
              <w:rPr>
                <w:rFonts w:hint="eastAsia" w:ascii="宋体" w:hAnsi="宋体" w:cs="宋体"/>
                <w:sz w:val="24"/>
              </w:rPr>
            </w:pPr>
            <w:r>
              <w:rPr>
                <w:rFonts w:hint="eastAsia" w:ascii="宋体" w:hAnsi="宋体" w:cs="宋体"/>
                <w:sz w:val="24"/>
              </w:rPr>
              <w:t>三碘甲状腺原氨酸测定试剂盒</w:t>
            </w:r>
          </w:p>
        </w:tc>
        <w:tc>
          <w:tcPr>
            <w:tcW w:w="1276" w:type="dxa"/>
            <w:tcBorders>
              <w:top w:val="nil"/>
              <w:left w:val="nil"/>
              <w:bottom w:val="single" w:color="auto" w:sz="4" w:space="0"/>
              <w:right w:val="single" w:color="auto" w:sz="4" w:space="0"/>
            </w:tcBorders>
            <w:shd w:val="clear" w:color="000000" w:fill="FFFFFF"/>
            <w:vAlign w:val="center"/>
          </w:tcPr>
          <w:p w14:paraId="03477A82">
            <w:pPr>
              <w:widowControl/>
              <w:jc w:val="center"/>
              <w:rPr>
                <w:rFonts w:hint="eastAsia" w:ascii="宋体" w:hAnsi="宋体" w:cs="宋体"/>
                <w:kern w:val="0"/>
                <w:sz w:val="24"/>
              </w:rPr>
            </w:pPr>
            <w:r>
              <w:rPr>
                <w:rFonts w:hint="eastAsia" w:ascii="宋体" w:hAnsi="宋体" w:cs="宋体"/>
                <w:kern w:val="0"/>
                <w:sz w:val="24"/>
              </w:rPr>
              <w:t>12.5</w:t>
            </w:r>
          </w:p>
        </w:tc>
        <w:tc>
          <w:tcPr>
            <w:tcW w:w="992" w:type="dxa"/>
            <w:tcBorders>
              <w:top w:val="nil"/>
              <w:left w:val="nil"/>
              <w:bottom w:val="single" w:color="auto" w:sz="4" w:space="0"/>
              <w:right w:val="single" w:color="auto" w:sz="4" w:space="0"/>
            </w:tcBorders>
            <w:shd w:val="clear" w:color="000000" w:fill="FFFFFF"/>
            <w:vAlign w:val="center"/>
          </w:tcPr>
          <w:p w14:paraId="683373AA">
            <w:pPr>
              <w:widowControl/>
              <w:jc w:val="center"/>
              <w:rPr>
                <w:rFonts w:hint="eastAsia" w:ascii="宋体" w:hAnsi="宋体" w:cs="宋体"/>
                <w:kern w:val="0"/>
                <w:sz w:val="24"/>
              </w:rPr>
            </w:pPr>
            <w:r>
              <w:rPr>
                <w:rFonts w:hint="eastAsia" w:ascii="宋体" w:hAnsi="宋体" w:cs="宋体"/>
                <w:kern w:val="0"/>
                <w:sz w:val="24"/>
              </w:rPr>
              <w:t>人份</w:t>
            </w:r>
          </w:p>
        </w:tc>
        <w:tc>
          <w:tcPr>
            <w:tcW w:w="992" w:type="dxa"/>
            <w:tcBorders>
              <w:top w:val="nil"/>
              <w:left w:val="nil"/>
              <w:bottom w:val="single" w:color="auto" w:sz="4" w:space="0"/>
              <w:right w:val="single" w:color="auto" w:sz="4" w:space="0"/>
            </w:tcBorders>
            <w:shd w:val="clear" w:color="000000" w:fill="FFFFFF"/>
            <w:noWrap/>
            <w:vAlign w:val="center"/>
          </w:tcPr>
          <w:p w14:paraId="18E92192">
            <w:pPr>
              <w:widowControl/>
              <w:jc w:val="center"/>
              <w:rPr>
                <w:rFonts w:hint="eastAsia" w:ascii="宋体" w:hAnsi="宋体" w:cs="宋体"/>
                <w:kern w:val="0"/>
                <w:sz w:val="24"/>
              </w:rPr>
            </w:pPr>
            <w:r>
              <w:rPr>
                <w:rFonts w:hint="eastAsia" w:ascii="宋体" w:hAnsi="宋体" w:cs="宋体"/>
                <w:kern w:val="0"/>
                <w:sz w:val="24"/>
              </w:rPr>
              <w:t>200</w:t>
            </w:r>
          </w:p>
        </w:tc>
        <w:tc>
          <w:tcPr>
            <w:tcW w:w="851" w:type="dxa"/>
            <w:tcBorders>
              <w:top w:val="nil"/>
              <w:left w:val="nil"/>
              <w:bottom w:val="single" w:color="auto" w:sz="4" w:space="0"/>
              <w:right w:val="single" w:color="auto" w:sz="4" w:space="0"/>
            </w:tcBorders>
            <w:shd w:val="clear" w:color="000000" w:fill="FFFFFF"/>
            <w:vAlign w:val="center"/>
          </w:tcPr>
          <w:p w14:paraId="42B99C3B">
            <w:pPr>
              <w:widowControl/>
              <w:jc w:val="center"/>
              <w:rPr>
                <w:rFonts w:hint="eastAsia" w:ascii="宋体" w:hAnsi="宋体" w:cs="宋体"/>
                <w:color w:val="000000"/>
                <w:kern w:val="0"/>
                <w:sz w:val="24"/>
              </w:rPr>
            </w:pPr>
            <w:r>
              <w:rPr>
                <w:rFonts w:hint="eastAsia" w:ascii="宋体" w:hAnsi="宋体" w:cs="宋体"/>
                <w:color w:val="000000"/>
                <w:kern w:val="0"/>
                <w:sz w:val="24"/>
              </w:rPr>
              <w:t>是</w:t>
            </w:r>
          </w:p>
        </w:tc>
        <w:tc>
          <w:tcPr>
            <w:tcW w:w="952" w:type="dxa"/>
            <w:tcBorders>
              <w:top w:val="nil"/>
              <w:left w:val="nil"/>
              <w:bottom w:val="single" w:color="auto" w:sz="4" w:space="0"/>
              <w:right w:val="single" w:color="auto" w:sz="4" w:space="0"/>
            </w:tcBorders>
            <w:shd w:val="clear" w:color="000000" w:fill="FFFFFF"/>
            <w:vAlign w:val="center"/>
          </w:tcPr>
          <w:p w14:paraId="65AB5421">
            <w:pPr>
              <w:widowControl/>
              <w:jc w:val="center"/>
              <w:rPr>
                <w:rFonts w:hint="eastAsia" w:ascii="宋体" w:hAnsi="宋体" w:cs="宋体"/>
                <w:color w:val="000000"/>
                <w:kern w:val="0"/>
                <w:sz w:val="24"/>
              </w:rPr>
            </w:pPr>
            <w:r>
              <w:rPr>
                <w:rFonts w:hint="eastAsia" w:ascii="宋体" w:hAnsi="宋体" w:cs="宋体"/>
                <w:color w:val="000000"/>
                <w:kern w:val="0"/>
                <w:sz w:val="24"/>
              </w:rPr>
              <w:t>否</w:t>
            </w:r>
          </w:p>
        </w:tc>
      </w:tr>
      <w:tr w14:paraId="03069DE2">
        <w:tblPrEx>
          <w:tblCellMar>
            <w:top w:w="0" w:type="dxa"/>
            <w:left w:w="108" w:type="dxa"/>
            <w:bottom w:w="0" w:type="dxa"/>
            <w:right w:w="108" w:type="dxa"/>
          </w:tblCellMar>
        </w:tblPrEx>
        <w:trPr>
          <w:trHeight w:val="90" w:hRule="atLeast"/>
        </w:trPr>
        <w:tc>
          <w:tcPr>
            <w:tcW w:w="704" w:type="dxa"/>
            <w:tcBorders>
              <w:top w:val="nil"/>
              <w:left w:val="single" w:color="auto" w:sz="4" w:space="0"/>
              <w:bottom w:val="single" w:color="auto" w:sz="4" w:space="0"/>
              <w:right w:val="single" w:color="auto" w:sz="4" w:space="0"/>
            </w:tcBorders>
            <w:shd w:val="clear" w:color="000000" w:fill="FFFFFF"/>
            <w:vAlign w:val="center"/>
          </w:tcPr>
          <w:p w14:paraId="14E9002D">
            <w:pPr>
              <w:widowControl/>
              <w:jc w:val="center"/>
              <w:rPr>
                <w:rFonts w:hint="eastAsia" w:ascii="宋体" w:hAnsi="宋体" w:cs="宋体"/>
                <w:kern w:val="0"/>
                <w:sz w:val="24"/>
              </w:rPr>
            </w:pPr>
            <w:r>
              <w:rPr>
                <w:rFonts w:hint="eastAsia" w:ascii="宋体" w:hAnsi="宋体" w:cs="宋体"/>
                <w:kern w:val="0"/>
                <w:sz w:val="24"/>
              </w:rPr>
              <w:t>59</w:t>
            </w:r>
          </w:p>
        </w:tc>
        <w:tc>
          <w:tcPr>
            <w:tcW w:w="2851" w:type="dxa"/>
            <w:tcBorders>
              <w:top w:val="nil"/>
              <w:left w:val="nil"/>
              <w:bottom w:val="single" w:color="auto" w:sz="4" w:space="0"/>
              <w:right w:val="single" w:color="auto" w:sz="4" w:space="0"/>
            </w:tcBorders>
            <w:shd w:val="clear" w:color="000000" w:fill="FFFFFF"/>
            <w:vAlign w:val="center"/>
          </w:tcPr>
          <w:p w14:paraId="49B8854E">
            <w:pPr>
              <w:jc w:val="center"/>
              <w:rPr>
                <w:rFonts w:hint="eastAsia" w:ascii="宋体" w:hAnsi="宋体" w:cs="宋体"/>
                <w:sz w:val="24"/>
              </w:rPr>
            </w:pPr>
            <w:r>
              <w:rPr>
                <w:rFonts w:hint="eastAsia" w:ascii="宋体" w:hAnsi="宋体" w:cs="宋体"/>
                <w:sz w:val="24"/>
              </w:rPr>
              <w:t>神经元特异性烯醇化酶测定试剂盒</w:t>
            </w:r>
          </w:p>
        </w:tc>
        <w:tc>
          <w:tcPr>
            <w:tcW w:w="1276" w:type="dxa"/>
            <w:tcBorders>
              <w:top w:val="nil"/>
              <w:left w:val="nil"/>
              <w:bottom w:val="single" w:color="auto" w:sz="4" w:space="0"/>
              <w:right w:val="single" w:color="auto" w:sz="4" w:space="0"/>
            </w:tcBorders>
            <w:shd w:val="clear" w:color="000000" w:fill="FFFFFF"/>
            <w:vAlign w:val="center"/>
          </w:tcPr>
          <w:p w14:paraId="46DEDBB3">
            <w:pPr>
              <w:widowControl/>
              <w:jc w:val="center"/>
              <w:rPr>
                <w:rFonts w:hint="eastAsia" w:ascii="宋体" w:hAnsi="宋体" w:cs="宋体"/>
                <w:kern w:val="0"/>
                <w:sz w:val="24"/>
              </w:rPr>
            </w:pPr>
            <w:r>
              <w:rPr>
                <w:rFonts w:hint="eastAsia" w:ascii="宋体" w:hAnsi="宋体" w:cs="宋体"/>
                <w:kern w:val="0"/>
                <w:sz w:val="24"/>
              </w:rPr>
              <w:t>25</w:t>
            </w:r>
          </w:p>
        </w:tc>
        <w:tc>
          <w:tcPr>
            <w:tcW w:w="992" w:type="dxa"/>
            <w:tcBorders>
              <w:top w:val="nil"/>
              <w:left w:val="nil"/>
              <w:bottom w:val="single" w:color="auto" w:sz="4" w:space="0"/>
              <w:right w:val="single" w:color="auto" w:sz="4" w:space="0"/>
            </w:tcBorders>
            <w:shd w:val="clear" w:color="000000" w:fill="FFFFFF"/>
            <w:vAlign w:val="center"/>
          </w:tcPr>
          <w:p w14:paraId="6E9F3E1D">
            <w:pPr>
              <w:widowControl/>
              <w:jc w:val="center"/>
              <w:rPr>
                <w:rFonts w:hint="eastAsia" w:ascii="宋体" w:hAnsi="宋体" w:cs="宋体"/>
                <w:kern w:val="0"/>
                <w:sz w:val="24"/>
              </w:rPr>
            </w:pPr>
            <w:r>
              <w:rPr>
                <w:rFonts w:hint="eastAsia" w:ascii="宋体" w:hAnsi="宋体" w:cs="宋体"/>
                <w:kern w:val="0"/>
                <w:sz w:val="24"/>
              </w:rPr>
              <w:t>人份</w:t>
            </w:r>
          </w:p>
        </w:tc>
        <w:tc>
          <w:tcPr>
            <w:tcW w:w="992" w:type="dxa"/>
            <w:tcBorders>
              <w:top w:val="nil"/>
              <w:left w:val="nil"/>
              <w:bottom w:val="single" w:color="auto" w:sz="4" w:space="0"/>
              <w:right w:val="single" w:color="auto" w:sz="4" w:space="0"/>
            </w:tcBorders>
            <w:shd w:val="clear" w:color="000000" w:fill="FFFFFF"/>
            <w:noWrap/>
            <w:vAlign w:val="center"/>
          </w:tcPr>
          <w:p w14:paraId="6E1EC170">
            <w:pPr>
              <w:widowControl/>
              <w:jc w:val="center"/>
              <w:rPr>
                <w:rFonts w:hint="eastAsia" w:ascii="宋体" w:hAnsi="宋体" w:cs="宋体"/>
                <w:kern w:val="0"/>
                <w:sz w:val="24"/>
              </w:rPr>
            </w:pPr>
            <w:r>
              <w:rPr>
                <w:rFonts w:hint="eastAsia" w:ascii="宋体" w:hAnsi="宋体" w:cs="宋体"/>
                <w:kern w:val="0"/>
                <w:sz w:val="24"/>
              </w:rPr>
              <w:t>11500</w:t>
            </w:r>
          </w:p>
        </w:tc>
        <w:tc>
          <w:tcPr>
            <w:tcW w:w="851" w:type="dxa"/>
            <w:tcBorders>
              <w:top w:val="nil"/>
              <w:left w:val="nil"/>
              <w:bottom w:val="single" w:color="auto" w:sz="4" w:space="0"/>
              <w:right w:val="single" w:color="auto" w:sz="4" w:space="0"/>
            </w:tcBorders>
            <w:shd w:val="clear" w:color="000000" w:fill="FFFFFF"/>
            <w:vAlign w:val="center"/>
          </w:tcPr>
          <w:p w14:paraId="2CEFDCE6">
            <w:pPr>
              <w:widowControl/>
              <w:jc w:val="center"/>
              <w:rPr>
                <w:rFonts w:hint="eastAsia" w:ascii="宋体" w:hAnsi="宋体" w:cs="宋体"/>
                <w:color w:val="000000"/>
                <w:kern w:val="0"/>
                <w:sz w:val="24"/>
              </w:rPr>
            </w:pPr>
            <w:r>
              <w:rPr>
                <w:rFonts w:hint="eastAsia" w:ascii="宋体" w:hAnsi="宋体" w:cs="宋体"/>
                <w:color w:val="000000"/>
                <w:kern w:val="0"/>
                <w:sz w:val="24"/>
              </w:rPr>
              <w:t>是</w:t>
            </w:r>
          </w:p>
        </w:tc>
        <w:tc>
          <w:tcPr>
            <w:tcW w:w="952" w:type="dxa"/>
            <w:tcBorders>
              <w:top w:val="nil"/>
              <w:left w:val="nil"/>
              <w:bottom w:val="single" w:color="auto" w:sz="4" w:space="0"/>
              <w:right w:val="single" w:color="auto" w:sz="4" w:space="0"/>
            </w:tcBorders>
            <w:shd w:val="clear" w:color="000000" w:fill="FFFFFF"/>
            <w:vAlign w:val="center"/>
          </w:tcPr>
          <w:p w14:paraId="08FA3D19">
            <w:pPr>
              <w:widowControl/>
              <w:jc w:val="center"/>
              <w:rPr>
                <w:rFonts w:hint="eastAsia" w:ascii="宋体" w:hAnsi="宋体" w:cs="宋体"/>
                <w:color w:val="000000"/>
                <w:kern w:val="0"/>
                <w:sz w:val="24"/>
              </w:rPr>
            </w:pPr>
            <w:r>
              <w:rPr>
                <w:rFonts w:hint="eastAsia" w:ascii="宋体" w:hAnsi="宋体" w:cs="宋体"/>
                <w:color w:val="000000"/>
                <w:kern w:val="0"/>
                <w:sz w:val="24"/>
              </w:rPr>
              <w:t>否</w:t>
            </w:r>
          </w:p>
        </w:tc>
      </w:tr>
      <w:tr w14:paraId="140C5185">
        <w:tblPrEx>
          <w:tblCellMar>
            <w:top w:w="0" w:type="dxa"/>
            <w:left w:w="108" w:type="dxa"/>
            <w:bottom w:w="0" w:type="dxa"/>
            <w:right w:w="108" w:type="dxa"/>
          </w:tblCellMar>
        </w:tblPrEx>
        <w:trPr>
          <w:trHeight w:val="288" w:hRule="atLeast"/>
        </w:trPr>
        <w:tc>
          <w:tcPr>
            <w:tcW w:w="704" w:type="dxa"/>
            <w:tcBorders>
              <w:top w:val="nil"/>
              <w:left w:val="single" w:color="auto" w:sz="4" w:space="0"/>
              <w:bottom w:val="single" w:color="auto" w:sz="4" w:space="0"/>
              <w:right w:val="single" w:color="auto" w:sz="4" w:space="0"/>
            </w:tcBorders>
            <w:shd w:val="clear" w:color="000000" w:fill="FFFFFF"/>
            <w:vAlign w:val="center"/>
          </w:tcPr>
          <w:p w14:paraId="2FE3AA9D">
            <w:pPr>
              <w:widowControl/>
              <w:jc w:val="center"/>
              <w:rPr>
                <w:rFonts w:hint="eastAsia" w:ascii="宋体" w:hAnsi="宋体" w:cs="宋体"/>
                <w:kern w:val="0"/>
                <w:sz w:val="24"/>
              </w:rPr>
            </w:pPr>
            <w:r>
              <w:rPr>
                <w:rFonts w:hint="eastAsia" w:ascii="宋体" w:hAnsi="宋体" w:cs="宋体"/>
                <w:kern w:val="0"/>
                <w:sz w:val="24"/>
              </w:rPr>
              <w:t>60</w:t>
            </w:r>
          </w:p>
        </w:tc>
        <w:tc>
          <w:tcPr>
            <w:tcW w:w="2851" w:type="dxa"/>
            <w:tcBorders>
              <w:top w:val="nil"/>
              <w:left w:val="nil"/>
              <w:bottom w:val="single" w:color="auto" w:sz="4" w:space="0"/>
              <w:right w:val="single" w:color="auto" w:sz="4" w:space="0"/>
            </w:tcBorders>
            <w:shd w:val="clear" w:color="000000" w:fill="FFFFFF"/>
            <w:vAlign w:val="center"/>
          </w:tcPr>
          <w:p w14:paraId="4C1515C3">
            <w:pPr>
              <w:jc w:val="center"/>
              <w:rPr>
                <w:rFonts w:hint="eastAsia" w:ascii="宋体" w:hAnsi="宋体" w:cs="宋体"/>
                <w:sz w:val="24"/>
              </w:rPr>
            </w:pPr>
            <w:r>
              <w:rPr>
                <w:rFonts w:hint="eastAsia" w:ascii="宋体" w:hAnsi="宋体" w:cs="宋体"/>
                <w:sz w:val="24"/>
              </w:rPr>
              <w:t>糖类抗原125定标液</w:t>
            </w:r>
          </w:p>
        </w:tc>
        <w:tc>
          <w:tcPr>
            <w:tcW w:w="1276" w:type="dxa"/>
            <w:tcBorders>
              <w:top w:val="nil"/>
              <w:left w:val="nil"/>
              <w:bottom w:val="single" w:color="auto" w:sz="4" w:space="0"/>
              <w:right w:val="single" w:color="auto" w:sz="4" w:space="0"/>
            </w:tcBorders>
            <w:shd w:val="clear" w:color="000000" w:fill="FFFFFF"/>
            <w:vAlign w:val="center"/>
          </w:tcPr>
          <w:p w14:paraId="5FF0CAAE">
            <w:pPr>
              <w:widowControl/>
              <w:jc w:val="center"/>
              <w:rPr>
                <w:rFonts w:hint="eastAsia" w:ascii="宋体" w:hAnsi="宋体" w:cs="宋体"/>
                <w:kern w:val="0"/>
                <w:sz w:val="24"/>
              </w:rPr>
            </w:pPr>
            <w:r>
              <w:rPr>
                <w:rFonts w:hint="eastAsia" w:ascii="宋体" w:hAnsi="宋体" w:cs="宋体"/>
                <w:kern w:val="0"/>
                <w:sz w:val="24"/>
              </w:rPr>
              <w:t>525</w:t>
            </w:r>
          </w:p>
        </w:tc>
        <w:tc>
          <w:tcPr>
            <w:tcW w:w="992" w:type="dxa"/>
            <w:tcBorders>
              <w:top w:val="nil"/>
              <w:left w:val="nil"/>
              <w:bottom w:val="single" w:color="auto" w:sz="4" w:space="0"/>
              <w:right w:val="single" w:color="auto" w:sz="4" w:space="0"/>
            </w:tcBorders>
            <w:shd w:val="clear" w:color="000000" w:fill="FFFFFF"/>
            <w:vAlign w:val="center"/>
          </w:tcPr>
          <w:p w14:paraId="339C642E">
            <w:pPr>
              <w:widowControl/>
              <w:jc w:val="center"/>
              <w:rPr>
                <w:rFonts w:hint="eastAsia" w:ascii="宋体" w:hAnsi="宋体" w:cs="宋体"/>
                <w:kern w:val="0"/>
                <w:sz w:val="24"/>
              </w:rPr>
            </w:pPr>
            <w:r>
              <w:rPr>
                <w:rFonts w:hint="eastAsia" w:ascii="宋体" w:hAnsi="宋体" w:cs="宋体"/>
                <w:kern w:val="0"/>
                <w:sz w:val="24"/>
              </w:rPr>
              <w:t>ml</w:t>
            </w:r>
          </w:p>
        </w:tc>
        <w:tc>
          <w:tcPr>
            <w:tcW w:w="992" w:type="dxa"/>
            <w:tcBorders>
              <w:top w:val="nil"/>
              <w:left w:val="nil"/>
              <w:bottom w:val="single" w:color="auto" w:sz="4" w:space="0"/>
              <w:right w:val="single" w:color="auto" w:sz="4" w:space="0"/>
            </w:tcBorders>
            <w:shd w:val="clear" w:color="000000" w:fill="FFFFFF"/>
            <w:noWrap/>
            <w:vAlign w:val="center"/>
          </w:tcPr>
          <w:p w14:paraId="11BC12EE">
            <w:pPr>
              <w:widowControl/>
              <w:jc w:val="center"/>
              <w:rPr>
                <w:rFonts w:hint="eastAsia" w:ascii="宋体" w:hAnsi="宋体" w:cs="宋体"/>
                <w:kern w:val="0"/>
                <w:sz w:val="24"/>
              </w:rPr>
            </w:pPr>
            <w:r>
              <w:rPr>
                <w:rFonts w:hint="eastAsia" w:ascii="宋体" w:hAnsi="宋体" w:cs="宋体"/>
                <w:kern w:val="0"/>
                <w:sz w:val="24"/>
              </w:rPr>
              <w:t>4</w:t>
            </w:r>
          </w:p>
        </w:tc>
        <w:tc>
          <w:tcPr>
            <w:tcW w:w="851" w:type="dxa"/>
            <w:tcBorders>
              <w:top w:val="nil"/>
              <w:left w:val="nil"/>
              <w:bottom w:val="single" w:color="auto" w:sz="4" w:space="0"/>
              <w:right w:val="single" w:color="auto" w:sz="4" w:space="0"/>
            </w:tcBorders>
            <w:shd w:val="clear" w:color="000000" w:fill="FFFFFF"/>
            <w:vAlign w:val="center"/>
          </w:tcPr>
          <w:p w14:paraId="772EDC3F">
            <w:pPr>
              <w:widowControl/>
              <w:jc w:val="center"/>
              <w:rPr>
                <w:rFonts w:hint="eastAsia" w:ascii="宋体" w:hAnsi="宋体" w:cs="宋体"/>
                <w:color w:val="000000"/>
                <w:kern w:val="0"/>
                <w:sz w:val="24"/>
              </w:rPr>
            </w:pPr>
            <w:r>
              <w:rPr>
                <w:rFonts w:hint="eastAsia" w:ascii="宋体" w:hAnsi="宋体" w:cs="宋体"/>
                <w:color w:val="000000"/>
                <w:kern w:val="0"/>
                <w:sz w:val="24"/>
              </w:rPr>
              <w:t>是</w:t>
            </w:r>
          </w:p>
        </w:tc>
        <w:tc>
          <w:tcPr>
            <w:tcW w:w="952" w:type="dxa"/>
            <w:tcBorders>
              <w:top w:val="nil"/>
              <w:left w:val="nil"/>
              <w:bottom w:val="single" w:color="auto" w:sz="4" w:space="0"/>
              <w:right w:val="single" w:color="auto" w:sz="4" w:space="0"/>
            </w:tcBorders>
            <w:shd w:val="clear" w:color="000000" w:fill="FFFFFF"/>
            <w:vAlign w:val="center"/>
          </w:tcPr>
          <w:p w14:paraId="5BC44808">
            <w:pPr>
              <w:widowControl/>
              <w:jc w:val="center"/>
              <w:rPr>
                <w:rFonts w:hint="eastAsia" w:ascii="宋体" w:hAnsi="宋体" w:cs="宋体"/>
                <w:color w:val="000000"/>
                <w:kern w:val="0"/>
                <w:sz w:val="24"/>
              </w:rPr>
            </w:pPr>
            <w:r>
              <w:rPr>
                <w:rFonts w:hint="eastAsia" w:ascii="宋体" w:hAnsi="宋体" w:cs="宋体"/>
                <w:color w:val="000000"/>
                <w:kern w:val="0"/>
                <w:sz w:val="24"/>
              </w:rPr>
              <w:t>否</w:t>
            </w:r>
          </w:p>
        </w:tc>
      </w:tr>
      <w:tr w14:paraId="58F8CAE9">
        <w:tblPrEx>
          <w:tblCellMar>
            <w:top w:w="0" w:type="dxa"/>
            <w:left w:w="108" w:type="dxa"/>
            <w:bottom w:w="0" w:type="dxa"/>
            <w:right w:w="108" w:type="dxa"/>
          </w:tblCellMar>
        </w:tblPrEx>
        <w:trPr>
          <w:trHeight w:val="288" w:hRule="atLeast"/>
        </w:trPr>
        <w:tc>
          <w:tcPr>
            <w:tcW w:w="704" w:type="dxa"/>
            <w:tcBorders>
              <w:top w:val="nil"/>
              <w:left w:val="single" w:color="auto" w:sz="4" w:space="0"/>
              <w:bottom w:val="single" w:color="auto" w:sz="4" w:space="0"/>
              <w:right w:val="single" w:color="auto" w:sz="4" w:space="0"/>
            </w:tcBorders>
            <w:shd w:val="clear" w:color="000000" w:fill="FFFFFF"/>
            <w:vAlign w:val="center"/>
          </w:tcPr>
          <w:p w14:paraId="37A02366">
            <w:pPr>
              <w:widowControl/>
              <w:jc w:val="center"/>
              <w:rPr>
                <w:rFonts w:hint="eastAsia" w:ascii="宋体" w:hAnsi="宋体" w:cs="宋体"/>
                <w:kern w:val="0"/>
                <w:sz w:val="24"/>
              </w:rPr>
            </w:pPr>
            <w:r>
              <w:rPr>
                <w:rFonts w:hint="eastAsia" w:ascii="宋体" w:hAnsi="宋体" w:cs="宋体"/>
                <w:kern w:val="0"/>
                <w:sz w:val="24"/>
              </w:rPr>
              <w:t>61</w:t>
            </w:r>
          </w:p>
        </w:tc>
        <w:tc>
          <w:tcPr>
            <w:tcW w:w="2851" w:type="dxa"/>
            <w:tcBorders>
              <w:top w:val="nil"/>
              <w:left w:val="nil"/>
              <w:bottom w:val="single" w:color="auto" w:sz="4" w:space="0"/>
              <w:right w:val="single" w:color="auto" w:sz="4" w:space="0"/>
            </w:tcBorders>
            <w:shd w:val="clear" w:color="000000" w:fill="FFFFFF"/>
            <w:vAlign w:val="center"/>
          </w:tcPr>
          <w:p w14:paraId="157ACFDB">
            <w:pPr>
              <w:jc w:val="center"/>
              <w:rPr>
                <w:rFonts w:hint="eastAsia" w:ascii="宋体" w:hAnsi="宋体" w:cs="宋体"/>
                <w:sz w:val="24"/>
              </w:rPr>
            </w:pPr>
            <w:r>
              <w:rPr>
                <w:rFonts w:hint="eastAsia" w:ascii="宋体" w:hAnsi="宋体" w:cs="宋体"/>
                <w:sz w:val="24"/>
              </w:rPr>
              <w:t>糖类抗原15-3定标液</w:t>
            </w:r>
          </w:p>
        </w:tc>
        <w:tc>
          <w:tcPr>
            <w:tcW w:w="1276" w:type="dxa"/>
            <w:tcBorders>
              <w:top w:val="nil"/>
              <w:left w:val="nil"/>
              <w:bottom w:val="single" w:color="auto" w:sz="4" w:space="0"/>
              <w:right w:val="single" w:color="auto" w:sz="4" w:space="0"/>
            </w:tcBorders>
            <w:shd w:val="clear" w:color="000000" w:fill="FFFFFF"/>
            <w:vAlign w:val="center"/>
          </w:tcPr>
          <w:p w14:paraId="2384C932">
            <w:pPr>
              <w:widowControl/>
              <w:jc w:val="center"/>
              <w:rPr>
                <w:rFonts w:hint="eastAsia" w:ascii="宋体" w:hAnsi="宋体" w:cs="宋体"/>
                <w:kern w:val="0"/>
                <w:sz w:val="24"/>
              </w:rPr>
            </w:pPr>
            <w:r>
              <w:rPr>
                <w:rFonts w:hint="eastAsia" w:ascii="宋体" w:hAnsi="宋体" w:cs="宋体"/>
                <w:kern w:val="0"/>
                <w:sz w:val="24"/>
              </w:rPr>
              <w:t>525</w:t>
            </w:r>
          </w:p>
        </w:tc>
        <w:tc>
          <w:tcPr>
            <w:tcW w:w="992" w:type="dxa"/>
            <w:tcBorders>
              <w:top w:val="nil"/>
              <w:left w:val="nil"/>
              <w:bottom w:val="single" w:color="auto" w:sz="4" w:space="0"/>
              <w:right w:val="single" w:color="auto" w:sz="4" w:space="0"/>
            </w:tcBorders>
            <w:shd w:val="clear" w:color="000000" w:fill="FFFFFF"/>
            <w:vAlign w:val="center"/>
          </w:tcPr>
          <w:p w14:paraId="38274554">
            <w:pPr>
              <w:widowControl/>
              <w:jc w:val="center"/>
              <w:rPr>
                <w:rFonts w:hint="eastAsia" w:ascii="宋体" w:hAnsi="宋体" w:cs="宋体"/>
                <w:kern w:val="0"/>
                <w:sz w:val="24"/>
              </w:rPr>
            </w:pPr>
            <w:r>
              <w:rPr>
                <w:rFonts w:hint="eastAsia" w:ascii="宋体" w:hAnsi="宋体" w:cs="宋体"/>
                <w:kern w:val="0"/>
                <w:sz w:val="24"/>
              </w:rPr>
              <w:t>ml</w:t>
            </w:r>
          </w:p>
        </w:tc>
        <w:tc>
          <w:tcPr>
            <w:tcW w:w="992" w:type="dxa"/>
            <w:tcBorders>
              <w:top w:val="nil"/>
              <w:left w:val="nil"/>
              <w:bottom w:val="single" w:color="auto" w:sz="4" w:space="0"/>
              <w:right w:val="single" w:color="auto" w:sz="4" w:space="0"/>
            </w:tcBorders>
            <w:shd w:val="clear" w:color="000000" w:fill="FFFFFF"/>
            <w:noWrap/>
            <w:vAlign w:val="center"/>
          </w:tcPr>
          <w:p w14:paraId="559B69E7">
            <w:pPr>
              <w:widowControl/>
              <w:jc w:val="center"/>
              <w:rPr>
                <w:rFonts w:hint="eastAsia" w:ascii="宋体" w:hAnsi="宋体" w:cs="宋体"/>
                <w:kern w:val="0"/>
                <w:sz w:val="24"/>
              </w:rPr>
            </w:pPr>
            <w:r>
              <w:rPr>
                <w:rFonts w:hint="eastAsia" w:ascii="宋体" w:hAnsi="宋体" w:cs="宋体"/>
                <w:kern w:val="0"/>
                <w:sz w:val="24"/>
              </w:rPr>
              <w:t>4</w:t>
            </w:r>
          </w:p>
        </w:tc>
        <w:tc>
          <w:tcPr>
            <w:tcW w:w="851" w:type="dxa"/>
            <w:tcBorders>
              <w:top w:val="nil"/>
              <w:left w:val="nil"/>
              <w:bottom w:val="single" w:color="auto" w:sz="4" w:space="0"/>
              <w:right w:val="single" w:color="auto" w:sz="4" w:space="0"/>
            </w:tcBorders>
            <w:shd w:val="clear" w:color="000000" w:fill="FFFFFF"/>
            <w:vAlign w:val="center"/>
          </w:tcPr>
          <w:p w14:paraId="463A9A36">
            <w:pPr>
              <w:widowControl/>
              <w:jc w:val="center"/>
              <w:rPr>
                <w:rFonts w:hint="eastAsia" w:ascii="宋体" w:hAnsi="宋体" w:cs="宋体"/>
                <w:color w:val="000000"/>
                <w:kern w:val="0"/>
                <w:sz w:val="24"/>
              </w:rPr>
            </w:pPr>
            <w:r>
              <w:rPr>
                <w:rFonts w:hint="eastAsia" w:ascii="宋体" w:hAnsi="宋体" w:cs="宋体"/>
                <w:color w:val="000000"/>
                <w:kern w:val="0"/>
                <w:sz w:val="24"/>
              </w:rPr>
              <w:t>是</w:t>
            </w:r>
          </w:p>
        </w:tc>
        <w:tc>
          <w:tcPr>
            <w:tcW w:w="952" w:type="dxa"/>
            <w:tcBorders>
              <w:top w:val="nil"/>
              <w:left w:val="nil"/>
              <w:bottom w:val="single" w:color="auto" w:sz="4" w:space="0"/>
              <w:right w:val="single" w:color="auto" w:sz="4" w:space="0"/>
            </w:tcBorders>
            <w:shd w:val="clear" w:color="000000" w:fill="FFFFFF"/>
            <w:vAlign w:val="center"/>
          </w:tcPr>
          <w:p w14:paraId="513AD48B">
            <w:pPr>
              <w:widowControl/>
              <w:jc w:val="center"/>
              <w:rPr>
                <w:rFonts w:hint="eastAsia" w:ascii="宋体" w:hAnsi="宋体" w:cs="宋体"/>
                <w:color w:val="000000"/>
                <w:kern w:val="0"/>
                <w:sz w:val="24"/>
              </w:rPr>
            </w:pPr>
            <w:r>
              <w:rPr>
                <w:rFonts w:hint="eastAsia" w:ascii="宋体" w:hAnsi="宋体" w:cs="宋体"/>
                <w:color w:val="000000"/>
                <w:kern w:val="0"/>
                <w:sz w:val="24"/>
              </w:rPr>
              <w:t>否</w:t>
            </w:r>
          </w:p>
        </w:tc>
      </w:tr>
      <w:tr w14:paraId="59D7EA32">
        <w:tblPrEx>
          <w:tblCellMar>
            <w:top w:w="0" w:type="dxa"/>
            <w:left w:w="108" w:type="dxa"/>
            <w:bottom w:w="0" w:type="dxa"/>
            <w:right w:w="108" w:type="dxa"/>
          </w:tblCellMar>
        </w:tblPrEx>
        <w:trPr>
          <w:trHeight w:val="576" w:hRule="atLeast"/>
        </w:trPr>
        <w:tc>
          <w:tcPr>
            <w:tcW w:w="704" w:type="dxa"/>
            <w:tcBorders>
              <w:top w:val="nil"/>
              <w:left w:val="single" w:color="auto" w:sz="4" w:space="0"/>
              <w:bottom w:val="single" w:color="auto" w:sz="4" w:space="0"/>
              <w:right w:val="single" w:color="auto" w:sz="4" w:space="0"/>
            </w:tcBorders>
            <w:shd w:val="clear" w:color="000000" w:fill="FFFFFF"/>
            <w:vAlign w:val="center"/>
          </w:tcPr>
          <w:p w14:paraId="5B8D347E">
            <w:pPr>
              <w:widowControl/>
              <w:jc w:val="center"/>
              <w:rPr>
                <w:rFonts w:hint="eastAsia" w:ascii="宋体" w:hAnsi="宋体" w:cs="宋体"/>
                <w:kern w:val="0"/>
                <w:sz w:val="24"/>
              </w:rPr>
            </w:pPr>
            <w:r>
              <w:rPr>
                <w:rFonts w:hint="eastAsia" w:ascii="宋体" w:hAnsi="宋体" w:cs="宋体"/>
                <w:kern w:val="0"/>
                <w:sz w:val="24"/>
              </w:rPr>
              <w:t>62</w:t>
            </w:r>
          </w:p>
        </w:tc>
        <w:tc>
          <w:tcPr>
            <w:tcW w:w="2851" w:type="dxa"/>
            <w:tcBorders>
              <w:top w:val="nil"/>
              <w:left w:val="nil"/>
              <w:bottom w:val="single" w:color="auto" w:sz="4" w:space="0"/>
              <w:right w:val="single" w:color="auto" w:sz="4" w:space="0"/>
            </w:tcBorders>
            <w:shd w:val="clear" w:color="000000" w:fill="FFFFFF"/>
            <w:vAlign w:val="center"/>
          </w:tcPr>
          <w:p w14:paraId="5323BC89">
            <w:pPr>
              <w:jc w:val="center"/>
              <w:rPr>
                <w:rFonts w:hint="eastAsia" w:ascii="宋体" w:hAnsi="宋体" w:cs="宋体"/>
                <w:sz w:val="24"/>
              </w:rPr>
            </w:pPr>
            <w:r>
              <w:rPr>
                <w:rFonts w:hint="eastAsia" w:ascii="宋体" w:hAnsi="宋体" w:cs="宋体"/>
                <w:sz w:val="24"/>
              </w:rPr>
              <w:t>糖类抗原19-9测定试剂盒1</w:t>
            </w:r>
          </w:p>
        </w:tc>
        <w:tc>
          <w:tcPr>
            <w:tcW w:w="1276" w:type="dxa"/>
            <w:tcBorders>
              <w:top w:val="nil"/>
              <w:left w:val="nil"/>
              <w:bottom w:val="single" w:color="auto" w:sz="4" w:space="0"/>
              <w:right w:val="single" w:color="auto" w:sz="4" w:space="0"/>
            </w:tcBorders>
            <w:shd w:val="clear" w:color="000000" w:fill="FFFFFF"/>
            <w:vAlign w:val="center"/>
          </w:tcPr>
          <w:p w14:paraId="1D04A9CA">
            <w:pPr>
              <w:widowControl/>
              <w:jc w:val="center"/>
              <w:rPr>
                <w:rFonts w:hint="eastAsia" w:ascii="宋体" w:hAnsi="宋体" w:cs="宋体"/>
                <w:kern w:val="0"/>
                <w:sz w:val="24"/>
              </w:rPr>
            </w:pPr>
            <w:r>
              <w:rPr>
                <w:rFonts w:hint="eastAsia" w:ascii="宋体" w:hAnsi="宋体" w:cs="宋体"/>
                <w:kern w:val="0"/>
                <w:sz w:val="24"/>
              </w:rPr>
              <w:t>22</w:t>
            </w:r>
          </w:p>
        </w:tc>
        <w:tc>
          <w:tcPr>
            <w:tcW w:w="992" w:type="dxa"/>
            <w:tcBorders>
              <w:top w:val="nil"/>
              <w:left w:val="nil"/>
              <w:bottom w:val="single" w:color="auto" w:sz="4" w:space="0"/>
              <w:right w:val="single" w:color="auto" w:sz="4" w:space="0"/>
            </w:tcBorders>
            <w:shd w:val="clear" w:color="000000" w:fill="FFFFFF"/>
            <w:vAlign w:val="center"/>
          </w:tcPr>
          <w:p w14:paraId="56F271F0">
            <w:pPr>
              <w:widowControl/>
              <w:jc w:val="center"/>
              <w:rPr>
                <w:rFonts w:hint="eastAsia" w:ascii="宋体" w:hAnsi="宋体" w:cs="宋体"/>
                <w:kern w:val="0"/>
                <w:sz w:val="24"/>
              </w:rPr>
            </w:pPr>
            <w:r>
              <w:rPr>
                <w:rFonts w:hint="eastAsia" w:ascii="宋体" w:hAnsi="宋体" w:cs="宋体"/>
                <w:kern w:val="0"/>
                <w:sz w:val="24"/>
              </w:rPr>
              <w:t>人份</w:t>
            </w:r>
          </w:p>
        </w:tc>
        <w:tc>
          <w:tcPr>
            <w:tcW w:w="992" w:type="dxa"/>
            <w:tcBorders>
              <w:top w:val="nil"/>
              <w:left w:val="nil"/>
              <w:bottom w:val="single" w:color="auto" w:sz="4" w:space="0"/>
              <w:right w:val="single" w:color="auto" w:sz="4" w:space="0"/>
            </w:tcBorders>
            <w:shd w:val="clear" w:color="000000" w:fill="FFFFFF"/>
            <w:noWrap/>
            <w:vAlign w:val="center"/>
          </w:tcPr>
          <w:p w14:paraId="2E09EFF0">
            <w:pPr>
              <w:widowControl/>
              <w:jc w:val="center"/>
              <w:rPr>
                <w:rFonts w:hint="eastAsia" w:ascii="宋体" w:hAnsi="宋体" w:cs="宋体"/>
                <w:kern w:val="0"/>
                <w:sz w:val="24"/>
              </w:rPr>
            </w:pPr>
            <w:r>
              <w:rPr>
                <w:rFonts w:hint="eastAsia" w:ascii="宋体" w:hAnsi="宋体" w:cs="宋体"/>
                <w:kern w:val="0"/>
                <w:sz w:val="24"/>
              </w:rPr>
              <w:t>39000</w:t>
            </w:r>
          </w:p>
        </w:tc>
        <w:tc>
          <w:tcPr>
            <w:tcW w:w="851" w:type="dxa"/>
            <w:tcBorders>
              <w:top w:val="nil"/>
              <w:left w:val="nil"/>
              <w:bottom w:val="single" w:color="auto" w:sz="4" w:space="0"/>
              <w:right w:val="single" w:color="auto" w:sz="4" w:space="0"/>
            </w:tcBorders>
            <w:shd w:val="clear" w:color="000000" w:fill="FFFFFF"/>
            <w:vAlign w:val="center"/>
          </w:tcPr>
          <w:p w14:paraId="4E46854E">
            <w:pPr>
              <w:widowControl/>
              <w:jc w:val="center"/>
              <w:rPr>
                <w:rFonts w:hint="eastAsia" w:ascii="宋体" w:hAnsi="宋体" w:cs="宋体"/>
                <w:color w:val="000000"/>
                <w:kern w:val="0"/>
                <w:sz w:val="24"/>
              </w:rPr>
            </w:pPr>
            <w:r>
              <w:rPr>
                <w:rFonts w:hint="eastAsia" w:ascii="宋体" w:hAnsi="宋体" w:cs="宋体"/>
                <w:color w:val="000000"/>
                <w:kern w:val="0"/>
                <w:sz w:val="24"/>
              </w:rPr>
              <w:t>是</w:t>
            </w:r>
          </w:p>
        </w:tc>
        <w:tc>
          <w:tcPr>
            <w:tcW w:w="952" w:type="dxa"/>
            <w:tcBorders>
              <w:top w:val="nil"/>
              <w:left w:val="nil"/>
              <w:bottom w:val="single" w:color="auto" w:sz="4" w:space="0"/>
              <w:right w:val="single" w:color="auto" w:sz="4" w:space="0"/>
            </w:tcBorders>
            <w:shd w:val="clear" w:color="000000" w:fill="FFFFFF"/>
            <w:vAlign w:val="center"/>
          </w:tcPr>
          <w:p w14:paraId="0274E73E">
            <w:pPr>
              <w:widowControl/>
              <w:jc w:val="center"/>
              <w:rPr>
                <w:rFonts w:hint="eastAsia" w:ascii="宋体" w:hAnsi="宋体" w:cs="宋体"/>
                <w:color w:val="000000"/>
                <w:kern w:val="0"/>
                <w:sz w:val="24"/>
              </w:rPr>
            </w:pPr>
            <w:r>
              <w:rPr>
                <w:rFonts w:hint="eastAsia" w:ascii="宋体" w:hAnsi="宋体" w:cs="宋体"/>
                <w:color w:val="000000"/>
                <w:kern w:val="0"/>
                <w:sz w:val="24"/>
              </w:rPr>
              <w:t>否</w:t>
            </w:r>
          </w:p>
        </w:tc>
      </w:tr>
      <w:tr w14:paraId="6E01FB00">
        <w:tblPrEx>
          <w:tblCellMar>
            <w:top w:w="0" w:type="dxa"/>
            <w:left w:w="108" w:type="dxa"/>
            <w:bottom w:w="0" w:type="dxa"/>
            <w:right w:w="108" w:type="dxa"/>
          </w:tblCellMar>
        </w:tblPrEx>
        <w:trPr>
          <w:trHeight w:val="576" w:hRule="atLeast"/>
        </w:trPr>
        <w:tc>
          <w:tcPr>
            <w:tcW w:w="704" w:type="dxa"/>
            <w:tcBorders>
              <w:top w:val="nil"/>
              <w:left w:val="single" w:color="auto" w:sz="4" w:space="0"/>
              <w:bottom w:val="single" w:color="auto" w:sz="4" w:space="0"/>
              <w:right w:val="single" w:color="auto" w:sz="4" w:space="0"/>
            </w:tcBorders>
            <w:shd w:val="clear" w:color="000000" w:fill="FFFFFF"/>
            <w:vAlign w:val="center"/>
          </w:tcPr>
          <w:p w14:paraId="4B40749B">
            <w:pPr>
              <w:widowControl/>
              <w:jc w:val="center"/>
              <w:rPr>
                <w:rFonts w:hint="eastAsia" w:ascii="宋体" w:hAnsi="宋体" w:cs="宋体"/>
                <w:kern w:val="0"/>
                <w:sz w:val="24"/>
              </w:rPr>
            </w:pPr>
            <w:r>
              <w:rPr>
                <w:rFonts w:hint="eastAsia" w:ascii="宋体" w:hAnsi="宋体" w:cs="宋体"/>
                <w:kern w:val="0"/>
                <w:sz w:val="24"/>
              </w:rPr>
              <w:t>63</w:t>
            </w:r>
          </w:p>
        </w:tc>
        <w:tc>
          <w:tcPr>
            <w:tcW w:w="2851" w:type="dxa"/>
            <w:tcBorders>
              <w:top w:val="nil"/>
              <w:left w:val="nil"/>
              <w:bottom w:val="single" w:color="auto" w:sz="4" w:space="0"/>
              <w:right w:val="single" w:color="auto" w:sz="4" w:space="0"/>
            </w:tcBorders>
            <w:shd w:val="clear" w:color="000000" w:fill="FFFFFF"/>
            <w:vAlign w:val="center"/>
          </w:tcPr>
          <w:p w14:paraId="02C63322">
            <w:pPr>
              <w:jc w:val="center"/>
              <w:rPr>
                <w:rFonts w:hint="eastAsia" w:ascii="宋体" w:hAnsi="宋体" w:cs="宋体"/>
                <w:sz w:val="24"/>
              </w:rPr>
            </w:pPr>
            <w:r>
              <w:rPr>
                <w:rFonts w:hint="eastAsia" w:ascii="宋体" w:hAnsi="宋体" w:cs="宋体"/>
                <w:sz w:val="24"/>
              </w:rPr>
              <w:t>糖类抗原19-9测定试剂盒2</w:t>
            </w:r>
          </w:p>
        </w:tc>
        <w:tc>
          <w:tcPr>
            <w:tcW w:w="1276" w:type="dxa"/>
            <w:tcBorders>
              <w:top w:val="nil"/>
              <w:left w:val="nil"/>
              <w:bottom w:val="single" w:color="auto" w:sz="4" w:space="0"/>
              <w:right w:val="single" w:color="auto" w:sz="4" w:space="0"/>
            </w:tcBorders>
            <w:shd w:val="clear" w:color="000000" w:fill="FFFFFF"/>
            <w:vAlign w:val="center"/>
          </w:tcPr>
          <w:p w14:paraId="08A44425">
            <w:pPr>
              <w:widowControl/>
              <w:jc w:val="center"/>
              <w:rPr>
                <w:rFonts w:hint="eastAsia" w:ascii="宋体" w:hAnsi="宋体" w:cs="宋体"/>
                <w:kern w:val="0"/>
                <w:sz w:val="24"/>
              </w:rPr>
            </w:pPr>
            <w:r>
              <w:rPr>
                <w:rFonts w:hint="eastAsia" w:ascii="宋体" w:hAnsi="宋体" w:cs="宋体"/>
                <w:kern w:val="0"/>
                <w:sz w:val="24"/>
              </w:rPr>
              <w:t>21.434</w:t>
            </w:r>
          </w:p>
        </w:tc>
        <w:tc>
          <w:tcPr>
            <w:tcW w:w="992" w:type="dxa"/>
            <w:tcBorders>
              <w:top w:val="nil"/>
              <w:left w:val="nil"/>
              <w:bottom w:val="single" w:color="auto" w:sz="4" w:space="0"/>
              <w:right w:val="single" w:color="auto" w:sz="4" w:space="0"/>
            </w:tcBorders>
            <w:shd w:val="clear" w:color="000000" w:fill="FFFFFF"/>
            <w:vAlign w:val="center"/>
          </w:tcPr>
          <w:p w14:paraId="20D6FA0A">
            <w:pPr>
              <w:widowControl/>
              <w:jc w:val="center"/>
              <w:rPr>
                <w:rFonts w:hint="eastAsia" w:ascii="宋体" w:hAnsi="宋体" w:cs="宋体"/>
                <w:kern w:val="0"/>
                <w:sz w:val="24"/>
              </w:rPr>
            </w:pPr>
            <w:r>
              <w:rPr>
                <w:rFonts w:hint="eastAsia" w:ascii="宋体" w:hAnsi="宋体" w:cs="宋体"/>
                <w:kern w:val="0"/>
                <w:sz w:val="24"/>
              </w:rPr>
              <w:t>人份</w:t>
            </w:r>
          </w:p>
        </w:tc>
        <w:tc>
          <w:tcPr>
            <w:tcW w:w="992" w:type="dxa"/>
            <w:tcBorders>
              <w:top w:val="nil"/>
              <w:left w:val="nil"/>
              <w:bottom w:val="single" w:color="auto" w:sz="4" w:space="0"/>
              <w:right w:val="single" w:color="auto" w:sz="4" w:space="0"/>
            </w:tcBorders>
            <w:shd w:val="clear" w:color="000000" w:fill="FFFFFF"/>
            <w:noWrap/>
            <w:vAlign w:val="center"/>
          </w:tcPr>
          <w:p w14:paraId="72431DBF">
            <w:pPr>
              <w:widowControl/>
              <w:jc w:val="center"/>
              <w:rPr>
                <w:rFonts w:hint="eastAsia" w:ascii="宋体" w:hAnsi="宋体" w:cs="宋体"/>
                <w:kern w:val="0"/>
                <w:sz w:val="24"/>
              </w:rPr>
            </w:pPr>
            <w:r>
              <w:rPr>
                <w:rFonts w:hint="eastAsia" w:ascii="宋体" w:hAnsi="宋体" w:cs="宋体"/>
                <w:kern w:val="0"/>
                <w:sz w:val="24"/>
              </w:rPr>
              <w:t>100</w:t>
            </w:r>
          </w:p>
        </w:tc>
        <w:tc>
          <w:tcPr>
            <w:tcW w:w="851" w:type="dxa"/>
            <w:tcBorders>
              <w:top w:val="nil"/>
              <w:left w:val="nil"/>
              <w:bottom w:val="single" w:color="auto" w:sz="4" w:space="0"/>
              <w:right w:val="single" w:color="auto" w:sz="4" w:space="0"/>
            </w:tcBorders>
            <w:shd w:val="clear" w:color="000000" w:fill="FFFFFF"/>
            <w:vAlign w:val="center"/>
          </w:tcPr>
          <w:p w14:paraId="13D92E53">
            <w:pPr>
              <w:widowControl/>
              <w:jc w:val="center"/>
              <w:rPr>
                <w:rFonts w:hint="eastAsia" w:ascii="宋体" w:hAnsi="宋体" w:cs="宋体"/>
                <w:color w:val="000000"/>
                <w:kern w:val="0"/>
                <w:sz w:val="24"/>
              </w:rPr>
            </w:pPr>
            <w:r>
              <w:rPr>
                <w:rFonts w:hint="eastAsia" w:ascii="宋体" w:hAnsi="宋体" w:cs="宋体"/>
                <w:color w:val="000000"/>
                <w:kern w:val="0"/>
                <w:sz w:val="24"/>
              </w:rPr>
              <w:t>是</w:t>
            </w:r>
          </w:p>
        </w:tc>
        <w:tc>
          <w:tcPr>
            <w:tcW w:w="952" w:type="dxa"/>
            <w:tcBorders>
              <w:top w:val="nil"/>
              <w:left w:val="nil"/>
              <w:bottom w:val="single" w:color="auto" w:sz="4" w:space="0"/>
              <w:right w:val="single" w:color="auto" w:sz="4" w:space="0"/>
            </w:tcBorders>
            <w:shd w:val="clear" w:color="000000" w:fill="FFFFFF"/>
            <w:vAlign w:val="center"/>
          </w:tcPr>
          <w:p w14:paraId="0DD2E0AD">
            <w:pPr>
              <w:widowControl/>
              <w:jc w:val="center"/>
              <w:rPr>
                <w:rFonts w:hint="eastAsia" w:ascii="宋体" w:hAnsi="宋体" w:cs="宋体"/>
                <w:color w:val="000000"/>
                <w:kern w:val="0"/>
                <w:sz w:val="24"/>
              </w:rPr>
            </w:pPr>
            <w:r>
              <w:rPr>
                <w:rFonts w:hint="eastAsia" w:ascii="宋体" w:hAnsi="宋体" w:cs="宋体"/>
                <w:color w:val="000000"/>
                <w:kern w:val="0"/>
                <w:sz w:val="24"/>
              </w:rPr>
              <w:t>否</w:t>
            </w:r>
          </w:p>
        </w:tc>
      </w:tr>
      <w:tr w14:paraId="3E00B3DF">
        <w:tblPrEx>
          <w:tblCellMar>
            <w:top w:w="0" w:type="dxa"/>
            <w:left w:w="108" w:type="dxa"/>
            <w:bottom w:w="0" w:type="dxa"/>
            <w:right w:w="108" w:type="dxa"/>
          </w:tblCellMar>
        </w:tblPrEx>
        <w:trPr>
          <w:trHeight w:val="288" w:hRule="atLeast"/>
        </w:trPr>
        <w:tc>
          <w:tcPr>
            <w:tcW w:w="704" w:type="dxa"/>
            <w:tcBorders>
              <w:top w:val="nil"/>
              <w:left w:val="single" w:color="auto" w:sz="4" w:space="0"/>
              <w:bottom w:val="single" w:color="auto" w:sz="4" w:space="0"/>
              <w:right w:val="single" w:color="auto" w:sz="4" w:space="0"/>
            </w:tcBorders>
            <w:shd w:val="clear" w:color="000000" w:fill="FFFFFF"/>
            <w:vAlign w:val="center"/>
          </w:tcPr>
          <w:p w14:paraId="5D072B01">
            <w:pPr>
              <w:widowControl/>
              <w:jc w:val="center"/>
              <w:rPr>
                <w:rFonts w:hint="eastAsia" w:ascii="宋体" w:hAnsi="宋体" w:cs="宋体"/>
                <w:kern w:val="0"/>
                <w:sz w:val="24"/>
              </w:rPr>
            </w:pPr>
            <w:r>
              <w:rPr>
                <w:rFonts w:hint="eastAsia" w:ascii="宋体" w:hAnsi="宋体" w:cs="宋体"/>
                <w:kern w:val="0"/>
                <w:sz w:val="24"/>
              </w:rPr>
              <w:t>64</w:t>
            </w:r>
          </w:p>
        </w:tc>
        <w:tc>
          <w:tcPr>
            <w:tcW w:w="2851" w:type="dxa"/>
            <w:tcBorders>
              <w:top w:val="nil"/>
              <w:left w:val="nil"/>
              <w:bottom w:val="single" w:color="auto" w:sz="4" w:space="0"/>
              <w:right w:val="single" w:color="auto" w:sz="4" w:space="0"/>
            </w:tcBorders>
            <w:shd w:val="clear" w:color="000000" w:fill="FFFFFF"/>
            <w:vAlign w:val="center"/>
          </w:tcPr>
          <w:p w14:paraId="7709B6E0">
            <w:pPr>
              <w:jc w:val="center"/>
              <w:rPr>
                <w:rFonts w:hint="eastAsia" w:ascii="宋体" w:hAnsi="宋体" w:cs="宋体"/>
                <w:sz w:val="24"/>
              </w:rPr>
            </w:pPr>
            <w:r>
              <w:rPr>
                <w:rFonts w:hint="eastAsia" w:ascii="宋体" w:hAnsi="宋体" w:cs="宋体"/>
                <w:sz w:val="24"/>
              </w:rPr>
              <w:t>糖类抗原19-9定标液</w:t>
            </w:r>
          </w:p>
        </w:tc>
        <w:tc>
          <w:tcPr>
            <w:tcW w:w="1276" w:type="dxa"/>
            <w:tcBorders>
              <w:top w:val="nil"/>
              <w:left w:val="nil"/>
              <w:bottom w:val="single" w:color="auto" w:sz="4" w:space="0"/>
              <w:right w:val="single" w:color="auto" w:sz="4" w:space="0"/>
            </w:tcBorders>
            <w:shd w:val="clear" w:color="000000" w:fill="FFFFFF"/>
            <w:vAlign w:val="center"/>
          </w:tcPr>
          <w:p w14:paraId="4AB9B6B2">
            <w:pPr>
              <w:widowControl/>
              <w:jc w:val="center"/>
              <w:rPr>
                <w:rFonts w:hint="eastAsia" w:ascii="宋体" w:hAnsi="宋体" w:cs="宋体"/>
                <w:kern w:val="0"/>
                <w:sz w:val="24"/>
              </w:rPr>
            </w:pPr>
            <w:r>
              <w:rPr>
                <w:rFonts w:hint="eastAsia" w:ascii="宋体" w:hAnsi="宋体" w:cs="宋体"/>
                <w:kern w:val="0"/>
                <w:sz w:val="24"/>
              </w:rPr>
              <w:t>525</w:t>
            </w:r>
          </w:p>
        </w:tc>
        <w:tc>
          <w:tcPr>
            <w:tcW w:w="992" w:type="dxa"/>
            <w:tcBorders>
              <w:top w:val="nil"/>
              <w:left w:val="nil"/>
              <w:bottom w:val="single" w:color="auto" w:sz="4" w:space="0"/>
              <w:right w:val="single" w:color="auto" w:sz="4" w:space="0"/>
            </w:tcBorders>
            <w:shd w:val="clear" w:color="000000" w:fill="FFFFFF"/>
            <w:vAlign w:val="center"/>
          </w:tcPr>
          <w:p w14:paraId="51A2A64D">
            <w:pPr>
              <w:widowControl/>
              <w:jc w:val="center"/>
              <w:rPr>
                <w:rFonts w:hint="eastAsia" w:ascii="宋体" w:hAnsi="宋体" w:cs="宋体"/>
                <w:kern w:val="0"/>
                <w:sz w:val="24"/>
              </w:rPr>
            </w:pPr>
            <w:r>
              <w:rPr>
                <w:rFonts w:hint="eastAsia" w:ascii="宋体" w:hAnsi="宋体" w:cs="宋体"/>
                <w:kern w:val="0"/>
                <w:sz w:val="24"/>
              </w:rPr>
              <w:t>ml</w:t>
            </w:r>
          </w:p>
        </w:tc>
        <w:tc>
          <w:tcPr>
            <w:tcW w:w="992" w:type="dxa"/>
            <w:tcBorders>
              <w:top w:val="nil"/>
              <w:left w:val="nil"/>
              <w:bottom w:val="single" w:color="auto" w:sz="4" w:space="0"/>
              <w:right w:val="single" w:color="auto" w:sz="4" w:space="0"/>
            </w:tcBorders>
            <w:shd w:val="clear" w:color="000000" w:fill="FFFFFF"/>
            <w:noWrap/>
            <w:vAlign w:val="center"/>
          </w:tcPr>
          <w:p w14:paraId="67D2B76E">
            <w:pPr>
              <w:widowControl/>
              <w:jc w:val="center"/>
              <w:rPr>
                <w:rFonts w:hint="eastAsia" w:ascii="宋体" w:hAnsi="宋体" w:cs="宋体"/>
                <w:kern w:val="0"/>
                <w:sz w:val="24"/>
              </w:rPr>
            </w:pPr>
            <w:r>
              <w:rPr>
                <w:rFonts w:hint="eastAsia" w:ascii="宋体" w:hAnsi="宋体" w:cs="宋体"/>
                <w:kern w:val="0"/>
                <w:sz w:val="24"/>
              </w:rPr>
              <w:t>4</w:t>
            </w:r>
          </w:p>
        </w:tc>
        <w:tc>
          <w:tcPr>
            <w:tcW w:w="851" w:type="dxa"/>
            <w:tcBorders>
              <w:top w:val="nil"/>
              <w:left w:val="nil"/>
              <w:bottom w:val="single" w:color="auto" w:sz="4" w:space="0"/>
              <w:right w:val="single" w:color="auto" w:sz="4" w:space="0"/>
            </w:tcBorders>
            <w:shd w:val="clear" w:color="000000" w:fill="FFFFFF"/>
            <w:vAlign w:val="center"/>
          </w:tcPr>
          <w:p w14:paraId="19D3E08A">
            <w:pPr>
              <w:widowControl/>
              <w:jc w:val="center"/>
              <w:rPr>
                <w:rFonts w:hint="eastAsia" w:ascii="宋体" w:hAnsi="宋体" w:cs="宋体"/>
                <w:color w:val="000000"/>
                <w:kern w:val="0"/>
                <w:sz w:val="24"/>
              </w:rPr>
            </w:pPr>
            <w:r>
              <w:rPr>
                <w:rFonts w:hint="eastAsia" w:ascii="宋体" w:hAnsi="宋体" w:cs="宋体"/>
                <w:color w:val="000000"/>
                <w:kern w:val="0"/>
                <w:sz w:val="24"/>
              </w:rPr>
              <w:t>是</w:t>
            </w:r>
          </w:p>
        </w:tc>
        <w:tc>
          <w:tcPr>
            <w:tcW w:w="952" w:type="dxa"/>
            <w:tcBorders>
              <w:top w:val="nil"/>
              <w:left w:val="nil"/>
              <w:bottom w:val="single" w:color="auto" w:sz="4" w:space="0"/>
              <w:right w:val="single" w:color="auto" w:sz="4" w:space="0"/>
            </w:tcBorders>
            <w:shd w:val="clear" w:color="000000" w:fill="FFFFFF"/>
            <w:vAlign w:val="center"/>
          </w:tcPr>
          <w:p w14:paraId="7059BEFC">
            <w:pPr>
              <w:widowControl/>
              <w:jc w:val="center"/>
              <w:rPr>
                <w:rFonts w:hint="eastAsia" w:ascii="宋体" w:hAnsi="宋体" w:cs="宋体"/>
                <w:color w:val="000000"/>
                <w:kern w:val="0"/>
                <w:sz w:val="24"/>
              </w:rPr>
            </w:pPr>
            <w:r>
              <w:rPr>
                <w:rFonts w:hint="eastAsia" w:ascii="宋体" w:hAnsi="宋体" w:cs="宋体"/>
                <w:color w:val="000000"/>
                <w:kern w:val="0"/>
                <w:sz w:val="24"/>
              </w:rPr>
              <w:t>否</w:t>
            </w:r>
          </w:p>
        </w:tc>
      </w:tr>
      <w:tr w14:paraId="7B9D3621">
        <w:tblPrEx>
          <w:tblCellMar>
            <w:top w:w="0" w:type="dxa"/>
            <w:left w:w="108" w:type="dxa"/>
            <w:bottom w:w="0" w:type="dxa"/>
            <w:right w:w="108" w:type="dxa"/>
          </w:tblCellMar>
        </w:tblPrEx>
        <w:trPr>
          <w:trHeight w:val="576" w:hRule="atLeast"/>
        </w:trPr>
        <w:tc>
          <w:tcPr>
            <w:tcW w:w="704" w:type="dxa"/>
            <w:tcBorders>
              <w:top w:val="nil"/>
              <w:left w:val="single" w:color="auto" w:sz="4" w:space="0"/>
              <w:bottom w:val="single" w:color="auto" w:sz="4" w:space="0"/>
              <w:right w:val="single" w:color="auto" w:sz="4" w:space="0"/>
            </w:tcBorders>
            <w:shd w:val="clear" w:color="000000" w:fill="FFFFFF"/>
            <w:vAlign w:val="center"/>
          </w:tcPr>
          <w:p w14:paraId="3C014243">
            <w:pPr>
              <w:widowControl/>
              <w:jc w:val="center"/>
              <w:rPr>
                <w:rFonts w:hint="eastAsia" w:ascii="宋体" w:hAnsi="宋体" w:cs="宋体"/>
                <w:kern w:val="0"/>
                <w:sz w:val="24"/>
              </w:rPr>
            </w:pPr>
            <w:r>
              <w:rPr>
                <w:rFonts w:hint="eastAsia" w:ascii="宋体" w:hAnsi="宋体" w:cs="宋体"/>
                <w:kern w:val="0"/>
                <w:sz w:val="24"/>
              </w:rPr>
              <w:t>65</w:t>
            </w:r>
          </w:p>
        </w:tc>
        <w:tc>
          <w:tcPr>
            <w:tcW w:w="2851" w:type="dxa"/>
            <w:tcBorders>
              <w:top w:val="nil"/>
              <w:left w:val="nil"/>
              <w:bottom w:val="single" w:color="auto" w:sz="4" w:space="0"/>
              <w:right w:val="single" w:color="auto" w:sz="4" w:space="0"/>
            </w:tcBorders>
            <w:shd w:val="clear" w:color="000000" w:fill="FFFFFF"/>
            <w:vAlign w:val="center"/>
          </w:tcPr>
          <w:p w14:paraId="1757CC6C">
            <w:pPr>
              <w:jc w:val="center"/>
              <w:rPr>
                <w:rFonts w:hint="eastAsia" w:ascii="宋体" w:hAnsi="宋体" w:cs="宋体"/>
                <w:sz w:val="24"/>
              </w:rPr>
            </w:pPr>
            <w:r>
              <w:rPr>
                <w:rFonts w:hint="eastAsia" w:ascii="宋体" w:hAnsi="宋体" w:cs="宋体"/>
                <w:sz w:val="24"/>
              </w:rPr>
              <w:t>糖类抗原72-4测定试剂盒</w:t>
            </w:r>
          </w:p>
        </w:tc>
        <w:tc>
          <w:tcPr>
            <w:tcW w:w="1276" w:type="dxa"/>
            <w:tcBorders>
              <w:top w:val="nil"/>
              <w:left w:val="nil"/>
              <w:bottom w:val="single" w:color="auto" w:sz="4" w:space="0"/>
              <w:right w:val="single" w:color="auto" w:sz="4" w:space="0"/>
            </w:tcBorders>
            <w:shd w:val="clear" w:color="000000" w:fill="FFFFFF"/>
            <w:vAlign w:val="center"/>
          </w:tcPr>
          <w:p w14:paraId="1E4A1B09">
            <w:pPr>
              <w:widowControl/>
              <w:jc w:val="center"/>
              <w:rPr>
                <w:rFonts w:hint="eastAsia" w:ascii="宋体" w:hAnsi="宋体" w:cs="宋体"/>
                <w:kern w:val="0"/>
                <w:sz w:val="24"/>
              </w:rPr>
            </w:pPr>
            <w:r>
              <w:rPr>
                <w:rFonts w:hint="eastAsia" w:ascii="宋体" w:hAnsi="宋体" w:cs="宋体"/>
                <w:kern w:val="0"/>
                <w:sz w:val="24"/>
              </w:rPr>
              <w:t>25</w:t>
            </w:r>
          </w:p>
        </w:tc>
        <w:tc>
          <w:tcPr>
            <w:tcW w:w="992" w:type="dxa"/>
            <w:tcBorders>
              <w:top w:val="nil"/>
              <w:left w:val="nil"/>
              <w:bottom w:val="single" w:color="auto" w:sz="4" w:space="0"/>
              <w:right w:val="single" w:color="auto" w:sz="4" w:space="0"/>
            </w:tcBorders>
            <w:shd w:val="clear" w:color="000000" w:fill="FFFFFF"/>
            <w:vAlign w:val="center"/>
          </w:tcPr>
          <w:p w14:paraId="1BFBECE8">
            <w:pPr>
              <w:widowControl/>
              <w:jc w:val="center"/>
              <w:rPr>
                <w:rFonts w:hint="eastAsia" w:ascii="宋体" w:hAnsi="宋体" w:cs="宋体"/>
                <w:kern w:val="0"/>
                <w:sz w:val="24"/>
              </w:rPr>
            </w:pPr>
            <w:r>
              <w:rPr>
                <w:rFonts w:hint="eastAsia" w:ascii="宋体" w:hAnsi="宋体" w:cs="宋体"/>
                <w:kern w:val="0"/>
                <w:sz w:val="24"/>
              </w:rPr>
              <w:t>人份</w:t>
            </w:r>
          </w:p>
        </w:tc>
        <w:tc>
          <w:tcPr>
            <w:tcW w:w="992" w:type="dxa"/>
            <w:tcBorders>
              <w:top w:val="nil"/>
              <w:left w:val="nil"/>
              <w:bottom w:val="single" w:color="auto" w:sz="4" w:space="0"/>
              <w:right w:val="single" w:color="auto" w:sz="4" w:space="0"/>
            </w:tcBorders>
            <w:shd w:val="clear" w:color="000000" w:fill="FFFFFF"/>
            <w:noWrap/>
            <w:vAlign w:val="center"/>
          </w:tcPr>
          <w:p w14:paraId="2ABC4272">
            <w:pPr>
              <w:widowControl/>
              <w:jc w:val="center"/>
              <w:rPr>
                <w:rFonts w:hint="eastAsia" w:ascii="宋体" w:hAnsi="宋体" w:cs="宋体"/>
                <w:kern w:val="0"/>
                <w:sz w:val="24"/>
              </w:rPr>
            </w:pPr>
            <w:r>
              <w:rPr>
                <w:rFonts w:hint="eastAsia" w:ascii="宋体" w:hAnsi="宋体" w:cs="宋体"/>
                <w:kern w:val="0"/>
                <w:sz w:val="24"/>
              </w:rPr>
              <w:t>12000</w:t>
            </w:r>
          </w:p>
        </w:tc>
        <w:tc>
          <w:tcPr>
            <w:tcW w:w="851" w:type="dxa"/>
            <w:tcBorders>
              <w:top w:val="nil"/>
              <w:left w:val="nil"/>
              <w:bottom w:val="single" w:color="auto" w:sz="4" w:space="0"/>
              <w:right w:val="single" w:color="auto" w:sz="4" w:space="0"/>
            </w:tcBorders>
            <w:shd w:val="clear" w:color="000000" w:fill="FFFFFF"/>
            <w:vAlign w:val="center"/>
          </w:tcPr>
          <w:p w14:paraId="134DD1CE">
            <w:pPr>
              <w:widowControl/>
              <w:jc w:val="center"/>
              <w:rPr>
                <w:rFonts w:hint="eastAsia" w:ascii="宋体" w:hAnsi="宋体" w:cs="宋体"/>
                <w:color w:val="000000"/>
                <w:kern w:val="0"/>
                <w:sz w:val="24"/>
              </w:rPr>
            </w:pPr>
            <w:r>
              <w:rPr>
                <w:rFonts w:hint="eastAsia" w:ascii="宋体" w:hAnsi="宋体" w:cs="宋体"/>
                <w:color w:val="000000"/>
                <w:kern w:val="0"/>
                <w:sz w:val="24"/>
              </w:rPr>
              <w:t>是</w:t>
            </w:r>
          </w:p>
        </w:tc>
        <w:tc>
          <w:tcPr>
            <w:tcW w:w="952" w:type="dxa"/>
            <w:tcBorders>
              <w:top w:val="nil"/>
              <w:left w:val="nil"/>
              <w:bottom w:val="single" w:color="auto" w:sz="4" w:space="0"/>
              <w:right w:val="single" w:color="auto" w:sz="4" w:space="0"/>
            </w:tcBorders>
            <w:shd w:val="clear" w:color="000000" w:fill="FFFFFF"/>
            <w:vAlign w:val="center"/>
          </w:tcPr>
          <w:p w14:paraId="2B767CC4">
            <w:pPr>
              <w:widowControl/>
              <w:jc w:val="center"/>
              <w:rPr>
                <w:rFonts w:hint="eastAsia" w:ascii="宋体" w:hAnsi="宋体" w:cs="宋体"/>
                <w:color w:val="000000"/>
                <w:kern w:val="0"/>
                <w:sz w:val="24"/>
              </w:rPr>
            </w:pPr>
            <w:r>
              <w:rPr>
                <w:rFonts w:hint="eastAsia" w:ascii="宋体" w:hAnsi="宋体" w:cs="宋体"/>
                <w:color w:val="000000"/>
                <w:kern w:val="0"/>
                <w:sz w:val="24"/>
              </w:rPr>
              <w:t>否</w:t>
            </w:r>
          </w:p>
        </w:tc>
      </w:tr>
      <w:tr w14:paraId="3369C4FB">
        <w:tblPrEx>
          <w:tblCellMar>
            <w:top w:w="0" w:type="dxa"/>
            <w:left w:w="108" w:type="dxa"/>
            <w:bottom w:w="0" w:type="dxa"/>
            <w:right w:w="108" w:type="dxa"/>
          </w:tblCellMar>
        </w:tblPrEx>
        <w:trPr>
          <w:trHeight w:val="288" w:hRule="atLeast"/>
        </w:trPr>
        <w:tc>
          <w:tcPr>
            <w:tcW w:w="704" w:type="dxa"/>
            <w:tcBorders>
              <w:top w:val="nil"/>
              <w:left w:val="single" w:color="auto" w:sz="4" w:space="0"/>
              <w:bottom w:val="single" w:color="auto" w:sz="4" w:space="0"/>
              <w:right w:val="single" w:color="auto" w:sz="4" w:space="0"/>
            </w:tcBorders>
            <w:shd w:val="clear" w:color="000000" w:fill="FFFFFF"/>
            <w:vAlign w:val="center"/>
          </w:tcPr>
          <w:p w14:paraId="59328267">
            <w:pPr>
              <w:widowControl/>
              <w:jc w:val="center"/>
              <w:rPr>
                <w:rFonts w:hint="eastAsia" w:ascii="宋体" w:hAnsi="宋体" w:cs="宋体"/>
                <w:kern w:val="0"/>
                <w:sz w:val="24"/>
              </w:rPr>
            </w:pPr>
            <w:r>
              <w:rPr>
                <w:rFonts w:hint="eastAsia" w:ascii="宋体" w:hAnsi="宋体" w:cs="宋体"/>
                <w:kern w:val="0"/>
                <w:sz w:val="24"/>
              </w:rPr>
              <w:t>66</w:t>
            </w:r>
          </w:p>
        </w:tc>
        <w:tc>
          <w:tcPr>
            <w:tcW w:w="2851" w:type="dxa"/>
            <w:tcBorders>
              <w:top w:val="nil"/>
              <w:left w:val="nil"/>
              <w:bottom w:val="single" w:color="auto" w:sz="4" w:space="0"/>
              <w:right w:val="single" w:color="auto" w:sz="4" w:space="0"/>
            </w:tcBorders>
            <w:shd w:val="clear" w:color="000000" w:fill="FFFFFF"/>
            <w:vAlign w:val="center"/>
          </w:tcPr>
          <w:p w14:paraId="01C19159">
            <w:pPr>
              <w:jc w:val="center"/>
              <w:rPr>
                <w:rFonts w:hint="eastAsia" w:ascii="宋体" w:hAnsi="宋体" w:cs="宋体"/>
                <w:sz w:val="24"/>
              </w:rPr>
            </w:pPr>
            <w:r>
              <w:rPr>
                <w:rFonts w:hint="eastAsia" w:ascii="宋体" w:hAnsi="宋体" w:cs="宋体"/>
                <w:sz w:val="24"/>
              </w:rPr>
              <w:t>糖类抗原72-4定标液</w:t>
            </w:r>
          </w:p>
        </w:tc>
        <w:tc>
          <w:tcPr>
            <w:tcW w:w="1276" w:type="dxa"/>
            <w:tcBorders>
              <w:top w:val="nil"/>
              <w:left w:val="nil"/>
              <w:bottom w:val="single" w:color="auto" w:sz="4" w:space="0"/>
              <w:right w:val="single" w:color="auto" w:sz="4" w:space="0"/>
            </w:tcBorders>
            <w:shd w:val="clear" w:color="000000" w:fill="FFFFFF"/>
            <w:vAlign w:val="center"/>
          </w:tcPr>
          <w:p w14:paraId="79F1B455">
            <w:pPr>
              <w:widowControl/>
              <w:jc w:val="center"/>
              <w:rPr>
                <w:rFonts w:hint="eastAsia" w:ascii="宋体" w:hAnsi="宋体" w:cs="宋体"/>
                <w:kern w:val="0"/>
                <w:sz w:val="24"/>
              </w:rPr>
            </w:pPr>
            <w:r>
              <w:rPr>
                <w:rFonts w:hint="eastAsia" w:ascii="宋体" w:hAnsi="宋体" w:cs="宋体"/>
                <w:kern w:val="0"/>
                <w:sz w:val="24"/>
              </w:rPr>
              <w:t>525</w:t>
            </w:r>
          </w:p>
        </w:tc>
        <w:tc>
          <w:tcPr>
            <w:tcW w:w="992" w:type="dxa"/>
            <w:tcBorders>
              <w:top w:val="nil"/>
              <w:left w:val="nil"/>
              <w:bottom w:val="single" w:color="auto" w:sz="4" w:space="0"/>
              <w:right w:val="single" w:color="auto" w:sz="4" w:space="0"/>
            </w:tcBorders>
            <w:shd w:val="clear" w:color="000000" w:fill="FFFFFF"/>
            <w:vAlign w:val="center"/>
          </w:tcPr>
          <w:p w14:paraId="48A01924">
            <w:pPr>
              <w:widowControl/>
              <w:jc w:val="center"/>
              <w:rPr>
                <w:rFonts w:hint="eastAsia" w:ascii="宋体" w:hAnsi="宋体" w:cs="宋体"/>
                <w:kern w:val="0"/>
                <w:sz w:val="24"/>
              </w:rPr>
            </w:pPr>
            <w:r>
              <w:rPr>
                <w:rFonts w:hint="eastAsia" w:ascii="宋体" w:hAnsi="宋体" w:cs="宋体"/>
                <w:kern w:val="0"/>
                <w:sz w:val="24"/>
              </w:rPr>
              <w:t>ml</w:t>
            </w:r>
          </w:p>
        </w:tc>
        <w:tc>
          <w:tcPr>
            <w:tcW w:w="992" w:type="dxa"/>
            <w:tcBorders>
              <w:top w:val="nil"/>
              <w:left w:val="nil"/>
              <w:bottom w:val="single" w:color="auto" w:sz="4" w:space="0"/>
              <w:right w:val="single" w:color="auto" w:sz="4" w:space="0"/>
            </w:tcBorders>
            <w:shd w:val="clear" w:color="000000" w:fill="FFFFFF"/>
            <w:noWrap/>
            <w:vAlign w:val="center"/>
          </w:tcPr>
          <w:p w14:paraId="40F15903">
            <w:pPr>
              <w:widowControl/>
              <w:jc w:val="center"/>
              <w:rPr>
                <w:rFonts w:hint="eastAsia" w:ascii="宋体" w:hAnsi="宋体" w:cs="宋体"/>
                <w:kern w:val="0"/>
                <w:sz w:val="24"/>
              </w:rPr>
            </w:pPr>
            <w:r>
              <w:rPr>
                <w:rFonts w:hint="eastAsia" w:ascii="宋体" w:hAnsi="宋体" w:cs="宋体"/>
                <w:kern w:val="0"/>
                <w:sz w:val="24"/>
              </w:rPr>
              <w:t>4</w:t>
            </w:r>
          </w:p>
        </w:tc>
        <w:tc>
          <w:tcPr>
            <w:tcW w:w="851" w:type="dxa"/>
            <w:tcBorders>
              <w:top w:val="nil"/>
              <w:left w:val="nil"/>
              <w:bottom w:val="single" w:color="auto" w:sz="4" w:space="0"/>
              <w:right w:val="single" w:color="auto" w:sz="4" w:space="0"/>
            </w:tcBorders>
            <w:shd w:val="clear" w:color="000000" w:fill="FFFFFF"/>
            <w:vAlign w:val="center"/>
          </w:tcPr>
          <w:p w14:paraId="05F0A741">
            <w:pPr>
              <w:widowControl/>
              <w:jc w:val="center"/>
              <w:rPr>
                <w:rFonts w:hint="eastAsia" w:ascii="宋体" w:hAnsi="宋体" w:cs="宋体"/>
                <w:color w:val="000000"/>
                <w:kern w:val="0"/>
                <w:sz w:val="24"/>
              </w:rPr>
            </w:pPr>
            <w:r>
              <w:rPr>
                <w:rFonts w:hint="eastAsia" w:ascii="宋体" w:hAnsi="宋体" w:cs="宋体"/>
                <w:color w:val="000000"/>
                <w:kern w:val="0"/>
                <w:sz w:val="24"/>
              </w:rPr>
              <w:t>是</w:t>
            </w:r>
          </w:p>
        </w:tc>
        <w:tc>
          <w:tcPr>
            <w:tcW w:w="952" w:type="dxa"/>
            <w:tcBorders>
              <w:top w:val="nil"/>
              <w:left w:val="nil"/>
              <w:bottom w:val="single" w:color="auto" w:sz="4" w:space="0"/>
              <w:right w:val="single" w:color="auto" w:sz="4" w:space="0"/>
            </w:tcBorders>
            <w:shd w:val="clear" w:color="000000" w:fill="FFFFFF"/>
            <w:vAlign w:val="center"/>
          </w:tcPr>
          <w:p w14:paraId="7C4D0FF3">
            <w:pPr>
              <w:widowControl/>
              <w:jc w:val="center"/>
              <w:rPr>
                <w:rFonts w:hint="eastAsia" w:ascii="宋体" w:hAnsi="宋体" w:cs="宋体"/>
                <w:color w:val="000000"/>
                <w:kern w:val="0"/>
                <w:sz w:val="24"/>
              </w:rPr>
            </w:pPr>
            <w:r>
              <w:rPr>
                <w:rFonts w:hint="eastAsia" w:ascii="宋体" w:hAnsi="宋体" w:cs="宋体"/>
                <w:color w:val="000000"/>
                <w:kern w:val="0"/>
                <w:sz w:val="24"/>
              </w:rPr>
              <w:t>否</w:t>
            </w:r>
          </w:p>
        </w:tc>
      </w:tr>
      <w:tr w14:paraId="6D64D4B3">
        <w:tblPrEx>
          <w:tblCellMar>
            <w:top w:w="0" w:type="dxa"/>
            <w:left w:w="108" w:type="dxa"/>
            <w:bottom w:w="0" w:type="dxa"/>
            <w:right w:w="108" w:type="dxa"/>
          </w:tblCellMar>
        </w:tblPrEx>
        <w:trPr>
          <w:trHeight w:val="288" w:hRule="atLeast"/>
        </w:trPr>
        <w:tc>
          <w:tcPr>
            <w:tcW w:w="704" w:type="dxa"/>
            <w:tcBorders>
              <w:top w:val="nil"/>
              <w:left w:val="single" w:color="auto" w:sz="4" w:space="0"/>
              <w:bottom w:val="single" w:color="auto" w:sz="4" w:space="0"/>
              <w:right w:val="single" w:color="auto" w:sz="4" w:space="0"/>
            </w:tcBorders>
            <w:shd w:val="clear" w:color="000000" w:fill="FFFFFF"/>
            <w:vAlign w:val="center"/>
          </w:tcPr>
          <w:p w14:paraId="7BB693A4">
            <w:pPr>
              <w:widowControl/>
              <w:jc w:val="center"/>
              <w:rPr>
                <w:rFonts w:hint="eastAsia" w:ascii="宋体" w:hAnsi="宋体" w:cs="宋体"/>
                <w:kern w:val="0"/>
                <w:sz w:val="24"/>
              </w:rPr>
            </w:pPr>
            <w:r>
              <w:rPr>
                <w:rFonts w:hint="eastAsia" w:ascii="宋体" w:hAnsi="宋体" w:cs="宋体"/>
                <w:kern w:val="0"/>
                <w:sz w:val="24"/>
              </w:rPr>
              <w:t>67</w:t>
            </w:r>
          </w:p>
        </w:tc>
        <w:tc>
          <w:tcPr>
            <w:tcW w:w="2851" w:type="dxa"/>
            <w:tcBorders>
              <w:top w:val="nil"/>
              <w:left w:val="nil"/>
              <w:bottom w:val="single" w:color="auto" w:sz="4" w:space="0"/>
              <w:right w:val="single" w:color="auto" w:sz="4" w:space="0"/>
            </w:tcBorders>
            <w:shd w:val="clear" w:color="000000" w:fill="FFFFFF"/>
            <w:vAlign w:val="center"/>
          </w:tcPr>
          <w:p w14:paraId="264AFF34">
            <w:pPr>
              <w:jc w:val="center"/>
              <w:rPr>
                <w:rFonts w:hint="eastAsia" w:ascii="宋体" w:hAnsi="宋体" w:cs="宋体"/>
                <w:sz w:val="24"/>
              </w:rPr>
            </w:pPr>
            <w:r>
              <w:rPr>
                <w:rFonts w:hint="eastAsia" w:ascii="宋体" w:hAnsi="宋体" w:cs="宋体"/>
                <w:sz w:val="24"/>
              </w:rPr>
              <w:t>维生素B12检测试剂盒</w:t>
            </w:r>
          </w:p>
        </w:tc>
        <w:tc>
          <w:tcPr>
            <w:tcW w:w="1276" w:type="dxa"/>
            <w:tcBorders>
              <w:top w:val="nil"/>
              <w:left w:val="nil"/>
              <w:bottom w:val="single" w:color="auto" w:sz="4" w:space="0"/>
              <w:right w:val="single" w:color="auto" w:sz="4" w:space="0"/>
            </w:tcBorders>
            <w:shd w:val="clear" w:color="000000" w:fill="FFFFFF"/>
            <w:vAlign w:val="center"/>
          </w:tcPr>
          <w:p w14:paraId="262D34DA">
            <w:pPr>
              <w:widowControl/>
              <w:jc w:val="center"/>
              <w:rPr>
                <w:rFonts w:hint="eastAsia" w:ascii="宋体" w:hAnsi="宋体" w:cs="宋体"/>
                <w:kern w:val="0"/>
                <w:sz w:val="24"/>
              </w:rPr>
            </w:pPr>
            <w:r>
              <w:rPr>
                <w:rFonts w:hint="eastAsia" w:ascii="宋体" w:hAnsi="宋体" w:cs="宋体"/>
                <w:kern w:val="0"/>
                <w:sz w:val="24"/>
              </w:rPr>
              <w:t>26.45</w:t>
            </w:r>
          </w:p>
        </w:tc>
        <w:tc>
          <w:tcPr>
            <w:tcW w:w="992" w:type="dxa"/>
            <w:tcBorders>
              <w:top w:val="nil"/>
              <w:left w:val="nil"/>
              <w:bottom w:val="single" w:color="auto" w:sz="4" w:space="0"/>
              <w:right w:val="single" w:color="auto" w:sz="4" w:space="0"/>
            </w:tcBorders>
            <w:shd w:val="clear" w:color="000000" w:fill="FFFFFF"/>
            <w:vAlign w:val="center"/>
          </w:tcPr>
          <w:p w14:paraId="2F514332">
            <w:pPr>
              <w:widowControl/>
              <w:jc w:val="center"/>
              <w:rPr>
                <w:rFonts w:hint="eastAsia" w:ascii="宋体" w:hAnsi="宋体" w:cs="宋体"/>
                <w:kern w:val="0"/>
                <w:sz w:val="24"/>
              </w:rPr>
            </w:pPr>
            <w:r>
              <w:rPr>
                <w:rFonts w:hint="eastAsia" w:ascii="宋体" w:hAnsi="宋体" w:cs="宋体"/>
                <w:kern w:val="0"/>
                <w:sz w:val="24"/>
              </w:rPr>
              <w:t>人份</w:t>
            </w:r>
          </w:p>
        </w:tc>
        <w:tc>
          <w:tcPr>
            <w:tcW w:w="992" w:type="dxa"/>
            <w:tcBorders>
              <w:top w:val="nil"/>
              <w:left w:val="nil"/>
              <w:bottom w:val="single" w:color="auto" w:sz="4" w:space="0"/>
              <w:right w:val="single" w:color="auto" w:sz="4" w:space="0"/>
            </w:tcBorders>
            <w:shd w:val="clear" w:color="000000" w:fill="FFFFFF"/>
            <w:noWrap/>
            <w:vAlign w:val="center"/>
          </w:tcPr>
          <w:p w14:paraId="5B8BB140">
            <w:pPr>
              <w:widowControl/>
              <w:jc w:val="center"/>
              <w:rPr>
                <w:rFonts w:hint="eastAsia" w:ascii="宋体" w:hAnsi="宋体" w:cs="宋体"/>
                <w:kern w:val="0"/>
                <w:sz w:val="24"/>
              </w:rPr>
            </w:pPr>
            <w:r>
              <w:rPr>
                <w:rFonts w:hint="eastAsia" w:ascii="宋体" w:hAnsi="宋体" w:cs="宋体"/>
                <w:kern w:val="0"/>
                <w:sz w:val="24"/>
              </w:rPr>
              <w:t>1500</w:t>
            </w:r>
          </w:p>
        </w:tc>
        <w:tc>
          <w:tcPr>
            <w:tcW w:w="851" w:type="dxa"/>
            <w:tcBorders>
              <w:top w:val="nil"/>
              <w:left w:val="nil"/>
              <w:bottom w:val="single" w:color="auto" w:sz="4" w:space="0"/>
              <w:right w:val="single" w:color="auto" w:sz="4" w:space="0"/>
            </w:tcBorders>
            <w:shd w:val="clear" w:color="000000" w:fill="FFFFFF"/>
            <w:vAlign w:val="center"/>
          </w:tcPr>
          <w:p w14:paraId="191BC728">
            <w:pPr>
              <w:widowControl/>
              <w:jc w:val="center"/>
              <w:rPr>
                <w:rFonts w:hint="eastAsia" w:ascii="宋体" w:hAnsi="宋体" w:cs="宋体"/>
                <w:color w:val="000000"/>
                <w:kern w:val="0"/>
                <w:sz w:val="24"/>
              </w:rPr>
            </w:pPr>
            <w:r>
              <w:rPr>
                <w:rFonts w:hint="eastAsia" w:ascii="宋体" w:hAnsi="宋体" w:cs="宋体"/>
                <w:color w:val="000000"/>
                <w:kern w:val="0"/>
                <w:sz w:val="24"/>
              </w:rPr>
              <w:t>是</w:t>
            </w:r>
          </w:p>
        </w:tc>
        <w:tc>
          <w:tcPr>
            <w:tcW w:w="952" w:type="dxa"/>
            <w:tcBorders>
              <w:top w:val="nil"/>
              <w:left w:val="nil"/>
              <w:bottom w:val="single" w:color="auto" w:sz="4" w:space="0"/>
              <w:right w:val="single" w:color="auto" w:sz="4" w:space="0"/>
            </w:tcBorders>
            <w:shd w:val="clear" w:color="000000" w:fill="FFFFFF"/>
            <w:vAlign w:val="center"/>
          </w:tcPr>
          <w:p w14:paraId="59B41A61">
            <w:pPr>
              <w:widowControl/>
              <w:jc w:val="center"/>
              <w:rPr>
                <w:rFonts w:hint="eastAsia" w:ascii="宋体" w:hAnsi="宋体" w:cs="宋体"/>
                <w:color w:val="000000"/>
                <w:kern w:val="0"/>
                <w:sz w:val="24"/>
              </w:rPr>
            </w:pPr>
            <w:r>
              <w:rPr>
                <w:rFonts w:hint="eastAsia" w:ascii="宋体" w:hAnsi="宋体" w:cs="宋体"/>
                <w:color w:val="000000"/>
                <w:kern w:val="0"/>
                <w:sz w:val="24"/>
              </w:rPr>
              <w:t>否</w:t>
            </w:r>
          </w:p>
        </w:tc>
      </w:tr>
      <w:tr w14:paraId="4F75E92B">
        <w:tblPrEx>
          <w:tblCellMar>
            <w:top w:w="0" w:type="dxa"/>
            <w:left w:w="108" w:type="dxa"/>
            <w:bottom w:w="0" w:type="dxa"/>
            <w:right w:w="108" w:type="dxa"/>
          </w:tblCellMar>
        </w:tblPrEx>
        <w:trPr>
          <w:trHeight w:val="288" w:hRule="atLeast"/>
        </w:trPr>
        <w:tc>
          <w:tcPr>
            <w:tcW w:w="704" w:type="dxa"/>
            <w:tcBorders>
              <w:top w:val="nil"/>
              <w:left w:val="single" w:color="auto" w:sz="4" w:space="0"/>
              <w:bottom w:val="single" w:color="auto" w:sz="4" w:space="0"/>
              <w:right w:val="single" w:color="auto" w:sz="4" w:space="0"/>
            </w:tcBorders>
            <w:shd w:val="clear" w:color="000000" w:fill="FFFFFF"/>
            <w:vAlign w:val="center"/>
          </w:tcPr>
          <w:p w14:paraId="5040D295">
            <w:pPr>
              <w:widowControl/>
              <w:jc w:val="center"/>
              <w:rPr>
                <w:rFonts w:hint="eastAsia" w:ascii="宋体" w:hAnsi="宋体" w:cs="宋体"/>
                <w:kern w:val="0"/>
                <w:sz w:val="24"/>
              </w:rPr>
            </w:pPr>
            <w:r>
              <w:rPr>
                <w:rFonts w:hint="eastAsia" w:ascii="宋体" w:hAnsi="宋体" w:cs="宋体"/>
                <w:kern w:val="0"/>
                <w:sz w:val="24"/>
              </w:rPr>
              <w:t>68</w:t>
            </w:r>
          </w:p>
        </w:tc>
        <w:tc>
          <w:tcPr>
            <w:tcW w:w="2851" w:type="dxa"/>
            <w:tcBorders>
              <w:top w:val="nil"/>
              <w:left w:val="nil"/>
              <w:bottom w:val="single" w:color="auto" w:sz="4" w:space="0"/>
              <w:right w:val="single" w:color="auto" w:sz="4" w:space="0"/>
            </w:tcBorders>
            <w:shd w:val="clear" w:color="000000" w:fill="FFFFFF"/>
            <w:vAlign w:val="center"/>
          </w:tcPr>
          <w:p w14:paraId="61DB8C32">
            <w:pPr>
              <w:jc w:val="center"/>
              <w:rPr>
                <w:rFonts w:hint="eastAsia" w:ascii="宋体" w:hAnsi="宋体" w:cs="宋体"/>
                <w:sz w:val="24"/>
              </w:rPr>
            </w:pPr>
            <w:r>
              <w:rPr>
                <w:rFonts w:hint="eastAsia" w:ascii="宋体" w:hAnsi="宋体" w:cs="宋体"/>
                <w:sz w:val="24"/>
              </w:rPr>
              <w:t>维生素B12定标液</w:t>
            </w:r>
          </w:p>
        </w:tc>
        <w:tc>
          <w:tcPr>
            <w:tcW w:w="1276" w:type="dxa"/>
            <w:tcBorders>
              <w:top w:val="nil"/>
              <w:left w:val="nil"/>
              <w:bottom w:val="single" w:color="auto" w:sz="4" w:space="0"/>
              <w:right w:val="single" w:color="auto" w:sz="4" w:space="0"/>
            </w:tcBorders>
            <w:shd w:val="clear" w:color="000000" w:fill="FFFFFF"/>
            <w:vAlign w:val="center"/>
          </w:tcPr>
          <w:p w14:paraId="3E9E53D9">
            <w:pPr>
              <w:widowControl/>
              <w:jc w:val="center"/>
              <w:rPr>
                <w:rFonts w:hint="eastAsia" w:ascii="宋体" w:hAnsi="宋体" w:cs="宋体"/>
                <w:kern w:val="0"/>
                <w:sz w:val="24"/>
              </w:rPr>
            </w:pPr>
            <w:r>
              <w:rPr>
                <w:rFonts w:hint="eastAsia" w:ascii="宋体" w:hAnsi="宋体" w:cs="宋体"/>
                <w:kern w:val="0"/>
                <w:sz w:val="24"/>
              </w:rPr>
              <w:t>375</w:t>
            </w:r>
          </w:p>
        </w:tc>
        <w:tc>
          <w:tcPr>
            <w:tcW w:w="992" w:type="dxa"/>
            <w:tcBorders>
              <w:top w:val="nil"/>
              <w:left w:val="nil"/>
              <w:bottom w:val="single" w:color="auto" w:sz="4" w:space="0"/>
              <w:right w:val="single" w:color="auto" w:sz="4" w:space="0"/>
            </w:tcBorders>
            <w:shd w:val="clear" w:color="000000" w:fill="FFFFFF"/>
            <w:vAlign w:val="center"/>
          </w:tcPr>
          <w:p w14:paraId="5B038512">
            <w:pPr>
              <w:widowControl/>
              <w:jc w:val="center"/>
              <w:rPr>
                <w:rFonts w:hint="eastAsia" w:ascii="宋体" w:hAnsi="宋体" w:cs="宋体"/>
                <w:kern w:val="0"/>
                <w:sz w:val="24"/>
              </w:rPr>
            </w:pPr>
            <w:r>
              <w:rPr>
                <w:rFonts w:hint="eastAsia" w:ascii="宋体" w:hAnsi="宋体" w:cs="宋体"/>
                <w:kern w:val="0"/>
                <w:sz w:val="24"/>
              </w:rPr>
              <w:t>ml</w:t>
            </w:r>
          </w:p>
        </w:tc>
        <w:tc>
          <w:tcPr>
            <w:tcW w:w="992" w:type="dxa"/>
            <w:tcBorders>
              <w:top w:val="nil"/>
              <w:left w:val="nil"/>
              <w:bottom w:val="single" w:color="auto" w:sz="4" w:space="0"/>
              <w:right w:val="single" w:color="auto" w:sz="4" w:space="0"/>
            </w:tcBorders>
            <w:shd w:val="clear" w:color="000000" w:fill="FFFFFF"/>
            <w:noWrap/>
            <w:vAlign w:val="center"/>
          </w:tcPr>
          <w:p w14:paraId="3114EA31">
            <w:pPr>
              <w:widowControl/>
              <w:jc w:val="center"/>
              <w:rPr>
                <w:rFonts w:hint="eastAsia" w:ascii="宋体" w:hAnsi="宋体" w:cs="宋体"/>
                <w:kern w:val="0"/>
                <w:sz w:val="24"/>
              </w:rPr>
            </w:pPr>
            <w:r>
              <w:rPr>
                <w:rFonts w:hint="eastAsia" w:ascii="宋体" w:hAnsi="宋体" w:cs="宋体"/>
                <w:kern w:val="0"/>
                <w:sz w:val="24"/>
              </w:rPr>
              <w:t>4</w:t>
            </w:r>
          </w:p>
        </w:tc>
        <w:tc>
          <w:tcPr>
            <w:tcW w:w="851" w:type="dxa"/>
            <w:tcBorders>
              <w:top w:val="nil"/>
              <w:left w:val="nil"/>
              <w:bottom w:val="single" w:color="auto" w:sz="4" w:space="0"/>
              <w:right w:val="single" w:color="auto" w:sz="4" w:space="0"/>
            </w:tcBorders>
            <w:shd w:val="clear" w:color="000000" w:fill="FFFFFF"/>
            <w:vAlign w:val="center"/>
          </w:tcPr>
          <w:p w14:paraId="0A692DCD">
            <w:pPr>
              <w:widowControl/>
              <w:jc w:val="center"/>
              <w:rPr>
                <w:rFonts w:hint="eastAsia" w:ascii="宋体" w:hAnsi="宋体" w:cs="宋体"/>
                <w:color w:val="000000"/>
                <w:kern w:val="0"/>
                <w:sz w:val="24"/>
              </w:rPr>
            </w:pPr>
            <w:r>
              <w:rPr>
                <w:rFonts w:hint="eastAsia" w:ascii="宋体" w:hAnsi="宋体" w:cs="宋体"/>
                <w:color w:val="000000"/>
                <w:kern w:val="0"/>
                <w:sz w:val="24"/>
              </w:rPr>
              <w:t>是</w:t>
            </w:r>
          </w:p>
        </w:tc>
        <w:tc>
          <w:tcPr>
            <w:tcW w:w="952" w:type="dxa"/>
            <w:tcBorders>
              <w:top w:val="nil"/>
              <w:left w:val="nil"/>
              <w:bottom w:val="single" w:color="auto" w:sz="4" w:space="0"/>
              <w:right w:val="single" w:color="auto" w:sz="4" w:space="0"/>
            </w:tcBorders>
            <w:shd w:val="clear" w:color="000000" w:fill="FFFFFF"/>
            <w:vAlign w:val="center"/>
          </w:tcPr>
          <w:p w14:paraId="000EB657">
            <w:pPr>
              <w:widowControl/>
              <w:jc w:val="center"/>
              <w:rPr>
                <w:rFonts w:hint="eastAsia" w:ascii="宋体" w:hAnsi="宋体" w:cs="宋体"/>
                <w:color w:val="000000"/>
                <w:kern w:val="0"/>
                <w:sz w:val="24"/>
              </w:rPr>
            </w:pPr>
            <w:r>
              <w:rPr>
                <w:rFonts w:hint="eastAsia" w:ascii="宋体" w:hAnsi="宋体" w:cs="宋体"/>
                <w:color w:val="000000"/>
                <w:kern w:val="0"/>
                <w:sz w:val="24"/>
              </w:rPr>
              <w:t>否</w:t>
            </w:r>
          </w:p>
        </w:tc>
      </w:tr>
      <w:tr w14:paraId="4148860C">
        <w:tblPrEx>
          <w:tblCellMar>
            <w:top w:w="0" w:type="dxa"/>
            <w:left w:w="108" w:type="dxa"/>
            <w:bottom w:w="0" w:type="dxa"/>
            <w:right w:w="108" w:type="dxa"/>
          </w:tblCellMar>
        </w:tblPrEx>
        <w:trPr>
          <w:trHeight w:val="576" w:hRule="atLeast"/>
        </w:trPr>
        <w:tc>
          <w:tcPr>
            <w:tcW w:w="704" w:type="dxa"/>
            <w:tcBorders>
              <w:top w:val="nil"/>
              <w:left w:val="single" w:color="auto" w:sz="4" w:space="0"/>
              <w:bottom w:val="single" w:color="auto" w:sz="4" w:space="0"/>
              <w:right w:val="single" w:color="auto" w:sz="4" w:space="0"/>
            </w:tcBorders>
            <w:shd w:val="clear" w:color="000000" w:fill="FFFFFF"/>
            <w:vAlign w:val="center"/>
          </w:tcPr>
          <w:p w14:paraId="797EEDFC">
            <w:pPr>
              <w:widowControl/>
              <w:jc w:val="center"/>
              <w:rPr>
                <w:rFonts w:hint="eastAsia" w:ascii="宋体" w:hAnsi="宋体" w:cs="宋体"/>
                <w:kern w:val="0"/>
                <w:sz w:val="24"/>
              </w:rPr>
            </w:pPr>
            <w:r>
              <w:rPr>
                <w:rFonts w:hint="eastAsia" w:ascii="宋体" w:hAnsi="宋体" w:cs="宋体"/>
                <w:kern w:val="0"/>
                <w:sz w:val="24"/>
              </w:rPr>
              <w:t>69</w:t>
            </w:r>
          </w:p>
        </w:tc>
        <w:tc>
          <w:tcPr>
            <w:tcW w:w="2851" w:type="dxa"/>
            <w:tcBorders>
              <w:top w:val="nil"/>
              <w:left w:val="nil"/>
              <w:bottom w:val="single" w:color="auto" w:sz="4" w:space="0"/>
              <w:right w:val="single" w:color="auto" w:sz="4" w:space="0"/>
            </w:tcBorders>
            <w:shd w:val="clear" w:color="000000" w:fill="FFFFFF"/>
            <w:vAlign w:val="center"/>
          </w:tcPr>
          <w:p w14:paraId="157CE272">
            <w:pPr>
              <w:jc w:val="center"/>
              <w:rPr>
                <w:rFonts w:hint="eastAsia" w:ascii="宋体" w:hAnsi="宋体" w:cs="宋体"/>
                <w:sz w:val="24"/>
              </w:rPr>
            </w:pPr>
            <w:r>
              <w:rPr>
                <w:rFonts w:hint="eastAsia" w:ascii="宋体" w:hAnsi="宋体" w:cs="宋体"/>
                <w:sz w:val="24"/>
              </w:rPr>
              <w:t>胃泌素释放肽前体定标液</w:t>
            </w:r>
          </w:p>
        </w:tc>
        <w:tc>
          <w:tcPr>
            <w:tcW w:w="1276" w:type="dxa"/>
            <w:tcBorders>
              <w:top w:val="nil"/>
              <w:left w:val="nil"/>
              <w:bottom w:val="single" w:color="auto" w:sz="4" w:space="0"/>
              <w:right w:val="single" w:color="auto" w:sz="4" w:space="0"/>
            </w:tcBorders>
            <w:shd w:val="clear" w:color="000000" w:fill="FFFFFF"/>
            <w:vAlign w:val="center"/>
          </w:tcPr>
          <w:p w14:paraId="7307F9AA">
            <w:pPr>
              <w:widowControl/>
              <w:jc w:val="center"/>
              <w:rPr>
                <w:rFonts w:hint="eastAsia" w:ascii="宋体" w:hAnsi="宋体" w:cs="宋体"/>
                <w:kern w:val="0"/>
                <w:sz w:val="24"/>
              </w:rPr>
            </w:pPr>
            <w:r>
              <w:rPr>
                <w:rFonts w:hint="eastAsia" w:ascii="宋体" w:hAnsi="宋体" w:cs="宋体"/>
                <w:kern w:val="0"/>
                <w:sz w:val="24"/>
              </w:rPr>
              <w:t>875</w:t>
            </w:r>
          </w:p>
        </w:tc>
        <w:tc>
          <w:tcPr>
            <w:tcW w:w="992" w:type="dxa"/>
            <w:tcBorders>
              <w:top w:val="nil"/>
              <w:left w:val="nil"/>
              <w:bottom w:val="single" w:color="auto" w:sz="4" w:space="0"/>
              <w:right w:val="single" w:color="auto" w:sz="4" w:space="0"/>
            </w:tcBorders>
            <w:shd w:val="clear" w:color="000000" w:fill="FFFFFF"/>
            <w:vAlign w:val="center"/>
          </w:tcPr>
          <w:p w14:paraId="1401EF30">
            <w:pPr>
              <w:widowControl/>
              <w:jc w:val="center"/>
              <w:rPr>
                <w:rFonts w:hint="eastAsia" w:ascii="宋体" w:hAnsi="宋体" w:cs="宋体"/>
                <w:kern w:val="0"/>
                <w:sz w:val="24"/>
              </w:rPr>
            </w:pPr>
            <w:r>
              <w:rPr>
                <w:rFonts w:hint="eastAsia" w:ascii="宋体" w:hAnsi="宋体" w:cs="宋体"/>
                <w:kern w:val="0"/>
                <w:sz w:val="24"/>
              </w:rPr>
              <w:t>ml</w:t>
            </w:r>
          </w:p>
        </w:tc>
        <w:tc>
          <w:tcPr>
            <w:tcW w:w="992" w:type="dxa"/>
            <w:tcBorders>
              <w:top w:val="nil"/>
              <w:left w:val="nil"/>
              <w:bottom w:val="single" w:color="auto" w:sz="4" w:space="0"/>
              <w:right w:val="single" w:color="auto" w:sz="4" w:space="0"/>
            </w:tcBorders>
            <w:shd w:val="clear" w:color="000000" w:fill="FFFFFF"/>
            <w:noWrap/>
            <w:vAlign w:val="center"/>
          </w:tcPr>
          <w:p w14:paraId="2941C4CD">
            <w:pPr>
              <w:widowControl/>
              <w:jc w:val="center"/>
              <w:rPr>
                <w:rFonts w:hint="eastAsia" w:ascii="宋体" w:hAnsi="宋体" w:cs="宋体"/>
                <w:kern w:val="0"/>
                <w:sz w:val="24"/>
              </w:rPr>
            </w:pPr>
            <w:r>
              <w:rPr>
                <w:rFonts w:hint="eastAsia" w:ascii="宋体" w:hAnsi="宋体" w:cs="宋体"/>
                <w:kern w:val="0"/>
                <w:sz w:val="24"/>
              </w:rPr>
              <w:t>8</w:t>
            </w:r>
          </w:p>
        </w:tc>
        <w:tc>
          <w:tcPr>
            <w:tcW w:w="851" w:type="dxa"/>
            <w:tcBorders>
              <w:top w:val="nil"/>
              <w:left w:val="nil"/>
              <w:bottom w:val="single" w:color="auto" w:sz="4" w:space="0"/>
              <w:right w:val="single" w:color="auto" w:sz="4" w:space="0"/>
            </w:tcBorders>
            <w:shd w:val="clear" w:color="000000" w:fill="FFFFFF"/>
            <w:vAlign w:val="center"/>
          </w:tcPr>
          <w:p w14:paraId="5B27C76F">
            <w:pPr>
              <w:widowControl/>
              <w:jc w:val="center"/>
              <w:rPr>
                <w:rFonts w:hint="eastAsia" w:ascii="宋体" w:hAnsi="宋体" w:cs="宋体"/>
                <w:color w:val="000000"/>
                <w:kern w:val="0"/>
                <w:sz w:val="24"/>
              </w:rPr>
            </w:pPr>
            <w:r>
              <w:rPr>
                <w:rFonts w:hint="eastAsia" w:ascii="宋体" w:hAnsi="宋体" w:cs="宋体"/>
                <w:color w:val="000000"/>
                <w:kern w:val="0"/>
                <w:sz w:val="24"/>
              </w:rPr>
              <w:t>是</w:t>
            </w:r>
          </w:p>
        </w:tc>
        <w:tc>
          <w:tcPr>
            <w:tcW w:w="952" w:type="dxa"/>
            <w:tcBorders>
              <w:top w:val="nil"/>
              <w:left w:val="nil"/>
              <w:bottom w:val="single" w:color="auto" w:sz="4" w:space="0"/>
              <w:right w:val="single" w:color="auto" w:sz="4" w:space="0"/>
            </w:tcBorders>
            <w:shd w:val="clear" w:color="000000" w:fill="FFFFFF"/>
            <w:vAlign w:val="center"/>
          </w:tcPr>
          <w:p w14:paraId="201ADACC">
            <w:pPr>
              <w:widowControl/>
              <w:jc w:val="center"/>
              <w:rPr>
                <w:rFonts w:hint="eastAsia" w:ascii="宋体" w:hAnsi="宋体" w:cs="宋体"/>
                <w:color w:val="000000"/>
                <w:kern w:val="0"/>
                <w:sz w:val="24"/>
              </w:rPr>
            </w:pPr>
            <w:r>
              <w:rPr>
                <w:rFonts w:hint="eastAsia" w:ascii="宋体" w:hAnsi="宋体" w:cs="宋体"/>
                <w:color w:val="000000"/>
                <w:kern w:val="0"/>
                <w:sz w:val="24"/>
              </w:rPr>
              <w:t>否</w:t>
            </w:r>
          </w:p>
        </w:tc>
      </w:tr>
      <w:tr w14:paraId="3CB9887C">
        <w:tblPrEx>
          <w:tblCellMar>
            <w:top w:w="0" w:type="dxa"/>
            <w:left w:w="108" w:type="dxa"/>
            <w:bottom w:w="0" w:type="dxa"/>
            <w:right w:w="108" w:type="dxa"/>
          </w:tblCellMar>
        </w:tblPrEx>
        <w:trPr>
          <w:trHeight w:val="576" w:hRule="atLeast"/>
        </w:trPr>
        <w:tc>
          <w:tcPr>
            <w:tcW w:w="704" w:type="dxa"/>
            <w:tcBorders>
              <w:top w:val="nil"/>
              <w:left w:val="single" w:color="auto" w:sz="4" w:space="0"/>
              <w:bottom w:val="single" w:color="auto" w:sz="4" w:space="0"/>
              <w:right w:val="single" w:color="auto" w:sz="4" w:space="0"/>
            </w:tcBorders>
            <w:shd w:val="clear" w:color="000000" w:fill="FFFFFF"/>
            <w:vAlign w:val="center"/>
          </w:tcPr>
          <w:p w14:paraId="164B4E35">
            <w:pPr>
              <w:widowControl/>
              <w:jc w:val="center"/>
              <w:rPr>
                <w:rFonts w:hint="eastAsia" w:ascii="宋体" w:hAnsi="宋体" w:cs="宋体"/>
                <w:kern w:val="0"/>
                <w:sz w:val="24"/>
              </w:rPr>
            </w:pPr>
            <w:r>
              <w:rPr>
                <w:rFonts w:hint="eastAsia" w:ascii="宋体" w:hAnsi="宋体" w:cs="宋体"/>
                <w:kern w:val="0"/>
                <w:sz w:val="24"/>
              </w:rPr>
              <w:t>70</w:t>
            </w:r>
          </w:p>
        </w:tc>
        <w:tc>
          <w:tcPr>
            <w:tcW w:w="2851" w:type="dxa"/>
            <w:tcBorders>
              <w:top w:val="nil"/>
              <w:left w:val="nil"/>
              <w:bottom w:val="single" w:color="auto" w:sz="4" w:space="0"/>
              <w:right w:val="single" w:color="auto" w:sz="4" w:space="0"/>
            </w:tcBorders>
            <w:shd w:val="clear" w:color="000000" w:fill="FFFFFF"/>
            <w:vAlign w:val="center"/>
          </w:tcPr>
          <w:p w14:paraId="6204048B">
            <w:pPr>
              <w:jc w:val="center"/>
              <w:rPr>
                <w:rFonts w:hint="eastAsia" w:ascii="宋体" w:hAnsi="宋体" w:cs="宋体"/>
                <w:sz w:val="24"/>
              </w:rPr>
            </w:pPr>
            <w:r>
              <w:rPr>
                <w:rFonts w:hint="eastAsia" w:ascii="宋体" w:hAnsi="宋体" w:cs="宋体"/>
                <w:sz w:val="24"/>
              </w:rPr>
              <w:t>胃泌素释放肽前体检测试剂盒</w:t>
            </w:r>
          </w:p>
        </w:tc>
        <w:tc>
          <w:tcPr>
            <w:tcW w:w="1276" w:type="dxa"/>
            <w:tcBorders>
              <w:top w:val="nil"/>
              <w:left w:val="nil"/>
              <w:bottom w:val="single" w:color="auto" w:sz="4" w:space="0"/>
              <w:right w:val="single" w:color="auto" w:sz="4" w:space="0"/>
            </w:tcBorders>
            <w:shd w:val="clear" w:color="000000" w:fill="FFFFFF"/>
            <w:vAlign w:val="center"/>
          </w:tcPr>
          <w:p w14:paraId="4F2F38AA">
            <w:pPr>
              <w:widowControl/>
              <w:jc w:val="center"/>
              <w:rPr>
                <w:rFonts w:hint="eastAsia" w:ascii="宋体" w:hAnsi="宋体" w:cs="宋体"/>
                <w:kern w:val="0"/>
                <w:sz w:val="24"/>
              </w:rPr>
            </w:pPr>
            <w:r>
              <w:rPr>
                <w:rFonts w:hint="eastAsia" w:ascii="宋体" w:hAnsi="宋体" w:cs="宋体"/>
                <w:kern w:val="0"/>
                <w:sz w:val="24"/>
              </w:rPr>
              <w:t>22.78</w:t>
            </w:r>
          </w:p>
        </w:tc>
        <w:tc>
          <w:tcPr>
            <w:tcW w:w="992" w:type="dxa"/>
            <w:tcBorders>
              <w:top w:val="nil"/>
              <w:left w:val="nil"/>
              <w:bottom w:val="single" w:color="auto" w:sz="4" w:space="0"/>
              <w:right w:val="single" w:color="auto" w:sz="4" w:space="0"/>
            </w:tcBorders>
            <w:shd w:val="clear" w:color="000000" w:fill="FFFFFF"/>
            <w:vAlign w:val="center"/>
          </w:tcPr>
          <w:p w14:paraId="619DA860">
            <w:pPr>
              <w:widowControl/>
              <w:jc w:val="center"/>
              <w:rPr>
                <w:rFonts w:hint="eastAsia" w:ascii="宋体" w:hAnsi="宋体" w:cs="宋体"/>
                <w:kern w:val="0"/>
                <w:sz w:val="24"/>
              </w:rPr>
            </w:pPr>
            <w:r>
              <w:rPr>
                <w:rFonts w:hint="eastAsia" w:ascii="宋体" w:hAnsi="宋体" w:cs="宋体"/>
                <w:kern w:val="0"/>
                <w:sz w:val="24"/>
              </w:rPr>
              <w:t>人份</w:t>
            </w:r>
          </w:p>
        </w:tc>
        <w:tc>
          <w:tcPr>
            <w:tcW w:w="992" w:type="dxa"/>
            <w:tcBorders>
              <w:top w:val="nil"/>
              <w:left w:val="nil"/>
              <w:bottom w:val="single" w:color="auto" w:sz="4" w:space="0"/>
              <w:right w:val="single" w:color="auto" w:sz="4" w:space="0"/>
            </w:tcBorders>
            <w:shd w:val="clear" w:color="000000" w:fill="FFFFFF"/>
            <w:noWrap/>
            <w:vAlign w:val="center"/>
          </w:tcPr>
          <w:p w14:paraId="785143D0">
            <w:pPr>
              <w:widowControl/>
              <w:jc w:val="center"/>
              <w:rPr>
                <w:rFonts w:hint="eastAsia" w:ascii="宋体" w:hAnsi="宋体" w:cs="宋体"/>
                <w:kern w:val="0"/>
                <w:sz w:val="24"/>
              </w:rPr>
            </w:pPr>
            <w:r>
              <w:rPr>
                <w:rFonts w:hint="eastAsia" w:ascii="宋体" w:hAnsi="宋体" w:cs="宋体"/>
                <w:kern w:val="0"/>
                <w:sz w:val="24"/>
              </w:rPr>
              <w:t>3000</w:t>
            </w:r>
          </w:p>
        </w:tc>
        <w:tc>
          <w:tcPr>
            <w:tcW w:w="851" w:type="dxa"/>
            <w:tcBorders>
              <w:top w:val="nil"/>
              <w:left w:val="nil"/>
              <w:bottom w:val="single" w:color="auto" w:sz="4" w:space="0"/>
              <w:right w:val="single" w:color="auto" w:sz="4" w:space="0"/>
            </w:tcBorders>
            <w:shd w:val="clear" w:color="000000" w:fill="FFFFFF"/>
            <w:vAlign w:val="center"/>
          </w:tcPr>
          <w:p w14:paraId="60A373B4">
            <w:pPr>
              <w:widowControl/>
              <w:jc w:val="center"/>
              <w:rPr>
                <w:rFonts w:hint="eastAsia" w:ascii="宋体" w:hAnsi="宋体" w:cs="宋体"/>
                <w:color w:val="000000"/>
                <w:kern w:val="0"/>
                <w:sz w:val="24"/>
              </w:rPr>
            </w:pPr>
            <w:r>
              <w:rPr>
                <w:rFonts w:hint="eastAsia" w:ascii="宋体" w:hAnsi="宋体" w:cs="宋体"/>
                <w:color w:val="000000"/>
                <w:kern w:val="0"/>
                <w:sz w:val="24"/>
              </w:rPr>
              <w:t>是</w:t>
            </w:r>
          </w:p>
        </w:tc>
        <w:tc>
          <w:tcPr>
            <w:tcW w:w="952" w:type="dxa"/>
            <w:tcBorders>
              <w:top w:val="nil"/>
              <w:left w:val="nil"/>
              <w:bottom w:val="single" w:color="auto" w:sz="4" w:space="0"/>
              <w:right w:val="single" w:color="auto" w:sz="4" w:space="0"/>
            </w:tcBorders>
            <w:shd w:val="clear" w:color="000000" w:fill="FFFFFF"/>
            <w:vAlign w:val="center"/>
          </w:tcPr>
          <w:p w14:paraId="799AA504">
            <w:pPr>
              <w:widowControl/>
              <w:jc w:val="center"/>
              <w:rPr>
                <w:rFonts w:hint="eastAsia" w:ascii="宋体" w:hAnsi="宋体" w:cs="宋体"/>
                <w:color w:val="000000"/>
                <w:kern w:val="0"/>
                <w:sz w:val="24"/>
              </w:rPr>
            </w:pPr>
            <w:r>
              <w:rPr>
                <w:rFonts w:hint="eastAsia" w:ascii="宋体" w:hAnsi="宋体" w:cs="宋体"/>
                <w:color w:val="000000"/>
                <w:kern w:val="0"/>
                <w:sz w:val="24"/>
              </w:rPr>
              <w:t>否</w:t>
            </w:r>
          </w:p>
        </w:tc>
      </w:tr>
      <w:tr w14:paraId="0BBA09CB">
        <w:tblPrEx>
          <w:tblCellMar>
            <w:top w:w="0" w:type="dxa"/>
            <w:left w:w="108" w:type="dxa"/>
            <w:bottom w:w="0" w:type="dxa"/>
            <w:right w:w="108" w:type="dxa"/>
          </w:tblCellMar>
        </w:tblPrEx>
        <w:trPr>
          <w:trHeight w:val="288" w:hRule="atLeast"/>
        </w:trPr>
        <w:tc>
          <w:tcPr>
            <w:tcW w:w="704" w:type="dxa"/>
            <w:tcBorders>
              <w:top w:val="nil"/>
              <w:left w:val="single" w:color="auto" w:sz="4" w:space="0"/>
              <w:bottom w:val="single" w:color="auto" w:sz="4" w:space="0"/>
              <w:right w:val="single" w:color="auto" w:sz="4" w:space="0"/>
            </w:tcBorders>
            <w:shd w:val="clear" w:color="000000" w:fill="FFFFFF"/>
            <w:vAlign w:val="center"/>
          </w:tcPr>
          <w:p w14:paraId="34B5C49B">
            <w:pPr>
              <w:widowControl/>
              <w:jc w:val="center"/>
              <w:rPr>
                <w:rFonts w:hint="eastAsia" w:ascii="宋体" w:hAnsi="宋体" w:cs="宋体"/>
                <w:kern w:val="0"/>
                <w:sz w:val="24"/>
              </w:rPr>
            </w:pPr>
            <w:r>
              <w:rPr>
                <w:rFonts w:hint="eastAsia" w:ascii="宋体" w:hAnsi="宋体" w:cs="宋体"/>
                <w:kern w:val="0"/>
                <w:sz w:val="24"/>
              </w:rPr>
              <w:t>71</w:t>
            </w:r>
          </w:p>
        </w:tc>
        <w:tc>
          <w:tcPr>
            <w:tcW w:w="2851" w:type="dxa"/>
            <w:tcBorders>
              <w:top w:val="nil"/>
              <w:left w:val="nil"/>
              <w:bottom w:val="single" w:color="auto" w:sz="4" w:space="0"/>
              <w:right w:val="single" w:color="auto" w:sz="4" w:space="0"/>
            </w:tcBorders>
            <w:shd w:val="clear" w:color="000000" w:fill="FFFFFF"/>
            <w:vAlign w:val="center"/>
          </w:tcPr>
          <w:p w14:paraId="3C4433B1">
            <w:pPr>
              <w:jc w:val="center"/>
              <w:rPr>
                <w:rFonts w:hint="eastAsia" w:ascii="宋体" w:hAnsi="宋体" w:cs="宋体"/>
                <w:sz w:val="24"/>
              </w:rPr>
            </w:pPr>
            <w:r>
              <w:rPr>
                <w:rFonts w:hint="eastAsia" w:ascii="宋体" w:hAnsi="宋体" w:cs="宋体"/>
                <w:sz w:val="24"/>
              </w:rPr>
              <w:t>心肌质控品</w:t>
            </w:r>
          </w:p>
        </w:tc>
        <w:tc>
          <w:tcPr>
            <w:tcW w:w="1276" w:type="dxa"/>
            <w:tcBorders>
              <w:top w:val="nil"/>
              <w:left w:val="nil"/>
              <w:bottom w:val="single" w:color="auto" w:sz="4" w:space="0"/>
              <w:right w:val="single" w:color="auto" w:sz="4" w:space="0"/>
            </w:tcBorders>
            <w:shd w:val="clear" w:color="000000" w:fill="FFFFFF"/>
            <w:vAlign w:val="center"/>
          </w:tcPr>
          <w:p w14:paraId="1F7FEEC9">
            <w:pPr>
              <w:widowControl/>
              <w:jc w:val="center"/>
              <w:rPr>
                <w:rFonts w:hint="eastAsia" w:ascii="宋体" w:hAnsi="宋体" w:cs="宋体"/>
                <w:kern w:val="0"/>
                <w:sz w:val="24"/>
              </w:rPr>
            </w:pPr>
            <w:r>
              <w:rPr>
                <w:rFonts w:hint="eastAsia" w:ascii="宋体" w:hAnsi="宋体" w:cs="宋体"/>
                <w:kern w:val="0"/>
                <w:sz w:val="24"/>
              </w:rPr>
              <w:t>293.75</w:t>
            </w:r>
          </w:p>
        </w:tc>
        <w:tc>
          <w:tcPr>
            <w:tcW w:w="992" w:type="dxa"/>
            <w:tcBorders>
              <w:top w:val="nil"/>
              <w:left w:val="nil"/>
              <w:bottom w:val="single" w:color="auto" w:sz="4" w:space="0"/>
              <w:right w:val="single" w:color="auto" w:sz="4" w:space="0"/>
            </w:tcBorders>
            <w:shd w:val="clear" w:color="000000" w:fill="FFFFFF"/>
            <w:vAlign w:val="center"/>
          </w:tcPr>
          <w:p w14:paraId="09F85490">
            <w:pPr>
              <w:widowControl/>
              <w:jc w:val="center"/>
              <w:rPr>
                <w:rFonts w:hint="eastAsia" w:ascii="宋体" w:hAnsi="宋体" w:cs="宋体"/>
                <w:kern w:val="0"/>
                <w:sz w:val="24"/>
              </w:rPr>
            </w:pPr>
            <w:r>
              <w:rPr>
                <w:rFonts w:hint="eastAsia" w:ascii="宋体" w:hAnsi="宋体" w:cs="宋体"/>
                <w:kern w:val="0"/>
                <w:sz w:val="24"/>
              </w:rPr>
              <w:t>ml</w:t>
            </w:r>
          </w:p>
        </w:tc>
        <w:tc>
          <w:tcPr>
            <w:tcW w:w="992" w:type="dxa"/>
            <w:tcBorders>
              <w:top w:val="nil"/>
              <w:left w:val="nil"/>
              <w:bottom w:val="single" w:color="auto" w:sz="4" w:space="0"/>
              <w:right w:val="single" w:color="auto" w:sz="4" w:space="0"/>
            </w:tcBorders>
            <w:shd w:val="clear" w:color="000000" w:fill="FFFFFF"/>
            <w:noWrap/>
            <w:vAlign w:val="center"/>
          </w:tcPr>
          <w:p w14:paraId="16D0CCFD">
            <w:pPr>
              <w:widowControl/>
              <w:jc w:val="center"/>
              <w:rPr>
                <w:rFonts w:hint="eastAsia" w:ascii="宋体" w:hAnsi="宋体" w:cs="宋体"/>
                <w:kern w:val="0"/>
                <w:sz w:val="24"/>
              </w:rPr>
            </w:pPr>
            <w:r>
              <w:rPr>
                <w:rFonts w:hint="eastAsia" w:ascii="宋体" w:hAnsi="宋体" w:cs="宋体"/>
                <w:kern w:val="0"/>
                <w:sz w:val="24"/>
              </w:rPr>
              <w:t>80</w:t>
            </w:r>
          </w:p>
        </w:tc>
        <w:tc>
          <w:tcPr>
            <w:tcW w:w="851" w:type="dxa"/>
            <w:tcBorders>
              <w:top w:val="nil"/>
              <w:left w:val="nil"/>
              <w:bottom w:val="single" w:color="auto" w:sz="4" w:space="0"/>
              <w:right w:val="single" w:color="auto" w:sz="4" w:space="0"/>
            </w:tcBorders>
            <w:shd w:val="clear" w:color="000000" w:fill="FFFFFF"/>
            <w:vAlign w:val="center"/>
          </w:tcPr>
          <w:p w14:paraId="6354D3FC">
            <w:pPr>
              <w:widowControl/>
              <w:jc w:val="center"/>
              <w:rPr>
                <w:rFonts w:hint="eastAsia" w:ascii="宋体" w:hAnsi="宋体" w:cs="宋体"/>
                <w:color w:val="000000"/>
                <w:kern w:val="0"/>
                <w:sz w:val="24"/>
              </w:rPr>
            </w:pPr>
            <w:r>
              <w:rPr>
                <w:rFonts w:hint="eastAsia" w:ascii="宋体" w:hAnsi="宋体" w:cs="宋体"/>
                <w:color w:val="000000"/>
                <w:kern w:val="0"/>
                <w:sz w:val="24"/>
              </w:rPr>
              <w:t>是</w:t>
            </w:r>
          </w:p>
        </w:tc>
        <w:tc>
          <w:tcPr>
            <w:tcW w:w="952" w:type="dxa"/>
            <w:tcBorders>
              <w:top w:val="nil"/>
              <w:left w:val="nil"/>
              <w:bottom w:val="single" w:color="auto" w:sz="4" w:space="0"/>
              <w:right w:val="single" w:color="auto" w:sz="4" w:space="0"/>
            </w:tcBorders>
            <w:shd w:val="clear" w:color="000000" w:fill="FFFFFF"/>
            <w:vAlign w:val="center"/>
          </w:tcPr>
          <w:p w14:paraId="48554EBA">
            <w:pPr>
              <w:widowControl/>
              <w:jc w:val="center"/>
              <w:rPr>
                <w:rFonts w:hint="eastAsia" w:ascii="宋体" w:hAnsi="宋体" w:cs="宋体"/>
                <w:color w:val="000000"/>
                <w:kern w:val="0"/>
                <w:sz w:val="24"/>
              </w:rPr>
            </w:pPr>
            <w:r>
              <w:rPr>
                <w:rFonts w:hint="eastAsia" w:ascii="宋体" w:hAnsi="宋体" w:cs="宋体"/>
                <w:color w:val="000000"/>
                <w:kern w:val="0"/>
                <w:sz w:val="24"/>
              </w:rPr>
              <w:t>否</w:t>
            </w:r>
          </w:p>
        </w:tc>
      </w:tr>
      <w:tr w14:paraId="4B25406F">
        <w:tblPrEx>
          <w:tblCellMar>
            <w:top w:w="0" w:type="dxa"/>
            <w:left w:w="108" w:type="dxa"/>
            <w:bottom w:w="0" w:type="dxa"/>
            <w:right w:w="108" w:type="dxa"/>
          </w:tblCellMar>
        </w:tblPrEx>
        <w:trPr>
          <w:trHeight w:val="288" w:hRule="atLeast"/>
        </w:trPr>
        <w:tc>
          <w:tcPr>
            <w:tcW w:w="704" w:type="dxa"/>
            <w:tcBorders>
              <w:top w:val="nil"/>
              <w:left w:val="single" w:color="auto" w:sz="4" w:space="0"/>
              <w:bottom w:val="single" w:color="auto" w:sz="4" w:space="0"/>
              <w:right w:val="single" w:color="auto" w:sz="4" w:space="0"/>
            </w:tcBorders>
            <w:shd w:val="clear" w:color="000000" w:fill="FFFFFF"/>
            <w:vAlign w:val="center"/>
          </w:tcPr>
          <w:p w14:paraId="7B166A83">
            <w:pPr>
              <w:widowControl/>
              <w:jc w:val="center"/>
              <w:rPr>
                <w:rFonts w:hint="eastAsia" w:ascii="宋体" w:hAnsi="宋体" w:cs="宋体"/>
                <w:kern w:val="0"/>
                <w:sz w:val="24"/>
              </w:rPr>
            </w:pPr>
            <w:r>
              <w:rPr>
                <w:rFonts w:hint="eastAsia" w:ascii="宋体" w:hAnsi="宋体" w:cs="宋体"/>
                <w:kern w:val="0"/>
                <w:sz w:val="24"/>
              </w:rPr>
              <w:t>72</w:t>
            </w:r>
          </w:p>
        </w:tc>
        <w:tc>
          <w:tcPr>
            <w:tcW w:w="2851" w:type="dxa"/>
            <w:tcBorders>
              <w:top w:val="nil"/>
              <w:left w:val="nil"/>
              <w:bottom w:val="single" w:color="auto" w:sz="4" w:space="0"/>
              <w:right w:val="single" w:color="auto" w:sz="4" w:space="0"/>
            </w:tcBorders>
            <w:shd w:val="clear" w:color="000000" w:fill="FFFFFF"/>
            <w:vAlign w:val="center"/>
          </w:tcPr>
          <w:p w14:paraId="26012584">
            <w:pPr>
              <w:jc w:val="center"/>
              <w:rPr>
                <w:rFonts w:hint="eastAsia" w:ascii="宋体" w:hAnsi="宋体" w:cs="宋体"/>
                <w:sz w:val="24"/>
              </w:rPr>
            </w:pPr>
            <w:r>
              <w:rPr>
                <w:rFonts w:hint="eastAsia" w:ascii="宋体" w:hAnsi="宋体" w:cs="宋体"/>
                <w:sz w:val="24"/>
              </w:rPr>
              <w:t>样本稀释液</w:t>
            </w:r>
          </w:p>
        </w:tc>
        <w:tc>
          <w:tcPr>
            <w:tcW w:w="1276" w:type="dxa"/>
            <w:tcBorders>
              <w:top w:val="nil"/>
              <w:left w:val="nil"/>
              <w:bottom w:val="single" w:color="auto" w:sz="4" w:space="0"/>
              <w:right w:val="single" w:color="auto" w:sz="4" w:space="0"/>
            </w:tcBorders>
            <w:shd w:val="clear" w:color="000000" w:fill="FFFFFF"/>
            <w:vAlign w:val="center"/>
          </w:tcPr>
          <w:p w14:paraId="15091199">
            <w:pPr>
              <w:widowControl/>
              <w:jc w:val="center"/>
              <w:rPr>
                <w:rFonts w:hint="eastAsia" w:ascii="宋体" w:hAnsi="宋体" w:cs="宋体"/>
                <w:kern w:val="0"/>
                <w:sz w:val="24"/>
              </w:rPr>
            </w:pPr>
            <w:r>
              <w:rPr>
                <w:rFonts w:hint="eastAsia" w:ascii="宋体" w:hAnsi="宋体" w:cs="宋体"/>
                <w:kern w:val="0"/>
                <w:sz w:val="24"/>
              </w:rPr>
              <w:t>31.25</w:t>
            </w:r>
          </w:p>
        </w:tc>
        <w:tc>
          <w:tcPr>
            <w:tcW w:w="992" w:type="dxa"/>
            <w:tcBorders>
              <w:top w:val="nil"/>
              <w:left w:val="nil"/>
              <w:bottom w:val="single" w:color="auto" w:sz="4" w:space="0"/>
              <w:right w:val="single" w:color="auto" w:sz="4" w:space="0"/>
            </w:tcBorders>
            <w:shd w:val="clear" w:color="000000" w:fill="FFFFFF"/>
            <w:vAlign w:val="center"/>
          </w:tcPr>
          <w:p w14:paraId="17F4C97D">
            <w:pPr>
              <w:widowControl/>
              <w:jc w:val="center"/>
              <w:rPr>
                <w:rFonts w:hint="eastAsia" w:ascii="宋体" w:hAnsi="宋体" w:cs="宋体"/>
                <w:kern w:val="0"/>
                <w:sz w:val="24"/>
              </w:rPr>
            </w:pPr>
            <w:r>
              <w:rPr>
                <w:rFonts w:hint="eastAsia" w:ascii="宋体" w:hAnsi="宋体" w:cs="宋体"/>
                <w:kern w:val="0"/>
                <w:sz w:val="24"/>
              </w:rPr>
              <w:t>ml</w:t>
            </w:r>
          </w:p>
        </w:tc>
        <w:tc>
          <w:tcPr>
            <w:tcW w:w="992" w:type="dxa"/>
            <w:tcBorders>
              <w:top w:val="nil"/>
              <w:left w:val="nil"/>
              <w:bottom w:val="single" w:color="auto" w:sz="4" w:space="0"/>
              <w:right w:val="single" w:color="auto" w:sz="4" w:space="0"/>
            </w:tcBorders>
            <w:shd w:val="clear" w:color="000000" w:fill="FFFFFF"/>
            <w:noWrap/>
            <w:vAlign w:val="center"/>
          </w:tcPr>
          <w:p w14:paraId="24E28F03">
            <w:pPr>
              <w:widowControl/>
              <w:jc w:val="center"/>
              <w:rPr>
                <w:rFonts w:hint="eastAsia" w:ascii="宋体" w:hAnsi="宋体" w:cs="宋体"/>
                <w:kern w:val="0"/>
                <w:sz w:val="24"/>
              </w:rPr>
            </w:pPr>
            <w:r>
              <w:rPr>
                <w:rFonts w:hint="eastAsia" w:ascii="宋体" w:hAnsi="宋体" w:cs="宋体"/>
                <w:kern w:val="0"/>
                <w:sz w:val="24"/>
              </w:rPr>
              <w:t>1280</w:t>
            </w:r>
          </w:p>
        </w:tc>
        <w:tc>
          <w:tcPr>
            <w:tcW w:w="851" w:type="dxa"/>
            <w:tcBorders>
              <w:top w:val="nil"/>
              <w:left w:val="nil"/>
              <w:bottom w:val="single" w:color="auto" w:sz="4" w:space="0"/>
              <w:right w:val="single" w:color="auto" w:sz="4" w:space="0"/>
            </w:tcBorders>
            <w:shd w:val="clear" w:color="000000" w:fill="FFFFFF"/>
            <w:vAlign w:val="center"/>
          </w:tcPr>
          <w:p w14:paraId="22952E53">
            <w:pPr>
              <w:widowControl/>
              <w:jc w:val="center"/>
              <w:rPr>
                <w:rFonts w:hint="eastAsia" w:ascii="宋体" w:hAnsi="宋体" w:cs="宋体"/>
                <w:color w:val="000000"/>
                <w:kern w:val="0"/>
                <w:sz w:val="24"/>
              </w:rPr>
            </w:pPr>
            <w:r>
              <w:rPr>
                <w:rFonts w:hint="eastAsia" w:ascii="宋体" w:hAnsi="宋体" w:cs="宋体"/>
                <w:color w:val="000000"/>
                <w:kern w:val="0"/>
                <w:sz w:val="24"/>
              </w:rPr>
              <w:t>是</w:t>
            </w:r>
          </w:p>
        </w:tc>
        <w:tc>
          <w:tcPr>
            <w:tcW w:w="952" w:type="dxa"/>
            <w:tcBorders>
              <w:top w:val="nil"/>
              <w:left w:val="nil"/>
              <w:bottom w:val="single" w:color="auto" w:sz="4" w:space="0"/>
              <w:right w:val="single" w:color="auto" w:sz="4" w:space="0"/>
            </w:tcBorders>
            <w:shd w:val="clear" w:color="000000" w:fill="FFFFFF"/>
            <w:vAlign w:val="center"/>
          </w:tcPr>
          <w:p w14:paraId="501EDD86">
            <w:pPr>
              <w:widowControl/>
              <w:jc w:val="center"/>
              <w:rPr>
                <w:rFonts w:hint="eastAsia" w:ascii="宋体" w:hAnsi="宋体" w:cs="宋体"/>
                <w:color w:val="000000"/>
                <w:kern w:val="0"/>
                <w:sz w:val="24"/>
              </w:rPr>
            </w:pPr>
            <w:r>
              <w:rPr>
                <w:rFonts w:hint="eastAsia" w:ascii="宋体" w:hAnsi="宋体" w:cs="宋体"/>
                <w:color w:val="000000"/>
                <w:kern w:val="0"/>
                <w:sz w:val="24"/>
              </w:rPr>
              <w:t>否</w:t>
            </w:r>
          </w:p>
        </w:tc>
      </w:tr>
      <w:tr w14:paraId="52B6B902">
        <w:tblPrEx>
          <w:tblCellMar>
            <w:top w:w="0" w:type="dxa"/>
            <w:left w:w="108" w:type="dxa"/>
            <w:bottom w:w="0" w:type="dxa"/>
            <w:right w:w="108" w:type="dxa"/>
          </w:tblCellMar>
        </w:tblPrEx>
        <w:trPr>
          <w:trHeight w:val="288" w:hRule="atLeast"/>
        </w:trPr>
        <w:tc>
          <w:tcPr>
            <w:tcW w:w="704" w:type="dxa"/>
            <w:tcBorders>
              <w:top w:val="nil"/>
              <w:left w:val="single" w:color="auto" w:sz="4" w:space="0"/>
              <w:bottom w:val="single" w:color="auto" w:sz="4" w:space="0"/>
              <w:right w:val="single" w:color="auto" w:sz="4" w:space="0"/>
            </w:tcBorders>
            <w:shd w:val="clear" w:color="000000" w:fill="FFFFFF"/>
            <w:vAlign w:val="center"/>
          </w:tcPr>
          <w:p w14:paraId="6F25CB99">
            <w:pPr>
              <w:widowControl/>
              <w:jc w:val="center"/>
              <w:rPr>
                <w:rFonts w:hint="eastAsia" w:ascii="宋体" w:hAnsi="宋体" w:cs="宋体"/>
                <w:kern w:val="0"/>
                <w:sz w:val="24"/>
              </w:rPr>
            </w:pPr>
            <w:r>
              <w:rPr>
                <w:rFonts w:hint="eastAsia" w:ascii="宋体" w:hAnsi="宋体" w:cs="宋体"/>
                <w:kern w:val="0"/>
                <w:sz w:val="24"/>
              </w:rPr>
              <w:t>73</w:t>
            </w:r>
          </w:p>
        </w:tc>
        <w:tc>
          <w:tcPr>
            <w:tcW w:w="2851" w:type="dxa"/>
            <w:tcBorders>
              <w:top w:val="nil"/>
              <w:left w:val="nil"/>
              <w:bottom w:val="single" w:color="auto" w:sz="4" w:space="0"/>
              <w:right w:val="single" w:color="auto" w:sz="4" w:space="0"/>
            </w:tcBorders>
            <w:shd w:val="clear" w:color="000000" w:fill="FFFFFF"/>
            <w:vAlign w:val="center"/>
          </w:tcPr>
          <w:p w14:paraId="18008E4B">
            <w:pPr>
              <w:jc w:val="center"/>
              <w:rPr>
                <w:rFonts w:hint="eastAsia" w:ascii="宋体" w:hAnsi="宋体" w:cs="宋体"/>
                <w:sz w:val="24"/>
              </w:rPr>
            </w:pPr>
            <w:r>
              <w:rPr>
                <w:rFonts w:hint="eastAsia" w:ascii="宋体" w:hAnsi="宋体" w:cs="宋体"/>
                <w:sz w:val="24"/>
              </w:rPr>
              <w:t>叶酸定标液</w:t>
            </w:r>
          </w:p>
        </w:tc>
        <w:tc>
          <w:tcPr>
            <w:tcW w:w="1276" w:type="dxa"/>
            <w:tcBorders>
              <w:top w:val="nil"/>
              <w:left w:val="nil"/>
              <w:bottom w:val="single" w:color="auto" w:sz="4" w:space="0"/>
              <w:right w:val="single" w:color="auto" w:sz="4" w:space="0"/>
            </w:tcBorders>
            <w:shd w:val="clear" w:color="000000" w:fill="FFFFFF"/>
            <w:vAlign w:val="center"/>
          </w:tcPr>
          <w:p w14:paraId="685F8153">
            <w:pPr>
              <w:widowControl/>
              <w:jc w:val="center"/>
              <w:rPr>
                <w:rFonts w:hint="eastAsia" w:ascii="宋体" w:hAnsi="宋体" w:cs="宋体"/>
                <w:kern w:val="0"/>
                <w:sz w:val="24"/>
              </w:rPr>
            </w:pPr>
            <w:r>
              <w:rPr>
                <w:rFonts w:hint="eastAsia" w:ascii="宋体" w:hAnsi="宋体" w:cs="宋体"/>
                <w:kern w:val="0"/>
                <w:sz w:val="24"/>
              </w:rPr>
              <w:t>325</w:t>
            </w:r>
          </w:p>
        </w:tc>
        <w:tc>
          <w:tcPr>
            <w:tcW w:w="992" w:type="dxa"/>
            <w:tcBorders>
              <w:top w:val="nil"/>
              <w:left w:val="nil"/>
              <w:bottom w:val="single" w:color="auto" w:sz="4" w:space="0"/>
              <w:right w:val="single" w:color="auto" w:sz="4" w:space="0"/>
            </w:tcBorders>
            <w:shd w:val="clear" w:color="000000" w:fill="FFFFFF"/>
            <w:vAlign w:val="center"/>
          </w:tcPr>
          <w:p w14:paraId="32F14231">
            <w:pPr>
              <w:widowControl/>
              <w:jc w:val="center"/>
              <w:rPr>
                <w:rFonts w:hint="eastAsia" w:ascii="宋体" w:hAnsi="宋体" w:cs="宋体"/>
                <w:kern w:val="0"/>
                <w:sz w:val="24"/>
              </w:rPr>
            </w:pPr>
            <w:r>
              <w:rPr>
                <w:rFonts w:hint="eastAsia" w:ascii="宋体" w:hAnsi="宋体" w:cs="宋体"/>
                <w:kern w:val="0"/>
                <w:sz w:val="24"/>
              </w:rPr>
              <w:t>ml</w:t>
            </w:r>
          </w:p>
        </w:tc>
        <w:tc>
          <w:tcPr>
            <w:tcW w:w="992" w:type="dxa"/>
            <w:tcBorders>
              <w:top w:val="nil"/>
              <w:left w:val="nil"/>
              <w:bottom w:val="single" w:color="auto" w:sz="4" w:space="0"/>
              <w:right w:val="single" w:color="auto" w:sz="4" w:space="0"/>
            </w:tcBorders>
            <w:shd w:val="clear" w:color="000000" w:fill="FFFFFF"/>
            <w:noWrap/>
            <w:vAlign w:val="center"/>
          </w:tcPr>
          <w:p w14:paraId="6C8520FF">
            <w:pPr>
              <w:widowControl/>
              <w:jc w:val="center"/>
              <w:rPr>
                <w:rFonts w:hint="eastAsia" w:ascii="宋体" w:hAnsi="宋体" w:cs="宋体"/>
                <w:kern w:val="0"/>
                <w:sz w:val="24"/>
              </w:rPr>
            </w:pPr>
            <w:r>
              <w:rPr>
                <w:rFonts w:hint="eastAsia" w:ascii="宋体" w:hAnsi="宋体" w:cs="宋体"/>
                <w:kern w:val="0"/>
                <w:sz w:val="24"/>
              </w:rPr>
              <w:t>4</w:t>
            </w:r>
          </w:p>
        </w:tc>
        <w:tc>
          <w:tcPr>
            <w:tcW w:w="851" w:type="dxa"/>
            <w:tcBorders>
              <w:top w:val="nil"/>
              <w:left w:val="nil"/>
              <w:bottom w:val="single" w:color="auto" w:sz="4" w:space="0"/>
              <w:right w:val="single" w:color="auto" w:sz="4" w:space="0"/>
            </w:tcBorders>
            <w:shd w:val="clear" w:color="000000" w:fill="FFFFFF"/>
            <w:vAlign w:val="center"/>
          </w:tcPr>
          <w:p w14:paraId="4A4FD69D">
            <w:pPr>
              <w:widowControl/>
              <w:jc w:val="center"/>
              <w:rPr>
                <w:rFonts w:hint="eastAsia" w:ascii="宋体" w:hAnsi="宋体" w:cs="宋体"/>
                <w:color w:val="000000"/>
                <w:kern w:val="0"/>
                <w:sz w:val="24"/>
              </w:rPr>
            </w:pPr>
            <w:r>
              <w:rPr>
                <w:rFonts w:hint="eastAsia" w:ascii="宋体" w:hAnsi="宋体" w:cs="宋体"/>
                <w:color w:val="000000"/>
                <w:kern w:val="0"/>
                <w:sz w:val="24"/>
              </w:rPr>
              <w:t>是</w:t>
            </w:r>
          </w:p>
        </w:tc>
        <w:tc>
          <w:tcPr>
            <w:tcW w:w="952" w:type="dxa"/>
            <w:tcBorders>
              <w:top w:val="nil"/>
              <w:left w:val="nil"/>
              <w:bottom w:val="single" w:color="auto" w:sz="4" w:space="0"/>
              <w:right w:val="single" w:color="auto" w:sz="4" w:space="0"/>
            </w:tcBorders>
            <w:shd w:val="clear" w:color="000000" w:fill="FFFFFF"/>
            <w:vAlign w:val="center"/>
          </w:tcPr>
          <w:p w14:paraId="73E9282A">
            <w:pPr>
              <w:widowControl/>
              <w:jc w:val="center"/>
              <w:rPr>
                <w:rFonts w:hint="eastAsia" w:ascii="宋体" w:hAnsi="宋体" w:cs="宋体"/>
                <w:color w:val="000000"/>
                <w:kern w:val="0"/>
                <w:sz w:val="24"/>
              </w:rPr>
            </w:pPr>
            <w:r>
              <w:rPr>
                <w:rFonts w:hint="eastAsia" w:ascii="宋体" w:hAnsi="宋体" w:cs="宋体"/>
                <w:color w:val="000000"/>
                <w:kern w:val="0"/>
                <w:sz w:val="24"/>
              </w:rPr>
              <w:t>否</w:t>
            </w:r>
          </w:p>
        </w:tc>
      </w:tr>
      <w:tr w14:paraId="017DCCDA">
        <w:tblPrEx>
          <w:tblCellMar>
            <w:top w:w="0" w:type="dxa"/>
            <w:left w:w="108" w:type="dxa"/>
            <w:bottom w:w="0" w:type="dxa"/>
            <w:right w:w="108" w:type="dxa"/>
          </w:tblCellMar>
        </w:tblPrEx>
        <w:trPr>
          <w:trHeight w:val="288" w:hRule="atLeast"/>
        </w:trPr>
        <w:tc>
          <w:tcPr>
            <w:tcW w:w="704" w:type="dxa"/>
            <w:tcBorders>
              <w:top w:val="nil"/>
              <w:left w:val="single" w:color="auto" w:sz="4" w:space="0"/>
              <w:bottom w:val="single" w:color="auto" w:sz="4" w:space="0"/>
              <w:right w:val="single" w:color="auto" w:sz="4" w:space="0"/>
            </w:tcBorders>
            <w:shd w:val="clear" w:color="000000" w:fill="FFFFFF"/>
            <w:vAlign w:val="center"/>
          </w:tcPr>
          <w:p w14:paraId="46E47557">
            <w:pPr>
              <w:widowControl/>
              <w:jc w:val="center"/>
              <w:rPr>
                <w:rFonts w:hint="eastAsia" w:ascii="宋体" w:hAnsi="宋体" w:cs="宋体"/>
                <w:kern w:val="0"/>
                <w:sz w:val="24"/>
              </w:rPr>
            </w:pPr>
            <w:r>
              <w:rPr>
                <w:rFonts w:hint="eastAsia" w:ascii="宋体" w:hAnsi="宋体" w:cs="宋体"/>
                <w:kern w:val="0"/>
                <w:sz w:val="24"/>
              </w:rPr>
              <w:t>74</w:t>
            </w:r>
          </w:p>
        </w:tc>
        <w:tc>
          <w:tcPr>
            <w:tcW w:w="2851" w:type="dxa"/>
            <w:tcBorders>
              <w:top w:val="nil"/>
              <w:left w:val="nil"/>
              <w:bottom w:val="single" w:color="auto" w:sz="4" w:space="0"/>
              <w:right w:val="single" w:color="auto" w:sz="4" w:space="0"/>
            </w:tcBorders>
            <w:shd w:val="clear" w:color="000000" w:fill="FFFFFF"/>
            <w:vAlign w:val="center"/>
          </w:tcPr>
          <w:p w14:paraId="45766EDC">
            <w:pPr>
              <w:jc w:val="center"/>
              <w:rPr>
                <w:rFonts w:hint="eastAsia" w:ascii="宋体" w:hAnsi="宋体" w:cs="宋体"/>
                <w:sz w:val="24"/>
              </w:rPr>
            </w:pPr>
            <w:r>
              <w:rPr>
                <w:rFonts w:hint="eastAsia" w:ascii="宋体" w:hAnsi="宋体" w:cs="宋体"/>
                <w:sz w:val="24"/>
              </w:rPr>
              <w:t>叶酸检测试剂盒</w:t>
            </w:r>
          </w:p>
        </w:tc>
        <w:tc>
          <w:tcPr>
            <w:tcW w:w="1276" w:type="dxa"/>
            <w:tcBorders>
              <w:top w:val="nil"/>
              <w:left w:val="nil"/>
              <w:bottom w:val="single" w:color="auto" w:sz="4" w:space="0"/>
              <w:right w:val="single" w:color="auto" w:sz="4" w:space="0"/>
            </w:tcBorders>
            <w:shd w:val="clear" w:color="000000" w:fill="FFFFFF"/>
            <w:vAlign w:val="center"/>
          </w:tcPr>
          <w:p w14:paraId="6B87C91B">
            <w:pPr>
              <w:widowControl/>
              <w:jc w:val="center"/>
              <w:rPr>
                <w:rFonts w:hint="eastAsia" w:ascii="宋体" w:hAnsi="宋体" w:cs="宋体"/>
                <w:kern w:val="0"/>
                <w:sz w:val="24"/>
              </w:rPr>
            </w:pPr>
            <w:r>
              <w:rPr>
                <w:rFonts w:hint="eastAsia" w:ascii="宋体" w:hAnsi="宋体" w:cs="宋体"/>
                <w:kern w:val="0"/>
                <w:sz w:val="24"/>
              </w:rPr>
              <w:t>27.5</w:t>
            </w:r>
          </w:p>
        </w:tc>
        <w:tc>
          <w:tcPr>
            <w:tcW w:w="992" w:type="dxa"/>
            <w:tcBorders>
              <w:top w:val="nil"/>
              <w:left w:val="nil"/>
              <w:bottom w:val="single" w:color="auto" w:sz="4" w:space="0"/>
              <w:right w:val="single" w:color="auto" w:sz="4" w:space="0"/>
            </w:tcBorders>
            <w:shd w:val="clear" w:color="000000" w:fill="FFFFFF"/>
            <w:vAlign w:val="center"/>
          </w:tcPr>
          <w:p w14:paraId="533B132F">
            <w:pPr>
              <w:widowControl/>
              <w:jc w:val="center"/>
              <w:rPr>
                <w:rFonts w:hint="eastAsia" w:ascii="宋体" w:hAnsi="宋体" w:cs="宋体"/>
                <w:kern w:val="0"/>
                <w:sz w:val="24"/>
              </w:rPr>
            </w:pPr>
            <w:r>
              <w:rPr>
                <w:rFonts w:hint="eastAsia" w:ascii="宋体" w:hAnsi="宋体" w:cs="宋体"/>
                <w:kern w:val="0"/>
                <w:sz w:val="24"/>
              </w:rPr>
              <w:t>人份</w:t>
            </w:r>
          </w:p>
        </w:tc>
        <w:tc>
          <w:tcPr>
            <w:tcW w:w="992" w:type="dxa"/>
            <w:tcBorders>
              <w:top w:val="nil"/>
              <w:left w:val="nil"/>
              <w:bottom w:val="single" w:color="auto" w:sz="4" w:space="0"/>
              <w:right w:val="single" w:color="auto" w:sz="4" w:space="0"/>
            </w:tcBorders>
            <w:shd w:val="clear" w:color="000000" w:fill="FFFFFF"/>
            <w:noWrap/>
            <w:vAlign w:val="center"/>
          </w:tcPr>
          <w:p w14:paraId="1C5BCE04">
            <w:pPr>
              <w:widowControl/>
              <w:jc w:val="center"/>
              <w:rPr>
                <w:rFonts w:hint="eastAsia" w:ascii="宋体" w:hAnsi="宋体" w:cs="宋体"/>
                <w:kern w:val="0"/>
                <w:sz w:val="24"/>
              </w:rPr>
            </w:pPr>
            <w:r>
              <w:rPr>
                <w:rFonts w:hint="eastAsia" w:ascii="宋体" w:hAnsi="宋体" w:cs="宋体"/>
                <w:kern w:val="0"/>
                <w:sz w:val="24"/>
              </w:rPr>
              <w:t>1500</w:t>
            </w:r>
          </w:p>
        </w:tc>
        <w:tc>
          <w:tcPr>
            <w:tcW w:w="851" w:type="dxa"/>
            <w:tcBorders>
              <w:top w:val="nil"/>
              <w:left w:val="nil"/>
              <w:bottom w:val="single" w:color="auto" w:sz="4" w:space="0"/>
              <w:right w:val="single" w:color="auto" w:sz="4" w:space="0"/>
            </w:tcBorders>
            <w:shd w:val="clear" w:color="000000" w:fill="FFFFFF"/>
            <w:vAlign w:val="center"/>
          </w:tcPr>
          <w:p w14:paraId="08FB1E10">
            <w:pPr>
              <w:widowControl/>
              <w:jc w:val="center"/>
              <w:rPr>
                <w:rFonts w:hint="eastAsia" w:ascii="宋体" w:hAnsi="宋体" w:cs="宋体"/>
                <w:color w:val="000000"/>
                <w:kern w:val="0"/>
                <w:sz w:val="24"/>
              </w:rPr>
            </w:pPr>
            <w:r>
              <w:rPr>
                <w:rFonts w:hint="eastAsia" w:ascii="宋体" w:hAnsi="宋体" w:cs="宋体"/>
                <w:color w:val="000000"/>
                <w:kern w:val="0"/>
                <w:sz w:val="24"/>
              </w:rPr>
              <w:t>是</w:t>
            </w:r>
          </w:p>
        </w:tc>
        <w:tc>
          <w:tcPr>
            <w:tcW w:w="952" w:type="dxa"/>
            <w:tcBorders>
              <w:top w:val="nil"/>
              <w:left w:val="nil"/>
              <w:bottom w:val="single" w:color="auto" w:sz="4" w:space="0"/>
              <w:right w:val="single" w:color="auto" w:sz="4" w:space="0"/>
            </w:tcBorders>
            <w:shd w:val="clear" w:color="000000" w:fill="FFFFFF"/>
            <w:vAlign w:val="center"/>
          </w:tcPr>
          <w:p w14:paraId="24BCFE8A">
            <w:pPr>
              <w:widowControl/>
              <w:jc w:val="center"/>
              <w:rPr>
                <w:rFonts w:hint="eastAsia" w:ascii="宋体" w:hAnsi="宋体" w:cs="宋体"/>
                <w:color w:val="000000"/>
                <w:kern w:val="0"/>
                <w:sz w:val="24"/>
              </w:rPr>
            </w:pPr>
            <w:r>
              <w:rPr>
                <w:rFonts w:hint="eastAsia" w:ascii="宋体" w:hAnsi="宋体" w:cs="宋体"/>
                <w:color w:val="000000"/>
                <w:kern w:val="0"/>
                <w:sz w:val="24"/>
              </w:rPr>
              <w:t>否</w:t>
            </w:r>
          </w:p>
        </w:tc>
      </w:tr>
      <w:tr w14:paraId="2B729A7B">
        <w:tblPrEx>
          <w:tblCellMar>
            <w:top w:w="0" w:type="dxa"/>
            <w:left w:w="108" w:type="dxa"/>
            <w:bottom w:w="0" w:type="dxa"/>
            <w:right w:w="108" w:type="dxa"/>
          </w:tblCellMar>
        </w:tblPrEx>
        <w:trPr>
          <w:trHeight w:val="288" w:hRule="atLeast"/>
        </w:trPr>
        <w:tc>
          <w:tcPr>
            <w:tcW w:w="704" w:type="dxa"/>
            <w:tcBorders>
              <w:top w:val="nil"/>
              <w:left w:val="single" w:color="auto" w:sz="4" w:space="0"/>
              <w:bottom w:val="single" w:color="auto" w:sz="4" w:space="0"/>
              <w:right w:val="single" w:color="auto" w:sz="4" w:space="0"/>
            </w:tcBorders>
            <w:shd w:val="clear" w:color="000000" w:fill="FFFFFF"/>
            <w:vAlign w:val="center"/>
          </w:tcPr>
          <w:p w14:paraId="52287D11">
            <w:pPr>
              <w:widowControl/>
              <w:jc w:val="center"/>
              <w:rPr>
                <w:rFonts w:hint="eastAsia" w:ascii="宋体" w:hAnsi="宋体" w:cs="宋体"/>
                <w:kern w:val="0"/>
                <w:sz w:val="24"/>
              </w:rPr>
            </w:pPr>
            <w:r>
              <w:rPr>
                <w:rFonts w:hint="eastAsia" w:ascii="宋体" w:hAnsi="宋体" w:cs="宋体"/>
                <w:kern w:val="0"/>
                <w:sz w:val="24"/>
              </w:rPr>
              <w:t>75</w:t>
            </w:r>
          </w:p>
        </w:tc>
        <w:tc>
          <w:tcPr>
            <w:tcW w:w="2851" w:type="dxa"/>
            <w:tcBorders>
              <w:top w:val="nil"/>
              <w:left w:val="nil"/>
              <w:bottom w:val="single" w:color="auto" w:sz="4" w:space="0"/>
              <w:right w:val="single" w:color="auto" w:sz="4" w:space="0"/>
            </w:tcBorders>
            <w:shd w:val="clear" w:color="000000" w:fill="FFFFFF"/>
            <w:vAlign w:val="center"/>
          </w:tcPr>
          <w:p w14:paraId="7652E604">
            <w:pPr>
              <w:jc w:val="center"/>
              <w:rPr>
                <w:rFonts w:hint="eastAsia" w:ascii="宋体" w:hAnsi="宋体" w:cs="宋体"/>
                <w:sz w:val="24"/>
              </w:rPr>
            </w:pPr>
            <w:r>
              <w:rPr>
                <w:rFonts w:hint="eastAsia" w:ascii="宋体" w:hAnsi="宋体" w:cs="宋体"/>
                <w:sz w:val="24"/>
              </w:rPr>
              <w:t>胰岛素定标液</w:t>
            </w:r>
          </w:p>
        </w:tc>
        <w:tc>
          <w:tcPr>
            <w:tcW w:w="1276" w:type="dxa"/>
            <w:tcBorders>
              <w:top w:val="nil"/>
              <w:left w:val="nil"/>
              <w:bottom w:val="single" w:color="auto" w:sz="4" w:space="0"/>
              <w:right w:val="single" w:color="auto" w:sz="4" w:space="0"/>
            </w:tcBorders>
            <w:shd w:val="clear" w:color="000000" w:fill="FFFFFF"/>
            <w:vAlign w:val="center"/>
          </w:tcPr>
          <w:p w14:paraId="654F21E2">
            <w:pPr>
              <w:widowControl/>
              <w:jc w:val="center"/>
              <w:rPr>
                <w:rFonts w:hint="eastAsia" w:ascii="宋体" w:hAnsi="宋体" w:cs="宋体"/>
                <w:kern w:val="0"/>
                <w:sz w:val="24"/>
              </w:rPr>
            </w:pPr>
            <w:r>
              <w:rPr>
                <w:rFonts w:hint="eastAsia" w:ascii="宋体" w:hAnsi="宋体" w:cs="宋体"/>
                <w:kern w:val="0"/>
                <w:sz w:val="24"/>
              </w:rPr>
              <w:t>287.5</w:t>
            </w:r>
          </w:p>
        </w:tc>
        <w:tc>
          <w:tcPr>
            <w:tcW w:w="992" w:type="dxa"/>
            <w:tcBorders>
              <w:top w:val="nil"/>
              <w:left w:val="nil"/>
              <w:bottom w:val="single" w:color="auto" w:sz="4" w:space="0"/>
              <w:right w:val="single" w:color="auto" w:sz="4" w:space="0"/>
            </w:tcBorders>
            <w:shd w:val="clear" w:color="000000" w:fill="FFFFFF"/>
            <w:vAlign w:val="center"/>
          </w:tcPr>
          <w:p w14:paraId="27D3D3D0">
            <w:pPr>
              <w:widowControl/>
              <w:jc w:val="center"/>
              <w:rPr>
                <w:rFonts w:hint="eastAsia" w:ascii="宋体" w:hAnsi="宋体" w:cs="宋体"/>
                <w:kern w:val="0"/>
                <w:sz w:val="24"/>
              </w:rPr>
            </w:pPr>
            <w:r>
              <w:rPr>
                <w:rFonts w:hint="eastAsia" w:ascii="宋体" w:hAnsi="宋体" w:cs="宋体"/>
                <w:kern w:val="0"/>
                <w:sz w:val="24"/>
              </w:rPr>
              <w:t>ml</w:t>
            </w:r>
          </w:p>
        </w:tc>
        <w:tc>
          <w:tcPr>
            <w:tcW w:w="992" w:type="dxa"/>
            <w:tcBorders>
              <w:top w:val="nil"/>
              <w:left w:val="nil"/>
              <w:bottom w:val="single" w:color="auto" w:sz="4" w:space="0"/>
              <w:right w:val="single" w:color="auto" w:sz="4" w:space="0"/>
            </w:tcBorders>
            <w:shd w:val="clear" w:color="000000" w:fill="FFFFFF"/>
            <w:noWrap/>
            <w:vAlign w:val="center"/>
          </w:tcPr>
          <w:p w14:paraId="04719DF2">
            <w:pPr>
              <w:widowControl/>
              <w:jc w:val="center"/>
              <w:rPr>
                <w:rFonts w:hint="eastAsia" w:ascii="宋体" w:hAnsi="宋体" w:cs="宋体"/>
                <w:kern w:val="0"/>
                <w:sz w:val="24"/>
              </w:rPr>
            </w:pPr>
            <w:r>
              <w:rPr>
                <w:rFonts w:hint="eastAsia" w:ascii="宋体" w:hAnsi="宋体" w:cs="宋体"/>
                <w:kern w:val="0"/>
                <w:sz w:val="24"/>
              </w:rPr>
              <w:t>8</w:t>
            </w:r>
          </w:p>
        </w:tc>
        <w:tc>
          <w:tcPr>
            <w:tcW w:w="851" w:type="dxa"/>
            <w:tcBorders>
              <w:top w:val="nil"/>
              <w:left w:val="nil"/>
              <w:bottom w:val="single" w:color="auto" w:sz="4" w:space="0"/>
              <w:right w:val="single" w:color="auto" w:sz="4" w:space="0"/>
            </w:tcBorders>
            <w:shd w:val="clear" w:color="000000" w:fill="FFFFFF"/>
            <w:vAlign w:val="center"/>
          </w:tcPr>
          <w:p w14:paraId="15C4F60D">
            <w:pPr>
              <w:widowControl/>
              <w:jc w:val="center"/>
              <w:rPr>
                <w:rFonts w:hint="eastAsia" w:ascii="宋体" w:hAnsi="宋体" w:cs="宋体"/>
                <w:color w:val="000000"/>
                <w:kern w:val="0"/>
                <w:sz w:val="24"/>
              </w:rPr>
            </w:pPr>
            <w:r>
              <w:rPr>
                <w:rFonts w:hint="eastAsia" w:ascii="宋体" w:hAnsi="宋体" w:cs="宋体"/>
                <w:color w:val="000000"/>
                <w:kern w:val="0"/>
                <w:sz w:val="24"/>
              </w:rPr>
              <w:t>是</w:t>
            </w:r>
          </w:p>
        </w:tc>
        <w:tc>
          <w:tcPr>
            <w:tcW w:w="952" w:type="dxa"/>
            <w:tcBorders>
              <w:top w:val="nil"/>
              <w:left w:val="nil"/>
              <w:bottom w:val="single" w:color="auto" w:sz="4" w:space="0"/>
              <w:right w:val="single" w:color="auto" w:sz="4" w:space="0"/>
            </w:tcBorders>
            <w:shd w:val="clear" w:color="000000" w:fill="FFFFFF"/>
            <w:vAlign w:val="center"/>
          </w:tcPr>
          <w:p w14:paraId="40201FD9">
            <w:pPr>
              <w:widowControl/>
              <w:jc w:val="center"/>
              <w:rPr>
                <w:rFonts w:hint="eastAsia" w:ascii="宋体" w:hAnsi="宋体" w:cs="宋体"/>
                <w:color w:val="000000"/>
                <w:kern w:val="0"/>
                <w:sz w:val="24"/>
              </w:rPr>
            </w:pPr>
            <w:r>
              <w:rPr>
                <w:rFonts w:hint="eastAsia" w:ascii="宋体" w:hAnsi="宋体" w:cs="宋体"/>
                <w:color w:val="000000"/>
                <w:kern w:val="0"/>
                <w:sz w:val="24"/>
              </w:rPr>
              <w:t>否</w:t>
            </w:r>
          </w:p>
        </w:tc>
      </w:tr>
      <w:tr w14:paraId="5F816501">
        <w:tblPrEx>
          <w:tblCellMar>
            <w:top w:w="0" w:type="dxa"/>
            <w:left w:w="108" w:type="dxa"/>
            <w:bottom w:w="0" w:type="dxa"/>
            <w:right w:w="108" w:type="dxa"/>
          </w:tblCellMar>
        </w:tblPrEx>
        <w:trPr>
          <w:trHeight w:val="576" w:hRule="atLeast"/>
        </w:trPr>
        <w:tc>
          <w:tcPr>
            <w:tcW w:w="704" w:type="dxa"/>
            <w:tcBorders>
              <w:top w:val="nil"/>
              <w:left w:val="single" w:color="auto" w:sz="4" w:space="0"/>
              <w:bottom w:val="single" w:color="auto" w:sz="4" w:space="0"/>
              <w:right w:val="single" w:color="auto" w:sz="4" w:space="0"/>
            </w:tcBorders>
            <w:shd w:val="clear" w:color="000000" w:fill="FFFFFF"/>
            <w:vAlign w:val="center"/>
          </w:tcPr>
          <w:p w14:paraId="669D2192">
            <w:pPr>
              <w:widowControl/>
              <w:jc w:val="center"/>
              <w:rPr>
                <w:rFonts w:hint="eastAsia" w:ascii="宋体" w:hAnsi="宋体" w:cs="宋体"/>
                <w:kern w:val="0"/>
                <w:sz w:val="24"/>
              </w:rPr>
            </w:pPr>
            <w:r>
              <w:rPr>
                <w:rFonts w:hint="eastAsia" w:ascii="宋体" w:hAnsi="宋体" w:cs="宋体"/>
                <w:kern w:val="0"/>
                <w:sz w:val="24"/>
              </w:rPr>
              <w:t>76</w:t>
            </w:r>
          </w:p>
        </w:tc>
        <w:tc>
          <w:tcPr>
            <w:tcW w:w="2851" w:type="dxa"/>
            <w:tcBorders>
              <w:top w:val="nil"/>
              <w:left w:val="nil"/>
              <w:bottom w:val="single" w:color="auto" w:sz="4" w:space="0"/>
              <w:right w:val="single" w:color="auto" w:sz="4" w:space="0"/>
            </w:tcBorders>
            <w:shd w:val="clear" w:color="000000" w:fill="FFFFFF"/>
            <w:vAlign w:val="center"/>
          </w:tcPr>
          <w:p w14:paraId="351DC36B">
            <w:pPr>
              <w:jc w:val="center"/>
              <w:rPr>
                <w:rFonts w:hint="eastAsia" w:ascii="宋体" w:hAnsi="宋体" w:cs="宋体"/>
                <w:sz w:val="24"/>
              </w:rPr>
            </w:pPr>
            <w:r>
              <w:rPr>
                <w:rFonts w:hint="eastAsia" w:ascii="宋体" w:hAnsi="宋体" w:cs="宋体"/>
                <w:sz w:val="24"/>
              </w:rPr>
              <w:t>乙型肝炎病毒e抗体检测试剂盒</w:t>
            </w:r>
          </w:p>
        </w:tc>
        <w:tc>
          <w:tcPr>
            <w:tcW w:w="1276" w:type="dxa"/>
            <w:tcBorders>
              <w:top w:val="nil"/>
              <w:left w:val="nil"/>
              <w:bottom w:val="single" w:color="auto" w:sz="4" w:space="0"/>
              <w:right w:val="single" w:color="auto" w:sz="4" w:space="0"/>
            </w:tcBorders>
            <w:shd w:val="clear" w:color="000000" w:fill="FFFFFF"/>
            <w:vAlign w:val="center"/>
          </w:tcPr>
          <w:p w14:paraId="51DEB07E">
            <w:pPr>
              <w:widowControl/>
              <w:jc w:val="center"/>
              <w:rPr>
                <w:rFonts w:hint="eastAsia" w:ascii="宋体" w:hAnsi="宋体" w:cs="宋体"/>
                <w:kern w:val="0"/>
                <w:sz w:val="24"/>
              </w:rPr>
            </w:pPr>
            <w:r>
              <w:rPr>
                <w:rFonts w:hint="eastAsia" w:ascii="宋体" w:hAnsi="宋体" w:cs="宋体"/>
                <w:kern w:val="0"/>
                <w:sz w:val="24"/>
              </w:rPr>
              <w:t>15.06</w:t>
            </w:r>
          </w:p>
        </w:tc>
        <w:tc>
          <w:tcPr>
            <w:tcW w:w="992" w:type="dxa"/>
            <w:tcBorders>
              <w:top w:val="nil"/>
              <w:left w:val="nil"/>
              <w:bottom w:val="single" w:color="auto" w:sz="4" w:space="0"/>
              <w:right w:val="single" w:color="auto" w:sz="4" w:space="0"/>
            </w:tcBorders>
            <w:shd w:val="clear" w:color="000000" w:fill="FFFFFF"/>
            <w:vAlign w:val="center"/>
          </w:tcPr>
          <w:p w14:paraId="6725BCB2">
            <w:pPr>
              <w:widowControl/>
              <w:jc w:val="center"/>
              <w:rPr>
                <w:rFonts w:hint="eastAsia" w:ascii="宋体" w:hAnsi="宋体" w:cs="宋体"/>
                <w:kern w:val="0"/>
                <w:sz w:val="24"/>
              </w:rPr>
            </w:pPr>
            <w:r>
              <w:rPr>
                <w:rFonts w:hint="eastAsia" w:ascii="宋体" w:hAnsi="宋体" w:cs="宋体"/>
                <w:kern w:val="0"/>
                <w:sz w:val="24"/>
              </w:rPr>
              <w:t>人份</w:t>
            </w:r>
          </w:p>
        </w:tc>
        <w:tc>
          <w:tcPr>
            <w:tcW w:w="992" w:type="dxa"/>
            <w:tcBorders>
              <w:top w:val="nil"/>
              <w:left w:val="nil"/>
              <w:bottom w:val="single" w:color="auto" w:sz="4" w:space="0"/>
              <w:right w:val="single" w:color="auto" w:sz="4" w:space="0"/>
            </w:tcBorders>
            <w:shd w:val="clear" w:color="000000" w:fill="FFFFFF"/>
            <w:noWrap/>
            <w:vAlign w:val="center"/>
          </w:tcPr>
          <w:p w14:paraId="2DC4DA39">
            <w:pPr>
              <w:widowControl/>
              <w:jc w:val="center"/>
              <w:rPr>
                <w:rFonts w:hint="eastAsia" w:ascii="宋体" w:hAnsi="宋体" w:cs="宋体"/>
                <w:kern w:val="0"/>
                <w:sz w:val="24"/>
              </w:rPr>
            </w:pPr>
            <w:r>
              <w:rPr>
                <w:rFonts w:hint="eastAsia" w:ascii="宋体" w:hAnsi="宋体" w:cs="宋体"/>
                <w:kern w:val="0"/>
                <w:sz w:val="24"/>
              </w:rPr>
              <w:t>1500</w:t>
            </w:r>
          </w:p>
        </w:tc>
        <w:tc>
          <w:tcPr>
            <w:tcW w:w="851" w:type="dxa"/>
            <w:tcBorders>
              <w:top w:val="nil"/>
              <w:left w:val="nil"/>
              <w:bottom w:val="single" w:color="auto" w:sz="4" w:space="0"/>
              <w:right w:val="single" w:color="auto" w:sz="4" w:space="0"/>
            </w:tcBorders>
            <w:shd w:val="clear" w:color="000000" w:fill="FFFFFF"/>
            <w:vAlign w:val="center"/>
          </w:tcPr>
          <w:p w14:paraId="73F48336">
            <w:pPr>
              <w:widowControl/>
              <w:jc w:val="center"/>
              <w:rPr>
                <w:rFonts w:hint="eastAsia" w:ascii="宋体" w:hAnsi="宋体" w:cs="宋体"/>
                <w:color w:val="000000"/>
                <w:kern w:val="0"/>
                <w:sz w:val="24"/>
              </w:rPr>
            </w:pPr>
            <w:r>
              <w:rPr>
                <w:rFonts w:hint="eastAsia" w:ascii="宋体" w:hAnsi="宋体" w:cs="宋体"/>
                <w:color w:val="000000"/>
                <w:kern w:val="0"/>
                <w:sz w:val="24"/>
              </w:rPr>
              <w:t>是</w:t>
            </w:r>
          </w:p>
        </w:tc>
        <w:tc>
          <w:tcPr>
            <w:tcW w:w="952" w:type="dxa"/>
            <w:tcBorders>
              <w:top w:val="nil"/>
              <w:left w:val="nil"/>
              <w:bottom w:val="single" w:color="auto" w:sz="4" w:space="0"/>
              <w:right w:val="single" w:color="auto" w:sz="4" w:space="0"/>
            </w:tcBorders>
            <w:shd w:val="clear" w:color="000000" w:fill="FFFFFF"/>
            <w:vAlign w:val="center"/>
          </w:tcPr>
          <w:p w14:paraId="065AABE7">
            <w:pPr>
              <w:widowControl/>
              <w:jc w:val="center"/>
              <w:rPr>
                <w:rFonts w:hint="eastAsia" w:ascii="宋体" w:hAnsi="宋体" w:cs="宋体"/>
                <w:color w:val="000000"/>
                <w:kern w:val="0"/>
                <w:sz w:val="24"/>
              </w:rPr>
            </w:pPr>
            <w:r>
              <w:rPr>
                <w:rFonts w:hint="eastAsia" w:ascii="宋体" w:hAnsi="宋体" w:cs="宋体"/>
                <w:color w:val="000000"/>
                <w:kern w:val="0"/>
                <w:sz w:val="24"/>
              </w:rPr>
              <w:t>否</w:t>
            </w:r>
          </w:p>
        </w:tc>
      </w:tr>
      <w:tr w14:paraId="6D64EAD8">
        <w:tblPrEx>
          <w:tblCellMar>
            <w:top w:w="0" w:type="dxa"/>
            <w:left w:w="108" w:type="dxa"/>
            <w:bottom w:w="0" w:type="dxa"/>
            <w:right w:w="108" w:type="dxa"/>
          </w:tblCellMar>
        </w:tblPrEx>
        <w:trPr>
          <w:trHeight w:val="576" w:hRule="atLeast"/>
        </w:trPr>
        <w:tc>
          <w:tcPr>
            <w:tcW w:w="704" w:type="dxa"/>
            <w:tcBorders>
              <w:top w:val="nil"/>
              <w:left w:val="single" w:color="auto" w:sz="4" w:space="0"/>
              <w:bottom w:val="single" w:color="auto" w:sz="4" w:space="0"/>
              <w:right w:val="single" w:color="auto" w:sz="4" w:space="0"/>
            </w:tcBorders>
            <w:shd w:val="clear" w:color="000000" w:fill="FFFFFF"/>
            <w:vAlign w:val="center"/>
          </w:tcPr>
          <w:p w14:paraId="020CB806">
            <w:pPr>
              <w:widowControl/>
              <w:jc w:val="center"/>
              <w:rPr>
                <w:rFonts w:hint="eastAsia" w:ascii="宋体" w:hAnsi="宋体" w:cs="宋体"/>
                <w:kern w:val="0"/>
                <w:sz w:val="24"/>
              </w:rPr>
            </w:pPr>
            <w:r>
              <w:rPr>
                <w:rFonts w:hint="eastAsia" w:ascii="宋体" w:hAnsi="宋体" w:cs="宋体"/>
                <w:kern w:val="0"/>
                <w:sz w:val="24"/>
              </w:rPr>
              <w:t>77</w:t>
            </w:r>
          </w:p>
        </w:tc>
        <w:tc>
          <w:tcPr>
            <w:tcW w:w="2851" w:type="dxa"/>
            <w:tcBorders>
              <w:top w:val="nil"/>
              <w:left w:val="nil"/>
              <w:bottom w:val="single" w:color="auto" w:sz="4" w:space="0"/>
              <w:right w:val="single" w:color="auto" w:sz="4" w:space="0"/>
            </w:tcBorders>
            <w:shd w:val="clear" w:color="000000" w:fill="FFFFFF"/>
            <w:vAlign w:val="center"/>
          </w:tcPr>
          <w:p w14:paraId="3CFC7DCB">
            <w:pPr>
              <w:jc w:val="center"/>
              <w:rPr>
                <w:rFonts w:hint="eastAsia" w:ascii="宋体" w:hAnsi="宋体" w:cs="宋体"/>
                <w:sz w:val="24"/>
              </w:rPr>
            </w:pPr>
            <w:r>
              <w:rPr>
                <w:rFonts w:hint="eastAsia" w:ascii="宋体" w:hAnsi="宋体" w:cs="宋体"/>
                <w:sz w:val="24"/>
              </w:rPr>
              <w:t>乙型肝炎病毒e抗体质控液</w:t>
            </w:r>
          </w:p>
        </w:tc>
        <w:tc>
          <w:tcPr>
            <w:tcW w:w="1276" w:type="dxa"/>
            <w:tcBorders>
              <w:top w:val="nil"/>
              <w:left w:val="nil"/>
              <w:bottom w:val="single" w:color="auto" w:sz="4" w:space="0"/>
              <w:right w:val="single" w:color="auto" w:sz="4" w:space="0"/>
            </w:tcBorders>
            <w:shd w:val="clear" w:color="000000" w:fill="FFFFFF"/>
            <w:vAlign w:val="center"/>
          </w:tcPr>
          <w:p w14:paraId="3D72B6C1">
            <w:pPr>
              <w:widowControl/>
              <w:jc w:val="center"/>
              <w:rPr>
                <w:rFonts w:hint="eastAsia" w:ascii="宋体" w:hAnsi="宋体" w:cs="宋体"/>
                <w:kern w:val="0"/>
                <w:sz w:val="24"/>
              </w:rPr>
            </w:pPr>
            <w:r>
              <w:rPr>
                <w:rFonts w:hint="eastAsia" w:ascii="宋体" w:hAnsi="宋体" w:cs="宋体"/>
                <w:kern w:val="0"/>
                <w:sz w:val="24"/>
              </w:rPr>
              <w:t>84.37</w:t>
            </w:r>
          </w:p>
        </w:tc>
        <w:tc>
          <w:tcPr>
            <w:tcW w:w="992" w:type="dxa"/>
            <w:tcBorders>
              <w:top w:val="nil"/>
              <w:left w:val="nil"/>
              <w:bottom w:val="single" w:color="auto" w:sz="4" w:space="0"/>
              <w:right w:val="single" w:color="auto" w:sz="4" w:space="0"/>
            </w:tcBorders>
            <w:shd w:val="clear" w:color="000000" w:fill="FFFFFF"/>
            <w:vAlign w:val="center"/>
          </w:tcPr>
          <w:p w14:paraId="74D9EB11">
            <w:pPr>
              <w:widowControl/>
              <w:jc w:val="center"/>
              <w:rPr>
                <w:rFonts w:hint="eastAsia" w:ascii="宋体" w:hAnsi="宋体" w:cs="宋体"/>
                <w:kern w:val="0"/>
                <w:sz w:val="24"/>
              </w:rPr>
            </w:pPr>
            <w:r>
              <w:rPr>
                <w:rFonts w:hint="eastAsia" w:ascii="宋体" w:hAnsi="宋体" w:cs="宋体"/>
                <w:kern w:val="0"/>
                <w:sz w:val="24"/>
              </w:rPr>
              <w:t>瓶</w:t>
            </w:r>
          </w:p>
        </w:tc>
        <w:tc>
          <w:tcPr>
            <w:tcW w:w="992" w:type="dxa"/>
            <w:tcBorders>
              <w:top w:val="nil"/>
              <w:left w:val="nil"/>
              <w:bottom w:val="single" w:color="auto" w:sz="4" w:space="0"/>
              <w:right w:val="single" w:color="auto" w:sz="4" w:space="0"/>
            </w:tcBorders>
            <w:shd w:val="clear" w:color="000000" w:fill="FFFFFF"/>
            <w:noWrap/>
            <w:vAlign w:val="center"/>
          </w:tcPr>
          <w:p w14:paraId="671BED06">
            <w:pPr>
              <w:widowControl/>
              <w:jc w:val="center"/>
              <w:rPr>
                <w:rFonts w:hint="eastAsia" w:ascii="宋体" w:hAnsi="宋体" w:cs="宋体"/>
                <w:kern w:val="0"/>
                <w:sz w:val="24"/>
              </w:rPr>
            </w:pPr>
            <w:r>
              <w:rPr>
                <w:rFonts w:hint="eastAsia" w:ascii="宋体" w:hAnsi="宋体" w:cs="宋体"/>
                <w:kern w:val="0"/>
                <w:sz w:val="24"/>
              </w:rPr>
              <w:t>48</w:t>
            </w:r>
          </w:p>
        </w:tc>
        <w:tc>
          <w:tcPr>
            <w:tcW w:w="851" w:type="dxa"/>
            <w:tcBorders>
              <w:top w:val="nil"/>
              <w:left w:val="nil"/>
              <w:bottom w:val="single" w:color="auto" w:sz="4" w:space="0"/>
              <w:right w:val="single" w:color="auto" w:sz="4" w:space="0"/>
            </w:tcBorders>
            <w:shd w:val="clear" w:color="000000" w:fill="FFFFFF"/>
            <w:vAlign w:val="center"/>
          </w:tcPr>
          <w:p w14:paraId="3560F724">
            <w:pPr>
              <w:widowControl/>
              <w:jc w:val="center"/>
              <w:rPr>
                <w:rFonts w:hint="eastAsia" w:ascii="宋体" w:hAnsi="宋体" w:cs="宋体"/>
                <w:color w:val="000000"/>
                <w:kern w:val="0"/>
                <w:sz w:val="24"/>
              </w:rPr>
            </w:pPr>
            <w:r>
              <w:rPr>
                <w:rFonts w:hint="eastAsia" w:ascii="宋体" w:hAnsi="宋体" w:cs="宋体"/>
                <w:color w:val="000000"/>
                <w:kern w:val="0"/>
                <w:sz w:val="24"/>
              </w:rPr>
              <w:t>是</w:t>
            </w:r>
          </w:p>
        </w:tc>
        <w:tc>
          <w:tcPr>
            <w:tcW w:w="952" w:type="dxa"/>
            <w:tcBorders>
              <w:top w:val="nil"/>
              <w:left w:val="nil"/>
              <w:bottom w:val="single" w:color="auto" w:sz="4" w:space="0"/>
              <w:right w:val="single" w:color="auto" w:sz="4" w:space="0"/>
            </w:tcBorders>
            <w:shd w:val="clear" w:color="000000" w:fill="FFFFFF"/>
            <w:vAlign w:val="center"/>
          </w:tcPr>
          <w:p w14:paraId="63F5F27F">
            <w:pPr>
              <w:widowControl/>
              <w:jc w:val="center"/>
              <w:rPr>
                <w:rFonts w:hint="eastAsia" w:ascii="宋体" w:hAnsi="宋体" w:cs="宋体"/>
                <w:color w:val="000000"/>
                <w:kern w:val="0"/>
                <w:sz w:val="24"/>
              </w:rPr>
            </w:pPr>
            <w:r>
              <w:rPr>
                <w:rFonts w:hint="eastAsia" w:ascii="宋体" w:hAnsi="宋体" w:cs="宋体"/>
                <w:color w:val="000000"/>
                <w:kern w:val="0"/>
                <w:sz w:val="24"/>
              </w:rPr>
              <w:t>否</w:t>
            </w:r>
          </w:p>
        </w:tc>
      </w:tr>
      <w:tr w14:paraId="221F51AB">
        <w:tblPrEx>
          <w:tblCellMar>
            <w:top w:w="0" w:type="dxa"/>
            <w:left w:w="108" w:type="dxa"/>
            <w:bottom w:w="0" w:type="dxa"/>
            <w:right w:w="108" w:type="dxa"/>
          </w:tblCellMar>
        </w:tblPrEx>
        <w:trPr>
          <w:trHeight w:val="576" w:hRule="atLeast"/>
        </w:trPr>
        <w:tc>
          <w:tcPr>
            <w:tcW w:w="704" w:type="dxa"/>
            <w:tcBorders>
              <w:top w:val="nil"/>
              <w:left w:val="single" w:color="auto" w:sz="4" w:space="0"/>
              <w:bottom w:val="single" w:color="auto" w:sz="4" w:space="0"/>
              <w:right w:val="single" w:color="auto" w:sz="4" w:space="0"/>
            </w:tcBorders>
            <w:shd w:val="clear" w:color="000000" w:fill="FFFFFF"/>
            <w:vAlign w:val="center"/>
          </w:tcPr>
          <w:p w14:paraId="53925236">
            <w:pPr>
              <w:widowControl/>
              <w:jc w:val="center"/>
              <w:rPr>
                <w:rFonts w:hint="eastAsia" w:ascii="宋体" w:hAnsi="宋体" w:cs="宋体"/>
                <w:kern w:val="0"/>
                <w:sz w:val="24"/>
              </w:rPr>
            </w:pPr>
            <w:r>
              <w:rPr>
                <w:rFonts w:hint="eastAsia" w:ascii="宋体" w:hAnsi="宋体" w:cs="宋体"/>
                <w:kern w:val="0"/>
                <w:sz w:val="24"/>
              </w:rPr>
              <w:t>78</w:t>
            </w:r>
          </w:p>
        </w:tc>
        <w:tc>
          <w:tcPr>
            <w:tcW w:w="2851" w:type="dxa"/>
            <w:tcBorders>
              <w:top w:val="nil"/>
              <w:left w:val="nil"/>
              <w:bottom w:val="single" w:color="auto" w:sz="4" w:space="0"/>
              <w:right w:val="single" w:color="auto" w:sz="4" w:space="0"/>
            </w:tcBorders>
            <w:shd w:val="clear" w:color="000000" w:fill="FFFFFF"/>
            <w:vAlign w:val="center"/>
          </w:tcPr>
          <w:p w14:paraId="2F68B144">
            <w:pPr>
              <w:jc w:val="center"/>
              <w:rPr>
                <w:rFonts w:hint="eastAsia" w:ascii="宋体" w:hAnsi="宋体" w:cs="宋体"/>
                <w:sz w:val="24"/>
              </w:rPr>
            </w:pPr>
            <w:r>
              <w:rPr>
                <w:rFonts w:hint="eastAsia" w:ascii="宋体" w:hAnsi="宋体" w:cs="宋体"/>
                <w:sz w:val="24"/>
              </w:rPr>
              <w:t>游离甲状腺素测定试剂盒</w:t>
            </w:r>
          </w:p>
        </w:tc>
        <w:tc>
          <w:tcPr>
            <w:tcW w:w="1276" w:type="dxa"/>
            <w:tcBorders>
              <w:top w:val="nil"/>
              <w:left w:val="nil"/>
              <w:bottom w:val="single" w:color="auto" w:sz="4" w:space="0"/>
              <w:right w:val="single" w:color="auto" w:sz="4" w:space="0"/>
            </w:tcBorders>
            <w:shd w:val="clear" w:color="000000" w:fill="FFFFFF"/>
            <w:vAlign w:val="center"/>
          </w:tcPr>
          <w:p w14:paraId="5E655AC3">
            <w:pPr>
              <w:widowControl/>
              <w:jc w:val="center"/>
              <w:rPr>
                <w:rFonts w:hint="eastAsia" w:ascii="宋体" w:hAnsi="宋体" w:cs="宋体"/>
                <w:kern w:val="0"/>
                <w:sz w:val="24"/>
              </w:rPr>
            </w:pPr>
            <w:r>
              <w:rPr>
                <w:rFonts w:hint="eastAsia" w:ascii="宋体" w:hAnsi="宋体" w:cs="宋体"/>
                <w:kern w:val="0"/>
                <w:sz w:val="24"/>
              </w:rPr>
              <w:t>12.5</w:t>
            </w:r>
          </w:p>
        </w:tc>
        <w:tc>
          <w:tcPr>
            <w:tcW w:w="992" w:type="dxa"/>
            <w:tcBorders>
              <w:top w:val="nil"/>
              <w:left w:val="nil"/>
              <w:bottom w:val="single" w:color="auto" w:sz="4" w:space="0"/>
              <w:right w:val="single" w:color="auto" w:sz="4" w:space="0"/>
            </w:tcBorders>
            <w:shd w:val="clear" w:color="000000" w:fill="FFFFFF"/>
            <w:vAlign w:val="center"/>
          </w:tcPr>
          <w:p w14:paraId="7157DB9B">
            <w:pPr>
              <w:widowControl/>
              <w:jc w:val="center"/>
              <w:rPr>
                <w:rFonts w:hint="eastAsia" w:ascii="宋体" w:hAnsi="宋体" w:cs="宋体"/>
                <w:kern w:val="0"/>
                <w:sz w:val="24"/>
              </w:rPr>
            </w:pPr>
            <w:r>
              <w:rPr>
                <w:rFonts w:hint="eastAsia" w:ascii="宋体" w:hAnsi="宋体" w:cs="宋体"/>
                <w:kern w:val="0"/>
                <w:sz w:val="24"/>
              </w:rPr>
              <w:t>人份</w:t>
            </w:r>
          </w:p>
        </w:tc>
        <w:tc>
          <w:tcPr>
            <w:tcW w:w="992" w:type="dxa"/>
            <w:tcBorders>
              <w:top w:val="nil"/>
              <w:left w:val="nil"/>
              <w:bottom w:val="single" w:color="auto" w:sz="4" w:space="0"/>
              <w:right w:val="single" w:color="auto" w:sz="4" w:space="0"/>
            </w:tcBorders>
            <w:shd w:val="clear" w:color="000000" w:fill="FFFFFF"/>
            <w:noWrap/>
            <w:vAlign w:val="center"/>
          </w:tcPr>
          <w:p w14:paraId="5290B14F">
            <w:pPr>
              <w:widowControl/>
              <w:jc w:val="center"/>
              <w:rPr>
                <w:rFonts w:hint="eastAsia" w:ascii="宋体" w:hAnsi="宋体" w:cs="宋体"/>
                <w:kern w:val="0"/>
                <w:sz w:val="24"/>
              </w:rPr>
            </w:pPr>
            <w:r>
              <w:rPr>
                <w:rFonts w:hint="eastAsia" w:ascii="宋体" w:hAnsi="宋体" w:cs="宋体"/>
                <w:kern w:val="0"/>
                <w:sz w:val="24"/>
              </w:rPr>
              <w:t>200</w:t>
            </w:r>
          </w:p>
        </w:tc>
        <w:tc>
          <w:tcPr>
            <w:tcW w:w="851" w:type="dxa"/>
            <w:tcBorders>
              <w:top w:val="nil"/>
              <w:left w:val="nil"/>
              <w:bottom w:val="single" w:color="auto" w:sz="4" w:space="0"/>
              <w:right w:val="single" w:color="auto" w:sz="4" w:space="0"/>
            </w:tcBorders>
            <w:shd w:val="clear" w:color="000000" w:fill="FFFFFF"/>
            <w:vAlign w:val="center"/>
          </w:tcPr>
          <w:p w14:paraId="13EF0209">
            <w:pPr>
              <w:widowControl/>
              <w:jc w:val="center"/>
              <w:rPr>
                <w:rFonts w:hint="eastAsia" w:ascii="宋体" w:hAnsi="宋体" w:cs="宋体"/>
                <w:color w:val="000000"/>
                <w:kern w:val="0"/>
                <w:sz w:val="24"/>
              </w:rPr>
            </w:pPr>
            <w:r>
              <w:rPr>
                <w:rFonts w:hint="eastAsia" w:ascii="宋体" w:hAnsi="宋体" w:cs="宋体"/>
                <w:color w:val="000000"/>
                <w:kern w:val="0"/>
                <w:sz w:val="24"/>
              </w:rPr>
              <w:t>是</w:t>
            </w:r>
          </w:p>
        </w:tc>
        <w:tc>
          <w:tcPr>
            <w:tcW w:w="952" w:type="dxa"/>
            <w:tcBorders>
              <w:top w:val="nil"/>
              <w:left w:val="nil"/>
              <w:bottom w:val="single" w:color="auto" w:sz="4" w:space="0"/>
              <w:right w:val="single" w:color="auto" w:sz="4" w:space="0"/>
            </w:tcBorders>
            <w:shd w:val="clear" w:color="000000" w:fill="FFFFFF"/>
            <w:vAlign w:val="center"/>
          </w:tcPr>
          <w:p w14:paraId="532DE10B">
            <w:pPr>
              <w:widowControl/>
              <w:jc w:val="center"/>
              <w:rPr>
                <w:rFonts w:hint="eastAsia" w:ascii="宋体" w:hAnsi="宋体" w:cs="宋体"/>
                <w:color w:val="000000"/>
                <w:kern w:val="0"/>
                <w:sz w:val="24"/>
              </w:rPr>
            </w:pPr>
            <w:r>
              <w:rPr>
                <w:rFonts w:hint="eastAsia" w:ascii="宋体" w:hAnsi="宋体" w:cs="宋体"/>
                <w:color w:val="000000"/>
                <w:kern w:val="0"/>
                <w:sz w:val="24"/>
              </w:rPr>
              <w:t>否</w:t>
            </w:r>
          </w:p>
        </w:tc>
      </w:tr>
      <w:tr w14:paraId="38D0510F">
        <w:tblPrEx>
          <w:tblCellMar>
            <w:top w:w="0" w:type="dxa"/>
            <w:left w:w="108" w:type="dxa"/>
            <w:bottom w:w="0" w:type="dxa"/>
            <w:right w:w="108" w:type="dxa"/>
          </w:tblCellMar>
        </w:tblPrEx>
        <w:trPr>
          <w:trHeight w:val="576" w:hRule="atLeast"/>
        </w:trPr>
        <w:tc>
          <w:tcPr>
            <w:tcW w:w="704" w:type="dxa"/>
            <w:tcBorders>
              <w:top w:val="nil"/>
              <w:left w:val="single" w:color="auto" w:sz="4" w:space="0"/>
              <w:bottom w:val="single" w:color="auto" w:sz="4" w:space="0"/>
              <w:right w:val="single" w:color="auto" w:sz="4" w:space="0"/>
            </w:tcBorders>
            <w:shd w:val="clear" w:color="000000" w:fill="FFFFFF"/>
            <w:vAlign w:val="center"/>
          </w:tcPr>
          <w:p w14:paraId="268CCB77">
            <w:pPr>
              <w:widowControl/>
              <w:jc w:val="center"/>
              <w:rPr>
                <w:rFonts w:hint="eastAsia" w:ascii="宋体" w:hAnsi="宋体" w:cs="宋体"/>
                <w:kern w:val="0"/>
                <w:sz w:val="24"/>
              </w:rPr>
            </w:pPr>
            <w:r>
              <w:rPr>
                <w:rFonts w:hint="eastAsia" w:ascii="宋体" w:hAnsi="宋体" w:cs="宋体"/>
                <w:kern w:val="0"/>
                <w:sz w:val="24"/>
              </w:rPr>
              <w:t>79</w:t>
            </w:r>
          </w:p>
        </w:tc>
        <w:tc>
          <w:tcPr>
            <w:tcW w:w="2851" w:type="dxa"/>
            <w:tcBorders>
              <w:top w:val="nil"/>
              <w:left w:val="nil"/>
              <w:bottom w:val="single" w:color="auto" w:sz="4" w:space="0"/>
              <w:right w:val="single" w:color="auto" w:sz="4" w:space="0"/>
            </w:tcBorders>
            <w:shd w:val="clear" w:color="000000" w:fill="FFFFFF"/>
            <w:vAlign w:val="center"/>
          </w:tcPr>
          <w:p w14:paraId="02664C81">
            <w:pPr>
              <w:jc w:val="center"/>
              <w:rPr>
                <w:rFonts w:hint="eastAsia" w:ascii="宋体" w:hAnsi="宋体" w:cs="宋体"/>
                <w:sz w:val="24"/>
              </w:rPr>
            </w:pPr>
            <w:r>
              <w:rPr>
                <w:rFonts w:hint="eastAsia" w:ascii="宋体" w:hAnsi="宋体" w:cs="宋体"/>
                <w:sz w:val="24"/>
              </w:rPr>
              <w:t>乙型肝炎病毒e抗原检测试剂盒</w:t>
            </w:r>
          </w:p>
        </w:tc>
        <w:tc>
          <w:tcPr>
            <w:tcW w:w="1276" w:type="dxa"/>
            <w:tcBorders>
              <w:top w:val="nil"/>
              <w:left w:val="nil"/>
              <w:bottom w:val="single" w:color="auto" w:sz="4" w:space="0"/>
              <w:right w:val="single" w:color="auto" w:sz="4" w:space="0"/>
            </w:tcBorders>
            <w:shd w:val="clear" w:color="000000" w:fill="FFFFFF"/>
            <w:vAlign w:val="center"/>
          </w:tcPr>
          <w:p w14:paraId="2991B427">
            <w:pPr>
              <w:widowControl/>
              <w:jc w:val="center"/>
              <w:rPr>
                <w:rFonts w:hint="eastAsia" w:ascii="宋体" w:hAnsi="宋体" w:cs="宋体"/>
                <w:kern w:val="0"/>
                <w:sz w:val="24"/>
              </w:rPr>
            </w:pPr>
            <w:r>
              <w:rPr>
                <w:rFonts w:hint="eastAsia" w:ascii="宋体" w:hAnsi="宋体" w:cs="宋体"/>
                <w:kern w:val="0"/>
                <w:sz w:val="24"/>
              </w:rPr>
              <w:t>15.31</w:t>
            </w:r>
          </w:p>
        </w:tc>
        <w:tc>
          <w:tcPr>
            <w:tcW w:w="992" w:type="dxa"/>
            <w:tcBorders>
              <w:top w:val="nil"/>
              <w:left w:val="nil"/>
              <w:bottom w:val="single" w:color="auto" w:sz="4" w:space="0"/>
              <w:right w:val="single" w:color="auto" w:sz="4" w:space="0"/>
            </w:tcBorders>
            <w:shd w:val="clear" w:color="000000" w:fill="FFFFFF"/>
            <w:vAlign w:val="center"/>
          </w:tcPr>
          <w:p w14:paraId="55B8F3FE">
            <w:pPr>
              <w:widowControl/>
              <w:jc w:val="center"/>
              <w:rPr>
                <w:rFonts w:hint="eastAsia" w:ascii="宋体" w:hAnsi="宋体" w:cs="宋体"/>
                <w:kern w:val="0"/>
                <w:sz w:val="24"/>
              </w:rPr>
            </w:pPr>
            <w:r>
              <w:rPr>
                <w:rFonts w:hint="eastAsia" w:ascii="宋体" w:hAnsi="宋体" w:cs="宋体"/>
                <w:kern w:val="0"/>
                <w:sz w:val="24"/>
              </w:rPr>
              <w:t>人份</w:t>
            </w:r>
          </w:p>
        </w:tc>
        <w:tc>
          <w:tcPr>
            <w:tcW w:w="992" w:type="dxa"/>
            <w:tcBorders>
              <w:top w:val="nil"/>
              <w:left w:val="nil"/>
              <w:bottom w:val="single" w:color="auto" w:sz="4" w:space="0"/>
              <w:right w:val="single" w:color="auto" w:sz="4" w:space="0"/>
            </w:tcBorders>
            <w:shd w:val="clear" w:color="000000" w:fill="FFFFFF"/>
            <w:noWrap/>
            <w:vAlign w:val="center"/>
          </w:tcPr>
          <w:p w14:paraId="33752E1E">
            <w:pPr>
              <w:widowControl/>
              <w:jc w:val="center"/>
              <w:rPr>
                <w:rFonts w:hint="eastAsia" w:ascii="宋体" w:hAnsi="宋体" w:cs="宋体"/>
                <w:kern w:val="0"/>
                <w:sz w:val="24"/>
              </w:rPr>
            </w:pPr>
            <w:r>
              <w:rPr>
                <w:rFonts w:hint="eastAsia" w:ascii="宋体" w:hAnsi="宋体" w:cs="宋体"/>
                <w:kern w:val="0"/>
                <w:sz w:val="24"/>
              </w:rPr>
              <w:t>1800</w:t>
            </w:r>
          </w:p>
        </w:tc>
        <w:tc>
          <w:tcPr>
            <w:tcW w:w="851" w:type="dxa"/>
            <w:tcBorders>
              <w:top w:val="nil"/>
              <w:left w:val="nil"/>
              <w:bottom w:val="single" w:color="auto" w:sz="4" w:space="0"/>
              <w:right w:val="single" w:color="auto" w:sz="4" w:space="0"/>
            </w:tcBorders>
            <w:shd w:val="clear" w:color="000000" w:fill="FFFFFF"/>
            <w:vAlign w:val="center"/>
          </w:tcPr>
          <w:p w14:paraId="3176FC62">
            <w:pPr>
              <w:widowControl/>
              <w:jc w:val="center"/>
              <w:rPr>
                <w:rFonts w:hint="eastAsia" w:ascii="宋体" w:hAnsi="宋体" w:cs="宋体"/>
                <w:color w:val="000000"/>
                <w:kern w:val="0"/>
                <w:sz w:val="24"/>
              </w:rPr>
            </w:pPr>
            <w:r>
              <w:rPr>
                <w:rFonts w:hint="eastAsia" w:ascii="宋体" w:hAnsi="宋体" w:cs="宋体"/>
                <w:color w:val="000000"/>
                <w:kern w:val="0"/>
                <w:sz w:val="24"/>
              </w:rPr>
              <w:t>是</w:t>
            </w:r>
          </w:p>
        </w:tc>
        <w:tc>
          <w:tcPr>
            <w:tcW w:w="952" w:type="dxa"/>
            <w:tcBorders>
              <w:top w:val="nil"/>
              <w:left w:val="nil"/>
              <w:bottom w:val="single" w:color="auto" w:sz="4" w:space="0"/>
              <w:right w:val="single" w:color="auto" w:sz="4" w:space="0"/>
            </w:tcBorders>
            <w:shd w:val="clear" w:color="000000" w:fill="FFFFFF"/>
            <w:vAlign w:val="center"/>
          </w:tcPr>
          <w:p w14:paraId="3CBCFA04">
            <w:pPr>
              <w:widowControl/>
              <w:jc w:val="center"/>
              <w:rPr>
                <w:rFonts w:hint="eastAsia" w:ascii="宋体" w:hAnsi="宋体" w:cs="宋体"/>
                <w:color w:val="000000"/>
                <w:kern w:val="0"/>
                <w:sz w:val="24"/>
              </w:rPr>
            </w:pPr>
            <w:r>
              <w:rPr>
                <w:rFonts w:hint="eastAsia" w:ascii="宋体" w:hAnsi="宋体" w:cs="宋体"/>
                <w:color w:val="000000"/>
                <w:kern w:val="0"/>
                <w:sz w:val="24"/>
              </w:rPr>
              <w:t>否</w:t>
            </w:r>
          </w:p>
        </w:tc>
      </w:tr>
      <w:tr w14:paraId="072D4618">
        <w:tblPrEx>
          <w:tblCellMar>
            <w:top w:w="0" w:type="dxa"/>
            <w:left w:w="108" w:type="dxa"/>
            <w:bottom w:w="0" w:type="dxa"/>
            <w:right w:w="108" w:type="dxa"/>
          </w:tblCellMar>
        </w:tblPrEx>
        <w:trPr>
          <w:trHeight w:val="576" w:hRule="atLeast"/>
        </w:trPr>
        <w:tc>
          <w:tcPr>
            <w:tcW w:w="704" w:type="dxa"/>
            <w:tcBorders>
              <w:top w:val="nil"/>
              <w:left w:val="single" w:color="auto" w:sz="4" w:space="0"/>
              <w:bottom w:val="single" w:color="auto" w:sz="4" w:space="0"/>
              <w:right w:val="single" w:color="auto" w:sz="4" w:space="0"/>
            </w:tcBorders>
            <w:shd w:val="clear" w:color="000000" w:fill="FFFFFF"/>
            <w:vAlign w:val="center"/>
          </w:tcPr>
          <w:p w14:paraId="2AC26B9E">
            <w:pPr>
              <w:widowControl/>
              <w:jc w:val="center"/>
              <w:rPr>
                <w:rFonts w:hint="eastAsia" w:ascii="宋体" w:hAnsi="宋体" w:cs="宋体"/>
                <w:kern w:val="0"/>
                <w:sz w:val="24"/>
              </w:rPr>
            </w:pPr>
            <w:r>
              <w:rPr>
                <w:rFonts w:hint="eastAsia" w:ascii="宋体" w:hAnsi="宋体" w:cs="宋体"/>
                <w:kern w:val="0"/>
                <w:sz w:val="24"/>
              </w:rPr>
              <w:t>80</w:t>
            </w:r>
          </w:p>
        </w:tc>
        <w:tc>
          <w:tcPr>
            <w:tcW w:w="2851" w:type="dxa"/>
            <w:tcBorders>
              <w:top w:val="nil"/>
              <w:left w:val="nil"/>
              <w:bottom w:val="single" w:color="auto" w:sz="4" w:space="0"/>
              <w:right w:val="single" w:color="auto" w:sz="4" w:space="0"/>
            </w:tcBorders>
            <w:shd w:val="clear" w:color="000000" w:fill="FFFFFF"/>
            <w:vAlign w:val="center"/>
          </w:tcPr>
          <w:p w14:paraId="7FA74497">
            <w:pPr>
              <w:jc w:val="center"/>
              <w:rPr>
                <w:rFonts w:hint="eastAsia" w:ascii="宋体" w:hAnsi="宋体" w:cs="宋体"/>
                <w:sz w:val="24"/>
              </w:rPr>
            </w:pPr>
            <w:r>
              <w:rPr>
                <w:rFonts w:hint="eastAsia" w:ascii="宋体" w:hAnsi="宋体" w:cs="宋体"/>
                <w:sz w:val="24"/>
              </w:rPr>
              <w:t>乙型肝炎病毒e抗原质控液</w:t>
            </w:r>
          </w:p>
        </w:tc>
        <w:tc>
          <w:tcPr>
            <w:tcW w:w="1276" w:type="dxa"/>
            <w:tcBorders>
              <w:top w:val="nil"/>
              <w:left w:val="nil"/>
              <w:bottom w:val="single" w:color="auto" w:sz="4" w:space="0"/>
              <w:right w:val="single" w:color="auto" w:sz="4" w:space="0"/>
            </w:tcBorders>
            <w:shd w:val="clear" w:color="000000" w:fill="FFFFFF"/>
            <w:vAlign w:val="center"/>
          </w:tcPr>
          <w:p w14:paraId="4EFF5DE6">
            <w:pPr>
              <w:widowControl/>
              <w:jc w:val="center"/>
              <w:rPr>
                <w:rFonts w:hint="eastAsia" w:ascii="宋体" w:hAnsi="宋体" w:cs="宋体"/>
                <w:kern w:val="0"/>
                <w:sz w:val="24"/>
              </w:rPr>
            </w:pPr>
            <w:r>
              <w:rPr>
                <w:rFonts w:hint="eastAsia" w:ascii="宋体" w:hAnsi="宋体" w:cs="宋体"/>
                <w:kern w:val="0"/>
                <w:sz w:val="24"/>
              </w:rPr>
              <w:t>84.38</w:t>
            </w:r>
          </w:p>
        </w:tc>
        <w:tc>
          <w:tcPr>
            <w:tcW w:w="992" w:type="dxa"/>
            <w:tcBorders>
              <w:top w:val="nil"/>
              <w:left w:val="nil"/>
              <w:bottom w:val="single" w:color="auto" w:sz="4" w:space="0"/>
              <w:right w:val="single" w:color="auto" w:sz="4" w:space="0"/>
            </w:tcBorders>
            <w:shd w:val="clear" w:color="000000" w:fill="FFFFFF"/>
            <w:vAlign w:val="center"/>
          </w:tcPr>
          <w:p w14:paraId="35C222F0">
            <w:pPr>
              <w:widowControl/>
              <w:jc w:val="center"/>
              <w:rPr>
                <w:rFonts w:hint="eastAsia" w:ascii="宋体" w:hAnsi="宋体" w:cs="宋体"/>
                <w:kern w:val="0"/>
                <w:sz w:val="24"/>
              </w:rPr>
            </w:pPr>
            <w:r>
              <w:rPr>
                <w:rFonts w:hint="eastAsia" w:ascii="宋体" w:hAnsi="宋体" w:cs="宋体"/>
                <w:kern w:val="0"/>
                <w:sz w:val="24"/>
              </w:rPr>
              <w:t>瓶</w:t>
            </w:r>
          </w:p>
        </w:tc>
        <w:tc>
          <w:tcPr>
            <w:tcW w:w="992" w:type="dxa"/>
            <w:tcBorders>
              <w:top w:val="nil"/>
              <w:left w:val="nil"/>
              <w:bottom w:val="single" w:color="auto" w:sz="4" w:space="0"/>
              <w:right w:val="single" w:color="auto" w:sz="4" w:space="0"/>
            </w:tcBorders>
            <w:shd w:val="clear" w:color="000000" w:fill="FFFFFF"/>
            <w:noWrap/>
            <w:vAlign w:val="center"/>
          </w:tcPr>
          <w:p w14:paraId="73C3179E">
            <w:pPr>
              <w:widowControl/>
              <w:jc w:val="center"/>
              <w:rPr>
                <w:rFonts w:hint="eastAsia" w:ascii="宋体" w:hAnsi="宋体" w:cs="宋体"/>
                <w:kern w:val="0"/>
                <w:sz w:val="24"/>
              </w:rPr>
            </w:pPr>
            <w:r>
              <w:rPr>
                <w:rFonts w:hint="eastAsia" w:ascii="宋体" w:hAnsi="宋体" w:cs="宋体"/>
                <w:kern w:val="0"/>
                <w:sz w:val="24"/>
              </w:rPr>
              <w:t>16</w:t>
            </w:r>
          </w:p>
        </w:tc>
        <w:tc>
          <w:tcPr>
            <w:tcW w:w="851" w:type="dxa"/>
            <w:tcBorders>
              <w:top w:val="nil"/>
              <w:left w:val="nil"/>
              <w:bottom w:val="single" w:color="auto" w:sz="4" w:space="0"/>
              <w:right w:val="single" w:color="auto" w:sz="4" w:space="0"/>
            </w:tcBorders>
            <w:shd w:val="clear" w:color="000000" w:fill="FFFFFF"/>
            <w:vAlign w:val="center"/>
          </w:tcPr>
          <w:p w14:paraId="1E6DFEB6">
            <w:pPr>
              <w:widowControl/>
              <w:jc w:val="center"/>
              <w:rPr>
                <w:rFonts w:hint="eastAsia" w:ascii="宋体" w:hAnsi="宋体" w:cs="宋体"/>
                <w:color w:val="000000"/>
                <w:kern w:val="0"/>
                <w:sz w:val="24"/>
              </w:rPr>
            </w:pPr>
            <w:r>
              <w:rPr>
                <w:rFonts w:hint="eastAsia" w:ascii="宋体" w:hAnsi="宋体" w:cs="宋体"/>
                <w:color w:val="000000"/>
                <w:kern w:val="0"/>
                <w:sz w:val="24"/>
              </w:rPr>
              <w:t>是</w:t>
            </w:r>
          </w:p>
        </w:tc>
        <w:tc>
          <w:tcPr>
            <w:tcW w:w="952" w:type="dxa"/>
            <w:tcBorders>
              <w:top w:val="nil"/>
              <w:left w:val="nil"/>
              <w:bottom w:val="single" w:color="auto" w:sz="4" w:space="0"/>
              <w:right w:val="single" w:color="auto" w:sz="4" w:space="0"/>
            </w:tcBorders>
            <w:shd w:val="clear" w:color="000000" w:fill="FFFFFF"/>
            <w:vAlign w:val="center"/>
          </w:tcPr>
          <w:p w14:paraId="7CD15EC2">
            <w:pPr>
              <w:widowControl/>
              <w:jc w:val="center"/>
              <w:rPr>
                <w:rFonts w:hint="eastAsia" w:ascii="宋体" w:hAnsi="宋体" w:cs="宋体"/>
                <w:color w:val="000000"/>
                <w:kern w:val="0"/>
                <w:sz w:val="24"/>
              </w:rPr>
            </w:pPr>
            <w:r>
              <w:rPr>
                <w:rFonts w:hint="eastAsia" w:ascii="宋体" w:hAnsi="宋体" w:cs="宋体"/>
                <w:color w:val="000000"/>
                <w:kern w:val="0"/>
                <w:sz w:val="24"/>
              </w:rPr>
              <w:t>否</w:t>
            </w:r>
          </w:p>
        </w:tc>
      </w:tr>
      <w:tr w14:paraId="0FACC754">
        <w:tblPrEx>
          <w:tblCellMar>
            <w:top w:w="0" w:type="dxa"/>
            <w:left w:w="108" w:type="dxa"/>
            <w:bottom w:w="0" w:type="dxa"/>
            <w:right w:w="108" w:type="dxa"/>
          </w:tblCellMar>
        </w:tblPrEx>
        <w:trPr>
          <w:trHeight w:val="576" w:hRule="atLeast"/>
        </w:trPr>
        <w:tc>
          <w:tcPr>
            <w:tcW w:w="704" w:type="dxa"/>
            <w:tcBorders>
              <w:top w:val="nil"/>
              <w:left w:val="single" w:color="auto" w:sz="4" w:space="0"/>
              <w:bottom w:val="single" w:color="auto" w:sz="4" w:space="0"/>
              <w:right w:val="single" w:color="auto" w:sz="4" w:space="0"/>
            </w:tcBorders>
            <w:shd w:val="clear" w:color="000000" w:fill="FFFFFF"/>
            <w:vAlign w:val="center"/>
          </w:tcPr>
          <w:p w14:paraId="6EE6C5E1">
            <w:pPr>
              <w:widowControl/>
              <w:jc w:val="center"/>
              <w:rPr>
                <w:rFonts w:hint="eastAsia" w:ascii="宋体" w:hAnsi="宋体" w:cs="宋体"/>
                <w:kern w:val="0"/>
                <w:sz w:val="24"/>
              </w:rPr>
            </w:pPr>
            <w:r>
              <w:rPr>
                <w:rFonts w:hint="eastAsia" w:ascii="宋体" w:hAnsi="宋体" w:cs="宋体"/>
                <w:kern w:val="0"/>
                <w:sz w:val="24"/>
              </w:rPr>
              <w:t>81</w:t>
            </w:r>
          </w:p>
        </w:tc>
        <w:tc>
          <w:tcPr>
            <w:tcW w:w="2851" w:type="dxa"/>
            <w:tcBorders>
              <w:top w:val="nil"/>
              <w:left w:val="nil"/>
              <w:bottom w:val="single" w:color="auto" w:sz="4" w:space="0"/>
              <w:right w:val="single" w:color="auto" w:sz="4" w:space="0"/>
            </w:tcBorders>
            <w:shd w:val="clear" w:color="000000" w:fill="FFFFFF"/>
            <w:vAlign w:val="center"/>
          </w:tcPr>
          <w:p w14:paraId="26424DAA">
            <w:pPr>
              <w:jc w:val="center"/>
              <w:rPr>
                <w:rFonts w:hint="eastAsia" w:ascii="宋体" w:hAnsi="宋体" w:cs="宋体"/>
                <w:sz w:val="24"/>
              </w:rPr>
            </w:pPr>
            <w:r>
              <w:rPr>
                <w:rFonts w:hint="eastAsia" w:ascii="宋体" w:hAnsi="宋体" w:cs="宋体"/>
                <w:sz w:val="24"/>
              </w:rPr>
              <w:t>乙型肝炎病毒表面抗体检测试剂盒</w:t>
            </w:r>
          </w:p>
        </w:tc>
        <w:tc>
          <w:tcPr>
            <w:tcW w:w="1276" w:type="dxa"/>
            <w:tcBorders>
              <w:top w:val="nil"/>
              <w:left w:val="nil"/>
              <w:bottom w:val="single" w:color="auto" w:sz="4" w:space="0"/>
              <w:right w:val="single" w:color="auto" w:sz="4" w:space="0"/>
            </w:tcBorders>
            <w:shd w:val="clear" w:color="000000" w:fill="FFFFFF"/>
            <w:vAlign w:val="center"/>
          </w:tcPr>
          <w:p w14:paraId="58AA2F39">
            <w:pPr>
              <w:widowControl/>
              <w:jc w:val="center"/>
              <w:rPr>
                <w:rFonts w:hint="eastAsia" w:ascii="宋体" w:hAnsi="宋体" w:cs="宋体"/>
                <w:kern w:val="0"/>
                <w:sz w:val="24"/>
              </w:rPr>
            </w:pPr>
            <w:r>
              <w:rPr>
                <w:rFonts w:hint="eastAsia" w:ascii="宋体" w:hAnsi="宋体" w:cs="宋体"/>
                <w:kern w:val="0"/>
                <w:sz w:val="24"/>
              </w:rPr>
              <w:t>15.06</w:t>
            </w:r>
          </w:p>
        </w:tc>
        <w:tc>
          <w:tcPr>
            <w:tcW w:w="992" w:type="dxa"/>
            <w:tcBorders>
              <w:top w:val="nil"/>
              <w:left w:val="nil"/>
              <w:bottom w:val="single" w:color="auto" w:sz="4" w:space="0"/>
              <w:right w:val="single" w:color="auto" w:sz="4" w:space="0"/>
            </w:tcBorders>
            <w:shd w:val="clear" w:color="000000" w:fill="FFFFFF"/>
            <w:vAlign w:val="center"/>
          </w:tcPr>
          <w:p w14:paraId="13E28DF4">
            <w:pPr>
              <w:widowControl/>
              <w:jc w:val="center"/>
              <w:rPr>
                <w:rFonts w:hint="eastAsia" w:ascii="宋体" w:hAnsi="宋体" w:cs="宋体"/>
                <w:kern w:val="0"/>
                <w:sz w:val="24"/>
              </w:rPr>
            </w:pPr>
            <w:r>
              <w:rPr>
                <w:rFonts w:hint="eastAsia" w:ascii="宋体" w:hAnsi="宋体" w:cs="宋体"/>
                <w:kern w:val="0"/>
                <w:sz w:val="24"/>
              </w:rPr>
              <w:t>人份</w:t>
            </w:r>
          </w:p>
        </w:tc>
        <w:tc>
          <w:tcPr>
            <w:tcW w:w="992" w:type="dxa"/>
            <w:tcBorders>
              <w:top w:val="nil"/>
              <w:left w:val="nil"/>
              <w:bottom w:val="single" w:color="auto" w:sz="4" w:space="0"/>
              <w:right w:val="single" w:color="auto" w:sz="4" w:space="0"/>
            </w:tcBorders>
            <w:shd w:val="clear" w:color="000000" w:fill="FFFFFF"/>
            <w:noWrap/>
            <w:vAlign w:val="center"/>
          </w:tcPr>
          <w:p w14:paraId="756C80DC">
            <w:pPr>
              <w:widowControl/>
              <w:jc w:val="center"/>
              <w:rPr>
                <w:rFonts w:hint="eastAsia" w:ascii="宋体" w:hAnsi="宋体" w:cs="宋体"/>
                <w:kern w:val="0"/>
                <w:sz w:val="24"/>
              </w:rPr>
            </w:pPr>
            <w:r>
              <w:rPr>
                <w:rFonts w:hint="eastAsia" w:ascii="宋体" w:hAnsi="宋体" w:cs="宋体"/>
                <w:kern w:val="0"/>
                <w:sz w:val="24"/>
              </w:rPr>
              <w:t>1800</w:t>
            </w:r>
          </w:p>
        </w:tc>
        <w:tc>
          <w:tcPr>
            <w:tcW w:w="851" w:type="dxa"/>
            <w:tcBorders>
              <w:top w:val="nil"/>
              <w:left w:val="nil"/>
              <w:bottom w:val="single" w:color="auto" w:sz="4" w:space="0"/>
              <w:right w:val="single" w:color="auto" w:sz="4" w:space="0"/>
            </w:tcBorders>
            <w:shd w:val="clear" w:color="000000" w:fill="FFFFFF"/>
            <w:vAlign w:val="center"/>
          </w:tcPr>
          <w:p w14:paraId="5E98731A">
            <w:pPr>
              <w:widowControl/>
              <w:jc w:val="center"/>
              <w:rPr>
                <w:rFonts w:hint="eastAsia" w:ascii="宋体" w:hAnsi="宋体" w:cs="宋体"/>
                <w:color w:val="000000"/>
                <w:kern w:val="0"/>
                <w:sz w:val="24"/>
              </w:rPr>
            </w:pPr>
            <w:r>
              <w:rPr>
                <w:rFonts w:hint="eastAsia" w:ascii="宋体" w:hAnsi="宋体" w:cs="宋体"/>
                <w:color w:val="000000"/>
                <w:kern w:val="0"/>
                <w:sz w:val="24"/>
              </w:rPr>
              <w:t>是</w:t>
            </w:r>
          </w:p>
        </w:tc>
        <w:tc>
          <w:tcPr>
            <w:tcW w:w="952" w:type="dxa"/>
            <w:tcBorders>
              <w:top w:val="nil"/>
              <w:left w:val="nil"/>
              <w:bottom w:val="single" w:color="auto" w:sz="4" w:space="0"/>
              <w:right w:val="single" w:color="auto" w:sz="4" w:space="0"/>
            </w:tcBorders>
            <w:shd w:val="clear" w:color="000000" w:fill="FFFFFF"/>
            <w:vAlign w:val="center"/>
          </w:tcPr>
          <w:p w14:paraId="19849DF7">
            <w:pPr>
              <w:widowControl/>
              <w:jc w:val="center"/>
              <w:rPr>
                <w:rFonts w:hint="eastAsia" w:ascii="宋体" w:hAnsi="宋体" w:cs="宋体"/>
                <w:color w:val="000000"/>
                <w:kern w:val="0"/>
                <w:sz w:val="24"/>
              </w:rPr>
            </w:pPr>
            <w:r>
              <w:rPr>
                <w:rFonts w:hint="eastAsia" w:ascii="宋体" w:hAnsi="宋体" w:cs="宋体"/>
                <w:color w:val="000000"/>
                <w:kern w:val="0"/>
                <w:sz w:val="24"/>
              </w:rPr>
              <w:t>否</w:t>
            </w:r>
          </w:p>
        </w:tc>
      </w:tr>
      <w:tr w14:paraId="42090E71">
        <w:tblPrEx>
          <w:tblCellMar>
            <w:top w:w="0" w:type="dxa"/>
            <w:left w:w="108" w:type="dxa"/>
            <w:bottom w:w="0" w:type="dxa"/>
            <w:right w:w="108" w:type="dxa"/>
          </w:tblCellMar>
        </w:tblPrEx>
        <w:trPr>
          <w:trHeight w:val="576" w:hRule="atLeast"/>
        </w:trPr>
        <w:tc>
          <w:tcPr>
            <w:tcW w:w="704" w:type="dxa"/>
            <w:tcBorders>
              <w:top w:val="nil"/>
              <w:left w:val="single" w:color="auto" w:sz="4" w:space="0"/>
              <w:bottom w:val="single" w:color="auto" w:sz="4" w:space="0"/>
              <w:right w:val="single" w:color="auto" w:sz="4" w:space="0"/>
            </w:tcBorders>
            <w:shd w:val="clear" w:color="000000" w:fill="FFFFFF"/>
            <w:vAlign w:val="center"/>
          </w:tcPr>
          <w:p w14:paraId="726796A3">
            <w:pPr>
              <w:widowControl/>
              <w:jc w:val="center"/>
              <w:rPr>
                <w:rFonts w:hint="eastAsia" w:ascii="宋体" w:hAnsi="宋体" w:cs="宋体"/>
                <w:kern w:val="0"/>
                <w:sz w:val="24"/>
              </w:rPr>
            </w:pPr>
            <w:r>
              <w:rPr>
                <w:rFonts w:hint="eastAsia" w:ascii="宋体" w:hAnsi="宋体" w:cs="宋体"/>
                <w:kern w:val="0"/>
                <w:sz w:val="24"/>
              </w:rPr>
              <w:t>82</w:t>
            </w:r>
          </w:p>
        </w:tc>
        <w:tc>
          <w:tcPr>
            <w:tcW w:w="2851" w:type="dxa"/>
            <w:tcBorders>
              <w:top w:val="nil"/>
              <w:left w:val="nil"/>
              <w:bottom w:val="single" w:color="auto" w:sz="4" w:space="0"/>
              <w:right w:val="single" w:color="auto" w:sz="4" w:space="0"/>
            </w:tcBorders>
            <w:shd w:val="clear" w:color="000000" w:fill="FFFFFF"/>
            <w:vAlign w:val="center"/>
          </w:tcPr>
          <w:p w14:paraId="0B0AE31B">
            <w:pPr>
              <w:jc w:val="center"/>
              <w:rPr>
                <w:rFonts w:hint="eastAsia" w:ascii="宋体" w:hAnsi="宋体" w:cs="宋体"/>
                <w:sz w:val="24"/>
              </w:rPr>
            </w:pPr>
            <w:r>
              <w:rPr>
                <w:rFonts w:hint="eastAsia" w:ascii="宋体" w:hAnsi="宋体" w:cs="宋体"/>
                <w:sz w:val="24"/>
              </w:rPr>
              <w:t>乙型肝炎病毒表面抗体质控液</w:t>
            </w:r>
          </w:p>
        </w:tc>
        <w:tc>
          <w:tcPr>
            <w:tcW w:w="1276" w:type="dxa"/>
            <w:tcBorders>
              <w:top w:val="nil"/>
              <w:left w:val="nil"/>
              <w:bottom w:val="single" w:color="auto" w:sz="4" w:space="0"/>
              <w:right w:val="single" w:color="auto" w:sz="4" w:space="0"/>
            </w:tcBorders>
            <w:shd w:val="clear" w:color="000000" w:fill="FFFFFF"/>
            <w:vAlign w:val="center"/>
          </w:tcPr>
          <w:p w14:paraId="3BB727E6">
            <w:pPr>
              <w:widowControl/>
              <w:jc w:val="center"/>
              <w:rPr>
                <w:rFonts w:hint="eastAsia" w:ascii="宋体" w:hAnsi="宋体" w:cs="宋体"/>
                <w:kern w:val="0"/>
                <w:sz w:val="24"/>
              </w:rPr>
            </w:pPr>
            <w:r>
              <w:rPr>
                <w:rFonts w:hint="eastAsia" w:ascii="宋体" w:hAnsi="宋体" w:cs="宋体"/>
                <w:kern w:val="0"/>
                <w:sz w:val="24"/>
              </w:rPr>
              <w:t>84.38</w:t>
            </w:r>
          </w:p>
        </w:tc>
        <w:tc>
          <w:tcPr>
            <w:tcW w:w="992" w:type="dxa"/>
            <w:tcBorders>
              <w:top w:val="nil"/>
              <w:left w:val="nil"/>
              <w:bottom w:val="single" w:color="auto" w:sz="4" w:space="0"/>
              <w:right w:val="single" w:color="auto" w:sz="4" w:space="0"/>
            </w:tcBorders>
            <w:shd w:val="clear" w:color="000000" w:fill="FFFFFF"/>
            <w:vAlign w:val="center"/>
          </w:tcPr>
          <w:p w14:paraId="7C827905">
            <w:pPr>
              <w:widowControl/>
              <w:jc w:val="center"/>
              <w:rPr>
                <w:rFonts w:hint="eastAsia" w:ascii="宋体" w:hAnsi="宋体" w:cs="宋体"/>
                <w:kern w:val="0"/>
                <w:sz w:val="24"/>
              </w:rPr>
            </w:pPr>
            <w:r>
              <w:rPr>
                <w:rFonts w:hint="eastAsia" w:ascii="宋体" w:hAnsi="宋体" w:cs="宋体"/>
                <w:kern w:val="0"/>
                <w:sz w:val="24"/>
              </w:rPr>
              <w:t>瓶</w:t>
            </w:r>
          </w:p>
        </w:tc>
        <w:tc>
          <w:tcPr>
            <w:tcW w:w="992" w:type="dxa"/>
            <w:tcBorders>
              <w:top w:val="nil"/>
              <w:left w:val="nil"/>
              <w:bottom w:val="single" w:color="auto" w:sz="4" w:space="0"/>
              <w:right w:val="single" w:color="auto" w:sz="4" w:space="0"/>
            </w:tcBorders>
            <w:shd w:val="clear" w:color="000000" w:fill="FFFFFF"/>
            <w:noWrap/>
            <w:vAlign w:val="center"/>
          </w:tcPr>
          <w:p w14:paraId="3469A62F">
            <w:pPr>
              <w:widowControl/>
              <w:jc w:val="center"/>
              <w:rPr>
                <w:rFonts w:hint="eastAsia" w:ascii="宋体" w:hAnsi="宋体" w:cs="宋体"/>
                <w:kern w:val="0"/>
                <w:sz w:val="24"/>
              </w:rPr>
            </w:pPr>
            <w:r>
              <w:rPr>
                <w:rFonts w:hint="eastAsia" w:ascii="宋体" w:hAnsi="宋体" w:cs="宋体"/>
                <w:kern w:val="0"/>
                <w:sz w:val="24"/>
              </w:rPr>
              <w:t>32</w:t>
            </w:r>
          </w:p>
        </w:tc>
        <w:tc>
          <w:tcPr>
            <w:tcW w:w="851" w:type="dxa"/>
            <w:tcBorders>
              <w:top w:val="nil"/>
              <w:left w:val="nil"/>
              <w:bottom w:val="single" w:color="auto" w:sz="4" w:space="0"/>
              <w:right w:val="single" w:color="auto" w:sz="4" w:space="0"/>
            </w:tcBorders>
            <w:shd w:val="clear" w:color="000000" w:fill="FFFFFF"/>
            <w:vAlign w:val="center"/>
          </w:tcPr>
          <w:p w14:paraId="54192C2B">
            <w:pPr>
              <w:widowControl/>
              <w:jc w:val="center"/>
              <w:rPr>
                <w:rFonts w:hint="eastAsia" w:ascii="宋体" w:hAnsi="宋体" w:cs="宋体"/>
                <w:color w:val="000000"/>
                <w:kern w:val="0"/>
                <w:sz w:val="24"/>
              </w:rPr>
            </w:pPr>
            <w:r>
              <w:rPr>
                <w:rFonts w:hint="eastAsia" w:ascii="宋体" w:hAnsi="宋体" w:cs="宋体"/>
                <w:color w:val="000000"/>
                <w:kern w:val="0"/>
                <w:sz w:val="24"/>
              </w:rPr>
              <w:t>是</w:t>
            </w:r>
          </w:p>
        </w:tc>
        <w:tc>
          <w:tcPr>
            <w:tcW w:w="952" w:type="dxa"/>
            <w:tcBorders>
              <w:top w:val="nil"/>
              <w:left w:val="nil"/>
              <w:bottom w:val="single" w:color="auto" w:sz="4" w:space="0"/>
              <w:right w:val="single" w:color="auto" w:sz="4" w:space="0"/>
            </w:tcBorders>
            <w:shd w:val="clear" w:color="000000" w:fill="FFFFFF"/>
            <w:vAlign w:val="center"/>
          </w:tcPr>
          <w:p w14:paraId="64C05851">
            <w:pPr>
              <w:widowControl/>
              <w:jc w:val="center"/>
              <w:rPr>
                <w:rFonts w:hint="eastAsia" w:ascii="宋体" w:hAnsi="宋体" w:cs="宋体"/>
                <w:color w:val="000000"/>
                <w:kern w:val="0"/>
                <w:sz w:val="24"/>
              </w:rPr>
            </w:pPr>
            <w:r>
              <w:rPr>
                <w:rFonts w:hint="eastAsia" w:ascii="宋体" w:hAnsi="宋体" w:cs="宋体"/>
                <w:color w:val="000000"/>
                <w:kern w:val="0"/>
                <w:sz w:val="24"/>
              </w:rPr>
              <w:t>否</w:t>
            </w:r>
          </w:p>
        </w:tc>
      </w:tr>
      <w:tr w14:paraId="4B0881FA">
        <w:tblPrEx>
          <w:tblCellMar>
            <w:top w:w="0" w:type="dxa"/>
            <w:left w:w="108" w:type="dxa"/>
            <w:bottom w:w="0" w:type="dxa"/>
            <w:right w:w="108" w:type="dxa"/>
          </w:tblCellMar>
        </w:tblPrEx>
        <w:trPr>
          <w:trHeight w:val="576" w:hRule="atLeast"/>
        </w:trPr>
        <w:tc>
          <w:tcPr>
            <w:tcW w:w="704" w:type="dxa"/>
            <w:tcBorders>
              <w:top w:val="nil"/>
              <w:left w:val="single" w:color="auto" w:sz="4" w:space="0"/>
              <w:bottom w:val="single" w:color="auto" w:sz="4" w:space="0"/>
              <w:right w:val="single" w:color="auto" w:sz="4" w:space="0"/>
            </w:tcBorders>
            <w:shd w:val="clear" w:color="000000" w:fill="FFFFFF"/>
            <w:vAlign w:val="center"/>
          </w:tcPr>
          <w:p w14:paraId="707BD7EB">
            <w:pPr>
              <w:widowControl/>
              <w:jc w:val="center"/>
              <w:rPr>
                <w:rFonts w:hint="eastAsia" w:ascii="宋体" w:hAnsi="宋体" w:cs="宋体"/>
                <w:kern w:val="0"/>
                <w:sz w:val="24"/>
              </w:rPr>
            </w:pPr>
            <w:r>
              <w:rPr>
                <w:rFonts w:hint="eastAsia" w:ascii="宋体" w:hAnsi="宋体" w:cs="宋体"/>
                <w:kern w:val="0"/>
                <w:sz w:val="24"/>
              </w:rPr>
              <w:t>83</w:t>
            </w:r>
          </w:p>
        </w:tc>
        <w:tc>
          <w:tcPr>
            <w:tcW w:w="2851" w:type="dxa"/>
            <w:tcBorders>
              <w:top w:val="nil"/>
              <w:left w:val="nil"/>
              <w:bottom w:val="single" w:color="auto" w:sz="4" w:space="0"/>
              <w:right w:val="single" w:color="auto" w:sz="4" w:space="0"/>
            </w:tcBorders>
            <w:shd w:val="clear" w:color="000000" w:fill="FFFFFF"/>
            <w:vAlign w:val="center"/>
          </w:tcPr>
          <w:p w14:paraId="5A174E87">
            <w:pPr>
              <w:jc w:val="center"/>
              <w:rPr>
                <w:rFonts w:hint="eastAsia" w:ascii="宋体" w:hAnsi="宋体" w:cs="宋体"/>
                <w:sz w:val="24"/>
              </w:rPr>
            </w:pPr>
            <w:r>
              <w:rPr>
                <w:rFonts w:hint="eastAsia" w:ascii="宋体" w:hAnsi="宋体" w:cs="宋体"/>
                <w:sz w:val="24"/>
              </w:rPr>
              <w:t>乙型肝炎病毒表面抗原测定试剂盒</w:t>
            </w:r>
          </w:p>
        </w:tc>
        <w:tc>
          <w:tcPr>
            <w:tcW w:w="1276" w:type="dxa"/>
            <w:tcBorders>
              <w:top w:val="nil"/>
              <w:left w:val="nil"/>
              <w:bottom w:val="single" w:color="auto" w:sz="4" w:space="0"/>
              <w:right w:val="single" w:color="auto" w:sz="4" w:space="0"/>
            </w:tcBorders>
            <w:shd w:val="clear" w:color="000000" w:fill="FFFFFF"/>
            <w:vAlign w:val="center"/>
          </w:tcPr>
          <w:p w14:paraId="4B2C6A22">
            <w:pPr>
              <w:widowControl/>
              <w:jc w:val="center"/>
              <w:rPr>
                <w:rFonts w:hint="eastAsia" w:ascii="宋体" w:hAnsi="宋体" w:cs="宋体"/>
                <w:kern w:val="0"/>
                <w:sz w:val="24"/>
              </w:rPr>
            </w:pPr>
            <w:r>
              <w:rPr>
                <w:rFonts w:hint="eastAsia" w:ascii="宋体" w:hAnsi="宋体" w:cs="宋体"/>
                <w:kern w:val="0"/>
                <w:sz w:val="24"/>
              </w:rPr>
              <w:t>15.31</w:t>
            </w:r>
          </w:p>
        </w:tc>
        <w:tc>
          <w:tcPr>
            <w:tcW w:w="992" w:type="dxa"/>
            <w:tcBorders>
              <w:top w:val="nil"/>
              <w:left w:val="nil"/>
              <w:bottom w:val="single" w:color="auto" w:sz="4" w:space="0"/>
              <w:right w:val="single" w:color="auto" w:sz="4" w:space="0"/>
            </w:tcBorders>
            <w:shd w:val="clear" w:color="000000" w:fill="FFFFFF"/>
            <w:vAlign w:val="center"/>
          </w:tcPr>
          <w:p w14:paraId="01F07312">
            <w:pPr>
              <w:widowControl/>
              <w:jc w:val="center"/>
              <w:rPr>
                <w:rFonts w:hint="eastAsia" w:ascii="宋体" w:hAnsi="宋体" w:cs="宋体"/>
                <w:kern w:val="0"/>
                <w:sz w:val="24"/>
              </w:rPr>
            </w:pPr>
            <w:r>
              <w:rPr>
                <w:rFonts w:hint="eastAsia" w:ascii="宋体" w:hAnsi="宋体" w:cs="宋体"/>
                <w:kern w:val="0"/>
                <w:sz w:val="24"/>
              </w:rPr>
              <w:t>人份</w:t>
            </w:r>
          </w:p>
        </w:tc>
        <w:tc>
          <w:tcPr>
            <w:tcW w:w="992" w:type="dxa"/>
            <w:tcBorders>
              <w:top w:val="nil"/>
              <w:left w:val="nil"/>
              <w:bottom w:val="single" w:color="auto" w:sz="4" w:space="0"/>
              <w:right w:val="single" w:color="auto" w:sz="4" w:space="0"/>
            </w:tcBorders>
            <w:shd w:val="clear" w:color="000000" w:fill="FFFFFF"/>
            <w:noWrap/>
            <w:vAlign w:val="center"/>
          </w:tcPr>
          <w:p w14:paraId="007B2F6B">
            <w:pPr>
              <w:widowControl/>
              <w:jc w:val="center"/>
              <w:rPr>
                <w:rFonts w:hint="eastAsia" w:ascii="宋体" w:hAnsi="宋体" w:cs="宋体"/>
                <w:kern w:val="0"/>
                <w:sz w:val="24"/>
              </w:rPr>
            </w:pPr>
            <w:r>
              <w:rPr>
                <w:rFonts w:hint="eastAsia" w:ascii="宋体" w:hAnsi="宋体" w:cs="宋体"/>
                <w:kern w:val="0"/>
                <w:sz w:val="24"/>
              </w:rPr>
              <w:t>2700</w:t>
            </w:r>
          </w:p>
        </w:tc>
        <w:tc>
          <w:tcPr>
            <w:tcW w:w="851" w:type="dxa"/>
            <w:tcBorders>
              <w:top w:val="nil"/>
              <w:left w:val="nil"/>
              <w:bottom w:val="single" w:color="auto" w:sz="4" w:space="0"/>
              <w:right w:val="single" w:color="auto" w:sz="4" w:space="0"/>
            </w:tcBorders>
            <w:shd w:val="clear" w:color="000000" w:fill="FFFFFF"/>
            <w:vAlign w:val="center"/>
          </w:tcPr>
          <w:p w14:paraId="10D6BFFE">
            <w:pPr>
              <w:widowControl/>
              <w:jc w:val="center"/>
              <w:rPr>
                <w:rFonts w:hint="eastAsia" w:ascii="宋体" w:hAnsi="宋体" w:cs="宋体"/>
                <w:color w:val="000000"/>
                <w:kern w:val="0"/>
                <w:sz w:val="24"/>
              </w:rPr>
            </w:pPr>
            <w:r>
              <w:rPr>
                <w:rFonts w:hint="eastAsia" w:ascii="宋体" w:hAnsi="宋体" w:cs="宋体"/>
                <w:color w:val="000000"/>
                <w:kern w:val="0"/>
                <w:sz w:val="24"/>
              </w:rPr>
              <w:t>是</w:t>
            </w:r>
          </w:p>
        </w:tc>
        <w:tc>
          <w:tcPr>
            <w:tcW w:w="952" w:type="dxa"/>
            <w:tcBorders>
              <w:top w:val="nil"/>
              <w:left w:val="nil"/>
              <w:bottom w:val="single" w:color="auto" w:sz="4" w:space="0"/>
              <w:right w:val="single" w:color="auto" w:sz="4" w:space="0"/>
            </w:tcBorders>
            <w:shd w:val="clear" w:color="000000" w:fill="FFFFFF"/>
            <w:vAlign w:val="center"/>
          </w:tcPr>
          <w:p w14:paraId="19902C84">
            <w:pPr>
              <w:widowControl/>
              <w:jc w:val="center"/>
              <w:rPr>
                <w:rFonts w:hint="eastAsia" w:ascii="宋体" w:hAnsi="宋体" w:cs="宋体"/>
                <w:color w:val="000000"/>
                <w:kern w:val="0"/>
                <w:sz w:val="24"/>
              </w:rPr>
            </w:pPr>
            <w:r>
              <w:rPr>
                <w:rFonts w:hint="eastAsia" w:ascii="宋体" w:hAnsi="宋体" w:cs="宋体"/>
                <w:color w:val="000000"/>
                <w:kern w:val="0"/>
                <w:sz w:val="24"/>
              </w:rPr>
              <w:t>否</w:t>
            </w:r>
          </w:p>
        </w:tc>
      </w:tr>
      <w:tr w14:paraId="5E3938B0">
        <w:tblPrEx>
          <w:tblCellMar>
            <w:top w:w="0" w:type="dxa"/>
            <w:left w:w="108" w:type="dxa"/>
            <w:bottom w:w="0" w:type="dxa"/>
            <w:right w:w="108" w:type="dxa"/>
          </w:tblCellMar>
        </w:tblPrEx>
        <w:trPr>
          <w:trHeight w:val="576" w:hRule="atLeast"/>
        </w:trPr>
        <w:tc>
          <w:tcPr>
            <w:tcW w:w="704" w:type="dxa"/>
            <w:tcBorders>
              <w:top w:val="nil"/>
              <w:left w:val="single" w:color="auto" w:sz="4" w:space="0"/>
              <w:bottom w:val="single" w:color="auto" w:sz="4" w:space="0"/>
              <w:right w:val="single" w:color="auto" w:sz="4" w:space="0"/>
            </w:tcBorders>
            <w:shd w:val="clear" w:color="000000" w:fill="FFFFFF"/>
            <w:vAlign w:val="center"/>
          </w:tcPr>
          <w:p w14:paraId="206F1E6F">
            <w:pPr>
              <w:widowControl/>
              <w:jc w:val="center"/>
              <w:rPr>
                <w:rFonts w:hint="eastAsia" w:ascii="宋体" w:hAnsi="宋体" w:cs="宋体"/>
                <w:kern w:val="0"/>
                <w:sz w:val="24"/>
              </w:rPr>
            </w:pPr>
            <w:r>
              <w:rPr>
                <w:rFonts w:hint="eastAsia" w:ascii="宋体" w:hAnsi="宋体" w:cs="宋体"/>
                <w:kern w:val="0"/>
                <w:sz w:val="24"/>
              </w:rPr>
              <w:t>84</w:t>
            </w:r>
          </w:p>
        </w:tc>
        <w:tc>
          <w:tcPr>
            <w:tcW w:w="2851" w:type="dxa"/>
            <w:tcBorders>
              <w:top w:val="nil"/>
              <w:left w:val="nil"/>
              <w:bottom w:val="single" w:color="auto" w:sz="4" w:space="0"/>
              <w:right w:val="single" w:color="auto" w:sz="4" w:space="0"/>
            </w:tcBorders>
            <w:shd w:val="clear" w:color="000000" w:fill="FFFFFF"/>
            <w:vAlign w:val="center"/>
          </w:tcPr>
          <w:p w14:paraId="61EF405E">
            <w:pPr>
              <w:jc w:val="center"/>
              <w:rPr>
                <w:rFonts w:hint="eastAsia" w:ascii="宋体" w:hAnsi="宋体" w:cs="宋体"/>
                <w:sz w:val="24"/>
              </w:rPr>
            </w:pPr>
            <w:r>
              <w:rPr>
                <w:rFonts w:hint="eastAsia" w:ascii="宋体" w:hAnsi="宋体" w:cs="宋体"/>
                <w:sz w:val="24"/>
              </w:rPr>
              <w:t>乙型肝炎病毒表面抗原质控品</w:t>
            </w:r>
          </w:p>
        </w:tc>
        <w:tc>
          <w:tcPr>
            <w:tcW w:w="1276" w:type="dxa"/>
            <w:tcBorders>
              <w:top w:val="nil"/>
              <w:left w:val="nil"/>
              <w:bottom w:val="single" w:color="auto" w:sz="4" w:space="0"/>
              <w:right w:val="single" w:color="auto" w:sz="4" w:space="0"/>
            </w:tcBorders>
            <w:shd w:val="clear" w:color="000000" w:fill="FFFFFF"/>
            <w:vAlign w:val="center"/>
          </w:tcPr>
          <w:p w14:paraId="32855142">
            <w:pPr>
              <w:widowControl/>
              <w:jc w:val="center"/>
              <w:rPr>
                <w:rFonts w:hint="eastAsia" w:ascii="宋体" w:hAnsi="宋体" w:cs="宋体"/>
                <w:kern w:val="0"/>
                <w:sz w:val="24"/>
              </w:rPr>
            </w:pPr>
            <w:r>
              <w:rPr>
                <w:rFonts w:hint="eastAsia" w:ascii="宋体" w:hAnsi="宋体" w:cs="宋体"/>
                <w:kern w:val="0"/>
                <w:sz w:val="24"/>
              </w:rPr>
              <w:t>84.38</w:t>
            </w:r>
          </w:p>
        </w:tc>
        <w:tc>
          <w:tcPr>
            <w:tcW w:w="992" w:type="dxa"/>
            <w:tcBorders>
              <w:top w:val="nil"/>
              <w:left w:val="nil"/>
              <w:bottom w:val="single" w:color="auto" w:sz="4" w:space="0"/>
              <w:right w:val="single" w:color="auto" w:sz="4" w:space="0"/>
            </w:tcBorders>
            <w:shd w:val="clear" w:color="000000" w:fill="FFFFFF"/>
            <w:vAlign w:val="center"/>
          </w:tcPr>
          <w:p w14:paraId="3F8B1529">
            <w:pPr>
              <w:widowControl/>
              <w:jc w:val="center"/>
              <w:rPr>
                <w:rFonts w:hint="eastAsia" w:ascii="宋体" w:hAnsi="宋体" w:cs="宋体"/>
                <w:kern w:val="0"/>
                <w:sz w:val="24"/>
              </w:rPr>
            </w:pPr>
            <w:r>
              <w:rPr>
                <w:rFonts w:hint="eastAsia" w:ascii="宋体" w:hAnsi="宋体" w:cs="宋体"/>
                <w:kern w:val="0"/>
                <w:sz w:val="24"/>
              </w:rPr>
              <w:t>瓶</w:t>
            </w:r>
          </w:p>
        </w:tc>
        <w:tc>
          <w:tcPr>
            <w:tcW w:w="992" w:type="dxa"/>
            <w:tcBorders>
              <w:top w:val="nil"/>
              <w:left w:val="nil"/>
              <w:bottom w:val="single" w:color="auto" w:sz="4" w:space="0"/>
              <w:right w:val="single" w:color="auto" w:sz="4" w:space="0"/>
            </w:tcBorders>
            <w:shd w:val="clear" w:color="000000" w:fill="FFFFFF"/>
            <w:noWrap/>
            <w:vAlign w:val="center"/>
          </w:tcPr>
          <w:p w14:paraId="55B7AAF9">
            <w:pPr>
              <w:widowControl/>
              <w:jc w:val="center"/>
              <w:rPr>
                <w:rFonts w:hint="eastAsia" w:ascii="宋体" w:hAnsi="宋体" w:cs="宋体"/>
                <w:kern w:val="0"/>
                <w:sz w:val="24"/>
              </w:rPr>
            </w:pPr>
            <w:r>
              <w:rPr>
                <w:rFonts w:hint="eastAsia" w:ascii="宋体" w:hAnsi="宋体" w:cs="宋体"/>
                <w:kern w:val="0"/>
                <w:sz w:val="24"/>
              </w:rPr>
              <w:t>32</w:t>
            </w:r>
          </w:p>
        </w:tc>
        <w:tc>
          <w:tcPr>
            <w:tcW w:w="851" w:type="dxa"/>
            <w:tcBorders>
              <w:top w:val="nil"/>
              <w:left w:val="nil"/>
              <w:bottom w:val="single" w:color="auto" w:sz="4" w:space="0"/>
              <w:right w:val="single" w:color="auto" w:sz="4" w:space="0"/>
            </w:tcBorders>
            <w:shd w:val="clear" w:color="000000" w:fill="FFFFFF"/>
            <w:vAlign w:val="center"/>
          </w:tcPr>
          <w:p w14:paraId="0226ED93">
            <w:pPr>
              <w:widowControl/>
              <w:jc w:val="center"/>
              <w:rPr>
                <w:rFonts w:hint="eastAsia" w:ascii="宋体" w:hAnsi="宋体" w:cs="宋体"/>
                <w:color w:val="000000"/>
                <w:kern w:val="0"/>
                <w:sz w:val="24"/>
              </w:rPr>
            </w:pPr>
            <w:r>
              <w:rPr>
                <w:rFonts w:hint="eastAsia" w:ascii="宋体" w:hAnsi="宋体" w:cs="宋体"/>
                <w:color w:val="000000"/>
                <w:kern w:val="0"/>
                <w:sz w:val="24"/>
              </w:rPr>
              <w:t>是</w:t>
            </w:r>
          </w:p>
        </w:tc>
        <w:tc>
          <w:tcPr>
            <w:tcW w:w="952" w:type="dxa"/>
            <w:tcBorders>
              <w:top w:val="nil"/>
              <w:left w:val="nil"/>
              <w:bottom w:val="single" w:color="auto" w:sz="4" w:space="0"/>
              <w:right w:val="single" w:color="auto" w:sz="4" w:space="0"/>
            </w:tcBorders>
            <w:shd w:val="clear" w:color="000000" w:fill="FFFFFF"/>
            <w:vAlign w:val="center"/>
          </w:tcPr>
          <w:p w14:paraId="2A74CF16">
            <w:pPr>
              <w:widowControl/>
              <w:jc w:val="center"/>
              <w:rPr>
                <w:rFonts w:hint="eastAsia" w:ascii="宋体" w:hAnsi="宋体" w:cs="宋体"/>
                <w:color w:val="000000"/>
                <w:kern w:val="0"/>
                <w:sz w:val="24"/>
              </w:rPr>
            </w:pPr>
            <w:r>
              <w:rPr>
                <w:rFonts w:hint="eastAsia" w:ascii="宋体" w:hAnsi="宋体" w:cs="宋体"/>
                <w:color w:val="000000"/>
                <w:kern w:val="0"/>
                <w:sz w:val="24"/>
              </w:rPr>
              <w:t>否</w:t>
            </w:r>
          </w:p>
        </w:tc>
      </w:tr>
      <w:tr w14:paraId="703BA2A7">
        <w:tblPrEx>
          <w:tblCellMar>
            <w:top w:w="0" w:type="dxa"/>
            <w:left w:w="108" w:type="dxa"/>
            <w:bottom w:w="0" w:type="dxa"/>
            <w:right w:w="108" w:type="dxa"/>
          </w:tblCellMar>
        </w:tblPrEx>
        <w:trPr>
          <w:trHeight w:val="576" w:hRule="atLeast"/>
        </w:trPr>
        <w:tc>
          <w:tcPr>
            <w:tcW w:w="704" w:type="dxa"/>
            <w:tcBorders>
              <w:top w:val="nil"/>
              <w:left w:val="single" w:color="auto" w:sz="4" w:space="0"/>
              <w:bottom w:val="single" w:color="auto" w:sz="4" w:space="0"/>
              <w:right w:val="single" w:color="auto" w:sz="4" w:space="0"/>
            </w:tcBorders>
            <w:shd w:val="clear" w:color="000000" w:fill="FFFFFF"/>
            <w:vAlign w:val="center"/>
          </w:tcPr>
          <w:p w14:paraId="5440A389">
            <w:pPr>
              <w:widowControl/>
              <w:jc w:val="center"/>
              <w:rPr>
                <w:rFonts w:hint="eastAsia" w:ascii="宋体" w:hAnsi="宋体" w:cs="宋体"/>
                <w:kern w:val="0"/>
                <w:sz w:val="24"/>
              </w:rPr>
            </w:pPr>
            <w:r>
              <w:rPr>
                <w:rFonts w:hint="eastAsia" w:ascii="宋体" w:hAnsi="宋体" w:cs="宋体"/>
                <w:kern w:val="0"/>
                <w:sz w:val="24"/>
              </w:rPr>
              <w:t>85</w:t>
            </w:r>
          </w:p>
        </w:tc>
        <w:tc>
          <w:tcPr>
            <w:tcW w:w="2851" w:type="dxa"/>
            <w:tcBorders>
              <w:top w:val="nil"/>
              <w:left w:val="nil"/>
              <w:bottom w:val="single" w:color="auto" w:sz="4" w:space="0"/>
              <w:right w:val="single" w:color="auto" w:sz="4" w:space="0"/>
            </w:tcBorders>
            <w:shd w:val="clear" w:color="000000" w:fill="FFFFFF"/>
            <w:vAlign w:val="center"/>
          </w:tcPr>
          <w:p w14:paraId="4ECE9250">
            <w:pPr>
              <w:jc w:val="center"/>
              <w:rPr>
                <w:rFonts w:hint="eastAsia" w:ascii="宋体" w:hAnsi="宋体" w:cs="宋体"/>
                <w:sz w:val="24"/>
              </w:rPr>
            </w:pPr>
            <w:r>
              <w:rPr>
                <w:rFonts w:hint="eastAsia" w:ascii="宋体" w:hAnsi="宋体" w:cs="宋体"/>
                <w:sz w:val="24"/>
              </w:rPr>
              <w:t>乙型肝炎病毒核心抗体检测试剂盒</w:t>
            </w:r>
          </w:p>
        </w:tc>
        <w:tc>
          <w:tcPr>
            <w:tcW w:w="1276" w:type="dxa"/>
            <w:tcBorders>
              <w:top w:val="nil"/>
              <w:left w:val="nil"/>
              <w:bottom w:val="single" w:color="auto" w:sz="4" w:space="0"/>
              <w:right w:val="single" w:color="auto" w:sz="4" w:space="0"/>
            </w:tcBorders>
            <w:shd w:val="clear" w:color="000000" w:fill="FFFFFF"/>
            <w:vAlign w:val="center"/>
          </w:tcPr>
          <w:p w14:paraId="65CFF535">
            <w:pPr>
              <w:widowControl/>
              <w:jc w:val="center"/>
              <w:rPr>
                <w:rFonts w:hint="eastAsia" w:ascii="宋体" w:hAnsi="宋体" w:cs="宋体"/>
                <w:kern w:val="0"/>
                <w:sz w:val="24"/>
              </w:rPr>
            </w:pPr>
            <w:r>
              <w:rPr>
                <w:rFonts w:hint="eastAsia" w:ascii="宋体" w:hAnsi="宋体" w:cs="宋体"/>
                <w:kern w:val="0"/>
                <w:sz w:val="24"/>
              </w:rPr>
              <w:t>15.06</w:t>
            </w:r>
          </w:p>
        </w:tc>
        <w:tc>
          <w:tcPr>
            <w:tcW w:w="992" w:type="dxa"/>
            <w:tcBorders>
              <w:top w:val="nil"/>
              <w:left w:val="nil"/>
              <w:bottom w:val="single" w:color="auto" w:sz="4" w:space="0"/>
              <w:right w:val="single" w:color="auto" w:sz="4" w:space="0"/>
            </w:tcBorders>
            <w:shd w:val="clear" w:color="000000" w:fill="FFFFFF"/>
            <w:vAlign w:val="center"/>
          </w:tcPr>
          <w:p w14:paraId="75FECC8A">
            <w:pPr>
              <w:widowControl/>
              <w:jc w:val="center"/>
              <w:rPr>
                <w:rFonts w:hint="eastAsia" w:ascii="宋体" w:hAnsi="宋体" w:cs="宋体"/>
                <w:kern w:val="0"/>
                <w:sz w:val="24"/>
              </w:rPr>
            </w:pPr>
            <w:r>
              <w:rPr>
                <w:rFonts w:hint="eastAsia" w:ascii="宋体" w:hAnsi="宋体" w:cs="宋体"/>
                <w:kern w:val="0"/>
                <w:sz w:val="24"/>
              </w:rPr>
              <w:t>人份</w:t>
            </w:r>
          </w:p>
        </w:tc>
        <w:tc>
          <w:tcPr>
            <w:tcW w:w="992" w:type="dxa"/>
            <w:tcBorders>
              <w:top w:val="nil"/>
              <w:left w:val="nil"/>
              <w:bottom w:val="single" w:color="auto" w:sz="4" w:space="0"/>
              <w:right w:val="single" w:color="auto" w:sz="4" w:space="0"/>
            </w:tcBorders>
            <w:shd w:val="clear" w:color="000000" w:fill="FFFFFF"/>
            <w:noWrap/>
            <w:vAlign w:val="center"/>
          </w:tcPr>
          <w:p w14:paraId="4AF9C59D">
            <w:pPr>
              <w:widowControl/>
              <w:jc w:val="center"/>
              <w:rPr>
                <w:rFonts w:hint="eastAsia" w:ascii="宋体" w:hAnsi="宋体" w:cs="宋体"/>
                <w:kern w:val="0"/>
                <w:sz w:val="24"/>
              </w:rPr>
            </w:pPr>
            <w:r>
              <w:rPr>
                <w:rFonts w:hint="eastAsia" w:ascii="宋体" w:hAnsi="宋体" w:cs="宋体"/>
                <w:kern w:val="0"/>
                <w:sz w:val="24"/>
              </w:rPr>
              <w:t>2400</w:t>
            </w:r>
          </w:p>
        </w:tc>
        <w:tc>
          <w:tcPr>
            <w:tcW w:w="851" w:type="dxa"/>
            <w:tcBorders>
              <w:top w:val="nil"/>
              <w:left w:val="nil"/>
              <w:bottom w:val="single" w:color="auto" w:sz="4" w:space="0"/>
              <w:right w:val="single" w:color="auto" w:sz="4" w:space="0"/>
            </w:tcBorders>
            <w:shd w:val="clear" w:color="000000" w:fill="FFFFFF"/>
            <w:vAlign w:val="center"/>
          </w:tcPr>
          <w:p w14:paraId="6B1EFF0F">
            <w:pPr>
              <w:widowControl/>
              <w:jc w:val="center"/>
              <w:rPr>
                <w:rFonts w:hint="eastAsia" w:ascii="宋体" w:hAnsi="宋体" w:cs="宋体"/>
                <w:color w:val="000000"/>
                <w:kern w:val="0"/>
                <w:sz w:val="24"/>
              </w:rPr>
            </w:pPr>
            <w:r>
              <w:rPr>
                <w:rFonts w:hint="eastAsia" w:ascii="宋体" w:hAnsi="宋体" w:cs="宋体"/>
                <w:color w:val="000000"/>
                <w:kern w:val="0"/>
                <w:sz w:val="24"/>
              </w:rPr>
              <w:t>是</w:t>
            </w:r>
          </w:p>
        </w:tc>
        <w:tc>
          <w:tcPr>
            <w:tcW w:w="952" w:type="dxa"/>
            <w:tcBorders>
              <w:top w:val="nil"/>
              <w:left w:val="nil"/>
              <w:bottom w:val="single" w:color="auto" w:sz="4" w:space="0"/>
              <w:right w:val="single" w:color="auto" w:sz="4" w:space="0"/>
            </w:tcBorders>
            <w:shd w:val="clear" w:color="000000" w:fill="FFFFFF"/>
            <w:vAlign w:val="center"/>
          </w:tcPr>
          <w:p w14:paraId="1F2BD94A">
            <w:pPr>
              <w:widowControl/>
              <w:jc w:val="center"/>
              <w:rPr>
                <w:rFonts w:hint="eastAsia" w:ascii="宋体" w:hAnsi="宋体" w:cs="宋体"/>
                <w:color w:val="000000"/>
                <w:kern w:val="0"/>
                <w:sz w:val="24"/>
              </w:rPr>
            </w:pPr>
            <w:r>
              <w:rPr>
                <w:rFonts w:hint="eastAsia" w:ascii="宋体" w:hAnsi="宋体" w:cs="宋体"/>
                <w:color w:val="000000"/>
                <w:kern w:val="0"/>
                <w:sz w:val="24"/>
              </w:rPr>
              <w:t>否</w:t>
            </w:r>
          </w:p>
        </w:tc>
      </w:tr>
      <w:tr w14:paraId="031C9CB3">
        <w:tblPrEx>
          <w:tblCellMar>
            <w:top w:w="0" w:type="dxa"/>
            <w:left w:w="108" w:type="dxa"/>
            <w:bottom w:w="0" w:type="dxa"/>
            <w:right w:w="108" w:type="dxa"/>
          </w:tblCellMar>
        </w:tblPrEx>
        <w:trPr>
          <w:trHeight w:val="576" w:hRule="atLeast"/>
        </w:trPr>
        <w:tc>
          <w:tcPr>
            <w:tcW w:w="704" w:type="dxa"/>
            <w:tcBorders>
              <w:top w:val="nil"/>
              <w:left w:val="single" w:color="auto" w:sz="4" w:space="0"/>
              <w:bottom w:val="single" w:color="auto" w:sz="4" w:space="0"/>
              <w:right w:val="single" w:color="auto" w:sz="4" w:space="0"/>
            </w:tcBorders>
            <w:shd w:val="clear" w:color="000000" w:fill="FFFFFF"/>
            <w:vAlign w:val="center"/>
          </w:tcPr>
          <w:p w14:paraId="3ADBD867">
            <w:pPr>
              <w:widowControl/>
              <w:jc w:val="center"/>
              <w:rPr>
                <w:rFonts w:hint="eastAsia" w:ascii="宋体" w:hAnsi="宋体" w:cs="宋体"/>
                <w:kern w:val="0"/>
                <w:sz w:val="24"/>
              </w:rPr>
            </w:pPr>
            <w:r>
              <w:rPr>
                <w:rFonts w:hint="eastAsia" w:ascii="宋体" w:hAnsi="宋体" w:cs="宋体"/>
                <w:kern w:val="0"/>
                <w:sz w:val="24"/>
              </w:rPr>
              <w:t>86</w:t>
            </w:r>
          </w:p>
        </w:tc>
        <w:tc>
          <w:tcPr>
            <w:tcW w:w="2851" w:type="dxa"/>
            <w:tcBorders>
              <w:top w:val="nil"/>
              <w:left w:val="nil"/>
              <w:bottom w:val="single" w:color="auto" w:sz="4" w:space="0"/>
              <w:right w:val="single" w:color="auto" w:sz="4" w:space="0"/>
            </w:tcBorders>
            <w:shd w:val="clear" w:color="000000" w:fill="FFFFFF"/>
            <w:vAlign w:val="center"/>
          </w:tcPr>
          <w:p w14:paraId="1F09CB73">
            <w:pPr>
              <w:jc w:val="center"/>
              <w:rPr>
                <w:rFonts w:hint="eastAsia" w:ascii="宋体" w:hAnsi="宋体" w:cs="宋体"/>
                <w:sz w:val="24"/>
              </w:rPr>
            </w:pPr>
            <w:r>
              <w:rPr>
                <w:rFonts w:hint="eastAsia" w:ascii="宋体" w:hAnsi="宋体" w:cs="宋体"/>
                <w:sz w:val="24"/>
              </w:rPr>
              <w:t>乙型肝炎病毒核心抗体质控品</w:t>
            </w:r>
          </w:p>
        </w:tc>
        <w:tc>
          <w:tcPr>
            <w:tcW w:w="1276" w:type="dxa"/>
            <w:tcBorders>
              <w:top w:val="nil"/>
              <w:left w:val="nil"/>
              <w:bottom w:val="single" w:color="auto" w:sz="4" w:space="0"/>
              <w:right w:val="single" w:color="auto" w:sz="4" w:space="0"/>
            </w:tcBorders>
            <w:shd w:val="clear" w:color="000000" w:fill="FFFFFF"/>
            <w:vAlign w:val="center"/>
          </w:tcPr>
          <w:p w14:paraId="55CEC10F">
            <w:pPr>
              <w:widowControl/>
              <w:jc w:val="center"/>
              <w:rPr>
                <w:rFonts w:hint="eastAsia" w:ascii="宋体" w:hAnsi="宋体" w:cs="宋体"/>
                <w:kern w:val="0"/>
                <w:sz w:val="24"/>
              </w:rPr>
            </w:pPr>
            <w:r>
              <w:rPr>
                <w:rFonts w:hint="eastAsia" w:ascii="宋体" w:hAnsi="宋体" w:cs="宋体"/>
                <w:kern w:val="0"/>
                <w:sz w:val="24"/>
              </w:rPr>
              <w:t>84.38</w:t>
            </w:r>
          </w:p>
        </w:tc>
        <w:tc>
          <w:tcPr>
            <w:tcW w:w="992" w:type="dxa"/>
            <w:tcBorders>
              <w:top w:val="nil"/>
              <w:left w:val="nil"/>
              <w:bottom w:val="single" w:color="auto" w:sz="4" w:space="0"/>
              <w:right w:val="single" w:color="auto" w:sz="4" w:space="0"/>
            </w:tcBorders>
            <w:shd w:val="clear" w:color="000000" w:fill="FFFFFF"/>
            <w:vAlign w:val="center"/>
          </w:tcPr>
          <w:p w14:paraId="77D144D2">
            <w:pPr>
              <w:widowControl/>
              <w:jc w:val="center"/>
              <w:rPr>
                <w:rFonts w:hint="eastAsia" w:ascii="宋体" w:hAnsi="宋体" w:cs="宋体"/>
                <w:kern w:val="0"/>
                <w:sz w:val="24"/>
              </w:rPr>
            </w:pPr>
            <w:r>
              <w:rPr>
                <w:rFonts w:hint="eastAsia" w:ascii="宋体" w:hAnsi="宋体" w:cs="宋体"/>
                <w:kern w:val="0"/>
                <w:sz w:val="24"/>
              </w:rPr>
              <w:t>瓶</w:t>
            </w:r>
          </w:p>
        </w:tc>
        <w:tc>
          <w:tcPr>
            <w:tcW w:w="992" w:type="dxa"/>
            <w:tcBorders>
              <w:top w:val="nil"/>
              <w:left w:val="nil"/>
              <w:bottom w:val="single" w:color="auto" w:sz="4" w:space="0"/>
              <w:right w:val="single" w:color="auto" w:sz="4" w:space="0"/>
            </w:tcBorders>
            <w:shd w:val="clear" w:color="000000" w:fill="FFFFFF"/>
            <w:noWrap/>
            <w:vAlign w:val="center"/>
          </w:tcPr>
          <w:p w14:paraId="324A2D77">
            <w:pPr>
              <w:widowControl/>
              <w:jc w:val="center"/>
              <w:rPr>
                <w:rFonts w:hint="eastAsia" w:ascii="宋体" w:hAnsi="宋体" w:cs="宋体"/>
                <w:kern w:val="0"/>
                <w:sz w:val="24"/>
              </w:rPr>
            </w:pPr>
            <w:r>
              <w:rPr>
                <w:rFonts w:hint="eastAsia" w:ascii="宋体" w:hAnsi="宋体" w:cs="宋体"/>
                <w:kern w:val="0"/>
                <w:sz w:val="24"/>
              </w:rPr>
              <w:t>32</w:t>
            </w:r>
          </w:p>
        </w:tc>
        <w:tc>
          <w:tcPr>
            <w:tcW w:w="851" w:type="dxa"/>
            <w:tcBorders>
              <w:top w:val="nil"/>
              <w:left w:val="nil"/>
              <w:bottom w:val="single" w:color="auto" w:sz="4" w:space="0"/>
              <w:right w:val="single" w:color="auto" w:sz="4" w:space="0"/>
            </w:tcBorders>
            <w:shd w:val="clear" w:color="000000" w:fill="FFFFFF"/>
            <w:vAlign w:val="center"/>
          </w:tcPr>
          <w:p w14:paraId="62BF0DC3">
            <w:pPr>
              <w:widowControl/>
              <w:jc w:val="center"/>
              <w:rPr>
                <w:rFonts w:hint="eastAsia" w:ascii="宋体" w:hAnsi="宋体" w:cs="宋体"/>
                <w:color w:val="000000"/>
                <w:kern w:val="0"/>
                <w:sz w:val="24"/>
              </w:rPr>
            </w:pPr>
            <w:r>
              <w:rPr>
                <w:rFonts w:hint="eastAsia" w:ascii="宋体" w:hAnsi="宋体" w:cs="宋体"/>
                <w:color w:val="000000"/>
                <w:kern w:val="0"/>
                <w:sz w:val="24"/>
              </w:rPr>
              <w:t>是</w:t>
            </w:r>
          </w:p>
        </w:tc>
        <w:tc>
          <w:tcPr>
            <w:tcW w:w="952" w:type="dxa"/>
            <w:tcBorders>
              <w:top w:val="nil"/>
              <w:left w:val="nil"/>
              <w:bottom w:val="single" w:color="auto" w:sz="4" w:space="0"/>
              <w:right w:val="single" w:color="auto" w:sz="4" w:space="0"/>
            </w:tcBorders>
            <w:shd w:val="clear" w:color="000000" w:fill="FFFFFF"/>
            <w:vAlign w:val="center"/>
          </w:tcPr>
          <w:p w14:paraId="567FE262">
            <w:pPr>
              <w:widowControl/>
              <w:jc w:val="center"/>
              <w:rPr>
                <w:rFonts w:hint="eastAsia" w:ascii="宋体" w:hAnsi="宋体" w:cs="宋体"/>
                <w:color w:val="000000"/>
                <w:kern w:val="0"/>
                <w:sz w:val="24"/>
              </w:rPr>
            </w:pPr>
            <w:r>
              <w:rPr>
                <w:rFonts w:hint="eastAsia" w:ascii="宋体" w:hAnsi="宋体" w:cs="宋体"/>
                <w:color w:val="000000"/>
                <w:kern w:val="0"/>
                <w:sz w:val="24"/>
              </w:rPr>
              <w:t>否</w:t>
            </w:r>
          </w:p>
        </w:tc>
      </w:tr>
      <w:tr w14:paraId="503758F6">
        <w:tblPrEx>
          <w:tblCellMar>
            <w:top w:w="0" w:type="dxa"/>
            <w:left w:w="108" w:type="dxa"/>
            <w:bottom w:w="0" w:type="dxa"/>
            <w:right w:w="108" w:type="dxa"/>
          </w:tblCellMar>
        </w:tblPrEx>
        <w:trPr>
          <w:trHeight w:val="288" w:hRule="atLeast"/>
        </w:trPr>
        <w:tc>
          <w:tcPr>
            <w:tcW w:w="704" w:type="dxa"/>
            <w:tcBorders>
              <w:top w:val="nil"/>
              <w:left w:val="single" w:color="auto" w:sz="4" w:space="0"/>
              <w:bottom w:val="single" w:color="auto" w:sz="4" w:space="0"/>
              <w:right w:val="single" w:color="auto" w:sz="4" w:space="0"/>
            </w:tcBorders>
            <w:shd w:val="clear" w:color="000000" w:fill="FFFFFF"/>
            <w:vAlign w:val="center"/>
          </w:tcPr>
          <w:p w14:paraId="7BB4435C">
            <w:pPr>
              <w:widowControl/>
              <w:jc w:val="center"/>
              <w:rPr>
                <w:rFonts w:hint="eastAsia" w:ascii="宋体" w:hAnsi="宋体" w:cs="宋体"/>
                <w:kern w:val="0"/>
                <w:sz w:val="24"/>
              </w:rPr>
            </w:pPr>
            <w:r>
              <w:rPr>
                <w:rFonts w:hint="eastAsia" w:ascii="宋体" w:hAnsi="宋体" w:cs="宋体"/>
                <w:kern w:val="0"/>
                <w:sz w:val="24"/>
              </w:rPr>
              <w:t>87</w:t>
            </w:r>
          </w:p>
        </w:tc>
        <w:tc>
          <w:tcPr>
            <w:tcW w:w="2851" w:type="dxa"/>
            <w:tcBorders>
              <w:top w:val="nil"/>
              <w:left w:val="nil"/>
              <w:bottom w:val="single" w:color="auto" w:sz="4" w:space="0"/>
              <w:right w:val="single" w:color="auto" w:sz="4" w:space="0"/>
            </w:tcBorders>
            <w:shd w:val="clear" w:color="000000" w:fill="FFFFFF"/>
            <w:vAlign w:val="center"/>
          </w:tcPr>
          <w:p w14:paraId="4D891370">
            <w:pPr>
              <w:jc w:val="center"/>
              <w:rPr>
                <w:rFonts w:hint="eastAsia" w:ascii="宋体" w:hAnsi="宋体" w:cs="宋体"/>
                <w:sz w:val="24"/>
              </w:rPr>
            </w:pPr>
            <w:r>
              <w:rPr>
                <w:rFonts w:hint="eastAsia" w:ascii="宋体" w:hAnsi="宋体" w:cs="宋体"/>
                <w:sz w:val="24"/>
              </w:rPr>
              <w:t>游离甲状腺素定标液</w:t>
            </w:r>
          </w:p>
        </w:tc>
        <w:tc>
          <w:tcPr>
            <w:tcW w:w="1276" w:type="dxa"/>
            <w:tcBorders>
              <w:top w:val="nil"/>
              <w:left w:val="nil"/>
              <w:bottom w:val="single" w:color="auto" w:sz="4" w:space="0"/>
              <w:right w:val="single" w:color="auto" w:sz="4" w:space="0"/>
            </w:tcBorders>
            <w:shd w:val="clear" w:color="000000" w:fill="FFFFFF"/>
            <w:vAlign w:val="center"/>
          </w:tcPr>
          <w:p w14:paraId="1EBB9990">
            <w:pPr>
              <w:widowControl/>
              <w:jc w:val="center"/>
              <w:rPr>
                <w:rFonts w:hint="eastAsia" w:ascii="宋体" w:hAnsi="宋体" w:cs="宋体"/>
                <w:kern w:val="0"/>
                <w:sz w:val="24"/>
              </w:rPr>
            </w:pPr>
            <w:r>
              <w:rPr>
                <w:rFonts w:hint="eastAsia" w:ascii="宋体" w:hAnsi="宋体" w:cs="宋体"/>
                <w:kern w:val="0"/>
                <w:sz w:val="24"/>
              </w:rPr>
              <w:t>362.5</w:t>
            </w:r>
          </w:p>
        </w:tc>
        <w:tc>
          <w:tcPr>
            <w:tcW w:w="992" w:type="dxa"/>
            <w:tcBorders>
              <w:top w:val="nil"/>
              <w:left w:val="nil"/>
              <w:bottom w:val="single" w:color="auto" w:sz="4" w:space="0"/>
              <w:right w:val="single" w:color="auto" w:sz="4" w:space="0"/>
            </w:tcBorders>
            <w:shd w:val="clear" w:color="000000" w:fill="FFFFFF"/>
            <w:vAlign w:val="center"/>
          </w:tcPr>
          <w:p w14:paraId="1DFEF60B">
            <w:pPr>
              <w:widowControl/>
              <w:jc w:val="center"/>
              <w:rPr>
                <w:rFonts w:hint="eastAsia" w:ascii="宋体" w:hAnsi="宋体" w:cs="宋体"/>
                <w:kern w:val="0"/>
                <w:sz w:val="24"/>
              </w:rPr>
            </w:pPr>
            <w:r>
              <w:rPr>
                <w:rFonts w:hint="eastAsia" w:ascii="宋体" w:hAnsi="宋体" w:cs="宋体"/>
                <w:kern w:val="0"/>
                <w:sz w:val="24"/>
              </w:rPr>
              <w:t>ml</w:t>
            </w:r>
          </w:p>
        </w:tc>
        <w:tc>
          <w:tcPr>
            <w:tcW w:w="992" w:type="dxa"/>
            <w:tcBorders>
              <w:top w:val="nil"/>
              <w:left w:val="nil"/>
              <w:bottom w:val="single" w:color="auto" w:sz="4" w:space="0"/>
              <w:right w:val="single" w:color="auto" w:sz="4" w:space="0"/>
            </w:tcBorders>
            <w:shd w:val="clear" w:color="000000" w:fill="FFFFFF"/>
            <w:noWrap/>
            <w:vAlign w:val="center"/>
          </w:tcPr>
          <w:p w14:paraId="5931B778">
            <w:pPr>
              <w:widowControl/>
              <w:jc w:val="center"/>
              <w:rPr>
                <w:rFonts w:hint="eastAsia" w:ascii="宋体" w:hAnsi="宋体" w:cs="宋体"/>
                <w:kern w:val="0"/>
                <w:sz w:val="24"/>
              </w:rPr>
            </w:pPr>
            <w:r>
              <w:rPr>
                <w:rFonts w:hint="eastAsia" w:ascii="宋体" w:hAnsi="宋体" w:cs="宋体"/>
                <w:kern w:val="0"/>
                <w:sz w:val="24"/>
              </w:rPr>
              <w:t>4</w:t>
            </w:r>
          </w:p>
        </w:tc>
        <w:tc>
          <w:tcPr>
            <w:tcW w:w="851" w:type="dxa"/>
            <w:tcBorders>
              <w:top w:val="nil"/>
              <w:left w:val="nil"/>
              <w:bottom w:val="single" w:color="auto" w:sz="4" w:space="0"/>
              <w:right w:val="single" w:color="auto" w:sz="4" w:space="0"/>
            </w:tcBorders>
            <w:shd w:val="clear" w:color="000000" w:fill="FFFFFF"/>
            <w:vAlign w:val="center"/>
          </w:tcPr>
          <w:p w14:paraId="63586EA1">
            <w:pPr>
              <w:widowControl/>
              <w:jc w:val="center"/>
              <w:rPr>
                <w:rFonts w:hint="eastAsia" w:ascii="宋体" w:hAnsi="宋体" w:cs="宋体"/>
                <w:color w:val="000000"/>
                <w:kern w:val="0"/>
                <w:sz w:val="24"/>
              </w:rPr>
            </w:pPr>
            <w:r>
              <w:rPr>
                <w:rFonts w:hint="eastAsia" w:ascii="宋体" w:hAnsi="宋体" w:cs="宋体"/>
                <w:color w:val="000000"/>
                <w:kern w:val="0"/>
                <w:sz w:val="24"/>
              </w:rPr>
              <w:t>是</w:t>
            </w:r>
          </w:p>
        </w:tc>
        <w:tc>
          <w:tcPr>
            <w:tcW w:w="952" w:type="dxa"/>
            <w:tcBorders>
              <w:top w:val="nil"/>
              <w:left w:val="nil"/>
              <w:bottom w:val="single" w:color="auto" w:sz="4" w:space="0"/>
              <w:right w:val="single" w:color="auto" w:sz="4" w:space="0"/>
            </w:tcBorders>
            <w:shd w:val="clear" w:color="000000" w:fill="FFFFFF"/>
            <w:vAlign w:val="center"/>
          </w:tcPr>
          <w:p w14:paraId="5298EFE0">
            <w:pPr>
              <w:widowControl/>
              <w:jc w:val="center"/>
              <w:rPr>
                <w:rFonts w:hint="eastAsia" w:ascii="宋体" w:hAnsi="宋体" w:cs="宋体"/>
                <w:color w:val="000000"/>
                <w:kern w:val="0"/>
                <w:sz w:val="24"/>
              </w:rPr>
            </w:pPr>
            <w:r>
              <w:rPr>
                <w:rFonts w:hint="eastAsia" w:ascii="宋体" w:hAnsi="宋体" w:cs="宋体"/>
                <w:color w:val="000000"/>
                <w:kern w:val="0"/>
                <w:sz w:val="24"/>
              </w:rPr>
              <w:t>否</w:t>
            </w:r>
          </w:p>
        </w:tc>
      </w:tr>
      <w:tr w14:paraId="51BF48A7">
        <w:tblPrEx>
          <w:tblCellMar>
            <w:top w:w="0" w:type="dxa"/>
            <w:left w:w="108" w:type="dxa"/>
            <w:bottom w:w="0" w:type="dxa"/>
            <w:right w:w="108" w:type="dxa"/>
          </w:tblCellMar>
        </w:tblPrEx>
        <w:trPr>
          <w:trHeight w:val="576" w:hRule="atLeast"/>
        </w:trPr>
        <w:tc>
          <w:tcPr>
            <w:tcW w:w="704" w:type="dxa"/>
            <w:tcBorders>
              <w:top w:val="nil"/>
              <w:left w:val="single" w:color="auto" w:sz="4" w:space="0"/>
              <w:bottom w:val="single" w:color="auto" w:sz="4" w:space="0"/>
              <w:right w:val="single" w:color="auto" w:sz="4" w:space="0"/>
            </w:tcBorders>
            <w:shd w:val="clear" w:color="000000" w:fill="FFFFFF"/>
            <w:vAlign w:val="center"/>
          </w:tcPr>
          <w:p w14:paraId="765CC77B">
            <w:pPr>
              <w:widowControl/>
              <w:jc w:val="center"/>
              <w:rPr>
                <w:rFonts w:hint="eastAsia" w:ascii="宋体" w:hAnsi="宋体" w:cs="宋体"/>
                <w:kern w:val="0"/>
                <w:sz w:val="24"/>
              </w:rPr>
            </w:pPr>
            <w:r>
              <w:rPr>
                <w:rFonts w:hint="eastAsia" w:ascii="宋体" w:hAnsi="宋体" w:cs="宋体"/>
                <w:kern w:val="0"/>
                <w:sz w:val="24"/>
              </w:rPr>
              <w:t>88</w:t>
            </w:r>
          </w:p>
        </w:tc>
        <w:tc>
          <w:tcPr>
            <w:tcW w:w="2851" w:type="dxa"/>
            <w:tcBorders>
              <w:top w:val="nil"/>
              <w:left w:val="nil"/>
              <w:bottom w:val="single" w:color="auto" w:sz="4" w:space="0"/>
              <w:right w:val="single" w:color="auto" w:sz="4" w:space="0"/>
            </w:tcBorders>
            <w:shd w:val="clear" w:color="000000" w:fill="FFFFFF"/>
            <w:vAlign w:val="center"/>
          </w:tcPr>
          <w:p w14:paraId="605DAC06">
            <w:pPr>
              <w:jc w:val="center"/>
              <w:rPr>
                <w:rFonts w:hint="eastAsia" w:ascii="宋体" w:hAnsi="宋体" w:cs="宋体"/>
                <w:sz w:val="24"/>
              </w:rPr>
            </w:pPr>
            <w:r>
              <w:rPr>
                <w:rFonts w:hint="eastAsia" w:ascii="宋体" w:hAnsi="宋体" w:cs="宋体"/>
                <w:sz w:val="24"/>
              </w:rPr>
              <w:t>游离甲状腺素检测试剂盒</w:t>
            </w:r>
          </w:p>
        </w:tc>
        <w:tc>
          <w:tcPr>
            <w:tcW w:w="1276" w:type="dxa"/>
            <w:tcBorders>
              <w:top w:val="nil"/>
              <w:left w:val="nil"/>
              <w:bottom w:val="single" w:color="auto" w:sz="4" w:space="0"/>
              <w:right w:val="single" w:color="auto" w:sz="4" w:space="0"/>
            </w:tcBorders>
            <w:shd w:val="clear" w:color="000000" w:fill="FFFFFF"/>
            <w:vAlign w:val="center"/>
          </w:tcPr>
          <w:p w14:paraId="049D4337">
            <w:pPr>
              <w:widowControl/>
              <w:jc w:val="center"/>
              <w:rPr>
                <w:rFonts w:hint="eastAsia" w:ascii="宋体" w:hAnsi="宋体" w:cs="宋体"/>
                <w:kern w:val="0"/>
                <w:sz w:val="24"/>
              </w:rPr>
            </w:pPr>
            <w:r>
              <w:rPr>
                <w:rFonts w:hint="eastAsia" w:ascii="宋体" w:hAnsi="宋体" w:cs="宋体"/>
                <w:kern w:val="0"/>
                <w:sz w:val="24"/>
              </w:rPr>
              <w:t>11.2</w:t>
            </w:r>
          </w:p>
        </w:tc>
        <w:tc>
          <w:tcPr>
            <w:tcW w:w="992" w:type="dxa"/>
            <w:tcBorders>
              <w:top w:val="nil"/>
              <w:left w:val="nil"/>
              <w:bottom w:val="single" w:color="auto" w:sz="4" w:space="0"/>
              <w:right w:val="single" w:color="auto" w:sz="4" w:space="0"/>
            </w:tcBorders>
            <w:shd w:val="clear" w:color="000000" w:fill="FFFFFF"/>
            <w:vAlign w:val="center"/>
          </w:tcPr>
          <w:p w14:paraId="20285113">
            <w:pPr>
              <w:widowControl/>
              <w:jc w:val="center"/>
              <w:rPr>
                <w:rFonts w:hint="eastAsia" w:ascii="宋体" w:hAnsi="宋体" w:cs="宋体"/>
                <w:kern w:val="0"/>
                <w:sz w:val="24"/>
              </w:rPr>
            </w:pPr>
            <w:r>
              <w:rPr>
                <w:rFonts w:hint="eastAsia" w:ascii="宋体" w:hAnsi="宋体" w:cs="宋体"/>
                <w:kern w:val="0"/>
                <w:sz w:val="24"/>
              </w:rPr>
              <w:t>人份</w:t>
            </w:r>
          </w:p>
        </w:tc>
        <w:tc>
          <w:tcPr>
            <w:tcW w:w="992" w:type="dxa"/>
            <w:tcBorders>
              <w:top w:val="nil"/>
              <w:left w:val="nil"/>
              <w:bottom w:val="single" w:color="auto" w:sz="4" w:space="0"/>
              <w:right w:val="single" w:color="auto" w:sz="4" w:space="0"/>
            </w:tcBorders>
            <w:shd w:val="clear" w:color="000000" w:fill="FFFFFF"/>
            <w:noWrap/>
            <w:vAlign w:val="center"/>
          </w:tcPr>
          <w:p w14:paraId="45BB134E">
            <w:pPr>
              <w:widowControl/>
              <w:jc w:val="center"/>
              <w:rPr>
                <w:rFonts w:hint="eastAsia" w:ascii="宋体" w:hAnsi="宋体" w:cs="宋体"/>
                <w:kern w:val="0"/>
                <w:sz w:val="24"/>
              </w:rPr>
            </w:pPr>
            <w:r>
              <w:rPr>
                <w:rFonts w:hint="eastAsia" w:ascii="宋体" w:hAnsi="宋体" w:cs="宋体"/>
                <w:kern w:val="0"/>
                <w:sz w:val="24"/>
              </w:rPr>
              <w:t>2400</w:t>
            </w:r>
          </w:p>
        </w:tc>
        <w:tc>
          <w:tcPr>
            <w:tcW w:w="851" w:type="dxa"/>
            <w:tcBorders>
              <w:top w:val="nil"/>
              <w:left w:val="nil"/>
              <w:bottom w:val="single" w:color="auto" w:sz="4" w:space="0"/>
              <w:right w:val="single" w:color="auto" w:sz="4" w:space="0"/>
            </w:tcBorders>
            <w:shd w:val="clear" w:color="000000" w:fill="FFFFFF"/>
            <w:vAlign w:val="center"/>
          </w:tcPr>
          <w:p w14:paraId="34E0632A">
            <w:pPr>
              <w:widowControl/>
              <w:jc w:val="center"/>
              <w:rPr>
                <w:rFonts w:hint="eastAsia" w:ascii="宋体" w:hAnsi="宋体" w:cs="宋体"/>
                <w:color w:val="000000"/>
                <w:kern w:val="0"/>
                <w:sz w:val="24"/>
              </w:rPr>
            </w:pPr>
            <w:r>
              <w:rPr>
                <w:rFonts w:hint="eastAsia" w:ascii="宋体" w:hAnsi="宋体" w:cs="宋体"/>
                <w:color w:val="000000"/>
                <w:kern w:val="0"/>
                <w:sz w:val="24"/>
              </w:rPr>
              <w:t>是</w:t>
            </w:r>
          </w:p>
        </w:tc>
        <w:tc>
          <w:tcPr>
            <w:tcW w:w="952" w:type="dxa"/>
            <w:tcBorders>
              <w:top w:val="nil"/>
              <w:left w:val="nil"/>
              <w:bottom w:val="single" w:color="auto" w:sz="4" w:space="0"/>
              <w:right w:val="single" w:color="auto" w:sz="4" w:space="0"/>
            </w:tcBorders>
            <w:shd w:val="clear" w:color="000000" w:fill="FFFFFF"/>
            <w:vAlign w:val="center"/>
          </w:tcPr>
          <w:p w14:paraId="1F491535">
            <w:pPr>
              <w:widowControl/>
              <w:jc w:val="center"/>
              <w:rPr>
                <w:rFonts w:hint="eastAsia" w:ascii="宋体" w:hAnsi="宋体" w:cs="宋体"/>
                <w:color w:val="000000"/>
                <w:kern w:val="0"/>
                <w:sz w:val="24"/>
              </w:rPr>
            </w:pPr>
            <w:r>
              <w:rPr>
                <w:rFonts w:hint="eastAsia" w:ascii="宋体" w:hAnsi="宋体" w:cs="宋体"/>
                <w:color w:val="000000"/>
                <w:kern w:val="0"/>
                <w:sz w:val="24"/>
              </w:rPr>
              <w:t>否</w:t>
            </w:r>
          </w:p>
        </w:tc>
      </w:tr>
      <w:tr w14:paraId="419BD309">
        <w:tblPrEx>
          <w:tblCellMar>
            <w:top w:w="0" w:type="dxa"/>
            <w:left w:w="108" w:type="dxa"/>
            <w:bottom w:w="0" w:type="dxa"/>
            <w:right w:w="108" w:type="dxa"/>
          </w:tblCellMar>
        </w:tblPrEx>
        <w:trPr>
          <w:trHeight w:val="576" w:hRule="atLeast"/>
        </w:trPr>
        <w:tc>
          <w:tcPr>
            <w:tcW w:w="704" w:type="dxa"/>
            <w:tcBorders>
              <w:top w:val="nil"/>
              <w:left w:val="single" w:color="auto" w:sz="4" w:space="0"/>
              <w:bottom w:val="single" w:color="auto" w:sz="4" w:space="0"/>
              <w:right w:val="single" w:color="auto" w:sz="4" w:space="0"/>
            </w:tcBorders>
            <w:shd w:val="clear" w:color="000000" w:fill="FFFFFF"/>
            <w:vAlign w:val="center"/>
          </w:tcPr>
          <w:p w14:paraId="32530390">
            <w:pPr>
              <w:widowControl/>
              <w:jc w:val="center"/>
              <w:rPr>
                <w:rFonts w:hint="eastAsia" w:ascii="宋体" w:hAnsi="宋体" w:cs="宋体"/>
                <w:kern w:val="0"/>
                <w:sz w:val="24"/>
              </w:rPr>
            </w:pPr>
            <w:r>
              <w:rPr>
                <w:rFonts w:hint="eastAsia" w:ascii="宋体" w:hAnsi="宋体" w:cs="宋体"/>
                <w:kern w:val="0"/>
                <w:sz w:val="24"/>
              </w:rPr>
              <w:t>89</w:t>
            </w:r>
          </w:p>
        </w:tc>
        <w:tc>
          <w:tcPr>
            <w:tcW w:w="2851" w:type="dxa"/>
            <w:tcBorders>
              <w:top w:val="nil"/>
              <w:left w:val="nil"/>
              <w:bottom w:val="single" w:color="auto" w:sz="4" w:space="0"/>
              <w:right w:val="single" w:color="auto" w:sz="4" w:space="0"/>
            </w:tcBorders>
            <w:shd w:val="clear" w:color="000000" w:fill="FFFFFF"/>
            <w:vAlign w:val="center"/>
          </w:tcPr>
          <w:p w14:paraId="35BC7D6F">
            <w:pPr>
              <w:jc w:val="center"/>
              <w:rPr>
                <w:rFonts w:hint="eastAsia" w:ascii="宋体" w:hAnsi="宋体" w:cs="宋体"/>
                <w:sz w:val="24"/>
              </w:rPr>
            </w:pPr>
            <w:r>
              <w:rPr>
                <w:rFonts w:hint="eastAsia" w:ascii="宋体" w:hAnsi="宋体" w:cs="宋体"/>
                <w:sz w:val="24"/>
              </w:rPr>
              <w:t>游离前列腺特异性抗原测定试剂盒</w:t>
            </w:r>
          </w:p>
        </w:tc>
        <w:tc>
          <w:tcPr>
            <w:tcW w:w="1276" w:type="dxa"/>
            <w:tcBorders>
              <w:top w:val="nil"/>
              <w:left w:val="nil"/>
              <w:bottom w:val="single" w:color="auto" w:sz="4" w:space="0"/>
              <w:right w:val="single" w:color="auto" w:sz="4" w:space="0"/>
            </w:tcBorders>
            <w:shd w:val="clear" w:color="000000" w:fill="FFFFFF"/>
            <w:vAlign w:val="center"/>
          </w:tcPr>
          <w:p w14:paraId="1B24E82A">
            <w:pPr>
              <w:widowControl/>
              <w:jc w:val="center"/>
              <w:rPr>
                <w:rFonts w:hint="eastAsia" w:ascii="宋体" w:hAnsi="宋体" w:cs="宋体"/>
                <w:kern w:val="0"/>
                <w:sz w:val="24"/>
              </w:rPr>
            </w:pPr>
            <w:r>
              <w:rPr>
                <w:rFonts w:hint="eastAsia" w:ascii="宋体" w:hAnsi="宋体" w:cs="宋体"/>
                <w:kern w:val="0"/>
                <w:sz w:val="24"/>
              </w:rPr>
              <w:t>30</w:t>
            </w:r>
          </w:p>
        </w:tc>
        <w:tc>
          <w:tcPr>
            <w:tcW w:w="992" w:type="dxa"/>
            <w:tcBorders>
              <w:top w:val="nil"/>
              <w:left w:val="nil"/>
              <w:bottom w:val="single" w:color="auto" w:sz="4" w:space="0"/>
              <w:right w:val="single" w:color="auto" w:sz="4" w:space="0"/>
            </w:tcBorders>
            <w:shd w:val="clear" w:color="000000" w:fill="FFFFFF"/>
            <w:vAlign w:val="center"/>
          </w:tcPr>
          <w:p w14:paraId="71EB48C1">
            <w:pPr>
              <w:widowControl/>
              <w:jc w:val="center"/>
              <w:rPr>
                <w:rFonts w:hint="eastAsia" w:ascii="宋体" w:hAnsi="宋体" w:cs="宋体"/>
                <w:kern w:val="0"/>
                <w:sz w:val="24"/>
              </w:rPr>
            </w:pPr>
            <w:r>
              <w:rPr>
                <w:rFonts w:hint="eastAsia" w:ascii="宋体" w:hAnsi="宋体" w:cs="宋体"/>
                <w:kern w:val="0"/>
                <w:sz w:val="24"/>
              </w:rPr>
              <w:t>人份</w:t>
            </w:r>
          </w:p>
        </w:tc>
        <w:tc>
          <w:tcPr>
            <w:tcW w:w="992" w:type="dxa"/>
            <w:tcBorders>
              <w:top w:val="nil"/>
              <w:left w:val="nil"/>
              <w:bottom w:val="single" w:color="auto" w:sz="4" w:space="0"/>
              <w:right w:val="single" w:color="auto" w:sz="4" w:space="0"/>
            </w:tcBorders>
            <w:shd w:val="clear" w:color="000000" w:fill="FFFFFF"/>
            <w:noWrap/>
            <w:vAlign w:val="center"/>
          </w:tcPr>
          <w:p w14:paraId="6A53087A">
            <w:pPr>
              <w:widowControl/>
              <w:jc w:val="center"/>
              <w:rPr>
                <w:rFonts w:hint="eastAsia" w:ascii="宋体" w:hAnsi="宋体" w:cs="宋体"/>
                <w:kern w:val="0"/>
                <w:sz w:val="24"/>
              </w:rPr>
            </w:pPr>
            <w:r>
              <w:rPr>
                <w:rFonts w:hint="eastAsia" w:ascii="宋体" w:hAnsi="宋体" w:cs="宋体"/>
                <w:kern w:val="0"/>
                <w:sz w:val="24"/>
              </w:rPr>
              <w:t>14000</w:t>
            </w:r>
          </w:p>
        </w:tc>
        <w:tc>
          <w:tcPr>
            <w:tcW w:w="851" w:type="dxa"/>
            <w:tcBorders>
              <w:top w:val="nil"/>
              <w:left w:val="nil"/>
              <w:bottom w:val="single" w:color="auto" w:sz="4" w:space="0"/>
              <w:right w:val="single" w:color="auto" w:sz="4" w:space="0"/>
            </w:tcBorders>
            <w:shd w:val="clear" w:color="000000" w:fill="FFFFFF"/>
            <w:vAlign w:val="center"/>
          </w:tcPr>
          <w:p w14:paraId="0E790D9C">
            <w:pPr>
              <w:widowControl/>
              <w:jc w:val="center"/>
              <w:rPr>
                <w:rFonts w:hint="eastAsia" w:ascii="宋体" w:hAnsi="宋体" w:cs="宋体"/>
                <w:color w:val="000000"/>
                <w:kern w:val="0"/>
                <w:sz w:val="24"/>
              </w:rPr>
            </w:pPr>
            <w:r>
              <w:rPr>
                <w:rFonts w:hint="eastAsia" w:ascii="宋体" w:hAnsi="宋体" w:cs="宋体"/>
                <w:color w:val="000000"/>
                <w:kern w:val="0"/>
                <w:sz w:val="24"/>
              </w:rPr>
              <w:t>是</w:t>
            </w:r>
          </w:p>
        </w:tc>
        <w:tc>
          <w:tcPr>
            <w:tcW w:w="952" w:type="dxa"/>
            <w:tcBorders>
              <w:top w:val="nil"/>
              <w:left w:val="nil"/>
              <w:bottom w:val="single" w:color="auto" w:sz="4" w:space="0"/>
              <w:right w:val="single" w:color="auto" w:sz="4" w:space="0"/>
            </w:tcBorders>
            <w:shd w:val="clear" w:color="000000" w:fill="FFFFFF"/>
            <w:vAlign w:val="center"/>
          </w:tcPr>
          <w:p w14:paraId="550BD29E">
            <w:pPr>
              <w:widowControl/>
              <w:jc w:val="center"/>
              <w:rPr>
                <w:rFonts w:hint="eastAsia" w:ascii="宋体" w:hAnsi="宋体" w:cs="宋体"/>
                <w:color w:val="000000"/>
                <w:kern w:val="0"/>
                <w:sz w:val="24"/>
              </w:rPr>
            </w:pPr>
            <w:r>
              <w:rPr>
                <w:rFonts w:hint="eastAsia" w:ascii="宋体" w:hAnsi="宋体" w:cs="宋体"/>
                <w:color w:val="000000"/>
                <w:kern w:val="0"/>
                <w:sz w:val="24"/>
              </w:rPr>
              <w:t>否</w:t>
            </w:r>
          </w:p>
        </w:tc>
      </w:tr>
      <w:tr w14:paraId="05121908">
        <w:tblPrEx>
          <w:tblCellMar>
            <w:top w:w="0" w:type="dxa"/>
            <w:left w:w="108" w:type="dxa"/>
            <w:bottom w:w="0" w:type="dxa"/>
            <w:right w:w="108" w:type="dxa"/>
          </w:tblCellMar>
        </w:tblPrEx>
        <w:trPr>
          <w:trHeight w:val="576" w:hRule="atLeast"/>
        </w:trPr>
        <w:tc>
          <w:tcPr>
            <w:tcW w:w="704" w:type="dxa"/>
            <w:tcBorders>
              <w:top w:val="nil"/>
              <w:left w:val="single" w:color="auto" w:sz="4" w:space="0"/>
              <w:bottom w:val="single" w:color="auto" w:sz="4" w:space="0"/>
              <w:right w:val="single" w:color="auto" w:sz="4" w:space="0"/>
            </w:tcBorders>
            <w:shd w:val="clear" w:color="000000" w:fill="FFFFFF"/>
            <w:vAlign w:val="center"/>
          </w:tcPr>
          <w:p w14:paraId="11FBDFBB">
            <w:pPr>
              <w:widowControl/>
              <w:jc w:val="center"/>
              <w:rPr>
                <w:rFonts w:hint="eastAsia" w:ascii="宋体" w:hAnsi="宋体" w:cs="宋体"/>
                <w:kern w:val="0"/>
                <w:sz w:val="24"/>
              </w:rPr>
            </w:pPr>
            <w:r>
              <w:rPr>
                <w:rFonts w:hint="eastAsia" w:ascii="宋体" w:hAnsi="宋体" w:cs="宋体"/>
                <w:kern w:val="0"/>
                <w:sz w:val="24"/>
              </w:rPr>
              <w:t>90</w:t>
            </w:r>
          </w:p>
        </w:tc>
        <w:tc>
          <w:tcPr>
            <w:tcW w:w="2851" w:type="dxa"/>
            <w:tcBorders>
              <w:top w:val="nil"/>
              <w:left w:val="nil"/>
              <w:bottom w:val="single" w:color="auto" w:sz="4" w:space="0"/>
              <w:right w:val="single" w:color="auto" w:sz="4" w:space="0"/>
            </w:tcBorders>
            <w:shd w:val="clear" w:color="000000" w:fill="FFFFFF"/>
            <w:vAlign w:val="center"/>
          </w:tcPr>
          <w:p w14:paraId="06C2CC26">
            <w:pPr>
              <w:jc w:val="center"/>
              <w:rPr>
                <w:rFonts w:hint="eastAsia" w:ascii="宋体" w:hAnsi="宋体" w:cs="宋体"/>
                <w:sz w:val="24"/>
              </w:rPr>
            </w:pPr>
            <w:r>
              <w:rPr>
                <w:rFonts w:hint="eastAsia" w:ascii="宋体" w:hAnsi="宋体" w:cs="宋体"/>
                <w:sz w:val="24"/>
              </w:rPr>
              <w:t>游离前列腺特异性抗原定标液</w:t>
            </w:r>
          </w:p>
        </w:tc>
        <w:tc>
          <w:tcPr>
            <w:tcW w:w="1276" w:type="dxa"/>
            <w:tcBorders>
              <w:top w:val="nil"/>
              <w:left w:val="nil"/>
              <w:bottom w:val="single" w:color="auto" w:sz="4" w:space="0"/>
              <w:right w:val="single" w:color="auto" w:sz="4" w:space="0"/>
            </w:tcBorders>
            <w:shd w:val="clear" w:color="000000" w:fill="FFFFFF"/>
            <w:vAlign w:val="center"/>
          </w:tcPr>
          <w:p w14:paraId="7A1E7EA8">
            <w:pPr>
              <w:widowControl/>
              <w:jc w:val="center"/>
              <w:rPr>
                <w:rFonts w:hint="eastAsia" w:ascii="宋体" w:hAnsi="宋体" w:cs="宋体"/>
                <w:kern w:val="0"/>
                <w:sz w:val="24"/>
              </w:rPr>
            </w:pPr>
            <w:r>
              <w:rPr>
                <w:rFonts w:hint="eastAsia" w:ascii="宋体" w:hAnsi="宋体" w:cs="宋体"/>
                <w:kern w:val="0"/>
                <w:sz w:val="24"/>
              </w:rPr>
              <w:t>295</w:t>
            </w:r>
          </w:p>
        </w:tc>
        <w:tc>
          <w:tcPr>
            <w:tcW w:w="992" w:type="dxa"/>
            <w:tcBorders>
              <w:top w:val="nil"/>
              <w:left w:val="nil"/>
              <w:bottom w:val="single" w:color="auto" w:sz="4" w:space="0"/>
              <w:right w:val="single" w:color="auto" w:sz="4" w:space="0"/>
            </w:tcBorders>
            <w:shd w:val="clear" w:color="000000" w:fill="FFFFFF"/>
            <w:vAlign w:val="center"/>
          </w:tcPr>
          <w:p w14:paraId="7EEDDD5A">
            <w:pPr>
              <w:widowControl/>
              <w:jc w:val="center"/>
              <w:rPr>
                <w:rFonts w:hint="eastAsia" w:ascii="宋体" w:hAnsi="宋体" w:cs="宋体"/>
                <w:kern w:val="0"/>
                <w:sz w:val="24"/>
              </w:rPr>
            </w:pPr>
            <w:r>
              <w:rPr>
                <w:rFonts w:hint="eastAsia" w:ascii="宋体" w:hAnsi="宋体" w:cs="宋体"/>
                <w:kern w:val="0"/>
                <w:sz w:val="24"/>
              </w:rPr>
              <w:t>ml</w:t>
            </w:r>
          </w:p>
        </w:tc>
        <w:tc>
          <w:tcPr>
            <w:tcW w:w="992" w:type="dxa"/>
            <w:tcBorders>
              <w:top w:val="nil"/>
              <w:left w:val="nil"/>
              <w:bottom w:val="single" w:color="auto" w:sz="4" w:space="0"/>
              <w:right w:val="single" w:color="auto" w:sz="4" w:space="0"/>
            </w:tcBorders>
            <w:shd w:val="clear" w:color="000000" w:fill="FFFFFF"/>
            <w:noWrap/>
            <w:vAlign w:val="center"/>
          </w:tcPr>
          <w:p w14:paraId="0651BC50">
            <w:pPr>
              <w:widowControl/>
              <w:jc w:val="center"/>
              <w:rPr>
                <w:rFonts w:hint="eastAsia" w:ascii="宋体" w:hAnsi="宋体" w:cs="宋体"/>
                <w:kern w:val="0"/>
                <w:sz w:val="24"/>
              </w:rPr>
            </w:pPr>
            <w:r>
              <w:rPr>
                <w:rFonts w:hint="eastAsia" w:ascii="宋体" w:hAnsi="宋体" w:cs="宋体"/>
                <w:kern w:val="0"/>
                <w:sz w:val="24"/>
              </w:rPr>
              <w:t>8</w:t>
            </w:r>
          </w:p>
        </w:tc>
        <w:tc>
          <w:tcPr>
            <w:tcW w:w="851" w:type="dxa"/>
            <w:tcBorders>
              <w:top w:val="nil"/>
              <w:left w:val="nil"/>
              <w:bottom w:val="single" w:color="auto" w:sz="4" w:space="0"/>
              <w:right w:val="single" w:color="auto" w:sz="4" w:space="0"/>
            </w:tcBorders>
            <w:shd w:val="clear" w:color="000000" w:fill="FFFFFF"/>
            <w:vAlign w:val="center"/>
          </w:tcPr>
          <w:p w14:paraId="08B1EADC">
            <w:pPr>
              <w:widowControl/>
              <w:jc w:val="center"/>
              <w:rPr>
                <w:rFonts w:hint="eastAsia" w:ascii="宋体" w:hAnsi="宋体" w:cs="宋体"/>
                <w:color w:val="000000"/>
                <w:kern w:val="0"/>
                <w:sz w:val="24"/>
              </w:rPr>
            </w:pPr>
            <w:r>
              <w:rPr>
                <w:rFonts w:hint="eastAsia" w:ascii="宋体" w:hAnsi="宋体" w:cs="宋体"/>
                <w:color w:val="000000"/>
                <w:kern w:val="0"/>
                <w:sz w:val="24"/>
              </w:rPr>
              <w:t>是</w:t>
            </w:r>
          </w:p>
        </w:tc>
        <w:tc>
          <w:tcPr>
            <w:tcW w:w="952" w:type="dxa"/>
            <w:tcBorders>
              <w:top w:val="nil"/>
              <w:left w:val="nil"/>
              <w:bottom w:val="single" w:color="auto" w:sz="4" w:space="0"/>
              <w:right w:val="single" w:color="auto" w:sz="4" w:space="0"/>
            </w:tcBorders>
            <w:shd w:val="clear" w:color="000000" w:fill="FFFFFF"/>
            <w:vAlign w:val="center"/>
          </w:tcPr>
          <w:p w14:paraId="2C8BAA54">
            <w:pPr>
              <w:widowControl/>
              <w:jc w:val="center"/>
              <w:rPr>
                <w:rFonts w:hint="eastAsia" w:ascii="宋体" w:hAnsi="宋体" w:cs="宋体"/>
                <w:color w:val="000000"/>
                <w:kern w:val="0"/>
                <w:sz w:val="24"/>
              </w:rPr>
            </w:pPr>
            <w:r>
              <w:rPr>
                <w:rFonts w:hint="eastAsia" w:ascii="宋体" w:hAnsi="宋体" w:cs="宋体"/>
                <w:color w:val="000000"/>
                <w:kern w:val="0"/>
                <w:sz w:val="24"/>
              </w:rPr>
              <w:t>否</w:t>
            </w:r>
          </w:p>
        </w:tc>
      </w:tr>
      <w:tr w14:paraId="48EF7D57">
        <w:tblPrEx>
          <w:tblCellMar>
            <w:top w:w="0" w:type="dxa"/>
            <w:left w:w="108" w:type="dxa"/>
            <w:bottom w:w="0" w:type="dxa"/>
            <w:right w:w="108" w:type="dxa"/>
          </w:tblCellMar>
        </w:tblPrEx>
        <w:trPr>
          <w:trHeight w:val="576" w:hRule="atLeast"/>
        </w:trPr>
        <w:tc>
          <w:tcPr>
            <w:tcW w:w="704" w:type="dxa"/>
            <w:tcBorders>
              <w:top w:val="nil"/>
              <w:left w:val="single" w:color="auto" w:sz="4" w:space="0"/>
              <w:bottom w:val="single" w:color="auto" w:sz="4" w:space="0"/>
              <w:right w:val="single" w:color="auto" w:sz="4" w:space="0"/>
            </w:tcBorders>
            <w:shd w:val="clear" w:color="000000" w:fill="FFFFFF"/>
            <w:vAlign w:val="center"/>
          </w:tcPr>
          <w:p w14:paraId="22570A72">
            <w:pPr>
              <w:widowControl/>
              <w:jc w:val="center"/>
              <w:rPr>
                <w:rFonts w:hint="eastAsia" w:ascii="宋体" w:hAnsi="宋体" w:cs="宋体"/>
                <w:kern w:val="0"/>
                <w:sz w:val="24"/>
              </w:rPr>
            </w:pPr>
            <w:r>
              <w:rPr>
                <w:rFonts w:hint="eastAsia" w:ascii="宋体" w:hAnsi="宋体" w:cs="宋体"/>
                <w:kern w:val="0"/>
                <w:sz w:val="24"/>
              </w:rPr>
              <w:t>91</w:t>
            </w:r>
          </w:p>
        </w:tc>
        <w:tc>
          <w:tcPr>
            <w:tcW w:w="2851" w:type="dxa"/>
            <w:tcBorders>
              <w:top w:val="nil"/>
              <w:left w:val="nil"/>
              <w:bottom w:val="single" w:color="auto" w:sz="4" w:space="0"/>
              <w:right w:val="single" w:color="auto" w:sz="4" w:space="0"/>
            </w:tcBorders>
            <w:shd w:val="clear" w:color="000000" w:fill="FFFFFF"/>
            <w:vAlign w:val="center"/>
          </w:tcPr>
          <w:p w14:paraId="00387648">
            <w:pPr>
              <w:jc w:val="center"/>
              <w:rPr>
                <w:rFonts w:hint="eastAsia" w:ascii="宋体" w:hAnsi="宋体" w:cs="宋体"/>
                <w:sz w:val="24"/>
              </w:rPr>
            </w:pPr>
            <w:r>
              <w:rPr>
                <w:rFonts w:hint="eastAsia" w:ascii="宋体" w:hAnsi="宋体" w:cs="宋体"/>
                <w:sz w:val="24"/>
              </w:rPr>
              <w:t>游离三碘甲状腺原氨酸定标液</w:t>
            </w:r>
          </w:p>
        </w:tc>
        <w:tc>
          <w:tcPr>
            <w:tcW w:w="1276" w:type="dxa"/>
            <w:tcBorders>
              <w:top w:val="nil"/>
              <w:left w:val="nil"/>
              <w:bottom w:val="single" w:color="auto" w:sz="4" w:space="0"/>
              <w:right w:val="single" w:color="auto" w:sz="4" w:space="0"/>
            </w:tcBorders>
            <w:shd w:val="clear" w:color="000000" w:fill="FFFFFF"/>
            <w:vAlign w:val="center"/>
          </w:tcPr>
          <w:p w14:paraId="111E6AD8">
            <w:pPr>
              <w:widowControl/>
              <w:jc w:val="center"/>
              <w:rPr>
                <w:rFonts w:hint="eastAsia" w:ascii="宋体" w:hAnsi="宋体" w:cs="宋体"/>
                <w:kern w:val="0"/>
                <w:sz w:val="24"/>
              </w:rPr>
            </w:pPr>
            <w:r>
              <w:rPr>
                <w:rFonts w:hint="eastAsia" w:ascii="宋体" w:hAnsi="宋体" w:cs="宋体"/>
                <w:kern w:val="0"/>
                <w:sz w:val="24"/>
              </w:rPr>
              <w:t>387.5</w:t>
            </w:r>
          </w:p>
        </w:tc>
        <w:tc>
          <w:tcPr>
            <w:tcW w:w="992" w:type="dxa"/>
            <w:tcBorders>
              <w:top w:val="nil"/>
              <w:left w:val="nil"/>
              <w:bottom w:val="single" w:color="auto" w:sz="4" w:space="0"/>
              <w:right w:val="single" w:color="auto" w:sz="4" w:space="0"/>
            </w:tcBorders>
            <w:shd w:val="clear" w:color="000000" w:fill="FFFFFF"/>
            <w:vAlign w:val="center"/>
          </w:tcPr>
          <w:p w14:paraId="56F5AD45">
            <w:pPr>
              <w:widowControl/>
              <w:jc w:val="center"/>
              <w:rPr>
                <w:rFonts w:hint="eastAsia" w:ascii="宋体" w:hAnsi="宋体" w:cs="宋体"/>
                <w:kern w:val="0"/>
                <w:sz w:val="24"/>
              </w:rPr>
            </w:pPr>
            <w:r>
              <w:rPr>
                <w:rFonts w:hint="eastAsia" w:ascii="宋体" w:hAnsi="宋体" w:cs="宋体"/>
                <w:kern w:val="0"/>
                <w:sz w:val="24"/>
              </w:rPr>
              <w:t>ml</w:t>
            </w:r>
          </w:p>
        </w:tc>
        <w:tc>
          <w:tcPr>
            <w:tcW w:w="992" w:type="dxa"/>
            <w:tcBorders>
              <w:top w:val="nil"/>
              <w:left w:val="nil"/>
              <w:bottom w:val="single" w:color="auto" w:sz="4" w:space="0"/>
              <w:right w:val="single" w:color="auto" w:sz="4" w:space="0"/>
            </w:tcBorders>
            <w:shd w:val="clear" w:color="000000" w:fill="FFFFFF"/>
            <w:noWrap/>
            <w:vAlign w:val="center"/>
          </w:tcPr>
          <w:p w14:paraId="2A051F3E">
            <w:pPr>
              <w:widowControl/>
              <w:jc w:val="center"/>
              <w:rPr>
                <w:rFonts w:hint="eastAsia" w:ascii="宋体" w:hAnsi="宋体" w:cs="宋体"/>
                <w:kern w:val="0"/>
                <w:sz w:val="24"/>
              </w:rPr>
            </w:pPr>
            <w:r>
              <w:rPr>
                <w:rFonts w:hint="eastAsia" w:ascii="宋体" w:hAnsi="宋体" w:cs="宋体"/>
                <w:kern w:val="0"/>
                <w:sz w:val="24"/>
              </w:rPr>
              <w:t>4</w:t>
            </w:r>
          </w:p>
        </w:tc>
        <w:tc>
          <w:tcPr>
            <w:tcW w:w="851" w:type="dxa"/>
            <w:tcBorders>
              <w:top w:val="nil"/>
              <w:left w:val="nil"/>
              <w:bottom w:val="single" w:color="auto" w:sz="4" w:space="0"/>
              <w:right w:val="single" w:color="auto" w:sz="4" w:space="0"/>
            </w:tcBorders>
            <w:shd w:val="clear" w:color="000000" w:fill="FFFFFF"/>
            <w:vAlign w:val="center"/>
          </w:tcPr>
          <w:p w14:paraId="218C5E26">
            <w:pPr>
              <w:widowControl/>
              <w:jc w:val="center"/>
              <w:rPr>
                <w:rFonts w:hint="eastAsia" w:ascii="宋体" w:hAnsi="宋体" w:cs="宋体"/>
                <w:color w:val="000000"/>
                <w:kern w:val="0"/>
                <w:sz w:val="24"/>
              </w:rPr>
            </w:pPr>
            <w:r>
              <w:rPr>
                <w:rFonts w:hint="eastAsia" w:ascii="宋体" w:hAnsi="宋体" w:cs="宋体"/>
                <w:color w:val="000000"/>
                <w:kern w:val="0"/>
                <w:sz w:val="24"/>
              </w:rPr>
              <w:t>是</w:t>
            </w:r>
          </w:p>
        </w:tc>
        <w:tc>
          <w:tcPr>
            <w:tcW w:w="952" w:type="dxa"/>
            <w:tcBorders>
              <w:top w:val="nil"/>
              <w:left w:val="nil"/>
              <w:bottom w:val="single" w:color="auto" w:sz="4" w:space="0"/>
              <w:right w:val="single" w:color="auto" w:sz="4" w:space="0"/>
            </w:tcBorders>
            <w:shd w:val="clear" w:color="000000" w:fill="FFFFFF"/>
            <w:vAlign w:val="center"/>
          </w:tcPr>
          <w:p w14:paraId="21049C5E">
            <w:pPr>
              <w:widowControl/>
              <w:jc w:val="center"/>
              <w:rPr>
                <w:rFonts w:hint="eastAsia" w:ascii="宋体" w:hAnsi="宋体" w:cs="宋体"/>
                <w:color w:val="000000"/>
                <w:kern w:val="0"/>
                <w:sz w:val="24"/>
              </w:rPr>
            </w:pPr>
            <w:r>
              <w:rPr>
                <w:rFonts w:hint="eastAsia" w:ascii="宋体" w:hAnsi="宋体" w:cs="宋体"/>
                <w:color w:val="000000"/>
                <w:kern w:val="0"/>
                <w:sz w:val="24"/>
              </w:rPr>
              <w:t>否</w:t>
            </w:r>
          </w:p>
        </w:tc>
      </w:tr>
      <w:tr w14:paraId="69E3334C">
        <w:tblPrEx>
          <w:tblCellMar>
            <w:top w:w="0" w:type="dxa"/>
            <w:left w:w="108" w:type="dxa"/>
            <w:bottom w:w="0" w:type="dxa"/>
            <w:right w:w="108" w:type="dxa"/>
          </w:tblCellMar>
        </w:tblPrEx>
        <w:trPr>
          <w:trHeight w:val="576" w:hRule="atLeast"/>
        </w:trPr>
        <w:tc>
          <w:tcPr>
            <w:tcW w:w="704" w:type="dxa"/>
            <w:tcBorders>
              <w:top w:val="nil"/>
              <w:left w:val="single" w:color="auto" w:sz="4" w:space="0"/>
              <w:bottom w:val="single" w:color="auto" w:sz="4" w:space="0"/>
              <w:right w:val="single" w:color="auto" w:sz="4" w:space="0"/>
            </w:tcBorders>
            <w:shd w:val="clear" w:color="000000" w:fill="FFFFFF"/>
            <w:vAlign w:val="center"/>
          </w:tcPr>
          <w:p w14:paraId="26A85F7A">
            <w:pPr>
              <w:widowControl/>
              <w:jc w:val="center"/>
              <w:rPr>
                <w:rFonts w:hint="eastAsia" w:ascii="宋体" w:hAnsi="宋体" w:cs="宋体"/>
                <w:kern w:val="0"/>
                <w:sz w:val="24"/>
              </w:rPr>
            </w:pPr>
            <w:r>
              <w:rPr>
                <w:rFonts w:hint="eastAsia" w:ascii="宋体" w:hAnsi="宋体" w:cs="宋体"/>
                <w:kern w:val="0"/>
                <w:sz w:val="24"/>
              </w:rPr>
              <w:t>92</w:t>
            </w:r>
          </w:p>
        </w:tc>
        <w:tc>
          <w:tcPr>
            <w:tcW w:w="2851" w:type="dxa"/>
            <w:tcBorders>
              <w:top w:val="nil"/>
              <w:left w:val="nil"/>
              <w:bottom w:val="single" w:color="auto" w:sz="4" w:space="0"/>
              <w:right w:val="single" w:color="auto" w:sz="4" w:space="0"/>
            </w:tcBorders>
            <w:shd w:val="clear" w:color="000000" w:fill="FFFFFF"/>
            <w:vAlign w:val="center"/>
          </w:tcPr>
          <w:p w14:paraId="2463A23D">
            <w:pPr>
              <w:jc w:val="center"/>
              <w:rPr>
                <w:rFonts w:hint="eastAsia" w:ascii="宋体" w:hAnsi="宋体" w:cs="宋体"/>
                <w:sz w:val="24"/>
              </w:rPr>
            </w:pPr>
            <w:r>
              <w:rPr>
                <w:rFonts w:hint="eastAsia" w:ascii="宋体" w:hAnsi="宋体" w:cs="宋体"/>
                <w:sz w:val="24"/>
              </w:rPr>
              <w:t>游离三碘甲状腺原氨酸检测试剂盒</w:t>
            </w:r>
          </w:p>
        </w:tc>
        <w:tc>
          <w:tcPr>
            <w:tcW w:w="1276" w:type="dxa"/>
            <w:tcBorders>
              <w:top w:val="nil"/>
              <w:left w:val="nil"/>
              <w:bottom w:val="single" w:color="auto" w:sz="4" w:space="0"/>
              <w:right w:val="single" w:color="auto" w:sz="4" w:space="0"/>
            </w:tcBorders>
            <w:shd w:val="clear" w:color="000000" w:fill="FFFFFF"/>
            <w:vAlign w:val="center"/>
          </w:tcPr>
          <w:p w14:paraId="1D53CC9D">
            <w:pPr>
              <w:widowControl/>
              <w:jc w:val="center"/>
              <w:rPr>
                <w:rFonts w:hint="eastAsia" w:ascii="宋体" w:hAnsi="宋体" w:cs="宋体"/>
                <w:kern w:val="0"/>
                <w:sz w:val="24"/>
              </w:rPr>
            </w:pPr>
            <w:r>
              <w:rPr>
                <w:rFonts w:hint="eastAsia" w:ascii="宋体" w:hAnsi="宋体" w:cs="宋体"/>
                <w:kern w:val="0"/>
                <w:sz w:val="24"/>
              </w:rPr>
              <w:t>10.78</w:t>
            </w:r>
          </w:p>
        </w:tc>
        <w:tc>
          <w:tcPr>
            <w:tcW w:w="992" w:type="dxa"/>
            <w:tcBorders>
              <w:top w:val="nil"/>
              <w:left w:val="nil"/>
              <w:bottom w:val="single" w:color="auto" w:sz="4" w:space="0"/>
              <w:right w:val="single" w:color="auto" w:sz="4" w:space="0"/>
            </w:tcBorders>
            <w:shd w:val="clear" w:color="000000" w:fill="FFFFFF"/>
            <w:vAlign w:val="center"/>
          </w:tcPr>
          <w:p w14:paraId="32DD5D55">
            <w:pPr>
              <w:widowControl/>
              <w:jc w:val="center"/>
              <w:rPr>
                <w:rFonts w:hint="eastAsia" w:ascii="宋体" w:hAnsi="宋体" w:cs="宋体"/>
                <w:kern w:val="0"/>
                <w:sz w:val="24"/>
              </w:rPr>
            </w:pPr>
            <w:r>
              <w:rPr>
                <w:rFonts w:hint="eastAsia" w:ascii="宋体" w:hAnsi="宋体" w:cs="宋体"/>
                <w:kern w:val="0"/>
                <w:sz w:val="24"/>
              </w:rPr>
              <w:t>人份</w:t>
            </w:r>
          </w:p>
        </w:tc>
        <w:tc>
          <w:tcPr>
            <w:tcW w:w="992" w:type="dxa"/>
            <w:tcBorders>
              <w:top w:val="nil"/>
              <w:left w:val="nil"/>
              <w:bottom w:val="single" w:color="auto" w:sz="4" w:space="0"/>
              <w:right w:val="single" w:color="auto" w:sz="4" w:space="0"/>
            </w:tcBorders>
            <w:shd w:val="clear" w:color="000000" w:fill="FFFFFF"/>
            <w:noWrap/>
            <w:vAlign w:val="center"/>
          </w:tcPr>
          <w:p w14:paraId="7152457E">
            <w:pPr>
              <w:widowControl/>
              <w:jc w:val="center"/>
              <w:rPr>
                <w:rFonts w:hint="eastAsia" w:ascii="宋体" w:hAnsi="宋体" w:cs="宋体"/>
                <w:kern w:val="0"/>
                <w:sz w:val="24"/>
              </w:rPr>
            </w:pPr>
            <w:r>
              <w:rPr>
                <w:rFonts w:hint="eastAsia" w:ascii="宋体" w:hAnsi="宋体" w:cs="宋体"/>
                <w:kern w:val="0"/>
                <w:sz w:val="24"/>
              </w:rPr>
              <w:t>3000</w:t>
            </w:r>
          </w:p>
        </w:tc>
        <w:tc>
          <w:tcPr>
            <w:tcW w:w="851" w:type="dxa"/>
            <w:tcBorders>
              <w:top w:val="nil"/>
              <w:left w:val="nil"/>
              <w:bottom w:val="single" w:color="auto" w:sz="4" w:space="0"/>
              <w:right w:val="single" w:color="auto" w:sz="4" w:space="0"/>
            </w:tcBorders>
            <w:shd w:val="clear" w:color="000000" w:fill="FFFFFF"/>
            <w:vAlign w:val="center"/>
          </w:tcPr>
          <w:p w14:paraId="7C40D4C7">
            <w:pPr>
              <w:widowControl/>
              <w:jc w:val="center"/>
              <w:rPr>
                <w:rFonts w:hint="eastAsia" w:ascii="宋体" w:hAnsi="宋体" w:cs="宋体"/>
                <w:color w:val="000000"/>
                <w:kern w:val="0"/>
                <w:sz w:val="24"/>
              </w:rPr>
            </w:pPr>
            <w:r>
              <w:rPr>
                <w:rFonts w:hint="eastAsia" w:ascii="宋体" w:hAnsi="宋体" w:cs="宋体"/>
                <w:color w:val="000000"/>
                <w:kern w:val="0"/>
                <w:sz w:val="24"/>
              </w:rPr>
              <w:t>是</w:t>
            </w:r>
          </w:p>
        </w:tc>
        <w:tc>
          <w:tcPr>
            <w:tcW w:w="952" w:type="dxa"/>
            <w:tcBorders>
              <w:top w:val="nil"/>
              <w:left w:val="nil"/>
              <w:bottom w:val="single" w:color="auto" w:sz="4" w:space="0"/>
              <w:right w:val="single" w:color="auto" w:sz="4" w:space="0"/>
            </w:tcBorders>
            <w:shd w:val="clear" w:color="000000" w:fill="FFFFFF"/>
            <w:vAlign w:val="center"/>
          </w:tcPr>
          <w:p w14:paraId="5E2FC69C">
            <w:pPr>
              <w:widowControl/>
              <w:jc w:val="center"/>
              <w:rPr>
                <w:rFonts w:hint="eastAsia" w:ascii="宋体" w:hAnsi="宋体" w:cs="宋体"/>
                <w:color w:val="000000"/>
                <w:kern w:val="0"/>
                <w:sz w:val="24"/>
              </w:rPr>
            </w:pPr>
            <w:r>
              <w:rPr>
                <w:rFonts w:hint="eastAsia" w:ascii="宋体" w:hAnsi="宋体" w:cs="宋体"/>
                <w:color w:val="000000"/>
                <w:kern w:val="0"/>
                <w:sz w:val="24"/>
              </w:rPr>
              <w:t>否</w:t>
            </w:r>
          </w:p>
        </w:tc>
      </w:tr>
      <w:tr w14:paraId="56E209B2">
        <w:tblPrEx>
          <w:tblCellMar>
            <w:top w:w="0" w:type="dxa"/>
            <w:left w:w="108" w:type="dxa"/>
            <w:bottom w:w="0" w:type="dxa"/>
            <w:right w:w="108" w:type="dxa"/>
          </w:tblCellMar>
        </w:tblPrEx>
        <w:trPr>
          <w:trHeight w:val="576" w:hRule="atLeast"/>
        </w:trPr>
        <w:tc>
          <w:tcPr>
            <w:tcW w:w="704" w:type="dxa"/>
            <w:tcBorders>
              <w:top w:val="nil"/>
              <w:left w:val="single" w:color="auto" w:sz="4" w:space="0"/>
              <w:bottom w:val="single" w:color="auto" w:sz="4" w:space="0"/>
              <w:right w:val="single" w:color="auto" w:sz="4" w:space="0"/>
            </w:tcBorders>
            <w:shd w:val="clear" w:color="000000" w:fill="FFFFFF"/>
            <w:vAlign w:val="center"/>
          </w:tcPr>
          <w:p w14:paraId="4C33E8A3">
            <w:pPr>
              <w:widowControl/>
              <w:jc w:val="center"/>
              <w:rPr>
                <w:rFonts w:hint="eastAsia" w:ascii="宋体" w:hAnsi="宋体" w:cs="宋体"/>
                <w:kern w:val="0"/>
                <w:sz w:val="24"/>
              </w:rPr>
            </w:pPr>
            <w:r>
              <w:rPr>
                <w:rFonts w:hint="eastAsia" w:ascii="宋体" w:hAnsi="宋体" w:cs="宋体"/>
                <w:kern w:val="0"/>
                <w:sz w:val="24"/>
              </w:rPr>
              <w:t>93</w:t>
            </w:r>
          </w:p>
        </w:tc>
        <w:tc>
          <w:tcPr>
            <w:tcW w:w="2851" w:type="dxa"/>
            <w:tcBorders>
              <w:top w:val="nil"/>
              <w:left w:val="nil"/>
              <w:bottom w:val="single" w:color="auto" w:sz="4" w:space="0"/>
              <w:right w:val="single" w:color="auto" w:sz="4" w:space="0"/>
            </w:tcBorders>
            <w:shd w:val="clear" w:color="000000" w:fill="FFFFFF"/>
            <w:vAlign w:val="center"/>
          </w:tcPr>
          <w:p w14:paraId="7E70A2FB">
            <w:pPr>
              <w:jc w:val="center"/>
              <w:rPr>
                <w:rFonts w:hint="eastAsia" w:ascii="宋体" w:hAnsi="宋体" w:cs="宋体"/>
                <w:sz w:val="24"/>
              </w:rPr>
            </w:pPr>
            <w:r>
              <w:rPr>
                <w:rFonts w:hint="eastAsia" w:ascii="宋体" w:hAnsi="宋体" w:cs="宋体"/>
                <w:sz w:val="24"/>
              </w:rPr>
              <w:t>游离三碘甲状腺原氨酸测定试剂盒</w:t>
            </w:r>
          </w:p>
        </w:tc>
        <w:tc>
          <w:tcPr>
            <w:tcW w:w="1276" w:type="dxa"/>
            <w:tcBorders>
              <w:top w:val="nil"/>
              <w:left w:val="nil"/>
              <w:bottom w:val="single" w:color="auto" w:sz="4" w:space="0"/>
              <w:right w:val="single" w:color="auto" w:sz="4" w:space="0"/>
            </w:tcBorders>
            <w:shd w:val="clear" w:color="000000" w:fill="FFFFFF"/>
            <w:vAlign w:val="center"/>
          </w:tcPr>
          <w:p w14:paraId="42297B5B">
            <w:pPr>
              <w:widowControl/>
              <w:jc w:val="center"/>
              <w:rPr>
                <w:rFonts w:hint="eastAsia" w:ascii="宋体" w:hAnsi="宋体" w:cs="宋体"/>
                <w:kern w:val="0"/>
                <w:sz w:val="24"/>
              </w:rPr>
            </w:pPr>
            <w:r>
              <w:rPr>
                <w:rFonts w:hint="eastAsia" w:ascii="宋体" w:hAnsi="宋体" w:cs="宋体"/>
                <w:kern w:val="0"/>
                <w:sz w:val="24"/>
              </w:rPr>
              <w:t>12.5</w:t>
            </w:r>
          </w:p>
        </w:tc>
        <w:tc>
          <w:tcPr>
            <w:tcW w:w="992" w:type="dxa"/>
            <w:tcBorders>
              <w:top w:val="nil"/>
              <w:left w:val="nil"/>
              <w:bottom w:val="single" w:color="auto" w:sz="4" w:space="0"/>
              <w:right w:val="single" w:color="auto" w:sz="4" w:space="0"/>
            </w:tcBorders>
            <w:shd w:val="clear" w:color="000000" w:fill="FFFFFF"/>
            <w:vAlign w:val="center"/>
          </w:tcPr>
          <w:p w14:paraId="4C6E3BC8">
            <w:pPr>
              <w:widowControl/>
              <w:jc w:val="center"/>
              <w:rPr>
                <w:rFonts w:hint="eastAsia" w:ascii="宋体" w:hAnsi="宋体" w:cs="宋体"/>
                <w:kern w:val="0"/>
                <w:sz w:val="24"/>
              </w:rPr>
            </w:pPr>
            <w:r>
              <w:rPr>
                <w:rFonts w:hint="eastAsia" w:ascii="宋体" w:hAnsi="宋体" w:cs="宋体"/>
                <w:kern w:val="0"/>
                <w:sz w:val="24"/>
              </w:rPr>
              <w:t>人份</w:t>
            </w:r>
          </w:p>
        </w:tc>
        <w:tc>
          <w:tcPr>
            <w:tcW w:w="992" w:type="dxa"/>
            <w:tcBorders>
              <w:top w:val="nil"/>
              <w:left w:val="nil"/>
              <w:bottom w:val="single" w:color="auto" w:sz="4" w:space="0"/>
              <w:right w:val="single" w:color="auto" w:sz="4" w:space="0"/>
            </w:tcBorders>
            <w:shd w:val="clear" w:color="000000" w:fill="FFFFFF"/>
            <w:noWrap/>
            <w:vAlign w:val="center"/>
          </w:tcPr>
          <w:p w14:paraId="3BF84CCF">
            <w:pPr>
              <w:widowControl/>
              <w:jc w:val="center"/>
              <w:rPr>
                <w:rFonts w:hint="eastAsia" w:ascii="宋体" w:hAnsi="宋体" w:cs="宋体"/>
                <w:kern w:val="0"/>
                <w:sz w:val="24"/>
              </w:rPr>
            </w:pPr>
            <w:r>
              <w:rPr>
                <w:rFonts w:hint="eastAsia" w:ascii="宋体" w:hAnsi="宋体" w:cs="宋体"/>
                <w:kern w:val="0"/>
                <w:sz w:val="24"/>
              </w:rPr>
              <w:t>200</w:t>
            </w:r>
          </w:p>
        </w:tc>
        <w:tc>
          <w:tcPr>
            <w:tcW w:w="851" w:type="dxa"/>
            <w:tcBorders>
              <w:top w:val="nil"/>
              <w:left w:val="nil"/>
              <w:bottom w:val="single" w:color="auto" w:sz="4" w:space="0"/>
              <w:right w:val="single" w:color="auto" w:sz="4" w:space="0"/>
            </w:tcBorders>
            <w:shd w:val="clear" w:color="000000" w:fill="FFFFFF"/>
            <w:vAlign w:val="center"/>
          </w:tcPr>
          <w:p w14:paraId="3FA78348">
            <w:pPr>
              <w:widowControl/>
              <w:jc w:val="center"/>
              <w:rPr>
                <w:rFonts w:hint="eastAsia" w:ascii="宋体" w:hAnsi="宋体" w:cs="宋体"/>
                <w:color w:val="000000"/>
                <w:kern w:val="0"/>
                <w:sz w:val="24"/>
              </w:rPr>
            </w:pPr>
            <w:r>
              <w:rPr>
                <w:rFonts w:hint="eastAsia" w:ascii="宋体" w:hAnsi="宋体" w:cs="宋体"/>
                <w:color w:val="000000"/>
                <w:kern w:val="0"/>
                <w:sz w:val="24"/>
              </w:rPr>
              <w:t>是</w:t>
            </w:r>
          </w:p>
        </w:tc>
        <w:tc>
          <w:tcPr>
            <w:tcW w:w="952" w:type="dxa"/>
            <w:tcBorders>
              <w:top w:val="nil"/>
              <w:left w:val="nil"/>
              <w:bottom w:val="single" w:color="auto" w:sz="4" w:space="0"/>
              <w:right w:val="single" w:color="auto" w:sz="4" w:space="0"/>
            </w:tcBorders>
            <w:shd w:val="clear" w:color="000000" w:fill="FFFFFF"/>
            <w:vAlign w:val="center"/>
          </w:tcPr>
          <w:p w14:paraId="18643215">
            <w:pPr>
              <w:widowControl/>
              <w:jc w:val="center"/>
              <w:rPr>
                <w:rFonts w:hint="eastAsia" w:ascii="宋体" w:hAnsi="宋体" w:cs="宋体"/>
                <w:color w:val="000000"/>
                <w:kern w:val="0"/>
                <w:sz w:val="24"/>
              </w:rPr>
            </w:pPr>
            <w:r>
              <w:rPr>
                <w:rFonts w:hint="eastAsia" w:ascii="宋体" w:hAnsi="宋体" w:cs="宋体"/>
                <w:color w:val="000000"/>
                <w:kern w:val="0"/>
                <w:sz w:val="24"/>
              </w:rPr>
              <w:t>否</w:t>
            </w:r>
          </w:p>
        </w:tc>
      </w:tr>
      <w:tr w14:paraId="7E1F7E9C">
        <w:tblPrEx>
          <w:tblCellMar>
            <w:top w:w="0" w:type="dxa"/>
            <w:left w:w="108" w:type="dxa"/>
            <w:bottom w:w="0" w:type="dxa"/>
            <w:right w:w="108" w:type="dxa"/>
          </w:tblCellMar>
        </w:tblPrEx>
        <w:trPr>
          <w:trHeight w:val="288" w:hRule="atLeast"/>
        </w:trPr>
        <w:tc>
          <w:tcPr>
            <w:tcW w:w="704" w:type="dxa"/>
            <w:tcBorders>
              <w:top w:val="nil"/>
              <w:left w:val="single" w:color="auto" w:sz="4" w:space="0"/>
              <w:bottom w:val="single" w:color="auto" w:sz="4" w:space="0"/>
              <w:right w:val="single" w:color="auto" w:sz="4" w:space="0"/>
            </w:tcBorders>
            <w:shd w:val="clear" w:color="000000" w:fill="FFFFFF"/>
            <w:vAlign w:val="center"/>
          </w:tcPr>
          <w:p w14:paraId="389AE91A">
            <w:pPr>
              <w:widowControl/>
              <w:jc w:val="center"/>
              <w:rPr>
                <w:rFonts w:hint="eastAsia" w:ascii="宋体" w:hAnsi="宋体" w:cs="宋体"/>
                <w:kern w:val="0"/>
                <w:sz w:val="24"/>
              </w:rPr>
            </w:pPr>
            <w:r>
              <w:rPr>
                <w:rFonts w:hint="eastAsia" w:ascii="宋体" w:hAnsi="宋体" w:cs="宋体"/>
                <w:kern w:val="0"/>
                <w:sz w:val="24"/>
              </w:rPr>
              <w:t>94</w:t>
            </w:r>
          </w:p>
        </w:tc>
        <w:tc>
          <w:tcPr>
            <w:tcW w:w="2851" w:type="dxa"/>
            <w:tcBorders>
              <w:top w:val="nil"/>
              <w:left w:val="nil"/>
              <w:bottom w:val="single" w:color="auto" w:sz="4" w:space="0"/>
              <w:right w:val="single" w:color="auto" w:sz="4" w:space="0"/>
            </w:tcBorders>
            <w:shd w:val="clear" w:color="000000" w:fill="FFFFFF"/>
            <w:vAlign w:val="center"/>
          </w:tcPr>
          <w:p w14:paraId="29ED5274">
            <w:pPr>
              <w:jc w:val="center"/>
              <w:rPr>
                <w:rFonts w:hint="eastAsia" w:ascii="宋体" w:hAnsi="宋体" w:cs="宋体"/>
                <w:sz w:val="24"/>
              </w:rPr>
            </w:pPr>
            <w:r>
              <w:rPr>
                <w:rFonts w:hint="eastAsia" w:ascii="宋体" w:hAnsi="宋体" w:cs="宋体"/>
                <w:sz w:val="24"/>
              </w:rPr>
              <w:t>孕酮定标液</w:t>
            </w:r>
          </w:p>
        </w:tc>
        <w:tc>
          <w:tcPr>
            <w:tcW w:w="1276" w:type="dxa"/>
            <w:tcBorders>
              <w:top w:val="nil"/>
              <w:left w:val="nil"/>
              <w:bottom w:val="single" w:color="auto" w:sz="4" w:space="0"/>
              <w:right w:val="single" w:color="auto" w:sz="4" w:space="0"/>
            </w:tcBorders>
            <w:shd w:val="clear" w:color="000000" w:fill="FFFFFF"/>
            <w:vAlign w:val="center"/>
          </w:tcPr>
          <w:p w14:paraId="1080F4F9">
            <w:pPr>
              <w:widowControl/>
              <w:jc w:val="center"/>
              <w:rPr>
                <w:rFonts w:hint="eastAsia" w:ascii="宋体" w:hAnsi="宋体" w:cs="宋体"/>
                <w:kern w:val="0"/>
                <w:sz w:val="24"/>
              </w:rPr>
            </w:pPr>
            <w:r>
              <w:rPr>
                <w:rFonts w:hint="eastAsia" w:ascii="宋体" w:hAnsi="宋体" w:cs="宋体"/>
                <w:kern w:val="0"/>
                <w:sz w:val="24"/>
              </w:rPr>
              <w:t>300</w:t>
            </w:r>
          </w:p>
        </w:tc>
        <w:tc>
          <w:tcPr>
            <w:tcW w:w="992" w:type="dxa"/>
            <w:tcBorders>
              <w:top w:val="nil"/>
              <w:left w:val="nil"/>
              <w:bottom w:val="single" w:color="auto" w:sz="4" w:space="0"/>
              <w:right w:val="single" w:color="auto" w:sz="4" w:space="0"/>
            </w:tcBorders>
            <w:shd w:val="clear" w:color="000000" w:fill="FFFFFF"/>
            <w:vAlign w:val="center"/>
          </w:tcPr>
          <w:p w14:paraId="3E42BD36">
            <w:pPr>
              <w:widowControl/>
              <w:jc w:val="center"/>
              <w:rPr>
                <w:rFonts w:hint="eastAsia" w:ascii="宋体" w:hAnsi="宋体" w:cs="宋体"/>
                <w:kern w:val="0"/>
                <w:sz w:val="24"/>
              </w:rPr>
            </w:pPr>
            <w:r>
              <w:rPr>
                <w:rFonts w:hint="eastAsia" w:ascii="宋体" w:hAnsi="宋体" w:cs="宋体"/>
                <w:kern w:val="0"/>
                <w:sz w:val="24"/>
              </w:rPr>
              <w:t>ml</w:t>
            </w:r>
          </w:p>
        </w:tc>
        <w:tc>
          <w:tcPr>
            <w:tcW w:w="992" w:type="dxa"/>
            <w:tcBorders>
              <w:top w:val="nil"/>
              <w:left w:val="nil"/>
              <w:bottom w:val="single" w:color="auto" w:sz="4" w:space="0"/>
              <w:right w:val="single" w:color="auto" w:sz="4" w:space="0"/>
            </w:tcBorders>
            <w:shd w:val="clear" w:color="000000" w:fill="FFFFFF"/>
            <w:noWrap/>
            <w:vAlign w:val="center"/>
          </w:tcPr>
          <w:p w14:paraId="2161A8C5">
            <w:pPr>
              <w:widowControl/>
              <w:jc w:val="center"/>
              <w:rPr>
                <w:rFonts w:hint="eastAsia" w:ascii="宋体" w:hAnsi="宋体" w:cs="宋体"/>
                <w:kern w:val="0"/>
                <w:sz w:val="24"/>
              </w:rPr>
            </w:pPr>
            <w:r>
              <w:rPr>
                <w:rFonts w:hint="eastAsia" w:ascii="宋体" w:hAnsi="宋体" w:cs="宋体"/>
                <w:kern w:val="0"/>
                <w:sz w:val="24"/>
              </w:rPr>
              <w:t>4</w:t>
            </w:r>
          </w:p>
        </w:tc>
        <w:tc>
          <w:tcPr>
            <w:tcW w:w="851" w:type="dxa"/>
            <w:tcBorders>
              <w:top w:val="nil"/>
              <w:left w:val="nil"/>
              <w:bottom w:val="single" w:color="auto" w:sz="4" w:space="0"/>
              <w:right w:val="single" w:color="auto" w:sz="4" w:space="0"/>
            </w:tcBorders>
            <w:shd w:val="clear" w:color="000000" w:fill="FFFFFF"/>
            <w:vAlign w:val="center"/>
          </w:tcPr>
          <w:p w14:paraId="3A94537A">
            <w:pPr>
              <w:widowControl/>
              <w:jc w:val="center"/>
              <w:rPr>
                <w:rFonts w:hint="eastAsia" w:ascii="宋体" w:hAnsi="宋体" w:cs="宋体"/>
                <w:color w:val="000000"/>
                <w:kern w:val="0"/>
                <w:sz w:val="24"/>
              </w:rPr>
            </w:pPr>
            <w:r>
              <w:rPr>
                <w:rFonts w:hint="eastAsia" w:ascii="宋体" w:hAnsi="宋体" w:cs="宋体"/>
                <w:color w:val="000000"/>
                <w:kern w:val="0"/>
                <w:sz w:val="24"/>
              </w:rPr>
              <w:t>是</w:t>
            </w:r>
          </w:p>
        </w:tc>
        <w:tc>
          <w:tcPr>
            <w:tcW w:w="952" w:type="dxa"/>
            <w:tcBorders>
              <w:top w:val="nil"/>
              <w:left w:val="nil"/>
              <w:bottom w:val="single" w:color="auto" w:sz="4" w:space="0"/>
              <w:right w:val="single" w:color="auto" w:sz="4" w:space="0"/>
            </w:tcBorders>
            <w:shd w:val="clear" w:color="000000" w:fill="FFFFFF"/>
            <w:vAlign w:val="center"/>
          </w:tcPr>
          <w:p w14:paraId="675334DA">
            <w:pPr>
              <w:widowControl/>
              <w:jc w:val="center"/>
              <w:rPr>
                <w:rFonts w:hint="eastAsia" w:ascii="宋体" w:hAnsi="宋体" w:cs="宋体"/>
                <w:color w:val="000000"/>
                <w:kern w:val="0"/>
                <w:sz w:val="24"/>
              </w:rPr>
            </w:pPr>
            <w:r>
              <w:rPr>
                <w:rFonts w:hint="eastAsia" w:ascii="宋体" w:hAnsi="宋体" w:cs="宋体"/>
                <w:color w:val="000000"/>
                <w:kern w:val="0"/>
                <w:sz w:val="24"/>
              </w:rPr>
              <w:t>否</w:t>
            </w:r>
          </w:p>
        </w:tc>
      </w:tr>
      <w:tr w14:paraId="3A38712B">
        <w:tblPrEx>
          <w:tblCellMar>
            <w:top w:w="0" w:type="dxa"/>
            <w:left w:w="108" w:type="dxa"/>
            <w:bottom w:w="0" w:type="dxa"/>
            <w:right w:w="108" w:type="dxa"/>
          </w:tblCellMar>
        </w:tblPrEx>
        <w:trPr>
          <w:trHeight w:val="288" w:hRule="atLeast"/>
        </w:trPr>
        <w:tc>
          <w:tcPr>
            <w:tcW w:w="704" w:type="dxa"/>
            <w:tcBorders>
              <w:top w:val="nil"/>
              <w:left w:val="single" w:color="auto" w:sz="4" w:space="0"/>
              <w:bottom w:val="single" w:color="auto" w:sz="4" w:space="0"/>
              <w:right w:val="single" w:color="auto" w:sz="4" w:space="0"/>
            </w:tcBorders>
            <w:shd w:val="clear" w:color="000000" w:fill="FFFFFF"/>
            <w:vAlign w:val="center"/>
          </w:tcPr>
          <w:p w14:paraId="19492AB3">
            <w:pPr>
              <w:widowControl/>
              <w:jc w:val="center"/>
              <w:rPr>
                <w:rFonts w:hint="eastAsia" w:ascii="宋体" w:hAnsi="宋体" w:cs="宋体"/>
                <w:kern w:val="0"/>
                <w:sz w:val="24"/>
              </w:rPr>
            </w:pPr>
            <w:r>
              <w:rPr>
                <w:rFonts w:hint="eastAsia" w:ascii="宋体" w:hAnsi="宋体" w:cs="宋体"/>
                <w:kern w:val="0"/>
                <w:sz w:val="24"/>
              </w:rPr>
              <w:t>95</w:t>
            </w:r>
          </w:p>
        </w:tc>
        <w:tc>
          <w:tcPr>
            <w:tcW w:w="2851" w:type="dxa"/>
            <w:tcBorders>
              <w:top w:val="nil"/>
              <w:left w:val="nil"/>
              <w:bottom w:val="single" w:color="auto" w:sz="4" w:space="0"/>
              <w:right w:val="single" w:color="auto" w:sz="4" w:space="0"/>
            </w:tcBorders>
            <w:shd w:val="clear" w:color="000000" w:fill="FFFFFF"/>
            <w:vAlign w:val="center"/>
          </w:tcPr>
          <w:p w14:paraId="26F7CA9A">
            <w:pPr>
              <w:jc w:val="center"/>
              <w:rPr>
                <w:rFonts w:hint="eastAsia" w:ascii="宋体" w:hAnsi="宋体" w:cs="宋体"/>
                <w:sz w:val="24"/>
              </w:rPr>
            </w:pPr>
            <w:r>
              <w:rPr>
                <w:rFonts w:hint="eastAsia" w:ascii="宋体" w:hAnsi="宋体" w:cs="宋体"/>
                <w:sz w:val="24"/>
              </w:rPr>
              <w:t>孕酮检测试剂盒</w:t>
            </w:r>
          </w:p>
        </w:tc>
        <w:tc>
          <w:tcPr>
            <w:tcW w:w="1276" w:type="dxa"/>
            <w:tcBorders>
              <w:top w:val="nil"/>
              <w:left w:val="nil"/>
              <w:bottom w:val="single" w:color="auto" w:sz="4" w:space="0"/>
              <w:right w:val="single" w:color="auto" w:sz="4" w:space="0"/>
            </w:tcBorders>
            <w:shd w:val="clear" w:color="000000" w:fill="FFFFFF"/>
            <w:vAlign w:val="center"/>
          </w:tcPr>
          <w:p w14:paraId="0B244AEB">
            <w:pPr>
              <w:widowControl/>
              <w:jc w:val="center"/>
              <w:rPr>
                <w:rFonts w:hint="eastAsia" w:ascii="宋体" w:hAnsi="宋体" w:cs="宋体"/>
                <w:kern w:val="0"/>
                <w:sz w:val="24"/>
              </w:rPr>
            </w:pPr>
            <w:r>
              <w:rPr>
                <w:rFonts w:hint="eastAsia" w:ascii="宋体" w:hAnsi="宋体" w:cs="宋体"/>
                <w:kern w:val="0"/>
                <w:sz w:val="24"/>
              </w:rPr>
              <w:t>18.01</w:t>
            </w:r>
          </w:p>
        </w:tc>
        <w:tc>
          <w:tcPr>
            <w:tcW w:w="992" w:type="dxa"/>
            <w:tcBorders>
              <w:top w:val="nil"/>
              <w:left w:val="nil"/>
              <w:bottom w:val="single" w:color="auto" w:sz="4" w:space="0"/>
              <w:right w:val="single" w:color="auto" w:sz="4" w:space="0"/>
            </w:tcBorders>
            <w:shd w:val="clear" w:color="000000" w:fill="FFFFFF"/>
            <w:vAlign w:val="center"/>
          </w:tcPr>
          <w:p w14:paraId="0A5ACC1A">
            <w:pPr>
              <w:widowControl/>
              <w:jc w:val="center"/>
              <w:rPr>
                <w:rFonts w:hint="eastAsia" w:ascii="宋体" w:hAnsi="宋体" w:cs="宋体"/>
                <w:kern w:val="0"/>
                <w:sz w:val="24"/>
              </w:rPr>
            </w:pPr>
            <w:r>
              <w:rPr>
                <w:rFonts w:hint="eastAsia" w:ascii="宋体" w:hAnsi="宋体" w:cs="宋体"/>
                <w:kern w:val="0"/>
                <w:sz w:val="24"/>
              </w:rPr>
              <w:t>人份</w:t>
            </w:r>
          </w:p>
        </w:tc>
        <w:tc>
          <w:tcPr>
            <w:tcW w:w="992" w:type="dxa"/>
            <w:tcBorders>
              <w:top w:val="nil"/>
              <w:left w:val="nil"/>
              <w:bottom w:val="single" w:color="auto" w:sz="4" w:space="0"/>
              <w:right w:val="single" w:color="auto" w:sz="4" w:space="0"/>
            </w:tcBorders>
            <w:shd w:val="clear" w:color="000000" w:fill="FFFFFF"/>
            <w:noWrap/>
            <w:vAlign w:val="center"/>
          </w:tcPr>
          <w:p w14:paraId="5854B3CC">
            <w:pPr>
              <w:widowControl/>
              <w:jc w:val="center"/>
              <w:rPr>
                <w:rFonts w:hint="eastAsia" w:ascii="宋体" w:hAnsi="宋体" w:cs="宋体"/>
                <w:kern w:val="0"/>
                <w:sz w:val="24"/>
              </w:rPr>
            </w:pPr>
            <w:r>
              <w:rPr>
                <w:rFonts w:hint="eastAsia" w:ascii="宋体" w:hAnsi="宋体" w:cs="宋体"/>
                <w:kern w:val="0"/>
                <w:sz w:val="24"/>
              </w:rPr>
              <w:t>1100</w:t>
            </w:r>
          </w:p>
        </w:tc>
        <w:tc>
          <w:tcPr>
            <w:tcW w:w="851" w:type="dxa"/>
            <w:tcBorders>
              <w:top w:val="nil"/>
              <w:left w:val="nil"/>
              <w:bottom w:val="single" w:color="auto" w:sz="4" w:space="0"/>
              <w:right w:val="single" w:color="auto" w:sz="4" w:space="0"/>
            </w:tcBorders>
            <w:shd w:val="clear" w:color="000000" w:fill="FFFFFF"/>
            <w:vAlign w:val="center"/>
          </w:tcPr>
          <w:p w14:paraId="44827559">
            <w:pPr>
              <w:widowControl/>
              <w:jc w:val="center"/>
              <w:rPr>
                <w:rFonts w:hint="eastAsia" w:ascii="宋体" w:hAnsi="宋体" w:cs="宋体"/>
                <w:color w:val="000000"/>
                <w:kern w:val="0"/>
                <w:sz w:val="24"/>
              </w:rPr>
            </w:pPr>
            <w:r>
              <w:rPr>
                <w:rFonts w:hint="eastAsia" w:ascii="宋体" w:hAnsi="宋体" w:cs="宋体"/>
                <w:color w:val="000000"/>
                <w:kern w:val="0"/>
                <w:sz w:val="24"/>
              </w:rPr>
              <w:t>是</w:t>
            </w:r>
          </w:p>
        </w:tc>
        <w:tc>
          <w:tcPr>
            <w:tcW w:w="952" w:type="dxa"/>
            <w:tcBorders>
              <w:top w:val="nil"/>
              <w:left w:val="nil"/>
              <w:bottom w:val="single" w:color="auto" w:sz="4" w:space="0"/>
              <w:right w:val="single" w:color="auto" w:sz="4" w:space="0"/>
            </w:tcBorders>
            <w:shd w:val="clear" w:color="000000" w:fill="FFFFFF"/>
            <w:vAlign w:val="center"/>
          </w:tcPr>
          <w:p w14:paraId="5BDCA1CF">
            <w:pPr>
              <w:widowControl/>
              <w:jc w:val="center"/>
              <w:rPr>
                <w:rFonts w:hint="eastAsia" w:ascii="宋体" w:hAnsi="宋体" w:cs="宋体"/>
                <w:color w:val="000000"/>
                <w:kern w:val="0"/>
                <w:sz w:val="24"/>
              </w:rPr>
            </w:pPr>
            <w:r>
              <w:rPr>
                <w:rFonts w:hint="eastAsia" w:ascii="宋体" w:hAnsi="宋体" w:cs="宋体"/>
                <w:color w:val="000000"/>
                <w:kern w:val="0"/>
                <w:sz w:val="24"/>
              </w:rPr>
              <w:t>否</w:t>
            </w:r>
          </w:p>
        </w:tc>
      </w:tr>
      <w:tr w14:paraId="3582441B">
        <w:tblPrEx>
          <w:tblCellMar>
            <w:top w:w="0" w:type="dxa"/>
            <w:left w:w="108" w:type="dxa"/>
            <w:bottom w:w="0" w:type="dxa"/>
            <w:right w:w="108" w:type="dxa"/>
          </w:tblCellMar>
        </w:tblPrEx>
        <w:trPr>
          <w:trHeight w:val="288" w:hRule="atLeast"/>
        </w:trPr>
        <w:tc>
          <w:tcPr>
            <w:tcW w:w="704" w:type="dxa"/>
            <w:tcBorders>
              <w:top w:val="nil"/>
              <w:left w:val="single" w:color="auto" w:sz="4" w:space="0"/>
              <w:bottom w:val="single" w:color="auto" w:sz="4" w:space="0"/>
              <w:right w:val="single" w:color="auto" w:sz="4" w:space="0"/>
            </w:tcBorders>
            <w:shd w:val="clear" w:color="000000" w:fill="FFFFFF"/>
            <w:vAlign w:val="center"/>
          </w:tcPr>
          <w:p w14:paraId="225A58D6">
            <w:pPr>
              <w:widowControl/>
              <w:jc w:val="center"/>
              <w:rPr>
                <w:rFonts w:hint="eastAsia" w:ascii="宋体" w:hAnsi="宋体" w:cs="宋体"/>
                <w:kern w:val="0"/>
                <w:sz w:val="24"/>
              </w:rPr>
            </w:pPr>
            <w:r>
              <w:rPr>
                <w:rFonts w:hint="eastAsia" w:ascii="宋体" w:hAnsi="宋体" w:cs="宋体"/>
                <w:kern w:val="0"/>
                <w:sz w:val="24"/>
              </w:rPr>
              <w:t>96</w:t>
            </w:r>
          </w:p>
        </w:tc>
        <w:tc>
          <w:tcPr>
            <w:tcW w:w="2851" w:type="dxa"/>
            <w:tcBorders>
              <w:top w:val="nil"/>
              <w:left w:val="nil"/>
              <w:bottom w:val="single" w:color="auto" w:sz="4" w:space="0"/>
              <w:right w:val="single" w:color="auto" w:sz="4" w:space="0"/>
            </w:tcBorders>
            <w:shd w:val="clear" w:color="000000" w:fill="FFFFFF"/>
            <w:vAlign w:val="center"/>
          </w:tcPr>
          <w:p w14:paraId="7F0ED7E4">
            <w:pPr>
              <w:jc w:val="center"/>
              <w:rPr>
                <w:rFonts w:hint="eastAsia" w:ascii="宋体" w:hAnsi="宋体" w:cs="宋体"/>
                <w:sz w:val="24"/>
              </w:rPr>
            </w:pPr>
            <w:r>
              <w:rPr>
                <w:rFonts w:hint="eastAsia" w:ascii="宋体" w:hAnsi="宋体" w:cs="宋体"/>
                <w:sz w:val="24"/>
              </w:rPr>
              <w:t>肿瘤标志物质控品</w:t>
            </w:r>
          </w:p>
        </w:tc>
        <w:tc>
          <w:tcPr>
            <w:tcW w:w="1276" w:type="dxa"/>
            <w:tcBorders>
              <w:top w:val="nil"/>
              <w:left w:val="nil"/>
              <w:bottom w:val="single" w:color="auto" w:sz="4" w:space="0"/>
              <w:right w:val="single" w:color="auto" w:sz="4" w:space="0"/>
            </w:tcBorders>
            <w:shd w:val="clear" w:color="000000" w:fill="FFFFFF"/>
            <w:vAlign w:val="center"/>
          </w:tcPr>
          <w:p w14:paraId="777D30F9">
            <w:pPr>
              <w:widowControl/>
              <w:jc w:val="center"/>
              <w:rPr>
                <w:rFonts w:hint="eastAsia" w:ascii="宋体" w:hAnsi="宋体" w:cs="宋体"/>
                <w:kern w:val="0"/>
                <w:sz w:val="24"/>
              </w:rPr>
            </w:pPr>
            <w:r>
              <w:rPr>
                <w:rFonts w:hint="eastAsia" w:ascii="宋体" w:hAnsi="宋体" w:cs="宋体"/>
                <w:kern w:val="0"/>
                <w:sz w:val="24"/>
              </w:rPr>
              <w:t>275</w:t>
            </w:r>
          </w:p>
        </w:tc>
        <w:tc>
          <w:tcPr>
            <w:tcW w:w="992" w:type="dxa"/>
            <w:tcBorders>
              <w:top w:val="nil"/>
              <w:left w:val="nil"/>
              <w:bottom w:val="single" w:color="auto" w:sz="4" w:space="0"/>
              <w:right w:val="single" w:color="auto" w:sz="4" w:space="0"/>
            </w:tcBorders>
            <w:shd w:val="clear" w:color="000000" w:fill="FFFFFF"/>
            <w:vAlign w:val="center"/>
          </w:tcPr>
          <w:p w14:paraId="18CCB712">
            <w:pPr>
              <w:widowControl/>
              <w:jc w:val="center"/>
              <w:rPr>
                <w:rFonts w:hint="eastAsia" w:ascii="宋体" w:hAnsi="宋体" w:cs="宋体"/>
                <w:kern w:val="0"/>
                <w:sz w:val="24"/>
              </w:rPr>
            </w:pPr>
            <w:r>
              <w:rPr>
                <w:rFonts w:hint="eastAsia" w:ascii="宋体" w:hAnsi="宋体" w:cs="宋体"/>
                <w:kern w:val="0"/>
                <w:sz w:val="24"/>
              </w:rPr>
              <w:t>ml</w:t>
            </w:r>
          </w:p>
        </w:tc>
        <w:tc>
          <w:tcPr>
            <w:tcW w:w="992" w:type="dxa"/>
            <w:tcBorders>
              <w:top w:val="nil"/>
              <w:left w:val="nil"/>
              <w:bottom w:val="single" w:color="auto" w:sz="4" w:space="0"/>
              <w:right w:val="single" w:color="auto" w:sz="4" w:space="0"/>
            </w:tcBorders>
            <w:shd w:val="clear" w:color="000000" w:fill="FFFFFF"/>
            <w:noWrap/>
            <w:vAlign w:val="center"/>
          </w:tcPr>
          <w:p w14:paraId="0097F5B3">
            <w:pPr>
              <w:widowControl/>
              <w:jc w:val="center"/>
              <w:rPr>
                <w:rFonts w:hint="eastAsia" w:ascii="宋体" w:hAnsi="宋体" w:cs="宋体"/>
                <w:kern w:val="0"/>
                <w:sz w:val="24"/>
              </w:rPr>
            </w:pPr>
            <w:r>
              <w:rPr>
                <w:rFonts w:hint="eastAsia" w:ascii="宋体" w:hAnsi="宋体" w:cs="宋体"/>
                <w:kern w:val="0"/>
                <w:sz w:val="24"/>
              </w:rPr>
              <w:t>216</w:t>
            </w:r>
          </w:p>
        </w:tc>
        <w:tc>
          <w:tcPr>
            <w:tcW w:w="851" w:type="dxa"/>
            <w:tcBorders>
              <w:top w:val="nil"/>
              <w:left w:val="nil"/>
              <w:bottom w:val="single" w:color="auto" w:sz="4" w:space="0"/>
              <w:right w:val="single" w:color="auto" w:sz="4" w:space="0"/>
            </w:tcBorders>
            <w:shd w:val="clear" w:color="000000" w:fill="FFFFFF"/>
            <w:vAlign w:val="center"/>
          </w:tcPr>
          <w:p w14:paraId="60B9846E">
            <w:pPr>
              <w:widowControl/>
              <w:jc w:val="center"/>
              <w:rPr>
                <w:rFonts w:hint="eastAsia" w:ascii="宋体" w:hAnsi="宋体" w:cs="宋体"/>
                <w:color w:val="000000"/>
                <w:kern w:val="0"/>
                <w:sz w:val="24"/>
              </w:rPr>
            </w:pPr>
            <w:r>
              <w:rPr>
                <w:rFonts w:hint="eastAsia" w:ascii="宋体" w:hAnsi="宋体" w:cs="宋体"/>
                <w:color w:val="000000"/>
                <w:kern w:val="0"/>
                <w:sz w:val="24"/>
              </w:rPr>
              <w:t>是</w:t>
            </w:r>
          </w:p>
        </w:tc>
        <w:tc>
          <w:tcPr>
            <w:tcW w:w="952" w:type="dxa"/>
            <w:tcBorders>
              <w:top w:val="nil"/>
              <w:left w:val="nil"/>
              <w:bottom w:val="single" w:color="auto" w:sz="4" w:space="0"/>
              <w:right w:val="single" w:color="auto" w:sz="4" w:space="0"/>
            </w:tcBorders>
            <w:shd w:val="clear" w:color="000000" w:fill="FFFFFF"/>
            <w:vAlign w:val="center"/>
          </w:tcPr>
          <w:p w14:paraId="481A56D7">
            <w:pPr>
              <w:widowControl/>
              <w:jc w:val="center"/>
              <w:rPr>
                <w:rFonts w:hint="eastAsia" w:ascii="宋体" w:hAnsi="宋体" w:cs="宋体"/>
                <w:color w:val="000000"/>
                <w:kern w:val="0"/>
                <w:sz w:val="24"/>
              </w:rPr>
            </w:pPr>
            <w:r>
              <w:rPr>
                <w:rFonts w:hint="eastAsia" w:ascii="宋体" w:hAnsi="宋体" w:cs="宋体"/>
                <w:color w:val="000000"/>
                <w:kern w:val="0"/>
                <w:sz w:val="24"/>
              </w:rPr>
              <w:t>否</w:t>
            </w:r>
          </w:p>
        </w:tc>
      </w:tr>
      <w:tr w14:paraId="183F6791">
        <w:tblPrEx>
          <w:tblCellMar>
            <w:top w:w="0" w:type="dxa"/>
            <w:left w:w="108" w:type="dxa"/>
            <w:bottom w:w="0" w:type="dxa"/>
            <w:right w:w="108" w:type="dxa"/>
          </w:tblCellMar>
        </w:tblPrEx>
        <w:trPr>
          <w:trHeight w:val="576" w:hRule="atLeast"/>
        </w:trPr>
        <w:tc>
          <w:tcPr>
            <w:tcW w:w="704" w:type="dxa"/>
            <w:tcBorders>
              <w:top w:val="nil"/>
              <w:left w:val="single" w:color="auto" w:sz="4" w:space="0"/>
              <w:bottom w:val="single" w:color="auto" w:sz="4" w:space="0"/>
              <w:right w:val="single" w:color="auto" w:sz="4" w:space="0"/>
            </w:tcBorders>
            <w:shd w:val="clear" w:color="000000" w:fill="FFFFFF"/>
            <w:vAlign w:val="center"/>
          </w:tcPr>
          <w:p w14:paraId="617B9D05">
            <w:pPr>
              <w:widowControl/>
              <w:jc w:val="center"/>
              <w:rPr>
                <w:rFonts w:hint="eastAsia" w:ascii="宋体" w:hAnsi="宋体" w:cs="宋体"/>
                <w:kern w:val="0"/>
                <w:sz w:val="24"/>
              </w:rPr>
            </w:pPr>
            <w:r>
              <w:rPr>
                <w:rFonts w:hint="eastAsia" w:ascii="宋体" w:hAnsi="宋体" w:cs="宋体"/>
                <w:kern w:val="0"/>
                <w:sz w:val="24"/>
              </w:rPr>
              <w:t>97</w:t>
            </w:r>
          </w:p>
        </w:tc>
        <w:tc>
          <w:tcPr>
            <w:tcW w:w="2851" w:type="dxa"/>
            <w:tcBorders>
              <w:top w:val="nil"/>
              <w:left w:val="nil"/>
              <w:bottom w:val="single" w:color="auto" w:sz="4" w:space="0"/>
              <w:right w:val="single" w:color="auto" w:sz="4" w:space="0"/>
            </w:tcBorders>
            <w:shd w:val="clear" w:color="000000" w:fill="FFFFFF"/>
            <w:vAlign w:val="center"/>
          </w:tcPr>
          <w:p w14:paraId="5E43A128">
            <w:pPr>
              <w:jc w:val="center"/>
              <w:rPr>
                <w:rFonts w:hint="eastAsia" w:ascii="宋体" w:hAnsi="宋体" w:cs="宋体"/>
                <w:sz w:val="24"/>
              </w:rPr>
            </w:pPr>
            <w:r>
              <w:rPr>
                <w:rFonts w:hint="eastAsia" w:ascii="宋体" w:hAnsi="宋体" w:cs="宋体"/>
                <w:sz w:val="24"/>
              </w:rPr>
              <w:t>总I型胶原氨基端延长肽定标液</w:t>
            </w:r>
          </w:p>
        </w:tc>
        <w:tc>
          <w:tcPr>
            <w:tcW w:w="1276" w:type="dxa"/>
            <w:tcBorders>
              <w:top w:val="nil"/>
              <w:left w:val="nil"/>
              <w:bottom w:val="single" w:color="auto" w:sz="4" w:space="0"/>
              <w:right w:val="single" w:color="auto" w:sz="4" w:space="0"/>
            </w:tcBorders>
            <w:shd w:val="clear" w:color="000000" w:fill="FFFFFF"/>
            <w:vAlign w:val="center"/>
          </w:tcPr>
          <w:p w14:paraId="638A5B4A">
            <w:pPr>
              <w:widowControl/>
              <w:jc w:val="center"/>
              <w:rPr>
                <w:rFonts w:hint="eastAsia" w:ascii="宋体" w:hAnsi="宋体" w:cs="宋体"/>
                <w:kern w:val="0"/>
                <w:sz w:val="24"/>
              </w:rPr>
            </w:pPr>
            <w:r>
              <w:rPr>
                <w:rFonts w:hint="eastAsia" w:ascii="宋体" w:hAnsi="宋体" w:cs="宋体"/>
                <w:kern w:val="0"/>
                <w:sz w:val="24"/>
              </w:rPr>
              <w:t>537.5</w:t>
            </w:r>
          </w:p>
        </w:tc>
        <w:tc>
          <w:tcPr>
            <w:tcW w:w="992" w:type="dxa"/>
            <w:tcBorders>
              <w:top w:val="nil"/>
              <w:left w:val="nil"/>
              <w:bottom w:val="single" w:color="auto" w:sz="4" w:space="0"/>
              <w:right w:val="single" w:color="auto" w:sz="4" w:space="0"/>
            </w:tcBorders>
            <w:shd w:val="clear" w:color="000000" w:fill="FFFFFF"/>
            <w:vAlign w:val="center"/>
          </w:tcPr>
          <w:p w14:paraId="4DDD04F7">
            <w:pPr>
              <w:widowControl/>
              <w:jc w:val="center"/>
              <w:rPr>
                <w:rFonts w:hint="eastAsia" w:ascii="宋体" w:hAnsi="宋体" w:cs="宋体"/>
                <w:kern w:val="0"/>
                <w:sz w:val="24"/>
              </w:rPr>
            </w:pPr>
            <w:r>
              <w:rPr>
                <w:rFonts w:hint="eastAsia" w:ascii="宋体" w:hAnsi="宋体" w:cs="宋体"/>
                <w:kern w:val="0"/>
                <w:sz w:val="24"/>
              </w:rPr>
              <w:t>ml</w:t>
            </w:r>
          </w:p>
        </w:tc>
        <w:tc>
          <w:tcPr>
            <w:tcW w:w="992" w:type="dxa"/>
            <w:tcBorders>
              <w:top w:val="nil"/>
              <w:left w:val="nil"/>
              <w:bottom w:val="single" w:color="auto" w:sz="4" w:space="0"/>
              <w:right w:val="single" w:color="auto" w:sz="4" w:space="0"/>
            </w:tcBorders>
            <w:shd w:val="clear" w:color="000000" w:fill="FFFFFF"/>
            <w:noWrap/>
            <w:vAlign w:val="center"/>
          </w:tcPr>
          <w:p w14:paraId="331464D4">
            <w:pPr>
              <w:widowControl/>
              <w:jc w:val="center"/>
              <w:rPr>
                <w:rFonts w:hint="eastAsia" w:ascii="宋体" w:hAnsi="宋体" w:cs="宋体"/>
                <w:kern w:val="0"/>
                <w:sz w:val="24"/>
              </w:rPr>
            </w:pPr>
            <w:r>
              <w:rPr>
                <w:rFonts w:hint="eastAsia" w:ascii="宋体" w:hAnsi="宋体" w:cs="宋体"/>
                <w:kern w:val="0"/>
                <w:sz w:val="24"/>
              </w:rPr>
              <w:t>4</w:t>
            </w:r>
          </w:p>
        </w:tc>
        <w:tc>
          <w:tcPr>
            <w:tcW w:w="851" w:type="dxa"/>
            <w:tcBorders>
              <w:top w:val="nil"/>
              <w:left w:val="nil"/>
              <w:bottom w:val="single" w:color="auto" w:sz="4" w:space="0"/>
              <w:right w:val="single" w:color="auto" w:sz="4" w:space="0"/>
            </w:tcBorders>
            <w:shd w:val="clear" w:color="000000" w:fill="FFFFFF"/>
            <w:vAlign w:val="center"/>
          </w:tcPr>
          <w:p w14:paraId="306CDE7A">
            <w:pPr>
              <w:widowControl/>
              <w:jc w:val="center"/>
              <w:rPr>
                <w:rFonts w:hint="eastAsia" w:ascii="宋体" w:hAnsi="宋体" w:cs="宋体"/>
                <w:color w:val="000000"/>
                <w:kern w:val="0"/>
                <w:sz w:val="24"/>
              </w:rPr>
            </w:pPr>
            <w:r>
              <w:rPr>
                <w:rFonts w:hint="eastAsia" w:ascii="宋体" w:hAnsi="宋体" w:cs="宋体"/>
                <w:color w:val="000000"/>
                <w:kern w:val="0"/>
                <w:sz w:val="24"/>
              </w:rPr>
              <w:t>是</w:t>
            </w:r>
          </w:p>
        </w:tc>
        <w:tc>
          <w:tcPr>
            <w:tcW w:w="952" w:type="dxa"/>
            <w:tcBorders>
              <w:top w:val="nil"/>
              <w:left w:val="nil"/>
              <w:bottom w:val="single" w:color="auto" w:sz="4" w:space="0"/>
              <w:right w:val="single" w:color="auto" w:sz="4" w:space="0"/>
            </w:tcBorders>
            <w:shd w:val="clear" w:color="000000" w:fill="FFFFFF"/>
            <w:vAlign w:val="center"/>
          </w:tcPr>
          <w:p w14:paraId="5B9FB068">
            <w:pPr>
              <w:widowControl/>
              <w:jc w:val="center"/>
              <w:rPr>
                <w:rFonts w:hint="eastAsia" w:ascii="宋体" w:hAnsi="宋体" w:cs="宋体"/>
                <w:color w:val="000000"/>
                <w:kern w:val="0"/>
                <w:sz w:val="24"/>
              </w:rPr>
            </w:pPr>
            <w:r>
              <w:rPr>
                <w:rFonts w:hint="eastAsia" w:ascii="宋体" w:hAnsi="宋体" w:cs="宋体"/>
                <w:color w:val="000000"/>
                <w:kern w:val="0"/>
                <w:sz w:val="24"/>
              </w:rPr>
              <w:t>否</w:t>
            </w:r>
          </w:p>
        </w:tc>
      </w:tr>
      <w:tr w14:paraId="3F9E8631">
        <w:tblPrEx>
          <w:tblCellMar>
            <w:top w:w="0" w:type="dxa"/>
            <w:left w:w="108" w:type="dxa"/>
            <w:bottom w:w="0" w:type="dxa"/>
            <w:right w:w="108" w:type="dxa"/>
          </w:tblCellMar>
        </w:tblPrEx>
        <w:trPr>
          <w:trHeight w:val="576" w:hRule="atLeast"/>
        </w:trPr>
        <w:tc>
          <w:tcPr>
            <w:tcW w:w="704" w:type="dxa"/>
            <w:tcBorders>
              <w:top w:val="nil"/>
              <w:left w:val="single" w:color="auto" w:sz="4" w:space="0"/>
              <w:bottom w:val="single" w:color="auto" w:sz="4" w:space="0"/>
              <w:right w:val="single" w:color="auto" w:sz="4" w:space="0"/>
            </w:tcBorders>
            <w:shd w:val="clear" w:color="000000" w:fill="FFFFFF"/>
            <w:vAlign w:val="center"/>
          </w:tcPr>
          <w:p w14:paraId="5374DAB9">
            <w:pPr>
              <w:widowControl/>
              <w:jc w:val="center"/>
              <w:rPr>
                <w:rFonts w:hint="eastAsia" w:ascii="宋体" w:hAnsi="宋体" w:cs="宋体"/>
                <w:kern w:val="0"/>
                <w:sz w:val="24"/>
              </w:rPr>
            </w:pPr>
            <w:r>
              <w:rPr>
                <w:rFonts w:hint="eastAsia" w:ascii="宋体" w:hAnsi="宋体" w:cs="宋体"/>
                <w:kern w:val="0"/>
                <w:sz w:val="24"/>
              </w:rPr>
              <w:t>98</w:t>
            </w:r>
          </w:p>
        </w:tc>
        <w:tc>
          <w:tcPr>
            <w:tcW w:w="2851" w:type="dxa"/>
            <w:tcBorders>
              <w:top w:val="nil"/>
              <w:left w:val="nil"/>
              <w:bottom w:val="single" w:color="auto" w:sz="4" w:space="0"/>
              <w:right w:val="single" w:color="auto" w:sz="4" w:space="0"/>
            </w:tcBorders>
            <w:shd w:val="clear" w:color="000000" w:fill="FFFFFF"/>
            <w:vAlign w:val="center"/>
          </w:tcPr>
          <w:p w14:paraId="44F7DC20">
            <w:pPr>
              <w:jc w:val="center"/>
              <w:rPr>
                <w:rFonts w:hint="eastAsia" w:ascii="宋体" w:hAnsi="宋体" w:cs="宋体"/>
                <w:sz w:val="24"/>
              </w:rPr>
            </w:pPr>
            <w:r>
              <w:rPr>
                <w:rFonts w:hint="eastAsia" w:ascii="宋体" w:hAnsi="宋体" w:cs="宋体"/>
                <w:sz w:val="24"/>
              </w:rPr>
              <w:t>总I型胶原氨基端延长肽检测试剂盒</w:t>
            </w:r>
          </w:p>
        </w:tc>
        <w:tc>
          <w:tcPr>
            <w:tcW w:w="1276" w:type="dxa"/>
            <w:tcBorders>
              <w:top w:val="nil"/>
              <w:left w:val="nil"/>
              <w:bottom w:val="single" w:color="auto" w:sz="4" w:space="0"/>
              <w:right w:val="single" w:color="auto" w:sz="4" w:space="0"/>
            </w:tcBorders>
            <w:shd w:val="clear" w:color="000000" w:fill="FFFFFF"/>
            <w:vAlign w:val="center"/>
          </w:tcPr>
          <w:p w14:paraId="73C48732">
            <w:pPr>
              <w:widowControl/>
              <w:jc w:val="center"/>
              <w:rPr>
                <w:rFonts w:hint="eastAsia" w:ascii="宋体" w:hAnsi="宋体" w:cs="宋体"/>
                <w:kern w:val="0"/>
                <w:sz w:val="24"/>
              </w:rPr>
            </w:pPr>
            <w:r>
              <w:rPr>
                <w:rFonts w:hint="eastAsia" w:ascii="宋体" w:hAnsi="宋体" w:cs="宋体"/>
                <w:kern w:val="0"/>
                <w:sz w:val="24"/>
              </w:rPr>
              <w:t>44</w:t>
            </w:r>
          </w:p>
        </w:tc>
        <w:tc>
          <w:tcPr>
            <w:tcW w:w="992" w:type="dxa"/>
            <w:tcBorders>
              <w:top w:val="nil"/>
              <w:left w:val="nil"/>
              <w:bottom w:val="single" w:color="auto" w:sz="4" w:space="0"/>
              <w:right w:val="single" w:color="auto" w:sz="4" w:space="0"/>
            </w:tcBorders>
            <w:shd w:val="clear" w:color="000000" w:fill="FFFFFF"/>
            <w:vAlign w:val="center"/>
          </w:tcPr>
          <w:p w14:paraId="5583859E">
            <w:pPr>
              <w:widowControl/>
              <w:jc w:val="center"/>
              <w:rPr>
                <w:rFonts w:hint="eastAsia" w:ascii="宋体" w:hAnsi="宋体" w:cs="宋体"/>
                <w:kern w:val="0"/>
                <w:sz w:val="24"/>
              </w:rPr>
            </w:pPr>
            <w:r>
              <w:rPr>
                <w:rFonts w:hint="eastAsia" w:ascii="宋体" w:hAnsi="宋体" w:cs="宋体"/>
                <w:kern w:val="0"/>
                <w:sz w:val="24"/>
              </w:rPr>
              <w:t>人份</w:t>
            </w:r>
          </w:p>
        </w:tc>
        <w:tc>
          <w:tcPr>
            <w:tcW w:w="992" w:type="dxa"/>
            <w:tcBorders>
              <w:top w:val="nil"/>
              <w:left w:val="nil"/>
              <w:bottom w:val="single" w:color="auto" w:sz="4" w:space="0"/>
              <w:right w:val="single" w:color="auto" w:sz="4" w:space="0"/>
            </w:tcBorders>
            <w:shd w:val="clear" w:color="000000" w:fill="FFFFFF"/>
            <w:noWrap/>
            <w:vAlign w:val="center"/>
          </w:tcPr>
          <w:p w14:paraId="31A9F35D">
            <w:pPr>
              <w:widowControl/>
              <w:jc w:val="center"/>
              <w:rPr>
                <w:rFonts w:hint="eastAsia" w:ascii="宋体" w:hAnsi="宋体" w:cs="宋体"/>
                <w:kern w:val="0"/>
                <w:sz w:val="24"/>
              </w:rPr>
            </w:pPr>
            <w:r>
              <w:rPr>
                <w:rFonts w:hint="eastAsia" w:ascii="宋体" w:hAnsi="宋体" w:cs="宋体"/>
                <w:kern w:val="0"/>
                <w:sz w:val="24"/>
              </w:rPr>
              <w:t>3000</w:t>
            </w:r>
          </w:p>
        </w:tc>
        <w:tc>
          <w:tcPr>
            <w:tcW w:w="851" w:type="dxa"/>
            <w:tcBorders>
              <w:top w:val="nil"/>
              <w:left w:val="nil"/>
              <w:bottom w:val="single" w:color="auto" w:sz="4" w:space="0"/>
              <w:right w:val="single" w:color="auto" w:sz="4" w:space="0"/>
            </w:tcBorders>
            <w:shd w:val="clear" w:color="000000" w:fill="FFFFFF"/>
            <w:vAlign w:val="center"/>
          </w:tcPr>
          <w:p w14:paraId="5FE9FF04">
            <w:pPr>
              <w:widowControl/>
              <w:jc w:val="center"/>
              <w:rPr>
                <w:rFonts w:hint="eastAsia" w:ascii="宋体" w:hAnsi="宋体" w:cs="宋体"/>
                <w:color w:val="000000"/>
                <w:kern w:val="0"/>
                <w:sz w:val="24"/>
              </w:rPr>
            </w:pPr>
            <w:r>
              <w:rPr>
                <w:rFonts w:hint="eastAsia" w:ascii="宋体" w:hAnsi="宋体" w:cs="宋体"/>
                <w:color w:val="000000"/>
                <w:kern w:val="0"/>
                <w:sz w:val="24"/>
              </w:rPr>
              <w:t>是</w:t>
            </w:r>
          </w:p>
        </w:tc>
        <w:tc>
          <w:tcPr>
            <w:tcW w:w="952" w:type="dxa"/>
            <w:tcBorders>
              <w:top w:val="nil"/>
              <w:left w:val="nil"/>
              <w:bottom w:val="single" w:color="auto" w:sz="4" w:space="0"/>
              <w:right w:val="single" w:color="auto" w:sz="4" w:space="0"/>
            </w:tcBorders>
            <w:shd w:val="clear" w:color="000000" w:fill="FFFFFF"/>
            <w:vAlign w:val="center"/>
          </w:tcPr>
          <w:p w14:paraId="2EE91A31">
            <w:pPr>
              <w:widowControl/>
              <w:jc w:val="center"/>
              <w:rPr>
                <w:rFonts w:hint="eastAsia" w:ascii="宋体" w:hAnsi="宋体" w:cs="宋体"/>
                <w:color w:val="000000"/>
                <w:kern w:val="0"/>
                <w:sz w:val="24"/>
              </w:rPr>
            </w:pPr>
            <w:r>
              <w:rPr>
                <w:rFonts w:hint="eastAsia" w:ascii="宋体" w:hAnsi="宋体" w:cs="宋体"/>
                <w:color w:val="000000"/>
                <w:kern w:val="0"/>
                <w:sz w:val="24"/>
              </w:rPr>
              <w:t>否</w:t>
            </w:r>
          </w:p>
        </w:tc>
      </w:tr>
      <w:tr w14:paraId="24494805">
        <w:tblPrEx>
          <w:tblCellMar>
            <w:top w:w="0" w:type="dxa"/>
            <w:left w:w="108" w:type="dxa"/>
            <w:bottom w:w="0" w:type="dxa"/>
            <w:right w:w="108" w:type="dxa"/>
          </w:tblCellMar>
        </w:tblPrEx>
        <w:trPr>
          <w:trHeight w:val="576" w:hRule="atLeast"/>
        </w:trPr>
        <w:tc>
          <w:tcPr>
            <w:tcW w:w="704" w:type="dxa"/>
            <w:tcBorders>
              <w:top w:val="nil"/>
              <w:left w:val="single" w:color="auto" w:sz="4" w:space="0"/>
              <w:bottom w:val="single" w:color="auto" w:sz="4" w:space="0"/>
              <w:right w:val="single" w:color="auto" w:sz="4" w:space="0"/>
            </w:tcBorders>
            <w:shd w:val="clear" w:color="000000" w:fill="FFFFFF"/>
            <w:vAlign w:val="center"/>
          </w:tcPr>
          <w:p w14:paraId="3F8EEF13">
            <w:pPr>
              <w:widowControl/>
              <w:jc w:val="center"/>
              <w:rPr>
                <w:rFonts w:hint="eastAsia" w:ascii="宋体" w:hAnsi="宋体" w:cs="宋体"/>
                <w:kern w:val="0"/>
                <w:sz w:val="24"/>
              </w:rPr>
            </w:pPr>
            <w:r>
              <w:rPr>
                <w:rFonts w:hint="eastAsia" w:ascii="宋体" w:hAnsi="宋体" w:cs="宋体"/>
                <w:kern w:val="0"/>
                <w:sz w:val="24"/>
              </w:rPr>
              <w:t>99</w:t>
            </w:r>
          </w:p>
        </w:tc>
        <w:tc>
          <w:tcPr>
            <w:tcW w:w="2851" w:type="dxa"/>
            <w:tcBorders>
              <w:top w:val="nil"/>
              <w:left w:val="nil"/>
              <w:bottom w:val="single" w:color="auto" w:sz="4" w:space="0"/>
              <w:right w:val="single" w:color="auto" w:sz="4" w:space="0"/>
            </w:tcBorders>
            <w:shd w:val="clear" w:color="000000" w:fill="FFFFFF"/>
            <w:vAlign w:val="center"/>
          </w:tcPr>
          <w:p w14:paraId="69768D9B">
            <w:pPr>
              <w:jc w:val="center"/>
              <w:rPr>
                <w:rFonts w:hint="eastAsia" w:ascii="宋体" w:hAnsi="宋体" w:cs="宋体"/>
                <w:sz w:val="24"/>
              </w:rPr>
            </w:pPr>
            <w:r>
              <w:rPr>
                <w:rFonts w:hint="eastAsia" w:ascii="宋体" w:hAnsi="宋体" w:cs="宋体"/>
                <w:sz w:val="24"/>
              </w:rPr>
              <w:t>总前列腺特异性抗原（PSA）测定试剂盒</w:t>
            </w:r>
          </w:p>
        </w:tc>
        <w:tc>
          <w:tcPr>
            <w:tcW w:w="1276" w:type="dxa"/>
            <w:tcBorders>
              <w:top w:val="nil"/>
              <w:left w:val="nil"/>
              <w:bottom w:val="single" w:color="auto" w:sz="4" w:space="0"/>
              <w:right w:val="single" w:color="auto" w:sz="4" w:space="0"/>
            </w:tcBorders>
            <w:shd w:val="clear" w:color="000000" w:fill="FFFFFF"/>
            <w:vAlign w:val="center"/>
          </w:tcPr>
          <w:p w14:paraId="04236E1F">
            <w:pPr>
              <w:widowControl/>
              <w:jc w:val="center"/>
              <w:rPr>
                <w:rFonts w:hint="eastAsia" w:ascii="宋体" w:hAnsi="宋体" w:cs="宋体"/>
                <w:kern w:val="0"/>
                <w:sz w:val="24"/>
              </w:rPr>
            </w:pPr>
            <w:r>
              <w:rPr>
                <w:rFonts w:hint="eastAsia" w:ascii="宋体" w:hAnsi="宋体" w:cs="宋体"/>
                <w:kern w:val="0"/>
                <w:sz w:val="24"/>
              </w:rPr>
              <w:t>30</w:t>
            </w:r>
          </w:p>
        </w:tc>
        <w:tc>
          <w:tcPr>
            <w:tcW w:w="992" w:type="dxa"/>
            <w:tcBorders>
              <w:top w:val="nil"/>
              <w:left w:val="nil"/>
              <w:bottom w:val="single" w:color="auto" w:sz="4" w:space="0"/>
              <w:right w:val="single" w:color="auto" w:sz="4" w:space="0"/>
            </w:tcBorders>
            <w:shd w:val="clear" w:color="000000" w:fill="FFFFFF"/>
            <w:vAlign w:val="center"/>
          </w:tcPr>
          <w:p w14:paraId="5E444392">
            <w:pPr>
              <w:widowControl/>
              <w:jc w:val="center"/>
              <w:rPr>
                <w:rFonts w:hint="eastAsia" w:ascii="宋体" w:hAnsi="宋体" w:cs="宋体"/>
                <w:kern w:val="0"/>
                <w:sz w:val="24"/>
              </w:rPr>
            </w:pPr>
            <w:r>
              <w:rPr>
                <w:rFonts w:hint="eastAsia" w:ascii="宋体" w:hAnsi="宋体" w:cs="宋体"/>
                <w:kern w:val="0"/>
                <w:sz w:val="24"/>
              </w:rPr>
              <w:t>人份</w:t>
            </w:r>
          </w:p>
        </w:tc>
        <w:tc>
          <w:tcPr>
            <w:tcW w:w="992" w:type="dxa"/>
            <w:tcBorders>
              <w:top w:val="nil"/>
              <w:left w:val="nil"/>
              <w:bottom w:val="single" w:color="auto" w:sz="4" w:space="0"/>
              <w:right w:val="single" w:color="auto" w:sz="4" w:space="0"/>
            </w:tcBorders>
            <w:shd w:val="clear" w:color="000000" w:fill="FFFFFF"/>
            <w:noWrap/>
            <w:vAlign w:val="center"/>
          </w:tcPr>
          <w:p w14:paraId="7BE12D99">
            <w:pPr>
              <w:widowControl/>
              <w:jc w:val="center"/>
              <w:rPr>
                <w:rFonts w:hint="eastAsia" w:ascii="宋体" w:hAnsi="宋体" w:cs="宋体"/>
                <w:kern w:val="0"/>
                <w:sz w:val="24"/>
              </w:rPr>
            </w:pPr>
            <w:r>
              <w:rPr>
                <w:rFonts w:hint="eastAsia" w:ascii="宋体" w:hAnsi="宋体" w:cs="宋体"/>
                <w:kern w:val="0"/>
                <w:sz w:val="24"/>
              </w:rPr>
              <w:t>14000</w:t>
            </w:r>
          </w:p>
        </w:tc>
        <w:tc>
          <w:tcPr>
            <w:tcW w:w="851" w:type="dxa"/>
            <w:tcBorders>
              <w:top w:val="nil"/>
              <w:left w:val="nil"/>
              <w:bottom w:val="single" w:color="auto" w:sz="4" w:space="0"/>
              <w:right w:val="single" w:color="auto" w:sz="4" w:space="0"/>
            </w:tcBorders>
            <w:shd w:val="clear" w:color="000000" w:fill="FFFFFF"/>
            <w:vAlign w:val="center"/>
          </w:tcPr>
          <w:p w14:paraId="089F4690">
            <w:pPr>
              <w:widowControl/>
              <w:jc w:val="center"/>
              <w:rPr>
                <w:rFonts w:hint="eastAsia" w:ascii="宋体" w:hAnsi="宋体" w:cs="宋体"/>
                <w:color w:val="000000"/>
                <w:kern w:val="0"/>
                <w:sz w:val="24"/>
              </w:rPr>
            </w:pPr>
            <w:r>
              <w:rPr>
                <w:rFonts w:hint="eastAsia" w:ascii="宋体" w:hAnsi="宋体" w:cs="宋体"/>
                <w:color w:val="000000"/>
                <w:kern w:val="0"/>
                <w:sz w:val="24"/>
              </w:rPr>
              <w:t>是</w:t>
            </w:r>
          </w:p>
        </w:tc>
        <w:tc>
          <w:tcPr>
            <w:tcW w:w="952" w:type="dxa"/>
            <w:tcBorders>
              <w:top w:val="nil"/>
              <w:left w:val="nil"/>
              <w:bottom w:val="single" w:color="auto" w:sz="4" w:space="0"/>
              <w:right w:val="single" w:color="auto" w:sz="4" w:space="0"/>
            </w:tcBorders>
            <w:shd w:val="clear" w:color="000000" w:fill="FFFFFF"/>
            <w:vAlign w:val="center"/>
          </w:tcPr>
          <w:p w14:paraId="6162BF14">
            <w:pPr>
              <w:widowControl/>
              <w:jc w:val="center"/>
              <w:rPr>
                <w:rFonts w:hint="eastAsia" w:ascii="宋体" w:hAnsi="宋体" w:cs="宋体"/>
                <w:color w:val="000000"/>
                <w:kern w:val="0"/>
                <w:sz w:val="24"/>
              </w:rPr>
            </w:pPr>
            <w:r>
              <w:rPr>
                <w:rFonts w:hint="eastAsia" w:ascii="宋体" w:hAnsi="宋体" w:cs="宋体"/>
                <w:color w:val="000000"/>
                <w:kern w:val="0"/>
                <w:sz w:val="24"/>
              </w:rPr>
              <w:t>否</w:t>
            </w:r>
          </w:p>
        </w:tc>
      </w:tr>
      <w:tr w14:paraId="452C7D26">
        <w:tblPrEx>
          <w:tblCellMar>
            <w:top w:w="0" w:type="dxa"/>
            <w:left w:w="108" w:type="dxa"/>
            <w:bottom w:w="0" w:type="dxa"/>
            <w:right w:w="108" w:type="dxa"/>
          </w:tblCellMar>
        </w:tblPrEx>
        <w:trPr>
          <w:trHeight w:val="576" w:hRule="atLeast"/>
        </w:trPr>
        <w:tc>
          <w:tcPr>
            <w:tcW w:w="704" w:type="dxa"/>
            <w:tcBorders>
              <w:top w:val="nil"/>
              <w:left w:val="single" w:color="auto" w:sz="4" w:space="0"/>
              <w:bottom w:val="single" w:color="auto" w:sz="4" w:space="0"/>
              <w:right w:val="single" w:color="auto" w:sz="4" w:space="0"/>
            </w:tcBorders>
            <w:shd w:val="clear" w:color="000000" w:fill="FFFFFF"/>
            <w:vAlign w:val="center"/>
          </w:tcPr>
          <w:p w14:paraId="2A5CB4EB">
            <w:pPr>
              <w:widowControl/>
              <w:jc w:val="center"/>
              <w:rPr>
                <w:rFonts w:hint="eastAsia" w:ascii="宋体" w:hAnsi="宋体" w:cs="宋体"/>
                <w:kern w:val="0"/>
                <w:sz w:val="24"/>
              </w:rPr>
            </w:pPr>
            <w:r>
              <w:rPr>
                <w:rFonts w:hint="eastAsia" w:ascii="宋体" w:hAnsi="宋体" w:cs="宋体"/>
                <w:kern w:val="0"/>
                <w:sz w:val="24"/>
              </w:rPr>
              <w:t>100</w:t>
            </w:r>
          </w:p>
        </w:tc>
        <w:tc>
          <w:tcPr>
            <w:tcW w:w="2851" w:type="dxa"/>
            <w:tcBorders>
              <w:top w:val="nil"/>
              <w:left w:val="nil"/>
              <w:bottom w:val="single" w:color="auto" w:sz="4" w:space="0"/>
              <w:right w:val="single" w:color="auto" w:sz="4" w:space="0"/>
            </w:tcBorders>
            <w:shd w:val="clear" w:color="000000" w:fill="FFFFFF"/>
            <w:vAlign w:val="center"/>
          </w:tcPr>
          <w:p w14:paraId="419571B0">
            <w:pPr>
              <w:jc w:val="center"/>
              <w:rPr>
                <w:rFonts w:hint="eastAsia" w:ascii="宋体" w:hAnsi="宋体" w:cs="宋体"/>
                <w:sz w:val="24"/>
              </w:rPr>
            </w:pPr>
            <w:r>
              <w:rPr>
                <w:rFonts w:hint="eastAsia" w:ascii="宋体" w:hAnsi="宋体" w:cs="宋体"/>
                <w:sz w:val="24"/>
              </w:rPr>
              <w:t>总前列腺特异性抗原定标液</w:t>
            </w:r>
          </w:p>
        </w:tc>
        <w:tc>
          <w:tcPr>
            <w:tcW w:w="1276" w:type="dxa"/>
            <w:tcBorders>
              <w:top w:val="nil"/>
              <w:left w:val="nil"/>
              <w:bottom w:val="single" w:color="auto" w:sz="4" w:space="0"/>
              <w:right w:val="single" w:color="auto" w:sz="4" w:space="0"/>
            </w:tcBorders>
            <w:shd w:val="clear" w:color="000000" w:fill="FFFFFF"/>
            <w:vAlign w:val="center"/>
          </w:tcPr>
          <w:p w14:paraId="1D37505F">
            <w:pPr>
              <w:widowControl/>
              <w:jc w:val="center"/>
              <w:rPr>
                <w:rFonts w:hint="eastAsia" w:ascii="宋体" w:hAnsi="宋体" w:cs="宋体"/>
                <w:kern w:val="0"/>
                <w:sz w:val="24"/>
              </w:rPr>
            </w:pPr>
            <w:r>
              <w:rPr>
                <w:rFonts w:hint="eastAsia" w:ascii="宋体" w:hAnsi="宋体" w:cs="宋体"/>
                <w:kern w:val="0"/>
                <w:sz w:val="24"/>
              </w:rPr>
              <w:t>437.5</w:t>
            </w:r>
          </w:p>
        </w:tc>
        <w:tc>
          <w:tcPr>
            <w:tcW w:w="992" w:type="dxa"/>
            <w:tcBorders>
              <w:top w:val="nil"/>
              <w:left w:val="nil"/>
              <w:bottom w:val="single" w:color="auto" w:sz="4" w:space="0"/>
              <w:right w:val="single" w:color="auto" w:sz="4" w:space="0"/>
            </w:tcBorders>
            <w:shd w:val="clear" w:color="000000" w:fill="FFFFFF"/>
            <w:vAlign w:val="center"/>
          </w:tcPr>
          <w:p w14:paraId="6E130169">
            <w:pPr>
              <w:widowControl/>
              <w:jc w:val="center"/>
              <w:rPr>
                <w:rFonts w:hint="eastAsia" w:ascii="宋体" w:hAnsi="宋体" w:cs="宋体"/>
                <w:kern w:val="0"/>
                <w:sz w:val="24"/>
              </w:rPr>
            </w:pPr>
            <w:r>
              <w:rPr>
                <w:rFonts w:hint="eastAsia" w:ascii="宋体" w:hAnsi="宋体" w:cs="宋体"/>
                <w:kern w:val="0"/>
                <w:sz w:val="24"/>
              </w:rPr>
              <w:t>ml</w:t>
            </w:r>
          </w:p>
        </w:tc>
        <w:tc>
          <w:tcPr>
            <w:tcW w:w="992" w:type="dxa"/>
            <w:tcBorders>
              <w:top w:val="nil"/>
              <w:left w:val="nil"/>
              <w:bottom w:val="single" w:color="auto" w:sz="4" w:space="0"/>
              <w:right w:val="single" w:color="auto" w:sz="4" w:space="0"/>
            </w:tcBorders>
            <w:shd w:val="clear" w:color="000000" w:fill="FFFFFF"/>
            <w:noWrap/>
            <w:vAlign w:val="center"/>
          </w:tcPr>
          <w:p w14:paraId="6A29FC1F">
            <w:pPr>
              <w:widowControl/>
              <w:jc w:val="center"/>
              <w:rPr>
                <w:rFonts w:hint="eastAsia" w:ascii="宋体" w:hAnsi="宋体" w:cs="宋体"/>
                <w:kern w:val="0"/>
                <w:sz w:val="24"/>
              </w:rPr>
            </w:pPr>
            <w:r>
              <w:rPr>
                <w:rFonts w:hint="eastAsia" w:ascii="宋体" w:hAnsi="宋体" w:cs="宋体"/>
                <w:kern w:val="0"/>
                <w:sz w:val="24"/>
              </w:rPr>
              <w:t>4</w:t>
            </w:r>
          </w:p>
        </w:tc>
        <w:tc>
          <w:tcPr>
            <w:tcW w:w="851" w:type="dxa"/>
            <w:tcBorders>
              <w:top w:val="nil"/>
              <w:left w:val="nil"/>
              <w:bottom w:val="single" w:color="auto" w:sz="4" w:space="0"/>
              <w:right w:val="single" w:color="auto" w:sz="4" w:space="0"/>
            </w:tcBorders>
            <w:shd w:val="clear" w:color="000000" w:fill="FFFFFF"/>
            <w:vAlign w:val="center"/>
          </w:tcPr>
          <w:p w14:paraId="67BA2F84">
            <w:pPr>
              <w:widowControl/>
              <w:jc w:val="center"/>
              <w:rPr>
                <w:rFonts w:hint="eastAsia" w:ascii="宋体" w:hAnsi="宋体" w:cs="宋体"/>
                <w:color w:val="000000"/>
                <w:kern w:val="0"/>
                <w:sz w:val="24"/>
              </w:rPr>
            </w:pPr>
            <w:r>
              <w:rPr>
                <w:rFonts w:hint="eastAsia" w:ascii="宋体" w:hAnsi="宋体" w:cs="宋体"/>
                <w:color w:val="000000"/>
                <w:kern w:val="0"/>
                <w:sz w:val="24"/>
              </w:rPr>
              <w:t>是</w:t>
            </w:r>
          </w:p>
        </w:tc>
        <w:tc>
          <w:tcPr>
            <w:tcW w:w="952" w:type="dxa"/>
            <w:tcBorders>
              <w:top w:val="nil"/>
              <w:left w:val="nil"/>
              <w:bottom w:val="single" w:color="auto" w:sz="4" w:space="0"/>
              <w:right w:val="single" w:color="auto" w:sz="4" w:space="0"/>
            </w:tcBorders>
            <w:shd w:val="clear" w:color="000000" w:fill="FFFFFF"/>
            <w:vAlign w:val="center"/>
          </w:tcPr>
          <w:p w14:paraId="6CBDB743">
            <w:pPr>
              <w:widowControl/>
              <w:jc w:val="center"/>
              <w:rPr>
                <w:rFonts w:hint="eastAsia" w:ascii="宋体" w:hAnsi="宋体" w:cs="宋体"/>
                <w:color w:val="000000"/>
                <w:kern w:val="0"/>
                <w:sz w:val="24"/>
              </w:rPr>
            </w:pPr>
            <w:r>
              <w:rPr>
                <w:rFonts w:hint="eastAsia" w:ascii="宋体" w:hAnsi="宋体" w:cs="宋体"/>
                <w:color w:val="000000"/>
                <w:kern w:val="0"/>
                <w:sz w:val="24"/>
              </w:rPr>
              <w:t>否</w:t>
            </w:r>
          </w:p>
        </w:tc>
      </w:tr>
      <w:tr w14:paraId="64764369">
        <w:tblPrEx>
          <w:tblCellMar>
            <w:top w:w="0" w:type="dxa"/>
            <w:left w:w="108" w:type="dxa"/>
            <w:bottom w:w="0" w:type="dxa"/>
            <w:right w:w="108" w:type="dxa"/>
          </w:tblCellMar>
        </w:tblPrEx>
        <w:trPr>
          <w:trHeight w:val="576" w:hRule="atLeast"/>
        </w:trPr>
        <w:tc>
          <w:tcPr>
            <w:tcW w:w="704" w:type="dxa"/>
            <w:tcBorders>
              <w:top w:val="nil"/>
              <w:left w:val="single" w:color="auto" w:sz="4" w:space="0"/>
              <w:bottom w:val="single" w:color="auto" w:sz="4" w:space="0"/>
              <w:right w:val="single" w:color="auto" w:sz="4" w:space="0"/>
            </w:tcBorders>
            <w:shd w:val="clear" w:color="000000" w:fill="FFFFFF"/>
            <w:vAlign w:val="center"/>
          </w:tcPr>
          <w:p w14:paraId="56CA05BA">
            <w:pPr>
              <w:widowControl/>
              <w:jc w:val="center"/>
              <w:rPr>
                <w:rFonts w:hint="eastAsia" w:ascii="宋体" w:hAnsi="宋体" w:cs="宋体"/>
                <w:kern w:val="0"/>
                <w:sz w:val="24"/>
              </w:rPr>
            </w:pPr>
            <w:r>
              <w:rPr>
                <w:rFonts w:hint="eastAsia" w:ascii="宋体" w:hAnsi="宋体" w:cs="宋体"/>
                <w:kern w:val="0"/>
                <w:sz w:val="24"/>
              </w:rPr>
              <w:t>101</w:t>
            </w:r>
          </w:p>
        </w:tc>
        <w:tc>
          <w:tcPr>
            <w:tcW w:w="2851" w:type="dxa"/>
            <w:tcBorders>
              <w:top w:val="nil"/>
              <w:left w:val="nil"/>
              <w:bottom w:val="single" w:color="auto" w:sz="4" w:space="0"/>
              <w:right w:val="single" w:color="auto" w:sz="4" w:space="0"/>
            </w:tcBorders>
            <w:shd w:val="clear" w:color="000000" w:fill="FFFFFF"/>
            <w:vAlign w:val="center"/>
          </w:tcPr>
          <w:p w14:paraId="1F4A9221">
            <w:pPr>
              <w:jc w:val="center"/>
              <w:rPr>
                <w:rFonts w:hint="eastAsia" w:ascii="宋体" w:hAnsi="宋体" w:cs="宋体"/>
                <w:sz w:val="24"/>
              </w:rPr>
            </w:pPr>
            <w:r>
              <w:rPr>
                <w:rFonts w:hint="eastAsia" w:ascii="宋体" w:hAnsi="宋体" w:cs="宋体"/>
                <w:sz w:val="24"/>
              </w:rPr>
              <w:t>神经元特异性烯醇化酶定标液</w:t>
            </w:r>
          </w:p>
        </w:tc>
        <w:tc>
          <w:tcPr>
            <w:tcW w:w="1276" w:type="dxa"/>
            <w:tcBorders>
              <w:top w:val="nil"/>
              <w:left w:val="nil"/>
              <w:bottom w:val="single" w:color="auto" w:sz="4" w:space="0"/>
              <w:right w:val="single" w:color="auto" w:sz="4" w:space="0"/>
            </w:tcBorders>
            <w:shd w:val="clear" w:color="000000" w:fill="FFFFFF"/>
            <w:vAlign w:val="center"/>
          </w:tcPr>
          <w:p w14:paraId="0AD4C280">
            <w:pPr>
              <w:widowControl/>
              <w:jc w:val="center"/>
              <w:rPr>
                <w:rFonts w:hint="eastAsia" w:ascii="宋体" w:hAnsi="宋体" w:cs="宋体"/>
                <w:kern w:val="0"/>
                <w:sz w:val="24"/>
              </w:rPr>
            </w:pPr>
            <w:r>
              <w:rPr>
                <w:rFonts w:hint="eastAsia" w:ascii="宋体" w:hAnsi="宋体" w:cs="宋体"/>
                <w:kern w:val="0"/>
                <w:sz w:val="24"/>
              </w:rPr>
              <w:t>525</w:t>
            </w:r>
          </w:p>
        </w:tc>
        <w:tc>
          <w:tcPr>
            <w:tcW w:w="992" w:type="dxa"/>
            <w:tcBorders>
              <w:top w:val="nil"/>
              <w:left w:val="nil"/>
              <w:bottom w:val="single" w:color="auto" w:sz="4" w:space="0"/>
              <w:right w:val="single" w:color="auto" w:sz="4" w:space="0"/>
            </w:tcBorders>
            <w:shd w:val="clear" w:color="000000" w:fill="FFFFFF"/>
            <w:vAlign w:val="center"/>
          </w:tcPr>
          <w:p w14:paraId="1F36590E">
            <w:pPr>
              <w:widowControl/>
              <w:jc w:val="center"/>
              <w:rPr>
                <w:rFonts w:hint="eastAsia" w:ascii="宋体" w:hAnsi="宋体" w:cs="宋体"/>
                <w:kern w:val="0"/>
                <w:sz w:val="24"/>
              </w:rPr>
            </w:pPr>
            <w:r>
              <w:rPr>
                <w:rFonts w:hint="eastAsia" w:ascii="宋体" w:hAnsi="宋体" w:cs="宋体"/>
                <w:kern w:val="0"/>
                <w:sz w:val="24"/>
              </w:rPr>
              <w:t>ml</w:t>
            </w:r>
          </w:p>
        </w:tc>
        <w:tc>
          <w:tcPr>
            <w:tcW w:w="992" w:type="dxa"/>
            <w:tcBorders>
              <w:top w:val="nil"/>
              <w:left w:val="nil"/>
              <w:bottom w:val="single" w:color="auto" w:sz="4" w:space="0"/>
              <w:right w:val="single" w:color="auto" w:sz="4" w:space="0"/>
            </w:tcBorders>
            <w:shd w:val="clear" w:color="000000" w:fill="FFFFFF"/>
            <w:noWrap/>
            <w:vAlign w:val="center"/>
          </w:tcPr>
          <w:p w14:paraId="03033C8A">
            <w:pPr>
              <w:widowControl/>
              <w:jc w:val="center"/>
              <w:rPr>
                <w:rFonts w:hint="eastAsia" w:ascii="宋体" w:hAnsi="宋体" w:cs="宋体"/>
                <w:kern w:val="0"/>
                <w:sz w:val="24"/>
              </w:rPr>
            </w:pPr>
            <w:r>
              <w:rPr>
                <w:rFonts w:hint="eastAsia" w:ascii="宋体" w:hAnsi="宋体" w:cs="宋体"/>
                <w:kern w:val="0"/>
                <w:sz w:val="24"/>
              </w:rPr>
              <w:t>4</w:t>
            </w:r>
          </w:p>
        </w:tc>
        <w:tc>
          <w:tcPr>
            <w:tcW w:w="851" w:type="dxa"/>
            <w:tcBorders>
              <w:top w:val="nil"/>
              <w:left w:val="nil"/>
              <w:bottom w:val="single" w:color="auto" w:sz="4" w:space="0"/>
              <w:right w:val="single" w:color="auto" w:sz="4" w:space="0"/>
            </w:tcBorders>
            <w:shd w:val="clear" w:color="000000" w:fill="FFFFFF"/>
            <w:vAlign w:val="center"/>
          </w:tcPr>
          <w:p w14:paraId="2E36346E">
            <w:pPr>
              <w:widowControl/>
              <w:jc w:val="center"/>
              <w:rPr>
                <w:rFonts w:hint="eastAsia" w:ascii="宋体" w:hAnsi="宋体" w:cs="宋体"/>
                <w:color w:val="000000"/>
                <w:kern w:val="0"/>
                <w:sz w:val="24"/>
              </w:rPr>
            </w:pPr>
            <w:r>
              <w:rPr>
                <w:rFonts w:hint="eastAsia" w:ascii="宋体" w:hAnsi="宋体" w:cs="宋体"/>
                <w:color w:val="000000"/>
                <w:kern w:val="0"/>
                <w:sz w:val="24"/>
              </w:rPr>
              <w:t>是</w:t>
            </w:r>
          </w:p>
        </w:tc>
        <w:tc>
          <w:tcPr>
            <w:tcW w:w="952" w:type="dxa"/>
            <w:tcBorders>
              <w:top w:val="nil"/>
              <w:left w:val="nil"/>
              <w:bottom w:val="single" w:color="auto" w:sz="4" w:space="0"/>
              <w:right w:val="single" w:color="auto" w:sz="4" w:space="0"/>
            </w:tcBorders>
            <w:shd w:val="clear" w:color="000000" w:fill="FFFFFF"/>
            <w:vAlign w:val="center"/>
          </w:tcPr>
          <w:p w14:paraId="70861F93">
            <w:pPr>
              <w:widowControl/>
              <w:jc w:val="center"/>
              <w:rPr>
                <w:rFonts w:hint="eastAsia" w:ascii="宋体" w:hAnsi="宋体" w:cs="宋体"/>
                <w:color w:val="000000"/>
                <w:kern w:val="0"/>
                <w:sz w:val="24"/>
              </w:rPr>
            </w:pPr>
            <w:r>
              <w:rPr>
                <w:rFonts w:hint="eastAsia" w:ascii="宋体" w:hAnsi="宋体" w:cs="宋体"/>
                <w:color w:val="000000"/>
                <w:kern w:val="0"/>
                <w:sz w:val="24"/>
              </w:rPr>
              <w:t>否</w:t>
            </w:r>
          </w:p>
        </w:tc>
      </w:tr>
      <w:tr w14:paraId="36C56247">
        <w:tblPrEx>
          <w:tblCellMar>
            <w:top w:w="0" w:type="dxa"/>
            <w:left w:w="108" w:type="dxa"/>
            <w:bottom w:w="0" w:type="dxa"/>
            <w:right w:w="108" w:type="dxa"/>
          </w:tblCellMar>
        </w:tblPrEx>
        <w:trPr>
          <w:trHeight w:val="576" w:hRule="atLeast"/>
        </w:trPr>
        <w:tc>
          <w:tcPr>
            <w:tcW w:w="704" w:type="dxa"/>
            <w:tcBorders>
              <w:top w:val="nil"/>
              <w:left w:val="single" w:color="auto" w:sz="4" w:space="0"/>
              <w:bottom w:val="single" w:color="auto" w:sz="4" w:space="0"/>
              <w:right w:val="single" w:color="auto" w:sz="4" w:space="0"/>
            </w:tcBorders>
            <w:shd w:val="clear" w:color="000000" w:fill="FFFFFF"/>
            <w:vAlign w:val="center"/>
          </w:tcPr>
          <w:p w14:paraId="2804FA79">
            <w:pPr>
              <w:widowControl/>
              <w:jc w:val="center"/>
              <w:rPr>
                <w:rFonts w:hint="eastAsia" w:ascii="宋体" w:hAnsi="宋体" w:cs="宋体"/>
                <w:kern w:val="0"/>
                <w:sz w:val="24"/>
              </w:rPr>
            </w:pPr>
            <w:r>
              <w:rPr>
                <w:rFonts w:hint="eastAsia" w:ascii="宋体" w:hAnsi="宋体" w:cs="宋体"/>
                <w:kern w:val="0"/>
                <w:sz w:val="24"/>
              </w:rPr>
              <w:t>102</w:t>
            </w:r>
          </w:p>
        </w:tc>
        <w:tc>
          <w:tcPr>
            <w:tcW w:w="2851" w:type="dxa"/>
            <w:tcBorders>
              <w:top w:val="nil"/>
              <w:left w:val="nil"/>
              <w:bottom w:val="single" w:color="auto" w:sz="4" w:space="0"/>
              <w:right w:val="single" w:color="auto" w:sz="4" w:space="0"/>
            </w:tcBorders>
            <w:shd w:val="clear" w:color="000000" w:fill="FFFFFF"/>
            <w:vAlign w:val="center"/>
          </w:tcPr>
          <w:p w14:paraId="6209B9F0">
            <w:pPr>
              <w:jc w:val="center"/>
              <w:rPr>
                <w:rFonts w:hint="eastAsia" w:ascii="宋体" w:hAnsi="宋体" w:cs="宋体"/>
                <w:sz w:val="24"/>
              </w:rPr>
            </w:pPr>
            <w:r>
              <w:rPr>
                <w:rFonts w:hint="eastAsia" w:ascii="宋体" w:hAnsi="宋体" w:cs="宋体"/>
                <w:sz w:val="24"/>
              </w:rPr>
              <w:t>甲状腺过氧化物酶抗体测定试剂盒</w:t>
            </w:r>
          </w:p>
        </w:tc>
        <w:tc>
          <w:tcPr>
            <w:tcW w:w="1276" w:type="dxa"/>
            <w:tcBorders>
              <w:top w:val="nil"/>
              <w:left w:val="nil"/>
              <w:bottom w:val="single" w:color="auto" w:sz="4" w:space="0"/>
              <w:right w:val="single" w:color="auto" w:sz="4" w:space="0"/>
            </w:tcBorders>
            <w:shd w:val="clear" w:color="000000" w:fill="FFFFFF"/>
            <w:vAlign w:val="center"/>
          </w:tcPr>
          <w:p w14:paraId="2A2F1F0E">
            <w:pPr>
              <w:widowControl/>
              <w:jc w:val="center"/>
              <w:rPr>
                <w:rFonts w:hint="eastAsia" w:ascii="宋体" w:hAnsi="宋体" w:cs="宋体"/>
                <w:kern w:val="0"/>
                <w:sz w:val="24"/>
              </w:rPr>
            </w:pPr>
            <w:r>
              <w:rPr>
                <w:rFonts w:hint="eastAsia" w:ascii="宋体" w:hAnsi="宋体" w:cs="宋体"/>
                <w:kern w:val="0"/>
                <w:sz w:val="24"/>
              </w:rPr>
              <w:t>18</w:t>
            </w:r>
          </w:p>
        </w:tc>
        <w:tc>
          <w:tcPr>
            <w:tcW w:w="992" w:type="dxa"/>
            <w:tcBorders>
              <w:top w:val="nil"/>
              <w:left w:val="nil"/>
              <w:bottom w:val="single" w:color="auto" w:sz="4" w:space="0"/>
              <w:right w:val="single" w:color="auto" w:sz="4" w:space="0"/>
            </w:tcBorders>
            <w:shd w:val="clear" w:color="000000" w:fill="FFFFFF"/>
            <w:vAlign w:val="center"/>
          </w:tcPr>
          <w:p w14:paraId="6CC72104">
            <w:pPr>
              <w:widowControl/>
              <w:jc w:val="center"/>
              <w:rPr>
                <w:rFonts w:hint="eastAsia" w:ascii="宋体" w:hAnsi="宋体" w:cs="宋体"/>
                <w:kern w:val="0"/>
                <w:sz w:val="24"/>
              </w:rPr>
            </w:pPr>
            <w:r>
              <w:rPr>
                <w:rFonts w:hint="eastAsia" w:ascii="宋体" w:hAnsi="宋体" w:cs="宋体"/>
                <w:kern w:val="0"/>
                <w:sz w:val="24"/>
              </w:rPr>
              <w:t>人份</w:t>
            </w:r>
          </w:p>
        </w:tc>
        <w:tc>
          <w:tcPr>
            <w:tcW w:w="992" w:type="dxa"/>
            <w:tcBorders>
              <w:top w:val="nil"/>
              <w:left w:val="nil"/>
              <w:bottom w:val="single" w:color="auto" w:sz="4" w:space="0"/>
              <w:right w:val="single" w:color="auto" w:sz="4" w:space="0"/>
            </w:tcBorders>
            <w:shd w:val="clear" w:color="000000" w:fill="FFFFFF"/>
            <w:noWrap/>
            <w:vAlign w:val="center"/>
          </w:tcPr>
          <w:p w14:paraId="2E4A9ADA">
            <w:pPr>
              <w:widowControl/>
              <w:jc w:val="center"/>
              <w:rPr>
                <w:rFonts w:hint="eastAsia" w:ascii="宋体" w:hAnsi="宋体" w:cs="宋体"/>
                <w:kern w:val="0"/>
                <w:sz w:val="24"/>
              </w:rPr>
            </w:pPr>
            <w:r>
              <w:rPr>
                <w:rFonts w:hint="eastAsia" w:ascii="宋体" w:hAnsi="宋体" w:cs="宋体"/>
                <w:kern w:val="0"/>
                <w:sz w:val="24"/>
              </w:rPr>
              <w:t>1700</w:t>
            </w:r>
          </w:p>
        </w:tc>
        <w:tc>
          <w:tcPr>
            <w:tcW w:w="851" w:type="dxa"/>
            <w:tcBorders>
              <w:top w:val="nil"/>
              <w:left w:val="nil"/>
              <w:bottom w:val="single" w:color="auto" w:sz="4" w:space="0"/>
              <w:right w:val="single" w:color="auto" w:sz="4" w:space="0"/>
            </w:tcBorders>
            <w:shd w:val="clear" w:color="000000" w:fill="FFFFFF"/>
            <w:vAlign w:val="center"/>
          </w:tcPr>
          <w:p w14:paraId="7F237588">
            <w:pPr>
              <w:widowControl/>
              <w:jc w:val="center"/>
              <w:rPr>
                <w:rFonts w:hint="eastAsia" w:ascii="宋体" w:hAnsi="宋体" w:cs="宋体"/>
                <w:color w:val="000000"/>
                <w:kern w:val="0"/>
                <w:sz w:val="24"/>
              </w:rPr>
            </w:pPr>
            <w:r>
              <w:rPr>
                <w:rFonts w:hint="eastAsia" w:ascii="宋体" w:hAnsi="宋体" w:cs="宋体"/>
                <w:color w:val="000000"/>
                <w:kern w:val="0"/>
                <w:sz w:val="24"/>
              </w:rPr>
              <w:t>是</w:t>
            </w:r>
          </w:p>
        </w:tc>
        <w:tc>
          <w:tcPr>
            <w:tcW w:w="952" w:type="dxa"/>
            <w:tcBorders>
              <w:top w:val="nil"/>
              <w:left w:val="nil"/>
              <w:bottom w:val="single" w:color="auto" w:sz="4" w:space="0"/>
              <w:right w:val="single" w:color="auto" w:sz="4" w:space="0"/>
            </w:tcBorders>
            <w:shd w:val="clear" w:color="000000" w:fill="FFFFFF"/>
            <w:vAlign w:val="center"/>
          </w:tcPr>
          <w:p w14:paraId="0E60E888">
            <w:pPr>
              <w:widowControl/>
              <w:jc w:val="center"/>
              <w:rPr>
                <w:rFonts w:hint="eastAsia" w:ascii="宋体" w:hAnsi="宋体" w:cs="宋体"/>
                <w:color w:val="000000"/>
                <w:kern w:val="0"/>
                <w:sz w:val="24"/>
              </w:rPr>
            </w:pPr>
            <w:r>
              <w:rPr>
                <w:rFonts w:hint="eastAsia" w:ascii="宋体" w:hAnsi="宋体" w:cs="宋体"/>
                <w:color w:val="000000"/>
                <w:kern w:val="0"/>
                <w:sz w:val="24"/>
              </w:rPr>
              <w:t>否</w:t>
            </w:r>
          </w:p>
        </w:tc>
      </w:tr>
      <w:tr w14:paraId="693B8000">
        <w:tblPrEx>
          <w:tblCellMar>
            <w:top w:w="0" w:type="dxa"/>
            <w:left w:w="108" w:type="dxa"/>
            <w:bottom w:w="0" w:type="dxa"/>
            <w:right w:w="108" w:type="dxa"/>
          </w:tblCellMar>
        </w:tblPrEx>
        <w:trPr>
          <w:trHeight w:val="288" w:hRule="atLeast"/>
        </w:trPr>
        <w:tc>
          <w:tcPr>
            <w:tcW w:w="704" w:type="dxa"/>
            <w:tcBorders>
              <w:top w:val="nil"/>
              <w:left w:val="single" w:color="auto" w:sz="4" w:space="0"/>
              <w:bottom w:val="single" w:color="auto" w:sz="4" w:space="0"/>
              <w:right w:val="single" w:color="auto" w:sz="4" w:space="0"/>
            </w:tcBorders>
            <w:shd w:val="clear" w:color="000000" w:fill="FFFFFF"/>
            <w:vAlign w:val="center"/>
          </w:tcPr>
          <w:p w14:paraId="4D581276">
            <w:pPr>
              <w:widowControl/>
              <w:jc w:val="center"/>
              <w:rPr>
                <w:rFonts w:hint="eastAsia" w:ascii="宋体" w:hAnsi="宋体" w:cs="宋体"/>
                <w:kern w:val="0"/>
                <w:sz w:val="24"/>
              </w:rPr>
            </w:pPr>
            <w:r>
              <w:rPr>
                <w:rFonts w:hint="eastAsia" w:ascii="宋体" w:hAnsi="宋体" w:cs="宋体"/>
                <w:kern w:val="0"/>
                <w:sz w:val="24"/>
              </w:rPr>
              <w:t>103</w:t>
            </w:r>
          </w:p>
        </w:tc>
        <w:tc>
          <w:tcPr>
            <w:tcW w:w="2851" w:type="dxa"/>
            <w:tcBorders>
              <w:top w:val="nil"/>
              <w:left w:val="nil"/>
              <w:bottom w:val="single" w:color="auto" w:sz="4" w:space="0"/>
              <w:right w:val="single" w:color="auto" w:sz="4" w:space="0"/>
            </w:tcBorders>
            <w:shd w:val="clear" w:color="000000" w:fill="FFFFFF"/>
            <w:vAlign w:val="center"/>
          </w:tcPr>
          <w:p w14:paraId="46C91C72">
            <w:pPr>
              <w:jc w:val="center"/>
              <w:rPr>
                <w:rFonts w:hint="eastAsia" w:ascii="宋体" w:hAnsi="宋体" w:cs="宋体"/>
                <w:color w:val="000000"/>
                <w:sz w:val="24"/>
              </w:rPr>
            </w:pPr>
            <w:r>
              <w:rPr>
                <w:rFonts w:hint="eastAsia" w:ascii="宋体" w:hAnsi="宋体" w:cs="宋体"/>
                <w:color w:val="000000"/>
                <w:sz w:val="24"/>
              </w:rPr>
              <w:t>清洁液1</w:t>
            </w:r>
          </w:p>
        </w:tc>
        <w:tc>
          <w:tcPr>
            <w:tcW w:w="1276" w:type="dxa"/>
            <w:tcBorders>
              <w:top w:val="nil"/>
              <w:left w:val="nil"/>
              <w:bottom w:val="single" w:color="auto" w:sz="4" w:space="0"/>
              <w:right w:val="single" w:color="auto" w:sz="4" w:space="0"/>
            </w:tcBorders>
            <w:shd w:val="clear" w:color="000000" w:fill="FFFFFF"/>
            <w:vAlign w:val="center"/>
          </w:tcPr>
          <w:p w14:paraId="2C552A9D">
            <w:pPr>
              <w:widowControl/>
              <w:jc w:val="center"/>
              <w:rPr>
                <w:rFonts w:hint="eastAsia" w:ascii="宋体" w:hAnsi="宋体" w:cs="宋体"/>
                <w:kern w:val="0"/>
                <w:sz w:val="24"/>
              </w:rPr>
            </w:pPr>
            <w:r>
              <w:rPr>
                <w:rFonts w:hint="eastAsia" w:ascii="宋体" w:hAnsi="宋体" w:cs="宋体"/>
                <w:kern w:val="0"/>
                <w:sz w:val="24"/>
              </w:rPr>
              <w:t>10.8</w:t>
            </w:r>
          </w:p>
        </w:tc>
        <w:tc>
          <w:tcPr>
            <w:tcW w:w="992" w:type="dxa"/>
            <w:tcBorders>
              <w:top w:val="nil"/>
              <w:left w:val="nil"/>
              <w:bottom w:val="single" w:color="auto" w:sz="4" w:space="0"/>
              <w:right w:val="single" w:color="auto" w:sz="4" w:space="0"/>
            </w:tcBorders>
            <w:shd w:val="clear" w:color="000000" w:fill="FFFFFF"/>
            <w:vAlign w:val="center"/>
          </w:tcPr>
          <w:p w14:paraId="5A50A3C6">
            <w:pPr>
              <w:widowControl/>
              <w:jc w:val="center"/>
              <w:rPr>
                <w:rFonts w:hint="eastAsia" w:ascii="宋体" w:hAnsi="宋体" w:cs="宋体"/>
                <w:kern w:val="0"/>
                <w:sz w:val="24"/>
              </w:rPr>
            </w:pPr>
            <w:r>
              <w:rPr>
                <w:rFonts w:hint="eastAsia" w:ascii="宋体" w:hAnsi="宋体" w:cs="宋体"/>
                <w:kern w:val="0"/>
                <w:sz w:val="24"/>
              </w:rPr>
              <w:t>ml</w:t>
            </w:r>
          </w:p>
        </w:tc>
        <w:tc>
          <w:tcPr>
            <w:tcW w:w="992" w:type="dxa"/>
            <w:tcBorders>
              <w:top w:val="nil"/>
              <w:left w:val="nil"/>
              <w:bottom w:val="single" w:color="auto" w:sz="4" w:space="0"/>
              <w:right w:val="single" w:color="auto" w:sz="4" w:space="0"/>
            </w:tcBorders>
            <w:shd w:val="clear" w:color="000000" w:fill="FFFFFF"/>
            <w:noWrap/>
            <w:vAlign w:val="center"/>
          </w:tcPr>
          <w:p w14:paraId="62A7BB7E">
            <w:pPr>
              <w:widowControl/>
              <w:jc w:val="center"/>
              <w:rPr>
                <w:rFonts w:hint="eastAsia" w:ascii="宋体" w:hAnsi="宋体" w:cs="宋体"/>
                <w:kern w:val="0"/>
                <w:sz w:val="24"/>
              </w:rPr>
            </w:pPr>
            <w:r>
              <w:rPr>
                <w:rFonts w:hint="eastAsia" w:ascii="宋体" w:hAnsi="宋体" w:cs="宋体"/>
                <w:kern w:val="0"/>
                <w:sz w:val="24"/>
              </w:rPr>
              <w:t>4600</w:t>
            </w:r>
          </w:p>
        </w:tc>
        <w:tc>
          <w:tcPr>
            <w:tcW w:w="851" w:type="dxa"/>
            <w:tcBorders>
              <w:top w:val="nil"/>
              <w:left w:val="nil"/>
              <w:bottom w:val="single" w:color="auto" w:sz="4" w:space="0"/>
              <w:right w:val="single" w:color="auto" w:sz="4" w:space="0"/>
            </w:tcBorders>
            <w:shd w:val="clear" w:color="000000" w:fill="FFFFFF"/>
            <w:vAlign w:val="center"/>
          </w:tcPr>
          <w:p w14:paraId="57D0C570">
            <w:pPr>
              <w:widowControl/>
              <w:jc w:val="center"/>
              <w:rPr>
                <w:rFonts w:hint="eastAsia" w:ascii="宋体" w:hAnsi="宋体" w:cs="宋体"/>
                <w:color w:val="000000"/>
                <w:kern w:val="0"/>
                <w:sz w:val="24"/>
              </w:rPr>
            </w:pPr>
            <w:r>
              <w:rPr>
                <w:rFonts w:hint="eastAsia" w:ascii="宋体" w:hAnsi="宋体" w:cs="宋体"/>
                <w:color w:val="000000"/>
                <w:kern w:val="0"/>
                <w:sz w:val="24"/>
              </w:rPr>
              <w:t>是</w:t>
            </w:r>
          </w:p>
        </w:tc>
        <w:tc>
          <w:tcPr>
            <w:tcW w:w="952" w:type="dxa"/>
            <w:tcBorders>
              <w:top w:val="nil"/>
              <w:left w:val="nil"/>
              <w:bottom w:val="single" w:color="auto" w:sz="4" w:space="0"/>
              <w:right w:val="single" w:color="auto" w:sz="4" w:space="0"/>
            </w:tcBorders>
            <w:shd w:val="clear" w:color="000000" w:fill="FFFFFF"/>
            <w:vAlign w:val="center"/>
          </w:tcPr>
          <w:p w14:paraId="7F332C68">
            <w:pPr>
              <w:widowControl/>
              <w:jc w:val="center"/>
              <w:rPr>
                <w:rFonts w:hint="eastAsia" w:ascii="宋体" w:hAnsi="宋体" w:cs="宋体"/>
                <w:color w:val="000000"/>
                <w:kern w:val="0"/>
                <w:sz w:val="24"/>
              </w:rPr>
            </w:pPr>
            <w:r>
              <w:rPr>
                <w:rFonts w:hint="eastAsia" w:ascii="宋体" w:hAnsi="宋体" w:cs="宋体"/>
                <w:color w:val="000000"/>
                <w:kern w:val="0"/>
                <w:sz w:val="24"/>
              </w:rPr>
              <w:t>否</w:t>
            </w:r>
          </w:p>
        </w:tc>
      </w:tr>
      <w:tr w14:paraId="1842715B">
        <w:tblPrEx>
          <w:tblCellMar>
            <w:top w:w="0" w:type="dxa"/>
            <w:left w:w="108" w:type="dxa"/>
            <w:bottom w:w="0" w:type="dxa"/>
            <w:right w:w="108" w:type="dxa"/>
          </w:tblCellMar>
        </w:tblPrEx>
        <w:trPr>
          <w:trHeight w:val="576" w:hRule="atLeast"/>
        </w:trPr>
        <w:tc>
          <w:tcPr>
            <w:tcW w:w="704" w:type="dxa"/>
            <w:tcBorders>
              <w:top w:val="nil"/>
              <w:left w:val="single" w:color="auto" w:sz="4" w:space="0"/>
              <w:bottom w:val="single" w:color="auto" w:sz="4" w:space="0"/>
              <w:right w:val="single" w:color="auto" w:sz="4" w:space="0"/>
            </w:tcBorders>
            <w:shd w:val="clear" w:color="000000" w:fill="FFFFFF"/>
            <w:vAlign w:val="center"/>
          </w:tcPr>
          <w:p w14:paraId="2AAA6155">
            <w:pPr>
              <w:widowControl/>
              <w:jc w:val="center"/>
              <w:rPr>
                <w:rFonts w:hint="eastAsia" w:ascii="宋体" w:hAnsi="宋体" w:cs="宋体"/>
                <w:kern w:val="0"/>
                <w:sz w:val="24"/>
              </w:rPr>
            </w:pPr>
            <w:r>
              <w:rPr>
                <w:rFonts w:hint="eastAsia" w:ascii="宋体" w:hAnsi="宋体" w:cs="宋体"/>
                <w:kern w:val="0"/>
                <w:sz w:val="24"/>
              </w:rPr>
              <w:t>104</w:t>
            </w:r>
          </w:p>
        </w:tc>
        <w:tc>
          <w:tcPr>
            <w:tcW w:w="2851" w:type="dxa"/>
            <w:tcBorders>
              <w:top w:val="nil"/>
              <w:left w:val="nil"/>
              <w:bottom w:val="single" w:color="auto" w:sz="4" w:space="0"/>
              <w:right w:val="single" w:color="auto" w:sz="4" w:space="0"/>
            </w:tcBorders>
            <w:shd w:val="clear" w:color="000000" w:fill="FFFFFF"/>
            <w:vAlign w:val="center"/>
          </w:tcPr>
          <w:p w14:paraId="6564D1D8">
            <w:pPr>
              <w:jc w:val="center"/>
              <w:rPr>
                <w:rFonts w:hint="eastAsia" w:ascii="宋体" w:hAnsi="宋体" w:cs="宋体"/>
                <w:color w:val="000000"/>
                <w:sz w:val="24"/>
              </w:rPr>
            </w:pPr>
            <w:r>
              <w:rPr>
                <w:rFonts w:hint="eastAsia" w:ascii="宋体" w:hAnsi="宋体" w:cs="宋体"/>
                <w:color w:val="000000"/>
                <w:sz w:val="24"/>
              </w:rPr>
              <w:t>尿液分析用染色液(沉渣)</w:t>
            </w:r>
          </w:p>
        </w:tc>
        <w:tc>
          <w:tcPr>
            <w:tcW w:w="1276" w:type="dxa"/>
            <w:tcBorders>
              <w:top w:val="nil"/>
              <w:left w:val="nil"/>
              <w:bottom w:val="single" w:color="auto" w:sz="4" w:space="0"/>
              <w:right w:val="single" w:color="auto" w:sz="4" w:space="0"/>
            </w:tcBorders>
            <w:shd w:val="clear" w:color="000000" w:fill="FFFFFF"/>
            <w:vAlign w:val="center"/>
          </w:tcPr>
          <w:p w14:paraId="67D32EBF">
            <w:pPr>
              <w:widowControl/>
              <w:jc w:val="center"/>
              <w:rPr>
                <w:rFonts w:hint="eastAsia" w:ascii="宋体" w:hAnsi="宋体" w:cs="宋体"/>
                <w:kern w:val="0"/>
                <w:sz w:val="24"/>
              </w:rPr>
            </w:pPr>
            <w:r>
              <w:rPr>
                <w:rFonts w:hint="eastAsia" w:ascii="宋体" w:hAnsi="宋体" w:cs="宋体"/>
                <w:kern w:val="0"/>
                <w:sz w:val="24"/>
              </w:rPr>
              <w:t>115.52</w:t>
            </w:r>
          </w:p>
        </w:tc>
        <w:tc>
          <w:tcPr>
            <w:tcW w:w="992" w:type="dxa"/>
            <w:tcBorders>
              <w:top w:val="nil"/>
              <w:left w:val="nil"/>
              <w:bottom w:val="single" w:color="auto" w:sz="4" w:space="0"/>
              <w:right w:val="single" w:color="auto" w:sz="4" w:space="0"/>
            </w:tcBorders>
            <w:shd w:val="clear" w:color="000000" w:fill="FFFFFF"/>
            <w:vAlign w:val="center"/>
          </w:tcPr>
          <w:p w14:paraId="2BB54914">
            <w:pPr>
              <w:widowControl/>
              <w:jc w:val="center"/>
              <w:rPr>
                <w:rFonts w:hint="eastAsia" w:ascii="宋体" w:hAnsi="宋体" w:cs="宋体"/>
                <w:kern w:val="0"/>
                <w:sz w:val="24"/>
              </w:rPr>
            </w:pPr>
            <w:r>
              <w:rPr>
                <w:rFonts w:hint="eastAsia" w:ascii="宋体" w:hAnsi="宋体" w:cs="宋体"/>
                <w:kern w:val="0"/>
                <w:sz w:val="24"/>
              </w:rPr>
              <w:t>ml</w:t>
            </w:r>
          </w:p>
        </w:tc>
        <w:tc>
          <w:tcPr>
            <w:tcW w:w="992" w:type="dxa"/>
            <w:tcBorders>
              <w:top w:val="nil"/>
              <w:left w:val="nil"/>
              <w:bottom w:val="single" w:color="auto" w:sz="4" w:space="0"/>
              <w:right w:val="single" w:color="auto" w:sz="4" w:space="0"/>
            </w:tcBorders>
            <w:shd w:val="clear" w:color="000000" w:fill="FFFFFF"/>
            <w:noWrap/>
            <w:vAlign w:val="center"/>
          </w:tcPr>
          <w:p w14:paraId="64C1491F">
            <w:pPr>
              <w:widowControl/>
              <w:jc w:val="center"/>
              <w:rPr>
                <w:rFonts w:hint="eastAsia" w:ascii="宋体" w:hAnsi="宋体" w:cs="宋体"/>
                <w:kern w:val="0"/>
                <w:sz w:val="24"/>
              </w:rPr>
            </w:pPr>
            <w:r>
              <w:rPr>
                <w:rFonts w:hint="eastAsia" w:ascii="宋体" w:hAnsi="宋体" w:cs="宋体"/>
                <w:kern w:val="0"/>
                <w:sz w:val="24"/>
              </w:rPr>
              <w:t>1160</w:t>
            </w:r>
          </w:p>
        </w:tc>
        <w:tc>
          <w:tcPr>
            <w:tcW w:w="851" w:type="dxa"/>
            <w:tcBorders>
              <w:top w:val="nil"/>
              <w:left w:val="nil"/>
              <w:bottom w:val="single" w:color="auto" w:sz="4" w:space="0"/>
              <w:right w:val="single" w:color="auto" w:sz="4" w:space="0"/>
            </w:tcBorders>
            <w:shd w:val="clear" w:color="000000" w:fill="FFFFFF"/>
            <w:vAlign w:val="center"/>
          </w:tcPr>
          <w:p w14:paraId="661F27B1">
            <w:pPr>
              <w:widowControl/>
              <w:jc w:val="center"/>
              <w:rPr>
                <w:rFonts w:hint="eastAsia" w:ascii="宋体" w:hAnsi="宋体" w:cs="宋体"/>
                <w:color w:val="000000"/>
                <w:kern w:val="0"/>
                <w:sz w:val="24"/>
              </w:rPr>
            </w:pPr>
            <w:r>
              <w:rPr>
                <w:rFonts w:hint="eastAsia" w:ascii="宋体" w:hAnsi="宋体" w:cs="宋体"/>
                <w:color w:val="000000"/>
                <w:kern w:val="0"/>
                <w:sz w:val="24"/>
              </w:rPr>
              <w:t>是</w:t>
            </w:r>
          </w:p>
        </w:tc>
        <w:tc>
          <w:tcPr>
            <w:tcW w:w="952" w:type="dxa"/>
            <w:tcBorders>
              <w:top w:val="nil"/>
              <w:left w:val="nil"/>
              <w:bottom w:val="single" w:color="auto" w:sz="4" w:space="0"/>
              <w:right w:val="single" w:color="auto" w:sz="4" w:space="0"/>
            </w:tcBorders>
            <w:shd w:val="clear" w:color="000000" w:fill="FFFFFF"/>
            <w:vAlign w:val="center"/>
          </w:tcPr>
          <w:p w14:paraId="54428DB0">
            <w:pPr>
              <w:widowControl/>
              <w:jc w:val="center"/>
              <w:rPr>
                <w:rFonts w:hint="eastAsia" w:ascii="宋体" w:hAnsi="宋体" w:cs="宋体"/>
                <w:color w:val="000000"/>
                <w:kern w:val="0"/>
                <w:sz w:val="24"/>
              </w:rPr>
            </w:pPr>
            <w:r>
              <w:rPr>
                <w:rFonts w:hint="eastAsia" w:ascii="宋体" w:hAnsi="宋体" w:cs="宋体"/>
                <w:color w:val="000000"/>
                <w:kern w:val="0"/>
                <w:sz w:val="24"/>
              </w:rPr>
              <w:t>否</w:t>
            </w:r>
          </w:p>
        </w:tc>
      </w:tr>
      <w:tr w14:paraId="71F6CD6A">
        <w:tblPrEx>
          <w:tblCellMar>
            <w:top w:w="0" w:type="dxa"/>
            <w:left w:w="108" w:type="dxa"/>
            <w:bottom w:w="0" w:type="dxa"/>
            <w:right w:w="108" w:type="dxa"/>
          </w:tblCellMar>
        </w:tblPrEx>
        <w:trPr>
          <w:trHeight w:val="576" w:hRule="atLeast"/>
        </w:trPr>
        <w:tc>
          <w:tcPr>
            <w:tcW w:w="704" w:type="dxa"/>
            <w:tcBorders>
              <w:top w:val="nil"/>
              <w:left w:val="single" w:color="auto" w:sz="4" w:space="0"/>
              <w:bottom w:val="single" w:color="auto" w:sz="4" w:space="0"/>
              <w:right w:val="single" w:color="auto" w:sz="4" w:space="0"/>
            </w:tcBorders>
            <w:shd w:val="clear" w:color="000000" w:fill="FFFFFF"/>
            <w:vAlign w:val="center"/>
          </w:tcPr>
          <w:p w14:paraId="4803706C">
            <w:pPr>
              <w:widowControl/>
              <w:jc w:val="center"/>
              <w:rPr>
                <w:rFonts w:hint="eastAsia" w:ascii="宋体" w:hAnsi="宋体" w:cs="宋体"/>
                <w:kern w:val="0"/>
                <w:sz w:val="24"/>
              </w:rPr>
            </w:pPr>
            <w:r>
              <w:rPr>
                <w:rFonts w:hint="eastAsia" w:ascii="宋体" w:hAnsi="宋体" w:cs="宋体"/>
                <w:kern w:val="0"/>
                <w:sz w:val="24"/>
              </w:rPr>
              <w:t>105</w:t>
            </w:r>
          </w:p>
        </w:tc>
        <w:tc>
          <w:tcPr>
            <w:tcW w:w="2851" w:type="dxa"/>
            <w:tcBorders>
              <w:top w:val="nil"/>
              <w:left w:val="nil"/>
              <w:bottom w:val="single" w:color="auto" w:sz="4" w:space="0"/>
              <w:right w:val="single" w:color="auto" w:sz="4" w:space="0"/>
            </w:tcBorders>
            <w:shd w:val="clear" w:color="000000" w:fill="FFFFFF"/>
            <w:vAlign w:val="center"/>
          </w:tcPr>
          <w:p w14:paraId="46FCBA32">
            <w:pPr>
              <w:jc w:val="center"/>
              <w:rPr>
                <w:rFonts w:hint="eastAsia" w:ascii="宋体" w:hAnsi="宋体" w:cs="宋体"/>
                <w:color w:val="000000"/>
                <w:sz w:val="24"/>
              </w:rPr>
            </w:pPr>
            <w:r>
              <w:rPr>
                <w:rFonts w:hint="eastAsia" w:ascii="宋体" w:hAnsi="宋体" w:cs="宋体"/>
                <w:color w:val="000000"/>
                <w:sz w:val="24"/>
              </w:rPr>
              <w:t>尿液分析用稀释液1</w:t>
            </w:r>
          </w:p>
        </w:tc>
        <w:tc>
          <w:tcPr>
            <w:tcW w:w="1276" w:type="dxa"/>
            <w:tcBorders>
              <w:top w:val="nil"/>
              <w:left w:val="nil"/>
              <w:bottom w:val="single" w:color="auto" w:sz="4" w:space="0"/>
              <w:right w:val="single" w:color="auto" w:sz="4" w:space="0"/>
            </w:tcBorders>
            <w:shd w:val="clear" w:color="000000" w:fill="FFFFFF"/>
            <w:vAlign w:val="center"/>
          </w:tcPr>
          <w:p w14:paraId="687FFDA2">
            <w:pPr>
              <w:widowControl/>
              <w:jc w:val="center"/>
              <w:rPr>
                <w:rFonts w:hint="eastAsia" w:ascii="宋体" w:hAnsi="宋体" w:cs="宋体"/>
                <w:kern w:val="0"/>
                <w:sz w:val="24"/>
              </w:rPr>
            </w:pPr>
            <w:r>
              <w:rPr>
                <w:rFonts w:hint="eastAsia" w:ascii="宋体" w:hAnsi="宋体" w:cs="宋体"/>
                <w:kern w:val="0"/>
                <w:sz w:val="24"/>
              </w:rPr>
              <w:t>1071.43</w:t>
            </w:r>
          </w:p>
        </w:tc>
        <w:tc>
          <w:tcPr>
            <w:tcW w:w="992" w:type="dxa"/>
            <w:tcBorders>
              <w:top w:val="nil"/>
              <w:left w:val="nil"/>
              <w:bottom w:val="single" w:color="auto" w:sz="4" w:space="0"/>
              <w:right w:val="single" w:color="auto" w:sz="4" w:space="0"/>
            </w:tcBorders>
            <w:shd w:val="clear" w:color="000000" w:fill="FFFFFF"/>
            <w:vAlign w:val="center"/>
          </w:tcPr>
          <w:p w14:paraId="11321828">
            <w:pPr>
              <w:widowControl/>
              <w:jc w:val="center"/>
              <w:rPr>
                <w:rFonts w:hint="eastAsia" w:ascii="宋体" w:hAnsi="宋体" w:cs="宋体"/>
                <w:kern w:val="0"/>
                <w:sz w:val="24"/>
              </w:rPr>
            </w:pPr>
            <w:r>
              <w:rPr>
                <w:rFonts w:hint="eastAsia" w:ascii="宋体" w:hAnsi="宋体" w:cs="宋体"/>
                <w:kern w:val="0"/>
                <w:sz w:val="24"/>
              </w:rPr>
              <w:t>L</w:t>
            </w:r>
          </w:p>
        </w:tc>
        <w:tc>
          <w:tcPr>
            <w:tcW w:w="992" w:type="dxa"/>
            <w:tcBorders>
              <w:top w:val="nil"/>
              <w:left w:val="nil"/>
              <w:bottom w:val="single" w:color="auto" w:sz="4" w:space="0"/>
              <w:right w:val="single" w:color="auto" w:sz="4" w:space="0"/>
            </w:tcBorders>
            <w:shd w:val="clear" w:color="000000" w:fill="FFFFFF"/>
            <w:noWrap/>
            <w:vAlign w:val="center"/>
          </w:tcPr>
          <w:p w14:paraId="49D56403">
            <w:pPr>
              <w:widowControl/>
              <w:jc w:val="center"/>
              <w:rPr>
                <w:rFonts w:hint="eastAsia" w:ascii="宋体" w:hAnsi="宋体" w:cs="宋体"/>
                <w:kern w:val="0"/>
                <w:sz w:val="24"/>
              </w:rPr>
            </w:pPr>
            <w:r>
              <w:rPr>
                <w:rFonts w:hint="eastAsia" w:ascii="宋体" w:hAnsi="宋体" w:cs="宋体"/>
                <w:kern w:val="0"/>
                <w:sz w:val="24"/>
              </w:rPr>
              <w:t>63</w:t>
            </w:r>
          </w:p>
        </w:tc>
        <w:tc>
          <w:tcPr>
            <w:tcW w:w="851" w:type="dxa"/>
            <w:tcBorders>
              <w:top w:val="nil"/>
              <w:left w:val="nil"/>
              <w:bottom w:val="single" w:color="auto" w:sz="4" w:space="0"/>
              <w:right w:val="single" w:color="auto" w:sz="4" w:space="0"/>
            </w:tcBorders>
            <w:shd w:val="clear" w:color="000000" w:fill="FFFFFF"/>
            <w:vAlign w:val="center"/>
          </w:tcPr>
          <w:p w14:paraId="1A6AAABF">
            <w:pPr>
              <w:widowControl/>
              <w:jc w:val="center"/>
              <w:rPr>
                <w:rFonts w:hint="eastAsia" w:ascii="宋体" w:hAnsi="宋体" w:cs="宋体"/>
                <w:color w:val="000000"/>
                <w:kern w:val="0"/>
                <w:sz w:val="24"/>
              </w:rPr>
            </w:pPr>
            <w:r>
              <w:rPr>
                <w:rFonts w:hint="eastAsia" w:ascii="宋体" w:hAnsi="宋体" w:cs="宋体"/>
                <w:color w:val="000000"/>
                <w:kern w:val="0"/>
                <w:sz w:val="24"/>
              </w:rPr>
              <w:t>是</w:t>
            </w:r>
          </w:p>
        </w:tc>
        <w:tc>
          <w:tcPr>
            <w:tcW w:w="952" w:type="dxa"/>
            <w:tcBorders>
              <w:top w:val="nil"/>
              <w:left w:val="nil"/>
              <w:bottom w:val="single" w:color="auto" w:sz="4" w:space="0"/>
              <w:right w:val="single" w:color="auto" w:sz="4" w:space="0"/>
            </w:tcBorders>
            <w:shd w:val="clear" w:color="000000" w:fill="FFFFFF"/>
            <w:vAlign w:val="center"/>
          </w:tcPr>
          <w:p w14:paraId="09252B32">
            <w:pPr>
              <w:widowControl/>
              <w:jc w:val="center"/>
              <w:rPr>
                <w:rFonts w:hint="eastAsia" w:ascii="宋体" w:hAnsi="宋体" w:cs="宋体"/>
                <w:color w:val="000000"/>
                <w:kern w:val="0"/>
                <w:sz w:val="24"/>
              </w:rPr>
            </w:pPr>
            <w:r>
              <w:rPr>
                <w:rFonts w:hint="eastAsia" w:ascii="宋体" w:hAnsi="宋体" w:cs="宋体"/>
                <w:color w:val="000000"/>
                <w:kern w:val="0"/>
                <w:sz w:val="24"/>
              </w:rPr>
              <w:t>否</w:t>
            </w:r>
          </w:p>
        </w:tc>
      </w:tr>
      <w:tr w14:paraId="2618D29E">
        <w:tblPrEx>
          <w:tblCellMar>
            <w:top w:w="0" w:type="dxa"/>
            <w:left w:w="108" w:type="dxa"/>
            <w:bottom w:w="0" w:type="dxa"/>
            <w:right w:w="108" w:type="dxa"/>
          </w:tblCellMar>
        </w:tblPrEx>
        <w:trPr>
          <w:trHeight w:val="576" w:hRule="atLeast"/>
        </w:trPr>
        <w:tc>
          <w:tcPr>
            <w:tcW w:w="704" w:type="dxa"/>
            <w:tcBorders>
              <w:top w:val="nil"/>
              <w:left w:val="single" w:color="auto" w:sz="4" w:space="0"/>
              <w:bottom w:val="single" w:color="auto" w:sz="4" w:space="0"/>
              <w:right w:val="single" w:color="auto" w:sz="4" w:space="0"/>
            </w:tcBorders>
            <w:shd w:val="clear" w:color="000000" w:fill="FFFFFF"/>
            <w:vAlign w:val="center"/>
          </w:tcPr>
          <w:p w14:paraId="24335AD0">
            <w:pPr>
              <w:widowControl/>
              <w:jc w:val="center"/>
              <w:rPr>
                <w:rFonts w:hint="eastAsia" w:ascii="宋体" w:hAnsi="宋体" w:cs="宋体"/>
                <w:kern w:val="0"/>
                <w:sz w:val="24"/>
              </w:rPr>
            </w:pPr>
            <w:r>
              <w:rPr>
                <w:rFonts w:hint="eastAsia" w:ascii="宋体" w:hAnsi="宋体" w:cs="宋体"/>
                <w:kern w:val="0"/>
                <w:sz w:val="24"/>
              </w:rPr>
              <w:t>106</w:t>
            </w:r>
          </w:p>
        </w:tc>
        <w:tc>
          <w:tcPr>
            <w:tcW w:w="2851" w:type="dxa"/>
            <w:tcBorders>
              <w:top w:val="nil"/>
              <w:left w:val="nil"/>
              <w:bottom w:val="single" w:color="auto" w:sz="4" w:space="0"/>
              <w:right w:val="single" w:color="auto" w:sz="4" w:space="0"/>
            </w:tcBorders>
            <w:shd w:val="clear" w:color="000000" w:fill="FFFFFF"/>
            <w:vAlign w:val="center"/>
          </w:tcPr>
          <w:p w14:paraId="612FA86A">
            <w:pPr>
              <w:jc w:val="center"/>
              <w:rPr>
                <w:rFonts w:hint="eastAsia" w:ascii="宋体" w:hAnsi="宋体" w:cs="宋体"/>
                <w:color w:val="000000"/>
                <w:sz w:val="24"/>
              </w:rPr>
            </w:pPr>
            <w:r>
              <w:rPr>
                <w:rFonts w:hint="eastAsia" w:ascii="宋体" w:hAnsi="宋体" w:cs="宋体"/>
                <w:color w:val="000000"/>
                <w:sz w:val="24"/>
              </w:rPr>
              <w:t>尿液分析用稀释液2</w:t>
            </w:r>
          </w:p>
        </w:tc>
        <w:tc>
          <w:tcPr>
            <w:tcW w:w="1276" w:type="dxa"/>
            <w:tcBorders>
              <w:top w:val="nil"/>
              <w:left w:val="nil"/>
              <w:bottom w:val="single" w:color="auto" w:sz="4" w:space="0"/>
              <w:right w:val="single" w:color="auto" w:sz="4" w:space="0"/>
            </w:tcBorders>
            <w:shd w:val="clear" w:color="000000" w:fill="FFFFFF"/>
            <w:vAlign w:val="center"/>
          </w:tcPr>
          <w:p w14:paraId="7C5CD5F4">
            <w:pPr>
              <w:widowControl/>
              <w:jc w:val="center"/>
              <w:rPr>
                <w:rFonts w:hint="eastAsia" w:ascii="宋体" w:hAnsi="宋体" w:cs="宋体"/>
                <w:kern w:val="0"/>
                <w:sz w:val="24"/>
              </w:rPr>
            </w:pPr>
            <w:r>
              <w:rPr>
                <w:rFonts w:hint="eastAsia" w:ascii="宋体" w:hAnsi="宋体" w:cs="宋体"/>
                <w:kern w:val="0"/>
                <w:sz w:val="24"/>
              </w:rPr>
              <w:t>1071.43</w:t>
            </w:r>
          </w:p>
        </w:tc>
        <w:tc>
          <w:tcPr>
            <w:tcW w:w="992" w:type="dxa"/>
            <w:tcBorders>
              <w:top w:val="nil"/>
              <w:left w:val="nil"/>
              <w:bottom w:val="single" w:color="auto" w:sz="4" w:space="0"/>
              <w:right w:val="single" w:color="auto" w:sz="4" w:space="0"/>
            </w:tcBorders>
            <w:shd w:val="clear" w:color="000000" w:fill="FFFFFF"/>
            <w:vAlign w:val="center"/>
          </w:tcPr>
          <w:p w14:paraId="1088DD9E">
            <w:pPr>
              <w:widowControl/>
              <w:jc w:val="center"/>
              <w:rPr>
                <w:rFonts w:hint="eastAsia" w:ascii="宋体" w:hAnsi="宋体" w:cs="宋体"/>
                <w:kern w:val="0"/>
                <w:sz w:val="24"/>
              </w:rPr>
            </w:pPr>
            <w:r>
              <w:rPr>
                <w:rFonts w:hint="eastAsia" w:ascii="宋体" w:hAnsi="宋体" w:cs="宋体"/>
                <w:kern w:val="0"/>
                <w:sz w:val="24"/>
              </w:rPr>
              <w:t>L</w:t>
            </w:r>
          </w:p>
        </w:tc>
        <w:tc>
          <w:tcPr>
            <w:tcW w:w="992" w:type="dxa"/>
            <w:tcBorders>
              <w:top w:val="nil"/>
              <w:left w:val="nil"/>
              <w:bottom w:val="single" w:color="auto" w:sz="4" w:space="0"/>
              <w:right w:val="single" w:color="auto" w:sz="4" w:space="0"/>
            </w:tcBorders>
            <w:shd w:val="clear" w:color="000000" w:fill="FFFFFF"/>
            <w:noWrap/>
            <w:vAlign w:val="center"/>
          </w:tcPr>
          <w:p w14:paraId="6DAAA022">
            <w:pPr>
              <w:widowControl/>
              <w:jc w:val="center"/>
              <w:rPr>
                <w:rFonts w:hint="eastAsia" w:ascii="宋体" w:hAnsi="宋体" w:cs="宋体"/>
                <w:kern w:val="0"/>
                <w:sz w:val="24"/>
              </w:rPr>
            </w:pPr>
            <w:r>
              <w:rPr>
                <w:rFonts w:hint="eastAsia" w:ascii="宋体" w:hAnsi="宋体" w:cs="宋体"/>
                <w:kern w:val="0"/>
                <w:sz w:val="24"/>
              </w:rPr>
              <w:t>63</w:t>
            </w:r>
          </w:p>
        </w:tc>
        <w:tc>
          <w:tcPr>
            <w:tcW w:w="851" w:type="dxa"/>
            <w:tcBorders>
              <w:top w:val="nil"/>
              <w:left w:val="nil"/>
              <w:bottom w:val="single" w:color="auto" w:sz="4" w:space="0"/>
              <w:right w:val="single" w:color="auto" w:sz="4" w:space="0"/>
            </w:tcBorders>
            <w:shd w:val="clear" w:color="000000" w:fill="FFFFFF"/>
            <w:vAlign w:val="center"/>
          </w:tcPr>
          <w:p w14:paraId="45CE18DC">
            <w:pPr>
              <w:widowControl/>
              <w:jc w:val="center"/>
              <w:rPr>
                <w:rFonts w:hint="eastAsia" w:ascii="宋体" w:hAnsi="宋体" w:cs="宋体"/>
                <w:color w:val="000000"/>
                <w:kern w:val="0"/>
                <w:sz w:val="24"/>
              </w:rPr>
            </w:pPr>
            <w:r>
              <w:rPr>
                <w:rFonts w:hint="eastAsia" w:ascii="宋体" w:hAnsi="宋体" w:cs="宋体"/>
                <w:color w:val="000000"/>
                <w:kern w:val="0"/>
                <w:sz w:val="24"/>
              </w:rPr>
              <w:t>是</w:t>
            </w:r>
          </w:p>
        </w:tc>
        <w:tc>
          <w:tcPr>
            <w:tcW w:w="952" w:type="dxa"/>
            <w:tcBorders>
              <w:top w:val="nil"/>
              <w:left w:val="nil"/>
              <w:bottom w:val="single" w:color="auto" w:sz="4" w:space="0"/>
              <w:right w:val="single" w:color="auto" w:sz="4" w:space="0"/>
            </w:tcBorders>
            <w:shd w:val="clear" w:color="000000" w:fill="FFFFFF"/>
            <w:vAlign w:val="center"/>
          </w:tcPr>
          <w:p w14:paraId="0E9C87F7">
            <w:pPr>
              <w:widowControl/>
              <w:jc w:val="center"/>
              <w:rPr>
                <w:rFonts w:hint="eastAsia" w:ascii="宋体" w:hAnsi="宋体" w:cs="宋体"/>
                <w:color w:val="000000"/>
                <w:kern w:val="0"/>
                <w:sz w:val="24"/>
              </w:rPr>
            </w:pPr>
            <w:r>
              <w:rPr>
                <w:rFonts w:hint="eastAsia" w:ascii="宋体" w:hAnsi="宋体" w:cs="宋体"/>
                <w:color w:val="000000"/>
                <w:kern w:val="0"/>
                <w:sz w:val="24"/>
              </w:rPr>
              <w:t>否</w:t>
            </w:r>
          </w:p>
        </w:tc>
      </w:tr>
      <w:tr w14:paraId="0E5F358F">
        <w:tblPrEx>
          <w:tblCellMar>
            <w:top w:w="0" w:type="dxa"/>
            <w:left w:w="108" w:type="dxa"/>
            <w:bottom w:w="0" w:type="dxa"/>
            <w:right w:w="108" w:type="dxa"/>
          </w:tblCellMar>
        </w:tblPrEx>
        <w:trPr>
          <w:trHeight w:val="576" w:hRule="atLeast"/>
        </w:trPr>
        <w:tc>
          <w:tcPr>
            <w:tcW w:w="704" w:type="dxa"/>
            <w:tcBorders>
              <w:top w:val="nil"/>
              <w:left w:val="single" w:color="auto" w:sz="4" w:space="0"/>
              <w:bottom w:val="single" w:color="auto" w:sz="4" w:space="0"/>
              <w:right w:val="single" w:color="auto" w:sz="4" w:space="0"/>
            </w:tcBorders>
            <w:shd w:val="clear" w:color="000000" w:fill="FFFFFF"/>
            <w:vAlign w:val="center"/>
          </w:tcPr>
          <w:p w14:paraId="2154C09B">
            <w:pPr>
              <w:widowControl/>
              <w:jc w:val="center"/>
              <w:rPr>
                <w:rFonts w:hint="eastAsia" w:ascii="宋体" w:hAnsi="宋体" w:cs="宋体"/>
                <w:kern w:val="0"/>
                <w:sz w:val="24"/>
              </w:rPr>
            </w:pPr>
            <w:r>
              <w:rPr>
                <w:rFonts w:hint="eastAsia" w:ascii="宋体" w:hAnsi="宋体" w:cs="宋体"/>
                <w:kern w:val="0"/>
                <w:sz w:val="24"/>
              </w:rPr>
              <w:t>107</w:t>
            </w:r>
          </w:p>
        </w:tc>
        <w:tc>
          <w:tcPr>
            <w:tcW w:w="2851" w:type="dxa"/>
            <w:tcBorders>
              <w:top w:val="nil"/>
              <w:left w:val="nil"/>
              <w:bottom w:val="single" w:color="auto" w:sz="4" w:space="0"/>
              <w:right w:val="single" w:color="auto" w:sz="4" w:space="0"/>
            </w:tcBorders>
            <w:shd w:val="clear" w:color="000000" w:fill="FFFFFF"/>
            <w:vAlign w:val="center"/>
          </w:tcPr>
          <w:p w14:paraId="4B6DBF8B">
            <w:pPr>
              <w:jc w:val="center"/>
              <w:rPr>
                <w:rFonts w:hint="eastAsia" w:ascii="宋体" w:hAnsi="宋体" w:cs="宋体"/>
                <w:color w:val="000000"/>
                <w:sz w:val="24"/>
              </w:rPr>
            </w:pPr>
            <w:r>
              <w:rPr>
                <w:rFonts w:hint="eastAsia" w:ascii="宋体" w:hAnsi="宋体" w:cs="宋体"/>
                <w:color w:val="000000"/>
                <w:sz w:val="24"/>
              </w:rPr>
              <w:t>尿液分析用染色液 (细菌)</w:t>
            </w:r>
          </w:p>
        </w:tc>
        <w:tc>
          <w:tcPr>
            <w:tcW w:w="1276" w:type="dxa"/>
            <w:tcBorders>
              <w:top w:val="nil"/>
              <w:left w:val="nil"/>
              <w:bottom w:val="single" w:color="auto" w:sz="4" w:space="0"/>
              <w:right w:val="single" w:color="auto" w:sz="4" w:space="0"/>
            </w:tcBorders>
            <w:shd w:val="clear" w:color="000000" w:fill="FFFFFF"/>
            <w:vAlign w:val="center"/>
          </w:tcPr>
          <w:p w14:paraId="4C5A0B0A">
            <w:pPr>
              <w:widowControl/>
              <w:jc w:val="center"/>
              <w:rPr>
                <w:rFonts w:hint="eastAsia" w:ascii="宋体" w:hAnsi="宋体" w:cs="宋体"/>
                <w:kern w:val="0"/>
                <w:sz w:val="24"/>
              </w:rPr>
            </w:pPr>
            <w:r>
              <w:rPr>
                <w:rFonts w:hint="eastAsia" w:ascii="宋体" w:hAnsi="宋体" w:cs="宋体"/>
                <w:kern w:val="0"/>
                <w:sz w:val="24"/>
              </w:rPr>
              <w:t>134</w:t>
            </w:r>
          </w:p>
        </w:tc>
        <w:tc>
          <w:tcPr>
            <w:tcW w:w="992" w:type="dxa"/>
            <w:tcBorders>
              <w:top w:val="nil"/>
              <w:left w:val="nil"/>
              <w:bottom w:val="single" w:color="auto" w:sz="4" w:space="0"/>
              <w:right w:val="single" w:color="auto" w:sz="4" w:space="0"/>
            </w:tcBorders>
            <w:shd w:val="clear" w:color="000000" w:fill="FFFFFF"/>
            <w:vAlign w:val="center"/>
          </w:tcPr>
          <w:p w14:paraId="35666CC7">
            <w:pPr>
              <w:widowControl/>
              <w:jc w:val="center"/>
              <w:rPr>
                <w:rFonts w:hint="eastAsia" w:ascii="宋体" w:hAnsi="宋体" w:cs="宋体"/>
                <w:kern w:val="0"/>
                <w:sz w:val="24"/>
              </w:rPr>
            </w:pPr>
            <w:r>
              <w:rPr>
                <w:rFonts w:hint="eastAsia" w:ascii="宋体" w:hAnsi="宋体" w:cs="宋体"/>
                <w:kern w:val="0"/>
                <w:sz w:val="24"/>
              </w:rPr>
              <w:t>ml</w:t>
            </w:r>
          </w:p>
        </w:tc>
        <w:tc>
          <w:tcPr>
            <w:tcW w:w="992" w:type="dxa"/>
            <w:tcBorders>
              <w:top w:val="nil"/>
              <w:left w:val="nil"/>
              <w:bottom w:val="single" w:color="auto" w:sz="4" w:space="0"/>
              <w:right w:val="single" w:color="auto" w:sz="4" w:space="0"/>
            </w:tcBorders>
            <w:shd w:val="clear" w:color="000000" w:fill="FFFFFF"/>
            <w:noWrap/>
            <w:vAlign w:val="center"/>
          </w:tcPr>
          <w:p w14:paraId="3567E895">
            <w:pPr>
              <w:widowControl/>
              <w:jc w:val="center"/>
              <w:rPr>
                <w:rFonts w:hint="eastAsia" w:ascii="宋体" w:hAnsi="宋体" w:cs="宋体"/>
                <w:kern w:val="0"/>
                <w:sz w:val="24"/>
              </w:rPr>
            </w:pPr>
            <w:r>
              <w:rPr>
                <w:rFonts w:hint="eastAsia" w:ascii="宋体" w:hAnsi="宋体" w:cs="宋体"/>
                <w:kern w:val="0"/>
                <w:sz w:val="24"/>
              </w:rPr>
              <w:t>975</w:t>
            </w:r>
          </w:p>
        </w:tc>
        <w:tc>
          <w:tcPr>
            <w:tcW w:w="851" w:type="dxa"/>
            <w:tcBorders>
              <w:top w:val="nil"/>
              <w:left w:val="nil"/>
              <w:bottom w:val="single" w:color="auto" w:sz="4" w:space="0"/>
              <w:right w:val="single" w:color="auto" w:sz="4" w:space="0"/>
            </w:tcBorders>
            <w:shd w:val="clear" w:color="000000" w:fill="FFFFFF"/>
            <w:vAlign w:val="center"/>
          </w:tcPr>
          <w:p w14:paraId="6E52713F">
            <w:pPr>
              <w:widowControl/>
              <w:jc w:val="center"/>
              <w:rPr>
                <w:rFonts w:hint="eastAsia" w:ascii="宋体" w:hAnsi="宋体" w:cs="宋体"/>
                <w:color w:val="000000"/>
                <w:kern w:val="0"/>
                <w:sz w:val="24"/>
              </w:rPr>
            </w:pPr>
            <w:r>
              <w:rPr>
                <w:rFonts w:hint="eastAsia" w:ascii="宋体" w:hAnsi="宋体" w:cs="宋体"/>
                <w:color w:val="000000"/>
                <w:kern w:val="0"/>
                <w:sz w:val="24"/>
              </w:rPr>
              <w:t>是</w:t>
            </w:r>
          </w:p>
        </w:tc>
        <w:tc>
          <w:tcPr>
            <w:tcW w:w="952" w:type="dxa"/>
            <w:tcBorders>
              <w:top w:val="nil"/>
              <w:left w:val="nil"/>
              <w:bottom w:val="single" w:color="auto" w:sz="4" w:space="0"/>
              <w:right w:val="single" w:color="auto" w:sz="4" w:space="0"/>
            </w:tcBorders>
            <w:shd w:val="clear" w:color="000000" w:fill="FFFFFF"/>
            <w:vAlign w:val="center"/>
          </w:tcPr>
          <w:p w14:paraId="6BCF64E9">
            <w:pPr>
              <w:widowControl/>
              <w:jc w:val="center"/>
              <w:rPr>
                <w:rFonts w:hint="eastAsia" w:ascii="宋体" w:hAnsi="宋体" w:cs="宋体"/>
                <w:color w:val="000000"/>
                <w:kern w:val="0"/>
                <w:sz w:val="24"/>
              </w:rPr>
            </w:pPr>
            <w:r>
              <w:rPr>
                <w:rFonts w:hint="eastAsia" w:ascii="宋体" w:hAnsi="宋体" w:cs="宋体"/>
                <w:color w:val="000000"/>
                <w:kern w:val="0"/>
                <w:sz w:val="24"/>
              </w:rPr>
              <w:t>否</w:t>
            </w:r>
          </w:p>
        </w:tc>
      </w:tr>
      <w:tr w14:paraId="044646B5">
        <w:tblPrEx>
          <w:tblCellMar>
            <w:top w:w="0" w:type="dxa"/>
            <w:left w:w="108" w:type="dxa"/>
            <w:bottom w:w="0" w:type="dxa"/>
            <w:right w:w="108" w:type="dxa"/>
          </w:tblCellMar>
        </w:tblPrEx>
        <w:trPr>
          <w:trHeight w:val="576" w:hRule="atLeast"/>
        </w:trPr>
        <w:tc>
          <w:tcPr>
            <w:tcW w:w="704" w:type="dxa"/>
            <w:tcBorders>
              <w:top w:val="nil"/>
              <w:left w:val="single" w:color="auto" w:sz="4" w:space="0"/>
              <w:bottom w:val="single" w:color="auto" w:sz="4" w:space="0"/>
              <w:right w:val="single" w:color="auto" w:sz="4" w:space="0"/>
            </w:tcBorders>
            <w:shd w:val="clear" w:color="000000" w:fill="FFFFFF"/>
            <w:vAlign w:val="center"/>
          </w:tcPr>
          <w:p w14:paraId="75966C9D">
            <w:pPr>
              <w:widowControl/>
              <w:jc w:val="center"/>
              <w:rPr>
                <w:rFonts w:hint="eastAsia" w:ascii="宋体" w:hAnsi="宋体" w:cs="宋体"/>
                <w:kern w:val="0"/>
                <w:sz w:val="24"/>
              </w:rPr>
            </w:pPr>
            <w:r>
              <w:rPr>
                <w:rFonts w:hint="eastAsia" w:ascii="宋体" w:hAnsi="宋体" w:cs="宋体"/>
                <w:kern w:val="0"/>
                <w:sz w:val="24"/>
              </w:rPr>
              <w:t>108</w:t>
            </w:r>
          </w:p>
        </w:tc>
        <w:tc>
          <w:tcPr>
            <w:tcW w:w="2851" w:type="dxa"/>
            <w:tcBorders>
              <w:top w:val="nil"/>
              <w:left w:val="nil"/>
              <w:bottom w:val="single" w:color="auto" w:sz="4" w:space="0"/>
              <w:right w:val="single" w:color="auto" w:sz="4" w:space="0"/>
            </w:tcBorders>
            <w:shd w:val="clear" w:color="000000" w:fill="FFFFFF"/>
            <w:vAlign w:val="center"/>
          </w:tcPr>
          <w:p w14:paraId="26D1AFAF">
            <w:pPr>
              <w:jc w:val="center"/>
              <w:rPr>
                <w:rFonts w:hint="eastAsia" w:ascii="宋体" w:hAnsi="宋体" w:cs="宋体"/>
                <w:color w:val="000000"/>
                <w:sz w:val="24"/>
              </w:rPr>
            </w:pPr>
            <w:r>
              <w:rPr>
                <w:rFonts w:hint="eastAsia" w:ascii="宋体" w:hAnsi="宋体" w:cs="宋体"/>
                <w:color w:val="000000"/>
                <w:sz w:val="24"/>
              </w:rPr>
              <w:t>尿有形成份检测质控品</w:t>
            </w:r>
          </w:p>
        </w:tc>
        <w:tc>
          <w:tcPr>
            <w:tcW w:w="1276" w:type="dxa"/>
            <w:tcBorders>
              <w:top w:val="nil"/>
              <w:left w:val="nil"/>
              <w:bottom w:val="single" w:color="auto" w:sz="4" w:space="0"/>
              <w:right w:val="single" w:color="auto" w:sz="4" w:space="0"/>
            </w:tcBorders>
            <w:shd w:val="clear" w:color="000000" w:fill="FFFFFF"/>
            <w:vAlign w:val="center"/>
          </w:tcPr>
          <w:p w14:paraId="554D8EBC">
            <w:pPr>
              <w:widowControl/>
              <w:jc w:val="center"/>
              <w:rPr>
                <w:rFonts w:hint="eastAsia" w:ascii="宋体" w:hAnsi="宋体" w:cs="宋体"/>
                <w:kern w:val="0"/>
                <w:sz w:val="24"/>
              </w:rPr>
            </w:pPr>
            <w:r>
              <w:rPr>
                <w:rFonts w:hint="eastAsia" w:ascii="宋体" w:hAnsi="宋体" w:cs="宋体"/>
                <w:kern w:val="0"/>
                <w:sz w:val="24"/>
              </w:rPr>
              <w:t>47.88</w:t>
            </w:r>
          </w:p>
        </w:tc>
        <w:tc>
          <w:tcPr>
            <w:tcW w:w="992" w:type="dxa"/>
            <w:tcBorders>
              <w:top w:val="nil"/>
              <w:left w:val="nil"/>
              <w:bottom w:val="single" w:color="auto" w:sz="4" w:space="0"/>
              <w:right w:val="single" w:color="auto" w:sz="4" w:space="0"/>
            </w:tcBorders>
            <w:shd w:val="clear" w:color="000000" w:fill="FFFFFF"/>
            <w:vAlign w:val="center"/>
          </w:tcPr>
          <w:p w14:paraId="1B69AB0D">
            <w:pPr>
              <w:widowControl/>
              <w:jc w:val="center"/>
              <w:rPr>
                <w:rFonts w:hint="eastAsia" w:ascii="宋体" w:hAnsi="宋体" w:cs="宋体"/>
                <w:kern w:val="0"/>
                <w:sz w:val="24"/>
              </w:rPr>
            </w:pPr>
            <w:r>
              <w:rPr>
                <w:rFonts w:hint="eastAsia" w:ascii="宋体" w:hAnsi="宋体" w:cs="宋体"/>
                <w:kern w:val="0"/>
                <w:sz w:val="24"/>
              </w:rPr>
              <w:t>ml</w:t>
            </w:r>
          </w:p>
        </w:tc>
        <w:tc>
          <w:tcPr>
            <w:tcW w:w="992" w:type="dxa"/>
            <w:tcBorders>
              <w:top w:val="nil"/>
              <w:left w:val="nil"/>
              <w:bottom w:val="single" w:color="auto" w:sz="4" w:space="0"/>
              <w:right w:val="single" w:color="auto" w:sz="4" w:space="0"/>
            </w:tcBorders>
            <w:shd w:val="clear" w:color="000000" w:fill="FFFFFF"/>
            <w:noWrap/>
            <w:vAlign w:val="center"/>
          </w:tcPr>
          <w:p w14:paraId="3FD3C2A7">
            <w:pPr>
              <w:widowControl/>
              <w:jc w:val="center"/>
              <w:rPr>
                <w:rFonts w:hint="eastAsia" w:ascii="宋体" w:hAnsi="宋体" w:cs="宋体"/>
                <w:kern w:val="0"/>
                <w:sz w:val="24"/>
              </w:rPr>
            </w:pPr>
            <w:r>
              <w:rPr>
                <w:rFonts w:hint="eastAsia" w:ascii="宋体" w:hAnsi="宋体" w:cs="宋体"/>
                <w:kern w:val="0"/>
                <w:sz w:val="24"/>
              </w:rPr>
              <w:t>2256</w:t>
            </w:r>
          </w:p>
        </w:tc>
        <w:tc>
          <w:tcPr>
            <w:tcW w:w="851" w:type="dxa"/>
            <w:tcBorders>
              <w:top w:val="nil"/>
              <w:left w:val="nil"/>
              <w:bottom w:val="single" w:color="auto" w:sz="4" w:space="0"/>
              <w:right w:val="single" w:color="auto" w:sz="4" w:space="0"/>
            </w:tcBorders>
            <w:shd w:val="clear" w:color="000000" w:fill="FFFFFF"/>
            <w:vAlign w:val="center"/>
          </w:tcPr>
          <w:p w14:paraId="39DF4B99">
            <w:pPr>
              <w:widowControl/>
              <w:jc w:val="center"/>
              <w:rPr>
                <w:rFonts w:hint="eastAsia" w:ascii="宋体" w:hAnsi="宋体" w:cs="宋体"/>
                <w:color w:val="000000"/>
                <w:kern w:val="0"/>
                <w:sz w:val="24"/>
              </w:rPr>
            </w:pPr>
            <w:r>
              <w:rPr>
                <w:rFonts w:hint="eastAsia" w:ascii="宋体" w:hAnsi="宋体" w:cs="宋体"/>
                <w:color w:val="000000"/>
                <w:kern w:val="0"/>
                <w:sz w:val="24"/>
              </w:rPr>
              <w:t>是</w:t>
            </w:r>
          </w:p>
        </w:tc>
        <w:tc>
          <w:tcPr>
            <w:tcW w:w="952" w:type="dxa"/>
            <w:tcBorders>
              <w:top w:val="nil"/>
              <w:left w:val="nil"/>
              <w:bottom w:val="single" w:color="auto" w:sz="4" w:space="0"/>
              <w:right w:val="single" w:color="auto" w:sz="4" w:space="0"/>
            </w:tcBorders>
            <w:shd w:val="clear" w:color="000000" w:fill="FFFFFF"/>
            <w:vAlign w:val="center"/>
          </w:tcPr>
          <w:p w14:paraId="4663F8A2">
            <w:pPr>
              <w:widowControl/>
              <w:jc w:val="center"/>
              <w:rPr>
                <w:rFonts w:hint="eastAsia" w:ascii="宋体" w:hAnsi="宋体" w:cs="宋体"/>
                <w:color w:val="000000"/>
                <w:kern w:val="0"/>
                <w:sz w:val="24"/>
              </w:rPr>
            </w:pPr>
            <w:r>
              <w:rPr>
                <w:rFonts w:hint="eastAsia" w:ascii="宋体" w:hAnsi="宋体" w:cs="宋体"/>
                <w:color w:val="000000"/>
                <w:kern w:val="0"/>
                <w:sz w:val="24"/>
              </w:rPr>
              <w:t>否</w:t>
            </w:r>
          </w:p>
        </w:tc>
      </w:tr>
      <w:tr w14:paraId="4E6E9FEF">
        <w:tblPrEx>
          <w:tblCellMar>
            <w:top w:w="0" w:type="dxa"/>
            <w:left w:w="108" w:type="dxa"/>
            <w:bottom w:w="0" w:type="dxa"/>
            <w:right w:w="108" w:type="dxa"/>
          </w:tblCellMar>
        </w:tblPrEx>
        <w:trPr>
          <w:trHeight w:val="576" w:hRule="atLeast"/>
        </w:trPr>
        <w:tc>
          <w:tcPr>
            <w:tcW w:w="704" w:type="dxa"/>
            <w:tcBorders>
              <w:top w:val="nil"/>
              <w:left w:val="single" w:color="auto" w:sz="4" w:space="0"/>
              <w:bottom w:val="single" w:color="auto" w:sz="4" w:space="0"/>
              <w:right w:val="single" w:color="auto" w:sz="4" w:space="0"/>
            </w:tcBorders>
            <w:shd w:val="clear" w:color="000000" w:fill="FFFFFF"/>
            <w:vAlign w:val="center"/>
          </w:tcPr>
          <w:p w14:paraId="171337CB">
            <w:pPr>
              <w:widowControl/>
              <w:jc w:val="center"/>
              <w:rPr>
                <w:rFonts w:hint="eastAsia" w:ascii="宋体" w:hAnsi="宋体" w:cs="宋体"/>
                <w:kern w:val="0"/>
                <w:sz w:val="24"/>
              </w:rPr>
            </w:pPr>
            <w:r>
              <w:rPr>
                <w:rFonts w:hint="eastAsia" w:ascii="宋体" w:hAnsi="宋体" w:cs="宋体"/>
                <w:kern w:val="0"/>
                <w:sz w:val="24"/>
              </w:rPr>
              <w:t>109</w:t>
            </w:r>
          </w:p>
        </w:tc>
        <w:tc>
          <w:tcPr>
            <w:tcW w:w="2851" w:type="dxa"/>
            <w:tcBorders>
              <w:top w:val="nil"/>
              <w:left w:val="nil"/>
              <w:bottom w:val="single" w:color="auto" w:sz="4" w:space="0"/>
              <w:right w:val="single" w:color="auto" w:sz="4" w:space="0"/>
            </w:tcBorders>
            <w:shd w:val="clear" w:color="000000" w:fill="FFFFFF"/>
            <w:vAlign w:val="center"/>
          </w:tcPr>
          <w:p w14:paraId="57501666">
            <w:pPr>
              <w:jc w:val="center"/>
              <w:rPr>
                <w:rFonts w:hint="eastAsia" w:ascii="宋体" w:hAnsi="宋体" w:cs="宋体"/>
                <w:color w:val="000000"/>
                <w:sz w:val="24"/>
              </w:rPr>
            </w:pPr>
            <w:r>
              <w:rPr>
                <w:rFonts w:hint="eastAsia" w:ascii="宋体" w:hAnsi="宋体" w:cs="宋体"/>
                <w:color w:val="000000"/>
                <w:sz w:val="24"/>
              </w:rPr>
              <w:t>血细胞分析用染色液(白细胞计数)</w:t>
            </w:r>
          </w:p>
        </w:tc>
        <w:tc>
          <w:tcPr>
            <w:tcW w:w="1276" w:type="dxa"/>
            <w:tcBorders>
              <w:top w:val="nil"/>
              <w:left w:val="nil"/>
              <w:bottom w:val="single" w:color="auto" w:sz="4" w:space="0"/>
              <w:right w:val="single" w:color="auto" w:sz="4" w:space="0"/>
            </w:tcBorders>
            <w:shd w:val="clear" w:color="000000" w:fill="FFFFFF"/>
            <w:vAlign w:val="center"/>
          </w:tcPr>
          <w:p w14:paraId="367834FA">
            <w:pPr>
              <w:widowControl/>
              <w:jc w:val="center"/>
              <w:rPr>
                <w:rFonts w:hint="eastAsia" w:ascii="宋体" w:hAnsi="宋体" w:cs="宋体"/>
                <w:kern w:val="0"/>
                <w:sz w:val="24"/>
              </w:rPr>
            </w:pPr>
            <w:r>
              <w:rPr>
                <w:rFonts w:hint="eastAsia" w:ascii="宋体" w:hAnsi="宋体" w:cs="宋体"/>
                <w:kern w:val="0"/>
                <w:sz w:val="24"/>
              </w:rPr>
              <w:t>67.08</w:t>
            </w:r>
          </w:p>
        </w:tc>
        <w:tc>
          <w:tcPr>
            <w:tcW w:w="992" w:type="dxa"/>
            <w:tcBorders>
              <w:top w:val="nil"/>
              <w:left w:val="nil"/>
              <w:bottom w:val="single" w:color="auto" w:sz="4" w:space="0"/>
              <w:right w:val="single" w:color="auto" w:sz="4" w:space="0"/>
            </w:tcBorders>
            <w:shd w:val="clear" w:color="000000" w:fill="FFFFFF"/>
            <w:vAlign w:val="center"/>
          </w:tcPr>
          <w:p w14:paraId="3C952034">
            <w:pPr>
              <w:widowControl/>
              <w:jc w:val="center"/>
              <w:rPr>
                <w:rFonts w:hint="eastAsia" w:ascii="宋体" w:hAnsi="宋体" w:cs="宋体"/>
                <w:kern w:val="0"/>
                <w:sz w:val="24"/>
              </w:rPr>
            </w:pPr>
            <w:r>
              <w:rPr>
                <w:rFonts w:hint="eastAsia" w:ascii="宋体" w:hAnsi="宋体" w:cs="宋体"/>
                <w:kern w:val="0"/>
                <w:sz w:val="24"/>
              </w:rPr>
              <w:t>ml</w:t>
            </w:r>
          </w:p>
        </w:tc>
        <w:tc>
          <w:tcPr>
            <w:tcW w:w="992" w:type="dxa"/>
            <w:tcBorders>
              <w:top w:val="nil"/>
              <w:left w:val="nil"/>
              <w:bottom w:val="single" w:color="auto" w:sz="4" w:space="0"/>
              <w:right w:val="single" w:color="auto" w:sz="4" w:space="0"/>
            </w:tcBorders>
            <w:shd w:val="clear" w:color="000000" w:fill="FFFFFF"/>
            <w:noWrap/>
            <w:vAlign w:val="center"/>
          </w:tcPr>
          <w:p w14:paraId="40014C5F">
            <w:pPr>
              <w:widowControl/>
              <w:jc w:val="center"/>
              <w:rPr>
                <w:rFonts w:hint="eastAsia" w:ascii="宋体" w:hAnsi="宋体" w:cs="宋体"/>
                <w:kern w:val="0"/>
                <w:sz w:val="24"/>
              </w:rPr>
            </w:pPr>
            <w:r>
              <w:rPr>
                <w:rFonts w:hint="eastAsia" w:ascii="宋体" w:hAnsi="宋体" w:cs="宋体"/>
                <w:kern w:val="0"/>
                <w:sz w:val="24"/>
              </w:rPr>
              <w:t>328</w:t>
            </w:r>
          </w:p>
        </w:tc>
        <w:tc>
          <w:tcPr>
            <w:tcW w:w="851" w:type="dxa"/>
            <w:tcBorders>
              <w:top w:val="nil"/>
              <w:left w:val="nil"/>
              <w:bottom w:val="single" w:color="auto" w:sz="4" w:space="0"/>
              <w:right w:val="single" w:color="auto" w:sz="4" w:space="0"/>
            </w:tcBorders>
            <w:shd w:val="clear" w:color="000000" w:fill="FFFFFF"/>
            <w:vAlign w:val="center"/>
          </w:tcPr>
          <w:p w14:paraId="0CDBBE6B">
            <w:pPr>
              <w:widowControl/>
              <w:jc w:val="center"/>
              <w:rPr>
                <w:rFonts w:hint="eastAsia" w:ascii="宋体" w:hAnsi="宋体" w:cs="宋体"/>
                <w:color w:val="000000"/>
                <w:kern w:val="0"/>
                <w:sz w:val="24"/>
              </w:rPr>
            </w:pPr>
            <w:r>
              <w:rPr>
                <w:rFonts w:hint="eastAsia" w:ascii="宋体" w:hAnsi="宋体" w:cs="宋体"/>
                <w:color w:val="000000"/>
                <w:kern w:val="0"/>
                <w:sz w:val="24"/>
              </w:rPr>
              <w:t>是</w:t>
            </w:r>
          </w:p>
        </w:tc>
        <w:tc>
          <w:tcPr>
            <w:tcW w:w="952" w:type="dxa"/>
            <w:tcBorders>
              <w:top w:val="nil"/>
              <w:left w:val="nil"/>
              <w:bottom w:val="single" w:color="auto" w:sz="4" w:space="0"/>
              <w:right w:val="single" w:color="auto" w:sz="4" w:space="0"/>
            </w:tcBorders>
            <w:shd w:val="clear" w:color="000000" w:fill="FFFFFF"/>
            <w:vAlign w:val="center"/>
          </w:tcPr>
          <w:p w14:paraId="6524C38B">
            <w:pPr>
              <w:widowControl/>
              <w:jc w:val="center"/>
              <w:rPr>
                <w:rFonts w:hint="eastAsia" w:ascii="宋体" w:hAnsi="宋体" w:cs="宋体"/>
                <w:color w:val="000000"/>
                <w:kern w:val="0"/>
                <w:sz w:val="24"/>
              </w:rPr>
            </w:pPr>
            <w:r>
              <w:rPr>
                <w:rFonts w:hint="eastAsia" w:ascii="宋体" w:hAnsi="宋体" w:cs="宋体"/>
                <w:color w:val="000000"/>
                <w:kern w:val="0"/>
                <w:sz w:val="24"/>
              </w:rPr>
              <w:t>否</w:t>
            </w:r>
          </w:p>
        </w:tc>
      </w:tr>
      <w:tr w14:paraId="0FC5D9BE">
        <w:tblPrEx>
          <w:tblCellMar>
            <w:top w:w="0" w:type="dxa"/>
            <w:left w:w="108" w:type="dxa"/>
            <w:bottom w:w="0" w:type="dxa"/>
            <w:right w:w="108" w:type="dxa"/>
          </w:tblCellMar>
        </w:tblPrEx>
        <w:trPr>
          <w:trHeight w:val="576" w:hRule="atLeast"/>
        </w:trPr>
        <w:tc>
          <w:tcPr>
            <w:tcW w:w="704" w:type="dxa"/>
            <w:tcBorders>
              <w:top w:val="nil"/>
              <w:left w:val="single" w:color="auto" w:sz="4" w:space="0"/>
              <w:bottom w:val="single" w:color="auto" w:sz="4" w:space="0"/>
              <w:right w:val="single" w:color="auto" w:sz="4" w:space="0"/>
            </w:tcBorders>
            <w:shd w:val="clear" w:color="000000" w:fill="FFFFFF"/>
            <w:vAlign w:val="center"/>
          </w:tcPr>
          <w:p w14:paraId="04FA7802">
            <w:pPr>
              <w:widowControl/>
              <w:jc w:val="center"/>
              <w:rPr>
                <w:rFonts w:hint="eastAsia" w:ascii="宋体" w:hAnsi="宋体" w:cs="宋体"/>
                <w:kern w:val="0"/>
                <w:sz w:val="24"/>
              </w:rPr>
            </w:pPr>
            <w:r>
              <w:rPr>
                <w:rFonts w:hint="eastAsia" w:ascii="宋体" w:hAnsi="宋体" w:cs="宋体"/>
                <w:kern w:val="0"/>
                <w:sz w:val="24"/>
              </w:rPr>
              <w:t>110</w:t>
            </w:r>
          </w:p>
        </w:tc>
        <w:tc>
          <w:tcPr>
            <w:tcW w:w="2851" w:type="dxa"/>
            <w:tcBorders>
              <w:top w:val="nil"/>
              <w:left w:val="nil"/>
              <w:bottom w:val="single" w:color="auto" w:sz="4" w:space="0"/>
              <w:right w:val="single" w:color="auto" w:sz="4" w:space="0"/>
            </w:tcBorders>
            <w:shd w:val="clear" w:color="000000" w:fill="FFFFFF"/>
            <w:vAlign w:val="center"/>
          </w:tcPr>
          <w:p w14:paraId="17DA9296">
            <w:pPr>
              <w:jc w:val="center"/>
              <w:rPr>
                <w:rFonts w:hint="eastAsia" w:ascii="宋体" w:hAnsi="宋体" w:cs="宋体"/>
                <w:color w:val="000000"/>
                <w:sz w:val="24"/>
              </w:rPr>
            </w:pPr>
            <w:r>
              <w:rPr>
                <w:rFonts w:hint="eastAsia" w:ascii="宋体" w:hAnsi="宋体" w:cs="宋体"/>
                <w:color w:val="000000"/>
                <w:sz w:val="24"/>
              </w:rPr>
              <w:t>血细胞分析用溶血剂(白细胞计数)</w:t>
            </w:r>
          </w:p>
        </w:tc>
        <w:tc>
          <w:tcPr>
            <w:tcW w:w="1276" w:type="dxa"/>
            <w:tcBorders>
              <w:top w:val="nil"/>
              <w:left w:val="nil"/>
              <w:bottom w:val="single" w:color="auto" w:sz="4" w:space="0"/>
              <w:right w:val="single" w:color="auto" w:sz="4" w:space="0"/>
            </w:tcBorders>
            <w:shd w:val="clear" w:color="000000" w:fill="FFFFFF"/>
            <w:vAlign w:val="center"/>
          </w:tcPr>
          <w:p w14:paraId="37363E43">
            <w:pPr>
              <w:widowControl/>
              <w:jc w:val="center"/>
              <w:rPr>
                <w:rFonts w:hint="eastAsia" w:ascii="宋体" w:hAnsi="宋体" w:cs="宋体"/>
                <w:kern w:val="0"/>
                <w:sz w:val="24"/>
              </w:rPr>
            </w:pPr>
            <w:r>
              <w:rPr>
                <w:rFonts w:hint="eastAsia" w:ascii="宋体" w:hAnsi="宋体" w:cs="宋体"/>
                <w:kern w:val="0"/>
                <w:sz w:val="24"/>
              </w:rPr>
              <w:t>725</w:t>
            </w:r>
          </w:p>
        </w:tc>
        <w:tc>
          <w:tcPr>
            <w:tcW w:w="992" w:type="dxa"/>
            <w:tcBorders>
              <w:top w:val="nil"/>
              <w:left w:val="nil"/>
              <w:bottom w:val="single" w:color="auto" w:sz="4" w:space="0"/>
              <w:right w:val="single" w:color="auto" w:sz="4" w:space="0"/>
            </w:tcBorders>
            <w:shd w:val="clear" w:color="000000" w:fill="FFFFFF"/>
            <w:vAlign w:val="center"/>
          </w:tcPr>
          <w:p w14:paraId="36FF6BE7">
            <w:pPr>
              <w:widowControl/>
              <w:jc w:val="center"/>
              <w:rPr>
                <w:rFonts w:hint="eastAsia" w:ascii="宋体" w:hAnsi="宋体" w:cs="宋体"/>
                <w:kern w:val="0"/>
                <w:sz w:val="24"/>
              </w:rPr>
            </w:pPr>
            <w:r>
              <w:rPr>
                <w:rFonts w:hint="eastAsia" w:ascii="宋体" w:hAnsi="宋体" w:cs="宋体"/>
                <w:kern w:val="0"/>
                <w:sz w:val="24"/>
              </w:rPr>
              <w:t>L</w:t>
            </w:r>
          </w:p>
        </w:tc>
        <w:tc>
          <w:tcPr>
            <w:tcW w:w="992" w:type="dxa"/>
            <w:tcBorders>
              <w:top w:val="nil"/>
              <w:left w:val="nil"/>
              <w:bottom w:val="single" w:color="auto" w:sz="4" w:space="0"/>
              <w:right w:val="single" w:color="auto" w:sz="4" w:space="0"/>
            </w:tcBorders>
            <w:shd w:val="clear" w:color="000000" w:fill="FFFFFF"/>
            <w:noWrap/>
            <w:vAlign w:val="center"/>
          </w:tcPr>
          <w:p w14:paraId="7FDB5568">
            <w:pPr>
              <w:widowControl/>
              <w:jc w:val="center"/>
              <w:rPr>
                <w:rFonts w:hint="eastAsia" w:ascii="宋体" w:hAnsi="宋体" w:cs="宋体"/>
                <w:kern w:val="0"/>
                <w:sz w:val="24"/>
              </w:rPr>
            </w:pPr>
            <w:r>
              <w:rPr>
                <w:rFonts w:hint="eastAsia" w:ascii="宋体" w:hAnsi="宋体" w:cs="宋体"/>
                <w:kern w:val="0"/>
                <w:sz w:val="24"/>
              </w:rPr>
              <w:t>28</w:t>
            </w:r>
          </w:p>
        </w:tc>
        <w:tc>
          <w:tcPr>
            <w:tcW w:w="851" w:type="dxa"/>
            <w:tcBorders>
              <w:top w:val="nil"/>
              <w:left w:val="nil"/>
              <w:bottom w:val="single" w:color="auto" w:sz="4" w:space="0"/>
              <w:right w:val="single" w:color="auto" w:sz="4" w:space="0"/>
            </w:tcBorders>
            <w:shd w:val="clear" w:color="000000" w:fill="FFFFFF"/>
            <w:vAlign w:val="center"/>
          </w:tcPr>
          <w:p w14:paraId="1C68647B">
            <w:pPr>
              <w:widowControl/>
              <w:jc w:val="center"/>
              <w:rPr>
                <w:rFonts w:hint="eastAsia" w:ascii="宋体" w:hAnsi="宋体" w:cs="宋体"/>
                <w:color w:val="000000"/>
                <w:kern w:val="0"/>
                <w:sz w:val="24"/>
              </w:rPr>
            </w:pPr>
            <w:r>
              <w:rPr>
                <w:rFonts w:hint="eastAsia" w:ascii="宋体" w:hAnsi="宋体" w:cs="宋体"/>
                <w:color w:val="000000"/>
                <w:kern w:val="0"/>
                <w:sz w:val="24"/>
              </w:rPr>
              <w:t>是</w:t>
            </w:r>
          </w:p>
        </w:tc>
        <w:tc>
          <w:tcPr>
            <w:tcW w:w="952" w:type="dxa"/>
            <w:tcBorders>
              <w:top w:val="nil"/>
              <w:left w:val="nil"/>
              <w:bottom w:val="single" w:color="auto" w:sz="4" w:space="0"/>
              <w:right w:val="single" w:color="auto" w:sz="4" w:space="0"/>
            </w:tcBorders>
            <w:shd w:val="clear" w:color="000000" w:fill="FFFFFF"/>
            <w:vAlign w:val="center"/>
          </w:tcPr>
          <w:p w14:paraId="6BE37329">
            <w:pPr>
              <w:widowControl/>
              <w:jc w:val="center"/>
              <w:rPr>
                <w:rFonts w:hint="eastAsia" w:ascii="宋体" w:hAnsi="宋体" w:cs="宋体"/>
                <w:color w:val="000000"/>
                <w:kern w:val="0"/>
                <w:sz w:val="24"/>
              </w:rPr>
            </w:pPr>
            <w:r>
              <w:rPr>
                <w:rFonts w:hint="eastAsia" w:ascii="宋体" w:hAnsi="宋体" w:cs="宋体"/>
                <w:color w:val="000000"/>
                <w:kern w:val="0"/>
                <w:sz w:val="24"/>
              </w:rPr>
              <w:t>否</w:t>
            </w:r>
          </w:p>
        </w:tc>
      </w:tr>
      <w:tr w14:paraId="40429CE5">
        <w:tblPrEx>
          <w:tblCellMar>
            <w:top w:w="0" w:type="dxa"/>
            <w:left w:w="108" w:type="dxa"/>
            <w:bottom w:w="0" w:type="dxa"/>
            <w:right w:w="108" w:type="dxa"/>
          </w:tblCellMar>
        </w:tblPrEx>
        <w:trPr>
          <w:trHeight w:val="576" w:hRule="atLeast"/>
        </w:trPr>
        <w:tc>
          <w:tcPr>
            <w:tcW w:w="704" w:type="dxa"/>
            <w:tcBorders>
              <w:top w:val="nil"/>
              <w:left w:val="single" w:color="auto" w:sz="4" w:space="0"/>
              <w:bottom w:val="single" w:color="auto" w:sz="4" w:space="0"/>
              <w:right w:val="single" w:color="auto" w:sz="4" w:space="0"/>
            </w:tcBorders>
            <w:shd w:val="clear" w:color="000000" w:fill="FFFFFF"/>
            <w:vAlign w:val="center"/>
          </w:tcPr>
          <w:p w14:paraId="343F0C97">
            <w:pPr>
              <w:widowControl/>
              <w:jc w:val="center"/>
              <w:rPr>
                <w:rFonts w:hint="eastAsia" w:ascii="宋体" w:hAnsi="宋体" w:cs="宋体"/>
                <w:kern w:val="0"/>
                <w:sz w:val="24"/>
              </w:rPr>
            </w:pPr>
            <w:r>
              <w:rPr>
                <w:rFonts w:hint="eastAsia" w:ascii="宋体" w:hAnsi="宋体" w:cs="宋体"/>
                <w:kern w:val="0"/>
                <w:sz w:val="24"/>
              </w:rPr>
              <w:t>111</w:t>
            </w:r>
          </w:p>
        </w:tc>
        <w:tc>
          <w:tcPr>
            <w:tcW w:w="2851" w:type="dxa"/>
            <w:tcBorders>
              <w:top w:val="nil"/>
              <w:left w:val="nil"/>
              <w:bottom w:val="single" w:color="auto" w:sz="4" w:space="0"/>
              <w:right w:val="single" w:color="auto" w:sz="4" w:space="0"/>
            </w:tcBorders>
            <w:shd w:val="clear" w:color="000000" w:fill="FFFFFF"/>
            <w:vAlign w:val="center"/>
          </w:tcPr>
          <w:p w14:paraId="71D2CA07">
            <w:pPr>
              <w:jc w:val="center"/>
              <w:rPr>
                <w:rFonts w:hint="eastAsia" w:ascii="宋体" w:hAnsi="宋体" w:cs="宋体"/>
                <w:color w:val="000000"/>
                <w:sz w:val="24"/>
              </w:rPr>
            </w:pPr>
            <w:r>
              <w:rPr>
                <w:rFonts w:hint="eastAsia" w:ascii="宋体" w:hAnsi="宋体" w:cs="宋体"/>
                <w:color w:val="000000"/>
                <w:sz w:val="24"/>
              </w:rPr>
              <w:t>血细胞分析用溶血剂(白细胞分类)</w:t>
            </w:r>
          </w:p>
        </w:tc>
        <w:tc>
          <w:tcPr>
            <w:tcW w:w="1276" w:type="dxa"/>
            <w:tcBorders>
              <w:top w:val="nil"/>
              <w:left w:val="nil"/>
              <w:bottom w:val="single" w:color="auto" w:sz="4" w:space="0"/>
              <w:right w:val="single" w:color="auto" w:sz="4" w:space="0"/>
            </w:tcBorders>
            <w:shd w:val="clear" w:color="000000" w:fill="FFFFFF"/>
            <w:vAlign w:val="center"/>
          </w:tcPr>
          <w:p w14:paraId="3E9D7231">
            <w:pPr>
              <w:widowControl/>
              <w:jc w:val="center"/>
              <w:rPr>
                <w:rFonts w:hint="eastAsia" w:ascii="宋体" w:hAnsi="宋体" w:cs="宋体"/>
                <w:kern w:val="0"/>
                <w:sz w:val="24"/>
              </w:rPr>
            </w:pPr>
            <w:r>
              <w:rPr>
                <w:rFonts w:hint="eastAsia" w:ascii="宋体" w:hAnsi="宋体" w:cs="宋体"/>
                <w:kern w:val="0"/>
                <w:sz w:val="24"/>
              </w:rPr>
              <w:t>712.5</w:t>
            </w:r>
          </w:p>
        </w:tc>
        <w:tc>
          <w:tcPr>
            <w:tcW w:w="992" w:type="dxa"/>
            <w:tcBorders>
              <w:top w:val="nil"/>
              <w:left w:val="nil"/>
              <w:bottom w:val="single" w:color="auto" w:sz="4" w:space="0"/>
              <w:right w:val="single" w:color="auto" w:sz="4" w:space="0"/>
            </w:tcBorders>
            <w:shd w:val="clear" w:color="000000" w:fill="FFFFFF"/>
            <w:vAlign w:val="center"/>
          </w:tcPr>
          <w:p w14:paraId="3932A12F">
            <w:pPr>
              <w:widowControl/>
              <w:jc w:val="center"/>
              <w:rPr>
                <w:rFonts w:hint="eastAsia" w:ascii="宋体" w:hAnsi="宋体" w:cs="宋体"/>
                <w:kern w:val="0"/>
                <w:sz w:val="24"/>
              </w:rPr>
            </w:pPr>
            <w:r>
              <w:rPr>
                <w:rFonts w:hint="eastAsia" w:ascii="宋体" w:hAnsi="宋体" w:cs="宋体"/>
                <w:kern w:val="0"/>
                <w:sz w:val="24"/>
              </w:rPr>
              <w:t>L</w:t>
            </w:r>
          </w:p>
        </w:tc>
        <w:tc>
          <w:tcPr>
            <w:tcW w:w="992" w:type="dxa"/>
            <w:tcBorders>
              <w:top w:val="nil"/>
              <w:left w:val="nil"/>
              <w:bottom w:val="single" w:color="auto" w:sz="4" w:space="0"/>
              <w:right w:val="single" w:color="auto" w:sz="4" w:space="0"/>
            </w:tcBorders>
            <w:shd w:val="clear" w:color="000000" w:fill="FFFFFF"/>
            <w:noWrap/>
            <w:vAlign w:val="center"/>
          </w:tcPr>
          <w:p w14:paraId="665E6AAE">
            <w:pPr>
              <w:widowControl/>
              <w:jc w:val="center"/>
              <w:rPr>
                <w:rFonts w:hint="eastAsia" w:ascii="宋体" w:hAnsi="宋体" w:cs="宋体"/>
                <w:kern w:val="0"/>
                <w:sz w:val="24"/>
              </w:rPr>
            </w:pPr>
            <w:r>
              <w:rPr>
                <w:rFonts w:hint="eastAsia" w:ascii="宋体" w:hAnsi="宋体" w:cs="宋体"/>
                <w:kern w:val="0"/>
                <w:sz w:val="24"/>
              </w:rPr>
              <w:t>28</w:t>
            </w:r>
          </w:p>
        </w:tc>
        <w:tc>
          <w:tcPr>
            <w:tcW w:w="851" w:type="dxa"/>
            <w:tcBorders>
              <w:top w:val="nil"/>
              <w:left w:val="nil"/>
              <w:bottom w:val="single" w:color="auto" w:sz="4" w:space="0"/>
              <w:right w:val="single" w:color="auto" w:sz="4" w:space="0"/>
            </w:tcBorders>
            <w:shd w:val="clear" w:color="000000" w:fill="FFFFFF"/>
            <w:vAlign w:val="center"/>
          </w:tcPr>
          <w:p w14:paraId="4F2F708C">
            <w:pPr>
              <w:widowControl/>
              <w:jc w:val="center"/>
              <w:rPr>
                <w:rFonts w:hint="eastAsia" w:ascii="宋体" w:hAnsi="宋体" w:cs="宋体"/>
                <w:color w:val="000000"/>
                <w:kern w:val="0"/>
                <w:sz w:val="24"/>
              </w:rPr>
            </w:pPr>
            <w:r>
              <w:rPr>
                <w:rFonts w:hint="eastAsia" w:ascii="宋体" w:hAnsi="宋体" w:cs="宋体"/>
                <w:color w:val="000000"/>
                <w:kern w:val="0"/>
                <w:sz w:val="24"/>
              </w:rPr>
              <w:t>是</w:t>
            </w:r>
          </w:p>
        </w:tc>
        <w:tc>
          <w:tcPr>
            <w:tcW w:w="952" w:type="dxa"/>
            <w:tcBorders>
              <w:top w:val="nil"/>
              <w:left w:val="nil"/>
              <w:bottom w:val="single" w:color="auto" w:sz="4" w:space="0"/>
              <w:right w:val="single" w:color="auto" w:sz="4" w:space="0"/>
            </w:tcBorders>
            <w:shd w:val="clear" w:color="000000" w:fill="FFFFFF"/>
            <w:vAlign w:val="center"/>
          </w:tcPr>
          <w:p w14:paraId="69FD94CE">
            <w:pPr>
              <w:widowControl/>
              <w:jc w:val="center"/>
              <w:rPr>
                <w:rFonts w:hint="eastAsia" w:ascii="宋体" w:hAnsi="宋体" w:cs="宋体"/>
                <w:color w:val="000000"/>
                <w:kern w:val="0"/>
                <w:sz w:val="24"/>
              </w:rPr>
            </w:pPr>
            <w:r>
              <w:rPr>
                <w:rFonts w:hint="eastAsia" w:ascii="宋体" w:hAnsi="宋体" w:cs="宋体"/>
                <w:color w:val="000000"/>
                <w:kern w:val="0"/>
                <w:sz w:val="24"/>
              </w:rPr>
              <w:t>否</w:t>
            </w:r>
          </w:p>
        </w:tc>
      </w:tr>
      <w:tr w14:paraId="27767177">
        <w:tblPrEx>
          <w:tblCellMar>
            <w:top w:w="0" w:type="dxa"/>
            <w:left w:w="108" w:type="dxa"/>
            <w:bottom w:w="0" w:type="dxa"/>
            <w:right w:w="108" w:type="dxa"/>
          </w:tblCellMar>
        </w:tblPrEx>
        <w:trPr>
          <w:trHeight w:val="576" w:hRule="atLeast"/>
        </w:trPr>
        <w:tc>
          <w:tcPr>
            <w:tcW w:w="704" w:type="dxa"/>
            <w:tcBorders>
              <w:top w:val="nil"/>
              <w:left w:val="single" w:color="auto" w:sz="4" w:space="0"/>
              <w:bottom w:val="single" w:color="auto" w:sz="4" w:space="0"/>
              <w:right w:val="single" w:color="auto" w:sz="4" w:space="0"/>
            </w:tcBorders>
            <w:shd w:val="clear" w:color="000000" w:fill="FFFFFF"/>
            <w:vAlign w:val="center"/>
          </w:tcPr>
          <w:p w14:paraId="5689D2E9">
            <w:pPr>
              <w:widowControl/>
              <w:jc w:val="center"/>
              <w:rPr>
                <w:rFonts w:hint="eastAsia" w:ascii="宋体" w:hAnsi="宋体" w:cs="宋体"/>
                <w:kern w:val="0"/>
                <w:sz w:val="24"/>
              </w:rPr>
            </w:pPr>
            <w:r>
              <w:rPr>
                <w:rFonts w:hint="eastAsia" w:ascii="宋体" w:hAnsi="宋体" w:cs="宋体"/>
                <w:kern w:val="0"/>
                <w:sz w:val="24"/>
              </w:rPr>
              <w:t>112</w:t>
            </w:r>
          </w:p>
        </w:tc>
        <w:tc>
          <w:tcPr>
            <w:tcW w:w="2851" w:type="dxa"/>
            <w:tcBorders>
              <w:top w:val="nil"/>
              <w:left w:val="nil"/>
              <w:bottom w:val="single" w:color="auto" w:sz="4" w:space="0"/>
              <w:right w:val="single" w:color="auto" w:sz="4" w:space="0"/>
            </w:tcBorders>
            <w:shd w:val="clear" w:color="000000" w:fill="FFFFFF"/>
            <w:vAlign w:val="center"/>
          </w:tcPr>
          <w:p w14:paraId="006D06B2">
            <w:pPr>
              <w:jc w:val="center"/>
              <w:rPr>
                <w:rFonts w:hint="eastAsia" w:ascii="宋体" w:hAnsi="宋体" w:cs="宋体"/>
                <w:color w:val="000000"/>
                <w:sz w:val="24"/>
              </w:rPr>
            </w:pPr>
            <w:r>
              <w:rPr>
                <w:rFonts w:hint="eastAsia" w:ascii="宋体" w:hAnsi="宋体" w:cs="宋体"/>
                <w:color w:val="000000"/>
                <w:sz w:val="24"/>
              </w:rPr>
              <w:t>血细胞分析用染色液(白细胞分类)</w:t>
            </w:r>
          </w:p>
        </w:tc>
        <w:tc>
          <w:tcPr>
            <w:tcW w:w="1276" w:type="dxa"/>
            <w:tcBorders>
              <w:top w:val="nil"/>
              <w:left w:val="nil"/>
              <w:bottom w:val="single" w:color="auto" w:sz="4" w:space="0"/>
              <w:right w:val="single" w:color="auto" w:sz="4" w:space="0"/>
            </w:tcBorders>
            <w:shd w:val="clear" w:color="000000" w:fill="FFFFFF"/>
            <w:vAlign w:val="center"/>
          </w:tcPr>
          <w:p w14:paraId="71A68A2A">
            <w:pPr>
              <w:widowControl/>
              <w:jc w:val="center"/>
              <w:rPr>
                <w:rFonts w:hint="eastAsia" w:ascii="宋体" w:hAnsi="宋体" w:cs="宋体"/>
                <w:kern w:val="0"/>
                <w:sz w:val="24"/>
              </w:rPr>
            </w:pPr>
            <w:r>
              <w:rPr>
                <w:rFonts w:hint="eastAsia" w:ascii="宋体" w:hAnsi="宋体" w:cs="宋体"/>
                <w:kern w:val="0"/>
                <w:sz w:val="24"/>
              </w:rPr>
              <w:t>66.67</w:t>
            </w:r>
          </w:p>
        </w:tc>
        <w:tc>
          <w:tcPr>
            <w:tcW w:w="992" w:type="dxa"/>
            <w:tcBorders>
              <w:top w:val="nil"/>
              <w:left w:val="nil"/>
              <w:bottom w:val="single" w:color="auto" w:sz="4" w:space="0"/>
              <w:right w:val="single" w:color="auto" w:sz="4" w:space="0"/>
            </w:tcBorders>
            <w:shd w:val="clear" w:color="000000" w:fill="FFFFFF"/>
            <w:vAlign w:val="center"/>
          </w:tcPr>
          <w:p w14:paraId="1D0F739C">
            <w:pPr>
              <w:widowControl/>
              <w:jc w:val="center"/>
              <w:rPr>
                <w:rFonts w:hint="eastAsia" w:ascii="宋体" w:hAnsi="宋体" w:cs="宋体"/>
                <w:kern w:val="0"/>
                <w:sz w:val="24"/>
              </w:rPr>
            </w:pPr>
            <w:r>
              <w:rPr>
                <w:rFonts w:hint="eastAsia" w:ascii="宋体" w:hAnsi="宋体" w:cs="宋体"/>
                <w:kern w:val="0"/>
                <w:sz w:val="24"/>
              </w:rPr>
              <w:t>ml</w:t>
            </w:r>
          </w:p>
        </w:tc>
        <w:tc>
          <w:tcPr>
            <w:tcW w:w="992" w:type="dxa"/>
            <w:tcBorders>
              <w:top w:val="nil"/>
              <w:left w:val="nil"/>
              <w:bottom w:val="single" w:color="auto" w:sz="4" w:space="0"/>
              <w:right w:val="single" w:color="auto" w:sz="4" w:space="0"/>
            </w:tcBorders>
            <w:shd w:val="clear" w:color="000000" w:fill="FFFFFF"/>
            <w:noWrap/>
            <w:vAlign w:val="center"/>
          </w:tcPr>
          <w:p w14:paraId="74D2DA8C">
            <w:pPr>
              <w:widowControl/>
              <w:jc w:val="center"/>
              <w:rPr>
                <w:rFonts w:hint="eastAsia" w:ascii="宋体" w:hAnsi="宋体" w:cs="宋体"/>
                <w:kern w:val="0"/>
                <w:sz w:val="24"/>
              </w:rPr>
            </w:pPr>
            <w:r>
              <w:rPr>
                <w:rFonts w:hint="eastAsia" w:ascii="宋体" w:hAnsi="宋体" w:cs="宋体"/>
                <w:kern w:val="0"/>
                <w:sz w:val="24"/>
              </w:rPr>
              <w:t>966</w:t>
            </w:r>
          </w:p>
        </w:tc>
        <w:tc>
          <w:tcPr>
            <w:tcW w:w="851" w:type="dxa"/>
            <w:tcBorders>
              <w:top w:val="nil"/>
              <w:left w:val="nil"/>
              <w:bottom w:val="single" w:color="auto" w:sz="4" w:space="0"/>
              <w:right w:val="single" w:color="auto" w:sz="4" w:space="0"/>
            </w:tcBorders>
            <w:shd w:val="clear" w:color="000000" w:fill="FFFFFF"/>
            <w:vAlign w:val="center"/>
          </w:tcPr>
          <w:p w14:paraId="58171383">
            <w:pPr>
              <w:widowControl/>
              <w:jc w:val="center"/>
              <w:rPr>
                <w:rFonts w:hint="eastAsia" w:ascii="宋体" w:hAnsi="宋体" w:cs="宋体"/>
                <w:color w:val="000000"/>
                <w:kern w:val="0"/>
                <w:sz w:val="24"/>
              </w:rPr>
            </w:pPr>
            <w:r>
              <w:rPr>
                <w:rFonts w:hint="eastAsia" w:ascii="宋体" w:hAnsi="宋体" w:cs="宋体"/>
                <w:color w:val="000000"/>
                <w:kern w:val="0"/>
                <w:sz w:val="24"/>
              </w:rPr>
              <w:t>是</w:t>
            </w:r>
          </w:p>
        </w:tc>
        <w:tc>
          <w:tcPr>
            <w:tcW w:w="952" w:type="dxa"/>
            <w:tcBorders>
              <w:top w:val="nil"/>
              <w:left w:val="nil"/>
              <w:bottom w:val="single" w:color="auto" w:sz="4" w:space="0"/>
              <w:right w:val="single" w:color="auto" w:sz="4" w:space="0"/>
            </w:tcBorders>
            <w:shd w:val="clear" w:color="000000" w:fill="FFFFFF"/>
            <w:vAlign w:val="center"/>
          </w:tcPr>
          <w:p w14:paraId="08545CBD">
            <w:pPr>
              <w:widowControl/>
              <w:jc w:val="center"/>
              <w:rPr>
                <w:rFonts w:hint="eastAsia" w:ascii="宋体" w:hAnsi="宋体" w:cs="宋体"/>
                <w:color w:val="000000"/>
                <w:kern w:val="0"/>
                <w:sz w:val="24"/>
              </w:rPr>
            </w:pPr>
            <w:r>
              <w:rPr>
                <w:rFonts w:hint="eastAsia" w:ascii="宋体" w:hAnsi="宋体" w:cs="宋体"/>
                <w:color w:val="000000"/>
                <w:kern w:val="0"/>
                <w:sz w:val="24"/>
              </w:rPr>
              <w:t>否</w:t>
            </w:r>
          </w:p>
        </w:tc>
      </w:tr>
      <w:tr w14:paraId="3FBD0042">
        <w:tblPrEx>
          <w:tblCellMar>
            <w:top w:w="0" w:type="dxa"/>
            <w:left w:w="108" w:type="dxa"/>
            <w:bottom w:w="0" w:type="dxa"/>
            <w:right w:w="108" w:type="dxa"/>
          </w:tblCellMar>
        </w:tblPrEx>
        <w:trPr>
          <w:trHeight w:val="576" w:hRule="atLeast"/>
        </w:trPr>
        <w:tc>
          <w:tcPr>
            <w:tcW w:w="704" w:type="dxa"/>
            <w:tcBorders>
              <w:top w:val="nil"/>
              <w:left w:val="single" w:color="auto" w:sz="4" w:space="0"/>
              <w:bottom w:val="single" w:color="auto" w:sz="4" w:space="0"/>
              <w:right w:val="single" w:color="auto" w:sz="4" w:space="0"/>
            </w:tcBorders>
            <w:shd w:val="clear" w:color="000000" w:fill="FFFFFF"/>
            <w:vAlign w:val="center"/>
          </w:tcPr>
          <w:p w14:paraId="05EB9B8E">
            <w:pPr>
              <w:widowControl/>
              <w:jc w:val="center"/>
              <w:rPr>
                <w:rFonts w:hint="eastAsia" w:ascii="宋体" w:hAnsi="宋体" w:cs="宋体"/>
                <w:kern w:val="0"/>
                <w:sz w:val="24"/>
              </w:rPr>
            </w:pPr>
            <w:r>
              <w:rPr>
                <w:rFonts w:hint="eastAsia" w:ascii="宋体" w:hAnsi="宋体" w:cs="宋体"/>
                <w:kern w:val="0"/>
                <w:sz w:val="24"/>
              </w:rPr>
              <w:t>113</w:t>
            </w:r>
          </w:p>
        </w:tc>
        <w:tc>
          <w:tcPr>
            <w:tcW w:w="2851" w:type="dxa"/>
            <w:tcBorders>
              <w:top w:val="nil"/>
              <w:left w:val="nil"/>
              <w:bottom w:val="single" w:color="auto" w:sz="4" w:space="0"/>
              <w:right w:val="single" w:color="auto" w:sz="4" w:space="0"/>
            </w:tcBorders>
            <w:shd w:val="clear" w:color="000000" w:fill="FFFFFF"/>
            <w:vAlign w:val="center"/>
          </w:tcPr>
          <w:p w14:paraId="3ABB4857">
            <w:pPr>
              <w:jc w:val="center"/>
              <w:rPr>
                <w:rFonts w:hint="eastAsia" w:ascii="宋体" w:hAnsi="宋体" w:cs="宋体"/>
                <w:color w:val="000000"/>
                <w:sz w:val="24"/>
              </w:rPr>
            </w:pPr>
            <w:r>
              <w:rPr>
                <w:rFonts w:hint="eastAsia" w:ascii="宋体" w:hAnsi="宋体" w:cs="宋体"/>
                <w:color w:val="000000"/>
                <w:sz w:val="24"/>
              </w:rPr>
              <w:t>血细胞分析用溶血剂(血红蛋白)</w:t>
            </w:r>
          </w:p>
        </w:tc>
        <w:tc>
          <w:tcPr>
            <w:tcW w:w="1276" w:type="dxa"/>
            <w:tcBorders>
              <w:top w:val="nil"/>
              <w:left w:val="nil"/>
              <w:bottom w:val="single" w:color="auto" w:sz="4" w:space="0"/>
              <w:right w:val="single" w:color="auto" w:sz="4" w:space="0"/>
            </w:tcBorders>
            <w:shd w:val="clear" w:color="000000" w:fill="FFFFFF"/>
            <w:noWrap/>
            <w:vAlign w:val="center"/>
          </w:tcPr>
          <w:p w14:paraId="3DD2FC76">
            <w:pPr>
              <w:widowControl/>
              <w:jc w:val="center"/>
              <w:rPr>
                <w:rFonts w:hint="eastAsia" w:ascii="宋体" w:hAnsi="宋体" w:cs="宋体"/>
                <w:kern w:val="0"/>
                <w:sz w:val="24"/>
              </w:rPr>
            </w:pPr>
            <w:r>
              <w:rPr>
                <w:rFonts w:hint="eastAsia" w:ascii="宋体" w:hAnsi="宋体" w:cs="宋体"/>
                <w:kern w:val="0"/>
                <w:sz w:val="24"/>
              </w:rPr>
              <w:t>2333.34</w:t>
            </w:r>
          </w:p>
        </w:tc>
        <w:tc>
          <w:tcPr>
            <w:tcW w:w="992" w:type="dxa"/>
            <w:tcBorders>
              <w:top w:val="nil"/>
              <w:left w:val="nil"/>
              <w:bottom w:val="single" w:color="auto" w:sz="4" w:space="0"/>
              <w:right w:val="single" w:color="auto" w:sz="4" w:space="0"/>
            </w:tcBorders>
            <w:shd w:val="clear" w:color="000000" w:fill="FFFFFF"/>
            <w:vAlign w:val="center"/>
          </w:tcPr>
          <w:p w14:paraId="622BFFF3">
            <w:pPr>
              <w:widowControl/>
              <w:jc w:val="center"/>
              <w:rPr>
                <w:rFonts w:hint="eastAsia" w:ascii="宋体" w:hAnsi="宋体" w:cs="宋体"/>
                <w:kern w:val="0"/>
                <w:sz w:val="24"/>
              </w:rPr>
            </w:pPr>
            <w:r>
              <w:rPr>
                <w:rFonts w:hint="eastAsia" w:ascii="宋体" w:hAnsi="宋体" w:cs="宋体"/>
                <w:kern w:val="0"/>
                <w:sz w:val="24"/>
              </w:rPr>
              <w:t>L</w:t>
            </w:r>
          </w:p>
        </w:tc>
        <w:tc>
          <w:tcPr>
            <w:tcW w:w="992" w:type="dxa"/>
            <w:tcBorders>
              <w:top w:val="nil"/>
              <w:left w:val="nil"/>
              <w:bottom w:val="single" w:color="auto" w:sz="4" w:space="0"/>
              <w:right w:val="single" w:color="auto" w:sz="4" w:space="0"/>
            </w:tcBorders>
            <w:shd w:val="clear" w:color="000000" w:fill="FFFFFF"/>
            <w:noWrap/>
            <w:vAlign w:val="center"/>
          </w:tcPr>
          <w:p w14:paraId="4D06F940">
            <w:pPr>
              <w:widowControl/>
              <w:jc w:val="center"/>
              <w:rPr>
                <w:rFonts w:hint="eastAsia" w:ascii="宋体" w:hAnsi="宋体" w:cs="宋体"/>
                <w:kern w:val="0"/>
                <w:sz w:val="24"/>
              </w:rPr>
            </w:pPr>
            <w:r>
              <w:rPr>
                <w:rFonts w:hint="eastAsia" w:ascii="宋体" w:hAnsi="宋体" w:cs="宋体"/>
                <w:kern w:val="0"/>
                <w:sz w:val="24"/>
              </w:rPr>
              <w:t>60</w:t>
            </w:r>
          </w:p>
        </w:tc>
        <w:tc>
          <w:tcPr>
            <w:tcW w:w="851" w:type="dxa"/>
            <w:tcBorders>
              <w:top w:val="nil"/>
              <w:left w:val="nil"/>
              <w:bottom w:val="single" w:color="auto" w:sz="4" w:space="0"/>
              <w:right w:val="single" w:color="auto" w:sz="4" w:space="0"/>
            </w:tcBorders>
            <w:shd w:val="clear" w:color="000000" w:fill="FFFFFF"/>
            <w:vAlign w:val="center"/>
          </w:tcPr>
          <w:p w14:paraId="1F94DC47">
            <w:pPr>
              <w:widowControl/>
              <w:jc w:val="center"/>
              <w:rPr>
                <w:rFonts w:hint="eastAsia" w:ascii="宋体" w:hAnsi="宋体" w:cs="宋体"/>
                <w:color w:val="000000"/>
                <w:kern w:val="0"/>
                <w:sz w:val="24"/>
              </w:rPr>
            </w:pPr>
            <w:r>
              <w:rPr>
                <w:rFonts w:hint="eastAsia" w:ascii="宋体" w:hAnsi="宋体" w:cs="宋体"/>
                <w:color w:val="000000"/>
                <w:kern w:val="0"/>
                <w:sz w:val="24"/>
              </w:rPr>
              <w:t>是</w:t>
            </w:r>
          </w:p>
        </w:tc>
        <w:tc>
          <w:tcPr>
            <w:tcW w:w="952" w:type="dxa"/>
            <w:tcBorders>
              <w:top w:val="nil"/>
              <w:left w:val="nil"/>
              <w:bottom w:val="single" w:color="auto" w:sz="4" w:space="0"/>
              <w:right w:val="single" w:color="auto" w:sz="4" w:space="0"/>
            </w:tcBorders>
            <w:shd w:val="clear" w:color="000000" w:fill="FFFFFF"/>
            <w:vAlign w:val="center"/>
          </w:tcPr>
          <w:p w14:paraId="2CD342F8">
            <w:pPr>
              <w:widowControl/>
              <w:jc w:val="center"/>
              <w:rPr>
                <w:rFonts w:hint="eastAsia" w:ascii="宋体" w:hAnsi="宋体" w:cs="宋体"/>
                <w:color w:val="000000"/>
                <w:kern w:val="0"/>
                <w:sz w:val="24"/>
              </w:rPr>
            </w:pPr>
            <w:r>
              <w:rPr>
                <w:rFonts w:hint="eastAsia" w:ascii="宋体" w:hAnsi="宋体" w:cs="宋体"/>
                <w:color w:val="000000"/>
                <w:kern w:val="0"/>
                <w:sz w:val="24"/>
              </w:rPr>
              <w:t>否</w:t>
            </w:r>
          </w:p>
        </w:tc>
      </w:tr>
      <w:tr w14:paraId="267EF378">
        <w:tblPrEx>
          <w:tblCellMar>
            <w:top w:w="0" w:type="dxa"/>
            <w:left w:w="108" w:type="dxa"/>
            <w:bottom w:w="0" w:type="dxa"/>
            <w:right w:w="108" w:type="dxa"/>
          </w:tblCellMar>
        </w:tblPrEx>
        <w:trPr>
          <w:trHeight w:val="288" w:hRule="atLeast"/>
        </w:trPr>
        <w:tc>
          <w:tcPr>
            <w:tcW w:w="704" w:type="dxa"/>
            <w:tcBorders>
              <w:top w:val="nil"/>
              <w:left w:val="single" w:color="auto" w:sz="4" w:space="0"/>
              <w:bottom w:val="single" w:color="auto" w:sz="4" w:space="0"/>
              <w:right w:val="single" w:color="auto" w:sz="4" w:space="0"/>
            </w:tcBorders>
            <w:shd w:val="clear" w:color="000000" w:fill="FFFFFF"/>
            <w:vAlign w:val="center"/>
          </w:tcPr>
          <w:p w14:paraId="50BFA77C">
            <w:pPr>
              <w:widowControl/>
              <w:jc w:val="center"/>
              <w:rPr>
                <w:rFonts w:hint="eastAsia" w:ascii="宋体" w:hAnsi="宋体" w:cs="宋体"/>
                <w:kern w:val="0"/>
                <w:sz w:val="24"/>
              </w:rPr>
            </w:pPr>
            <w:r>
              <w:rPr>
                <w:rFonts w:hint="eastAsia" w:ascii="宋体" w:hAnsi="宋体" w:cs="宋体"/>
                <w:kern w:val="0"/>
                <w:sz w:val="24"/>
              </w:rPr>
              <w:t>114</w:t>
            </w:r>
          </w:p>
        </w:tc>
        <w:tc>
          <w:tcPr>
            <w:tcW w:w="2851" w:type="dxa"/>
            <w:tcBorders>
              <w:top w:val="nil"/>
              <w:left w:val="nil"/>
              <w:bottom w:val="single" w:color="auto" w:sz="4" w:space="0"/>
              <w:right w:val="single" w:color="auto" w:sz="4" w:space="0"/>
            </w:tcBorders>
            <w:shd w:val="clear" w:color="000000" w:fill="FFFFFF"/>
            <w:vAlign w:val="center"/>
          </w:tcPr>
          <w:p w14:paraId="63893323">
            <w:pPr>
              <w:jc w:val="center"/>
              <w:rPr>
                <w:rFonts w:hint="eastAsia" w:ascii="宋体" w:hAnsi="宋体" w:cs="宋体"/>
                <w:color w:val="000000"/>
                <w:sz w:val="24"/>
              </w:rPr>
            </w:pPr>
            <w:r>
              <w:rPr>
                <w:rFonts w:hint="eastAsia" w:ascii="宋体" w:hAnsi="宋体" w:cs="宋体"/>
                <w:color w:val="000000"/>
                <w:sz w:val="24"/>
              </w:rPr>
              <w:t>2ml样品杯</w:t>
            </w:r>
          </w:p>
        </w:tc>
        <w:tc>
          <w:tcPr>
            <w:tcW w:w="1276" w:type="dxa"/>
            <w:tcBorders>
              <w:top w:val="nil"/>
              <w:left w:val="nil"/>
              <w:bottom w:val="single" w:color="auto" w:sz="4" w:space="0"/>
              <w:right w:val="single" w:color="auto" w:sz="4" w:space="0"/>
            </w:tcBorders>
            <w:shd w:val="clear" w:color="000000" w:fill="FFFFFF"/>
            <w:noWrap/>
            <w:vAlign w:val="center"/>
          </w:tcPr>
          <w:p w14:paraId="217B9F8E">
            <w:pPr>
              <w:widowControl/>
              <w:jc w:val="center"/>
              <w:rPr>
                <w:rFonts w:hint="eastAsia" w:ascii="宋体" w:hAnsi="宋体" w:cs="宋体"/>
                <w:kern w:val="0"/>
                <w:sz w:val="24"/>
              </w:rPr>
            </w:pPr>
            <w:r>
              <w:rPr>
                <w:rFonts w:hint="eastAsia" w:ascii="宋体" w:hAnsi="宋体" w:cs="宋体"/>
                <w:kern w:val="0"/>
                <w:sz w:val="24"/>
              </w:rPr>
              <w:t>0.4</w:t>
            </w:r>
          </w:p>
        </w:tc>
        <w:tc>
          <w:tcPr>
            <w:tcW w:w="992" w:type="dxa"/>
            <w:tcBorders>
              <w:top w:val="nil"/>
              <w:left w:val="nil"/>
              <w:bottom w:val="single" w:color="auto" w:sz="4" w:space="0"/>
              <w:right w:val="single" w:color="auto" w:sz="4" w:space="0"/>
            </w:tcBorders>
            <w:shd w:val="clear" w:color="000000" w:fill="FFFFFF"/>
            <w:vAlign w:val="center"/>
          </w:tcPr>
          <w:p w14:paraId="1EA4DC43">
            <w:pPr>
              <w:widowControl/>
              <w:jc w:val="center"/>
              <w:rPr>
                <w:rFonts w:hint="eastAsia" w:ascii="宋体" w:hAnsi="宋体" w:cs="宋体"/>
                <w:kern w:val="0"/>
                <w:sz w:val="24"/>
              </w:rPr>
            </w:pPr>
            <w:r>
              <w:rPr>
                <w:rFonts w:hint="eastAsia" w:ascii="宋体" w:hAnsi="宋体" w:cs="宋体"/>
                <w:kern w:val="0"/>
                <w:sz w:val="24"/>
              </w:rPr>
              <w:t>支</w:t>
            </w:r>
          </w:p>
        </w:tc>
        <w:tc>
          <w:tcPr>
            <w:tcW w:w="992" w:type="dxa"/>
            <w:tcBorders>
              <w:top w:val="nil"/>
              <w:left w:val="nil"/>
              <w:bottom w:val="single" w:color="auto" w:sz="4" w:space="0"/>
              <w:right w:val="single" w:color="auto" w:sz="4" w:space="0"/>
            </w:tcBorders>
            <w:shd w:val="clear" w:color="000000" w:fill="FFFFFF"/>
            <w:noWrap/>
            <w:vAlign w:val="center"/>
          </w:tcPr>
          <w:p w14:paraId="35A2A95E">
            <w:pPr>
              <w:widowControl/>
              <w:jc w:val="center"/>
              <w:rPr>
                <w:rFonts w:hint="eastAsia" w:ascii="宋体" w:hAnsi="宋体" w:cs="宋体"/>
                <w:kern w:val="0"/>
                <w:sz w:val="24"/>
              </w:rPr>
            </w:pPr>
            <w:r>
              <w:rPr>
                <w:rFonts w:hint="eastAsia" w:ascii="宋体" w:hAnsi="宋体" w:cs="宋体"/>
                <w:kern w:val="0"/>
                <w:sz w:val="24"/>
              </w:rPr>
              <w:t>1000</w:t>
            </w:r>
          </w:p>
        </w:tc>
        <w:tc>
          <w:tcPr>
            <w:tcW w:w="851" w:type="dxa"/>
            <w:tcBorders>
              <w:top w:val="nil"/>
              <w:left w:val="nil"/>
              <w:bottom w:val="single" w:color="auto" w:sz="4" w:space="0"/>
              <w:right w:val="single" w:color="auto" w:sz="4" w:space="0"/>
            </w:tcBorders>
            <w:shd w:val="clear" w:color="000000" w:fill="FFFFFF"/>
            <w:vAlign w:val="center"/>
          </w:tcPr>
          <w:p w14:paraId="3C484960">
            <w:pPr>
              <w:widowControl/>
              <w:jc w:val="center"/>
              <w:rPr>
                <w:rFonts w:hint="eastAsia" w:ascii="宋体" w:hAnsi="宋体" w:cs="宋体"/>
                <w:color w:val="000000"/>
                <w:kern w:val="0"/>
                <w:sz w:val="24"/>
              </w:rPr>
            </w:pPr>
            <w:r>
              <w:rPr>
                <w:rFonts w:hint="eastAsia" w:ascii="宋体" w:hAnsi="宋体" w:cs="宋体"/>
                <w:color w:val="000000"/>
                <w:kern w:val="0"/>
                <w:sz w:val="24"/>
              </w:rPr>
              <w:t>是</w:t>
            </w:r>
          </w:p>
        </w:tc>
        <w:tc>
          <w:tcPr>
            <w:tcW w:w="952" w:type="dxa"/>
            <w:tcBorders>
              <w:top w:val="nil"/>
              <w:left w:val="nil"/>
              <w:bottom w:val="single" w:color="auto" w:sz="4" w:space="0"/>
              <w:right w:val="single" w:color="auto" w:sz="4" w:space="0"/>
            </w:tcBorders>
            <w:shd w:val="clear" w:color="000000" w:fill="FFFFFF"/>
            <w:vAlign w:val="center"/>
          </w:tcPr>
          <w:p w14:paraId="3C33B3A1">
            <w:pPr>
              <w:widowControl/>
              <w:jc w:val="center"/>
              <w:rPr>
                <w:rFonts w:hint="eastAsia" w:ascii="宋体" w:hAnsi="宋体" w:cs="宋体"/>
                <w:color w:val="000000"/>
                <w:kern w:val="0"/>
                <w:sz w:val="24"/>
              </w:rPr>
            </w:pPr>
            <w:r>
              <w:rPr>
                <w:rFonts w:hint="eastAsia" w:ascii="宋体" w:hAnsi="宋体" w:cs="宋体"/>
                <w:color w:val="000000"/>
                <w:kern w:val="0"/>
                <w:sz w:val="24"/>
              </w:rPr>
              <w:t>否</w:t>
            </w:r>
          </w:p>
        </w:tc>
      </w:tr>
      <w:tr w14:paraId="5AB40A0F">
        <w:tblPrEx>
          <w:tblCellMar>
            <w:top w:w="0" w:type="dxa"/>
            <w:left w:w="108" w:type="dxa"/>
            <w:bottom w:w="0" w:type="dxa"/>
            <w:right w:w="108" w:type="dxa"/>
          </w:tblCellMar>
        </w:tblPrEx>
        <w:trPr>
          <w:trHeight w:val="576" w:hRule="atLeast"/>
        </w:trPr>
        <w:tc>
          <w:tcPr>
            <w:tcW w:w="704" w:type="dxa"/>
            <w:tcBorders>
              <w:top w:val="nil"/>
              <w:left w:val="single" w:color="auto" w:sz="4" w:space="0"/>
              <w:bottom w:val="single" w:color="auto" w:sz="4" w:space="0"/>
              <w:right w:val="single" w:color="auto" w:sz="4" w:space="0"/>
            </w:tcBorders>
            <w:shd w:val="clear" w:color="000000" w:fill="FFFFFF"/>
            <w:vAlign w:val="center"/>
          </w:tcPr>
          <w:p w14:paraId="6F4EFD1C">
            <w:pPr>
              <w:widowControl/>
              <w:jc w:val="center"/>
              <w:rPr>
                <w:rFonts w:hint="eastAsia" w:ascii="宋体" w:hAnsi="宋体" w:cs="宋体"/>
                <w:kern w:val="0"/>
                <w:sz w:val="24"/>
              </w:rPr>
            </w:pPr>
            <w:r>
              <w:rPr>
                <w:rFonts w:hint="eastAsia" w:ascii="宋体" w:hAnsi="宋体" w:cs="宋体"/>
                <w:kern w:val="0"/>
                <w:sz w:val="24"/>
              </w:rPr>
              <w:t>115</w:t>
            </w:r>
          </w:p>
        </w:tc>
        <w:tc>
          <w:tcPr>
            <w:tcW w:w="2851" w:type="dxa"/>
            <w:tcBorders>
              <w:top w:val="nil"/>
              <w:left w:val="nil"/>
              <w:bottom w:val="single" w:color="auto" w:sz="4" w:space="0"/>
              <w:right w:val="single" w:color="auto" w:sz="4" w:space="0"/>
            </w:tcBorders>
            <w:shd w:val="clear" w:color="000000" w:fill="FFFFFF"/>
            <w:vAlign w:val="center"/>
          </w:tcPr>
          <w:p w14:paraId="4451160E">
            <w:pPr>
              <w:jc w:val="center"/>
              <w:rPr>
                <w:rFonts w:hint="eastAsia" w:ascii="宋体" w:hAnsi="宋体" w:cs="宋体"/>
                <w:color w:val="000000"/>
                <w:sz w:val="24"/>
              </w:rPr>
            </w:pPr>
            <w:r>
              <w:rPr>
                <w:rFonts w:hint="eastAsia" w:ascii="宋体" w:hAnsi="宋体" w:cs="宋体"/>
                <w:color w:val="000000"/>
                <w:sz w:val="24"/>
              </w:rPr>
              <w:t>凝血分析用稀释液（因子测定稀释液）</w:t>
            </w:r>
          </w:p>
        </w:tc>
        <w:tc>
          <w:tcPr>
            <w:tcW w:w="1276" w:type="dxa"/>
            <w:tcBorders>
              <w:top w:val="nil"/>
              <w:left w:val="nil"/>
              <w:bottom w:val="single" w:color="auto" w:sz="4" w:space="0"/>
              <w:right w:val="single" w:color="auto" w:sz="4" w:space="0"/>
            </w:tcBorders>
            <w:shd w:val="clear" w:color="000000" w:fill="FFFFFF"/>
            <w:noWrap/>
            <w:vAlign w:val="center"/>
          </w:tcPr>
          <w:p w14:paraId="75C7ECBA">
            <w:pPr>
              <w:widowControl/>
              <w:jc w:val="center"/>
              <w:rPr>
                <w:rFonts w:hint="eastAsia" w:ascii="宋体" w:hAnsi="宋体" w:cs="宋体"/>
                <w:kern w:val="0"/>
                <w:sz w:val="24"/>
              </w:rPr>
            </w:pPr>
            <w:r>
              <w:rPr>
                <w:rFonts w:hint="eastAsia" w:ascii="宋体" w:hAnsi="宋体" w:cs="宋体"/>
                <w:kern w:val="0"/>
                <w:sz w:val="24"/>
              </w:rPr>
              <w:t>2.1</w:t>
            </w:r>
          </w:p>
        </w:tc>
        <w:tc>
          <w:tcPr>
            <w:tcW w:w="992" w:type="dxa"/>
            <w:tcBorders>
              <w:top w:val="nil"/>
              <w:left w:val="nil"/>
              <w:bottom w:val="single" w:color="auto" w:sz="4" w:space="0"/>
              <w:right w:val="single" w:color="auto" w:sz="4" w:space="0"/>
            </w:tcBorders>
            <w:shd w:val="clear" w:color="000000" w:fill="FFFFFF"/>
            <w:vAlign w:val="center"/>
          </w:tcPr>
          <w:p w14:paraId="11D18D04">
            <w:pPr>
              <w:widowControl/>
              <w:jc w:val="center"/>
              <w:rPr>
                <w:rFonts w:hint="eastAsia" w:ascii="宋体" w:hAnsi="宋体" w:cs="宋体"/>
                <w:kern w:val="0"/>
                <w:sz w:val="24"/>
              </w:rPr>
            </w:pPr>
            <w:r>
              <w:rPr>
                <w:rFonts w:hint="eastAsia" w:ascii="宋体" w:hAnsi="宋体" w:cs="宋体"/>
                <w:kern w:val="0"/>
                <w:sz w:val="24"/>
              </w:rPr>
              <w:t>ml</w:t>
            </w:r>
          </w:p>
        </w:tc>
        <w:tc>
          <w:tcPr>
            <w:tcW w:w="992" w:type="dxa"/>
            <w:tcBorders>
              <w:top w:val="nil"/>
              <w:left w:val="nil"/>
              <w:bottom w:val="single" w:color="auto" w:sz="4" w:space="0"/>
              <w:right w:val="single" w:color="auto" w:sz="4" w:space="0"/>
            </w:tcBorders>
            <w:shd w:val="clear" w:color="000000" w:fill="FFFFFF"/>
            <w:noWrap/>
            <w:vAlign w:val="center"/>
          </w:tcPr>
          <w:p w14:paraId="2F1B863B">
            <w:pPr>
              <w:widowControl/>
              <w:jc w:val="center"/>
              <w:rPr>
                <w:rFonts w:hint="eastAsia" w:ascii="宋体" w:hAnsi="宋体" w:cs="宋体"/>
                <w:kern w:val="0"/>
                <w:sz w:val="24"/>
              </w:rPr>
            </w:pPr>
            <w:r>
              <w:rPr>
                <w:rFonts w:hint="eastAsia" w:ascii="宋体" w:hAnsi="宋体" w:cs="宋体"/>
                <w:kern w:val="0"/>
                <w:sz w:val="24"/>
              </w:rPr>
              <w:t>1800</w:t>
            </w:r>
          </w:p>
        </w:tc>
        <w:tc>
          <w:tcPr>
            <w:tcW w:w="851" w:type="dxa"/>
            <w:tcBorders>
              <w:top w:val="nil"/>
              <w:left w:val="nil"/>
              <w:bottom w:val="single" w:color="auto" w:sz="4" w:space="0"/>
              <w:right w:val="single" w:color="auto" w:sz="4" w:space="0"/>
            </w:tcBorders>
            <w:shd w:val="clear" w:color="000000" w:fill="FFFFFF"/>
            <w:vAlign w:val="center"/>
          </w:tcPr>
          <w:p w14:paraId="4DF94C9D">
            <w:pPr>
              <w:widowControl/>
              <w:jc w:val="center"/>
              <w:rPr>
                <w:rFonts w:hint="eastAsia" w:ascii="宋体" w:hAnsi="宋体" w:cs="宋体"/>
                <w:color w:val="000000"/>
                <w:kern w:val="0"/>
                <w:sz w:val="24"/>
              </w:rPr>
            </w:pPr>
            <w:r>
              <w:rPr>
                <w:rFonts w:hint="eastAsia" w:ascii="宋体" w:hAnsi="宋体" w:cs="宋体"/>
                <w:color w:val="000000"/>
                <w:kern w:val="0"/>
                <w:sz w:val="24"/>
              </w:rPr>
              <w:t>是</w:t>
            </w:r>
          </w:p>
        </w:tc>
        <w:tc>
          <w:tcPr>
            <w:tcW w:w="952" w:type="dxa"/>
            <w:tcBorders>
              <w:top w:val="nil"/>
              <w:left w:val="nil"/>
              <w:bottom w:val="single" w:color="auto" w:sz="4" w:space="0"/>
              <w:right w:val="single" w:color="auto" w:sz="4" w:space="0"/>
            </w:tcBorders>
            <w:shd w:val="clear" w:color="000000" w:fill="FFFFFF"/>
            <w:vAlign w:val="center"/>
          </w:tcPr>
          <w:p w14:paraId="6FFD124D">
            <w:pPr>
              <w:widowControl/>
              <w:jc w:val="center"/>
              <w:rPr>
                <w:rFonts w:hint="eastAsia" w:ascii="宋体" w:hAnsi="宋体" w:cs="宋体"/>
                <w:color w:val="000000"/>
                <w:kern w:val="0"/>
                <w:sz w:val="24"/>
              </w:rPr>
            </w:pPr>
            <w:r>
              <w:rPr>
                <w:rFonts w:hint="eastAsia" w:ascii="宋体" w:hAnsi="宋体" w:cs="宋体"/>
                <w:color w:val="000000"/>
                <w:kern w:val="0"/>
                <w:sz w:val="24"/>
              </w:rPr>
              <w:t>否</w:t>
            </w:r>
          </w:p>
        </w:tc>
      </w:tr>
      <w:tr w14:paraId="763FA7E8">
        <w:tblPrEx>
          <w:tblCellMar>
            <w:top w:w="0" w:type="dxa"/>
            <w:left w:w="108" w:type="dxa"/>
            <w:bottom w:w="0" w:type="dxa"/>
            <w:right w:w="108" w:type="dxa"/>
          </w:tblCellMar>
        </w:tblPrEx>
        <w:trPr>
          <w:trHeight w:val="288" w:hRule="atLeast"/>
        </w:trPr>
        <w:tc>
          <w:tcPr>
            <w:tcW w:w="704" w:type="dxa"/>
            <w:tcBorders>
              <w:top w:val="nil"/>
              <w:left w:val="single" w:color="auto" w:sz="4" w:space="0"/>
              <w:bottom w:val="single" w:color="auto" w:sz="4" w:space="0"/>
              <w:right w:val="single" w:color="auto" w:sz="4" w:space="0"/>
            </w:tcBorders>
            <w:shd w:val="clear" w:color="000000" w:fill="FFFFFF"/>
            <w:vAlign w:val="center"/>
          </w:tcPr>
          <w:p w14:paraId="47F2C57A">
            <w:pPr>
              <w:widowControl/>
              <w:jc w:val="center"/>
              <w:rPr>
                <w:rFonts w:hint="eastAsia" w:ascii="宋体" w:hAnsi="宋体" w:cs="宋体"/>
                <w:kern w:val="0"/>
                <w:sz w:val="24"/>
              </w:rPr>
            </w:pPr>
            <w:r>
              <w:rPr>
                <w:rFonts w:hint="eastAsia" w:ascii="宋体" w:hAnsi="宋体" w:cs="宋体"/>
                <w:kern w:val="0"/>
                <w:sz w:val="24"/>
              </w:rPr>
              <w:t>116</w:t>
            </w:r>
          </w:p>
        </w:tc>
        <w:tc>
          <w:tcPr>
            <w:tcW w:w="2851" w:type="dxa"/>
            <w:tcBorders>
              <w:top w:val="nil"/>
              <w:left w:val="nil"/>
              <w:bottom w:val="single" w:color="auto" w:sz="4" w:space="0"/>
              <w:right w:val="single" w:color="auto" w:sz="4" w:space="0"/>
            </w:tcBorders>
            <w:shd w:val="clear" w:color="000000" w:fill="FFFFFF"/>
            <w:vAlign w:val="center"/>
          </w:tcPr>
          <w:p w14:paraId="478EC5F7">
            <w:pPr>
              <w:jc w:val="center"/>
              <w:rPr>
                <w:rFonts w:hint="eastAsia" w:ascii="宋体" w:hAnsi="宋体" w:cs="宋体"/>
                <w:color w:val="000000"/>
                <w:sz w:val="24"/>
              </w:rPr>
            </w:pPr>
            <w:r>
              <w:rPr>
                <w:rFonts w:hint="eastAsia" w:ascii="宋体" w:hAnsi="宋体" w:cs="宋体"/>
                <w:color w:val="000000"/>
                <w:sz w:val="24"/>
              </w:rPr>
              <w:t>凝血酶时间测定盒</w:t>
            </w:r>
          </w:p>
        </w:tc>
        <w:tc>
          <w:tcPr>
            <w:tcW w:w="1276" w:type="dxa"/>
            <w:tcBorders>
              <w:top w:val="nil"/>
              <w:left w:val="nil"/>
              <w:bottom w:val="single" w:color="auto" w:sz="4" w:space="0"/>
              <w:right w:val="single" w:color="auto" w:sz="4" w:space="0"/>
            </w:tcBorders>
            <w:shd w:val="clear" w:color="000000" w:fill="FFFFFF"/>
            <w:noWrap/>
            <w:vAlign w:val="center"/>
          </w:tcPr>
          <w:p w14:paraId="4B4D7D1B">
            <w:pPr>
              <w:widowControl/>
              <w:jc w:val="center"/>
              <w:rPr>
                <w:rFonts w:hint="eastAsia" w:ascii="宋体" w:hAnsi="宋体" w:cs="宋体"/>
                <w:kern w:val="0"/>
                <w:sz w:val="24"/>
              </w:rPr>
            </w:pPr>
            <w:r>
              <w:rPr>
                <w:rFonts w:hint="eastAsia" w:ascii="宋体" w:hAnsi="宋体" w:cs="宋体"/>
                <w:kern w:val="0"/>
                <w:sz w:val="24"/>
              </w:rPr>
              <w:t>769</w:t>
            </w:r>
          </w:p>
        </w:tc>
        <w:tc>
          <w:tcPr>
            <w:tcW w:w="992" w:type="dxa"/>
            <w:tcBorders>
              <w:top w:val="nil"/>
              <w:left w:val="nil"/>
              <w:bottom w:val="single" w:color="auto" w:sz="4" w:space="0"/>
              <w:right w:val="single" w:color="auto" w:sz="4" w:space="0"/>
            </w:tcBorders>
            <w:shd w:val="clear" w:color="000000" w:fill="FFFFFF"/>
            <w:vAlign w:val="center"/>
          </w:tcPr>
          <w:p w14:paraId="76C54F9E">
            <w:pPr>
              <w:widowControl/>
              <w:jc w:val="center"/>
              <w:rPr>
                <w:rFonts w:hint="eastAsia" w:ascii="宋体" w:hAnsi="宋体" w:cs="宋体"/>
                <w:kern w:val="0"/>
                <w:sz w:val="24"/>
              </w:rPr>
            </w:pPr>
            <w:r>
              <w:rPr>
                <w:rFonts w:hint="eastAsia" w:ascii="宋体" w:hAnsi="宋体" w:cs="宋体"/>
                <w:kern w:val="0"/>
                <w:sz w:val="24"/>
              </w:rPr>
              <w:t>盒</w:t>
            </w:r>
          </w:p>
        </w:tc>
        <w:tc>
          <w:tcPr>
            <w:tcW w:w="992" w:type="dxa"/>
            <w:tcBorders>
              <w:top w:val="nil"/>
              <w:left w:val="nil"/>
              <w:bottom w:val="single" w:color="auto" w:sz="4" w:space="0"/>
              <w:right w:val="single" w:color="auto" w:sz="4" w:space="0"/>
            </w:tcBorders>
            <w:shd w:val="clear" w:color="000000" w:fill="FFFFFF"/>
            <w:noWrap/>
            <w:vAlign w:val="center"/>
          </w:tcPr>
          <w:p w14:paraId="0A8C664D">
            <w:pPr>
              <w:widowControl/>
              <w:jc w:val="center"/>
              <w:rPr>
                <w:rFonts w:hint="eastAsia" w:ascii="宋体" w:hAnsi="宋体" w:cs="宋体"/>
                <w:kern w:val="0"/>
                <w:sz w:val="24"/>
              </w:rPr>
            </w:pPr>
            <w:r>
              <w:rPr>
                <w:rFonts w:hint="eastAsia" w:ascii="宋体" w:hAnsi="宋体" w:cs="宋体"/>
                <w:kern w:val="0"/>
                <w:sz w:val="24"/>
              </w:rPr>
              <w:t>28</w:t>
            </w:r>
          </w:p>
        </w:tc>
        <w:tc>
          <w:tcPr>
            <w:tcW w:w="851" w:type="dxa"/>
            <w:tcBorders>
              <w:top w:val="nil"/>
              <w:left w:val="nil"/>
              <w:bottom w:val="single" w:color="auto" w:sz="4" w:space="0"/>
              <w:right w:val="single" w:color="auto" w:sz="4" w:space="0"/>
            </w:tcBorders>
            <w:shd w:val="clear" w:color="000000" w:fill="FFFFFF"/>
            <w:vAlign w:val="center"/>
          </w:tcPr>
          <w:p w14:paraId="473D3BDD">
            <w:pPr>
              <w:widowControl/>
              <w:jc w:val="center"/>
              <w:rPr>
                <w:rFonts w:hint="eastAsia" w:ascii="宋体" w:hAnsi="宋体" w:cs="宋体"/>
                <w:color w:val="000000"/>
                <w:kern w:val="0"/>
                <w:sz w:val="24"/>
              </w:rPr>
            </w:pPr>
            <w:r>
              <w:rPr>
                <w:rFonts w:hint="eastAsia" w:ascii="宋体" w:hAnsi="宋体" w:cs="宋体"/>
                <w:color w:val="000000"/>
                <w:kern w:val="0"/>
                <w:sz w:val="24"/>
              </w:rPr>
              <w:t>是</w:t>
            </w:r>
          </w:p>
        </w:tc>
        <w:tc>
          <w:tcPr>
            <w:tcW w:w="952" w:type="dxa"/>
            <w:tcBorders>
              <w:top w:val="nil"/>
              <w:left w:val="nil"/>
              <w:bottom w:val="single" w:color="auto" w:sz="4" w:space="0"/>
              <w:right w:val="single" w:color="auto" w:sz="4" w:space="0"/>
            </w:tcBorders>
            <w:shd w:val="clear" w:color="000000" w:fill="FFFFFF"/>
            <w:vAlign w:val="center"/>
          </w:tcPr>
          <w:p w14:paraId="132E675A">
            <w:pPr>
              <w:widowControl/>
              <w:jc w:val="center"/>
              <w:rPr>
                <w:rFonts w:hint="eastAsia" w:ascii="宋体" w:hAnsi="宋体" w:cs="宋体"/>
                <w:color w:val="000000"/>
                <w:kern w:val="0"/>
                <w:sz w:val="24"/>
              </w:rPr>
            </w:pPr>
            <w:r>
              <w:rPr>
                <w:rFonts w:hint="eastAsia" w:ascii="宋体" w:hAnsi="宋体" w:cs="宋体"/>
                <w:color w:val="000000"/>
                <w:kern w:val="0"/>
                <w:sz w:val="24"/>
              </w:rPr>
              <w:t>否</w:t>
            </w:r>
          </w:p>
        </w:tc>
      </w:tr>
      <w:tr w14:paraId="67C482A7">
        <w:tblPrEx>
          <w:tblCellMar>
            <w:top w:w="0" w:type="dxa"/>
            <w:left w:w="108" w:type="dxa"/>
            <w:bottom w:w="0" w:type="dxa"/>
            <w:right w:w="108" w:type="dxa"/>
          </w:tblCellMar>
        </w:tblPrEx>
        <w:trPr>
          <w:trHeight w:val="288" w:hRule="atLeast"/>
        </w:trPr>
        <w:tc>
          <w:tcPr>
            <w:tcW w:w="704" w:type="dxa"/>
            <w:tcBorders>
              <w:top w:val="nil"/>
              <w:left w:val="single" w:color="auto" w:sz="4" w:space="0"/>
              <w:bottom w:val="single" w:color="auto" w:sz="4" w:space="0"/>
              <w:right w:val="single" w:color="auto" w:sz="4" w:space="0"/>
            </w:tcBorders>
            <w:shd w:val="clear" w:color="000000" w:fill="FFFFFF"/>
            <w:vAlign w:val="center"/>
          </w:tcPr>
          <w:p w14:paraId="031962AD">
            <w:pPr>
              <w:widowControl/>
              <w:jc w:val="center"/>
              <w:rPr>
                <w:rFonts w:hint="eastAsia" w:ascii="宋体" w:hAnsi="宋体" w:cs="宋体"/>
                <w:kern w:val="0"/>
                <w:sz w:val="24"/>
              </w:rPr>
            </w:pPr>
            <w:r>
              <w:rPr>
                <w:rFonts w:hint="eastAsia" w:ascii="宋体" w:hAnsi="宋体" w:cs="宋体"/>
                <w:kern w:val="0"/>
                <w:sz w:val="24"/>
              </w:rPr>
              <w:t>117</w:t>
            </w:r>
          </w:p>
        </w:tc>
        <w:tc>
          <w:tcPr>
            <w:tcW w:w="2851" w:type="dxa"/>
            <w:tcBorders>
              <w:top w:val="nil"/>
              <w:left w:val="nil"/>
              <w:bottom w:val="single" w:color="auto" w:sz="4" w:space="0"/>
              <w:right w:val="single" w:color="auto" w:sz="4" w:space="0"/>
            </w:tcBorders>
            <w:shd w:val="clear" w:color="000000" w:fill="FFFFFF"/>
            <w:vAlign w:val="center"/>
          </w:tcPr>
          <w:p w14:paraId="7FEB2FD4">
            <w:pPr>
              <w:jc w:val="center"/>
              <w:rPr>
                <w:rFonts w:hint="eastAsia" w:ascii="宋体" w:hAnsi="宋体" w:cs="宋体"/>
                <w:color w:val="000000"/>
                <w:sz w:val="24"/>
              </w:rPr>
            </w:pPr>
            <w:r>
              <w:rPr>
                <w:rFonts w:hint="eastAsia" w:ascii="宋体" w:hAnsi="宋体" w:cs="宋体"/>
                <w:color w:val="000000"/>
                <w:sz w:val="24"/>
              </w:rPr>
              <w:t>清洗液A</w:t>
            </w:r>
          </w:p>
        </w:tc>
        <w:tc>
          <w:tcPr>
            <w:tcW w:w="1276" w:type="dxa"/>
            <w:tcBorders>
              <w:top w:val="nil"/>
              <w:left w:val="nil"/>
              <w:bottom w:val="single" w:color="auto" w:sz="4" w:space="0"/>
              <w:right w:val="single" w:color="auto" w:sz="4" w:space="0"/>
            </w:tcBorders>
            <w:shd w:val="clear" w:color="000000" w:fill="FFFFFF"/>
            <w:noWrap/>
            <w:vAlign w:val="center"/>
          </w:tcPr>
          <w:p w14:paraId="7C96E5EE">
            <w:pPr>
              <w:widowControl/>
              <w:jc w:val="center"/>
              <w:rPr>
                <w:rFonts w:hint="eastAsia" w:ascii="宋体" w:hAnsi="宋体" w:cs="宋体"/>
                <w:kern w:val="0"/>
                <w:sz w:val="24"/>
              </w:rPr>
            </w:pPr>
            <w:r>
              <w:rPr>
                <w:rFonts w:hint="eastAsia" w:ascii="宋体" w:hAnsi="宋体" w:cs="宋体"/>
                <w:kern w:val="0"/>
                <w:sz w:val="24"/>
              </w:rPr>
              <w:t>0.6</w:t>
            </w:r>
          </w:p>
        </w:tc>
        <w:tc>
          <w:tcPr>
            <w:tcW w:w="992" w:type="dxa"/>
            <w:tcBorders>
              <w:top w:val="nil"/>
              <w:left w:val="nil"/>
              <w:bottom w:val="single" w:color="auto" w:sz="4" w:space="0"/>
              <w:right w:val="single" w:color="auto" w:sz="4" w:space="0"/>
            </w:tcBorders>
            <w:shd w:val="clear" w:color="000000" w:fill="FFFFFF"/>
            <w:vAlign w:val="center"/>
          </w:tcPr>
          <w:p w14:paraId="43FFCD6D">
            <w:pPr>
              <w:widowControl/>
              <w:jc w:val="center"/>
              <w:rPr>
                <w:rFonts w:hint="eastAsia" w:ascii="宋体" w:hAnsi="宋体" w:cs="宋体"/>
                <w:kern w:val="0"/>
                <w:sz w:val="24"/>
              </w:rPr>
            </w:pPr>
            <w:r>
              <w:rPr>
                <w:rFonts w:hint="eastAsia" w:ascii="宋体" w:hAnsi="宋体" w:cs="宋体"/>
                <w:kern w:val="0"/>
                <w:sz w:val="24"/>
              </w:rPr>
              <w:t>ml</w:t>
            </w:r>
          </w:p>
        </w:tc>
        <w:tc>
          <w:tcPr>
            <w:tcW w:w="992" w:type="dxa"/>
            <w:tcBorders>
              <w:top w:val="nil"/>
              <w:left w:val="nil"/>
              <w:bottom w:val="single" w:color="auto" w:sz="4" w:space="0"/>
              <w:right w:val="single" w:color="auto" w:sz="4" w:space="0"/>
            </w:tcBorders>
            <w:shd w:val="clear" w:color="000000" w:fill="FFFFFF"/>
            <w:noWrap/>
            <w:vAlign w:val="center"/>
          </w:tcPr>
          <w:p w14:paraId="4778B314">
            <w:pPr>
              <w:widowControl/>
              <w:jc w:val="center"/>
              <w:rPr>
                <w:rFonts w:hint="eastAsia" w:ascii="宋体" w:hAnsi="宋体" w:cs="宋体"/>
                <w:kern w:val="0"/>
                <w:sz w:val="24"/>
              </w:rPr>
            </w:pPr>
            <w:r>
              <w:rPr>
                <w:rFonts w:hint="eastAsia" w:ascii="宋体" w:hAnsi="宋体" w:cs="宋体"/>
                <w:kern w:val="0"/>
                <w:sz w:val="24"/>
              </w:rPr>
              <w:t>6500</w:t>
            </w:r>
          </w:p>
        </w:tc>
        <w:tc>
          <w:tcPr>
            <w:tcW w:w="851" w:type="dxa"/>
            <w:tcBorders>
              <w:top w:val="nil"/>
              <w:left w:val="nil"/>
              <w:bottom w:val="single" w:color="auto" w:sz="4" w:space="0"/>
              <w:right w:val="single" w:color="auto" w:sz="4" w:space="0"/>
            </w:tcBorders>
            <w:shd w:val="clear" w:color="000000" w:fill="FFFFFF"/>
            <w:vAlign w:val="center"/>
          </w:tcPr>
          <w:p w14:paraId="7C7ACFFE">
            <w:pPr>
              <w:widowControl/>
              <w:jc w:val="center"/>
              <w:rPr>
                <w:rFonts w:hint="eastAsia" w:ascii="宋体" w:hAnsi="宋体" w:cs="宋体"/>
                <w:color w:val="000000"/>
                <w:kern w:val="0"/>
                <w:sz w:val="24"/>
              </w:rPr>
            </w:pPr>
            <w:r>
              <w:rPr>
                <w:rFonts w:hint="eastAsia" w:ascii="宋体" w:hAnsi="宋体" w:cs="宋体"/>
                <w:color w:val="000000"/>
                <w:kern w:val="0"/>
                <w:sz w:val="24"/>
              </w:rPr>
              <w:t>是</w:t>
            </w:r>
          </w:p>
        </w:tc>
        <w:tc>
          <w:tcPr>
            <w:tcW w:w="952" w:type="dxa"/>
            <w:tcBorders>
              <w:top w:val="nil"/>
              <w:left w:val="nil"/>
              <w:bottom w:val="single" w:color="auto" w:sz="4" w:space="0"/>
              <w:right w:val="single" w:color="auto" w:sz="4" w:space="0"/>
            </w:tcBorders>
            <w:shd w:val="clear" w:color="000000" w:fill="FFFFFF"/>
            <w:vAlign w:val="center"/>
          </w:tcPr>
          <w:p w14:paraId="0E8A394A">
            <w:pPr>
              <w:widowControl/>
              <w:jc w:val="center"/>
              <w:rPr>
                <w:rFonts w:hint="eastAsia" w:ascii="宋体" w:hAnsi="宋体" w:cs="宋体"/>
                <w:color w:val="000000"/>
                <w:kern w:val="0"/>
                <w:sz w:val="24"/>
              </w:rPr>
            </w:pPr>
            <w:r>
              <w:rPr>
                <w:rFonts w:hint="eastAsia" w:ascii="宋体" w:hAnsi="宋体" w:cs="宋体"/>
                <w:color w:val="000000"/>
                <w:kern w:val="0"/>
                <w:sz w:val="24"/>
              </w:rPr>
              <w:t>否</w:t>
            </w:r>
          </w:p>
        </w:tc>
      </w:tr>
      <w:tr w14:paraId="5F6E3F4B">
        <w:tblPrEx>
          <w:tblCellMar>
            <w:top w:w="0" w:type="dxa"/>
            <w:left w:w="108" w:type="dxa"/>
            <w:bottom w:w="0" w:type="dxa"/>
            <w:right w:w="108" w:type="dxa"/>
          </w:tblCellMar>
        </w:tblPrEx>
        <w:trPr>
          <w:trHeight w:val="576" w:hRule="atLeast"/>
        </w:trPr>
        <w:tc>
          <w:tcPr>
            <w:tcW w:w="704" w:type="dxa"/>
            <w:tcBorders>
              <w:top w:val="nil"/>
              <w:left w:val="single" w:color="auto" w:sz="4" w:space="0"/>
              <w:bottom w:val="single" w:color="auto" w:sz="4" w:space="0"/>
              <w:right w:val="single" w:color="auto" w:sz="4" w:space="0"/>
            </w:tcBorders>
            <w:shd w:val="clear" w:color="000000" w:fill="FFFFFF"/>
            <w:vAlign w:val="center"/>
          </w:tcPr>
          <w:p w14:paraId="78D53866">
            <w:pPr>
              <w:widowControl/>
              <w:jc w:val="center"/>
              <w:rPr>
                <w:rFonts w:hint="eastAsia" w:ascii="宋体" w:hAnsi="宋体" w:cs="宋体"/>
                <w:kern w:val="0"/>
                <w:sz w:val="24"/>
              </w:rPr>
            </w:pPr>
            <w:r>
              <w:rPr>
                <w:rFonts w:hint="eastAsia" w:ascii="宋体" w:hAnsi="宋体" w:cs="宋体"/>
                <w:kern w:val="0"/>
                <w:sz w:val="24"/>
              </w:rPr>
              <w:t>118</w:t>
            </w:r>
          </w:p>
        </w:tc>
        <w:tc>
          <w:tcPr>
            <w:tcW w:w="2851" w:type="dxa"/>
            <w:tcBorders>
              <w:top w:val="nil"/>
              <w:left w:val="nil"/>
              <w:bottom w:val="single" w:color="auto" w:sz="4" w:space="0"/>
              <w:right w:val="single" w:color="auto" w:sz="4" w:space="0"/>
            </w:tcBorders>
            <w:shd w:val="clear" w:color="000000" w:fill="FFFFFF"/>
            <w:vAlign w:val="center"/>
          </w:tcPr>
          <w:p w14:paraId="26E1AB4D">
            <w:pPr>
              <w:jc w:val="center"/>
              <w:rPr>
                <w:rFonts w:hint="eastAsia" w:ascii="宋体" w:hAnsi="宋体" w:cs="宋体"/>
                <w:color w:val="000000"/>
                <w:sz w:val="24"/>
              </w:rPr>
            </w:pPr>
            <w:r>
              <w:rPr>
                <w:rFonts w:hint="eastAsia" w:ascii="宋体" w:hAnsi="宋体" w:cs="宋体"/>
                <w:color w:val="000000"/>
                <w:sz w:val="24"/>
              </w:rPr>
              <w:t>凝血酶原时间测定试剂盒</w:t>
            </w:r>
          </w:p>
        </w:tc>
        <w:tc>
          <w:tcPr>
            <w:tcW w:w="1276" w:type="dxa"/>
            <w:tcBorders>
              <w:top w:val="nil"/>
              <w:left w:val="nil"/>
              <w:bottom w:val="single" w:color="auto" w:sz="4" w:space="0"/>
              <w:right w:val="single" w:color="auto" w:sz="4" w:space="0"/>
            </w:tcBorders>
            <w:shd w:val="clear" w:color="000000" w:fill="FFFFFF"/>
            <w:noWrap/>
            <w:vAlign w:val="center"/>
          </w:tcPr>
          <w:p w14:paraId="3A756165">
            <w:pPr>
              <w:widowControl/>
              <w:jc w:val="center"/>
              <w:rPr>
                <w:rFonts w:hint="eastAsia" w:ascii="宋体" w:hAnsi="宋体" w:cs="宋体"/>
                <w:kern w:val="0"/>
                <w:sz w:val="24"/>
              </w:rPr>
            </w:pPr>
            <w:r>
              <w:rPr>
                <w:rFonts w:hint="eastAsia" w:ascii="宋体" w:hAnsi="宋体" w:cs="宋体"/>
                <w:kern w:val="0"/>
                <w:sz w:val="24"/>
              </w:rPr>
              <w:t>11.19</w:t>
            </w:r>
          </w:p>
        </w:tc>
        <w:tc>
          <w:tcPr>
            <w:tcW w:w="992" w:type="dxa"/>
            <w:tcBorders>
              <w:top w:val="nil"/>
              <w:left w:val="nil"/>
              <w:bottom w:val="single" w:color="auto" w:sz="4" w:space="0"/>
              <w:right w:val="single" w:color="auto" w:sz="4" w:space="0"/>
            </w:tcBorders>
            <w:shd w:val="clear" w:color="000000" w:fill="FFFFFF"/>
            <w:vAlign w:val="center"/>
          </w:tcPr>
          <w:p w14:paraId="442630EA">
            <w:pPr>
              <w:widowControl/>
              <w:jc w:val="center"/>
              <w:rPr>
                <w:rFonts w:hint="eastAsia" w:ascii="宋体" w:hAnsi="宋体" w:cs="宋体"/>
                <w:kern w:val="0"/>
                <w:sz w:val="24"/>
              </w:rPr>
            </w:pPr>
            <w:r>
              <w:rPr>
                <w:rFonts w:hint="eastAsia" w:ascii="宋体" w:hAnsi="宋体" w:cs="宋体"/>
                <w:kern w:val="0"/>
                <w:sz w:val="24"/>
              </w:rPr>
              <w:t>ml</w:t>
            </w:r>
          </w:p>
        </w:tc>
        <w:tc>
          <w:tcPr>
            <w:tcW w:w="992" w:type="dxa"/>
            <w:tcBorders>
              <w:top w:val="nil"/>
              <w:left w:val="nil"/>
              <w:bottom w:val="single" w:color="auto" w:sz="4" w:space="0"/>
              <w:right w:val="single" w:color="auto" w:sz="4" w:space="0"/>
            </w:tcBorders>
            <w:shd w:val="clear" w:color="000000" w:fill="FFFFFF"/>
            <w:noWrap/>
            <w:vAlign w:val="center"/>
          </w:tcPr>
          <w:p w14:paraId="082F56F4">
            <w:pPr>
              <w:widowControl/>
              <w:jc w:val="center"/>
              <w:rPr>
                <w:rFonts w:hint="eastAsia" w:ascii="宋体" w:hAnsi="宋体" w:cs="宋体"/>
                <w:kern w:val="0"/>
                <w:sz w:val="24"/>
              </w:rPr>
            </w:pPr>
            <w:r>
              <w:rPr>
                <w:rFonts w:hint="eastAsia" w:ascii="宋体" w:hAnsi="宋体" w:cs="宋体"/>
                <w:kern w:val="0"/>
                <w:sz w:val="24"/>
              </w:rPr>
              <w:t>1920</w:t>
            </w:r>
          </w:p>
        </w:tc>
        <w:tc>
          <w:tcPr>
            <w:tcW w:w="851" w:type="dxa"/>
            <w:tcBorders>
              <w:top w:val="nil"/>
              <w:left w:val="nil"/>
              <w:bottom w:val="single" w:color="auto" w:sz="4" w:space="0"/>
              <w:right w:val="single" w:color="auto" w:sz="4" w:space="0"/>
            </w:tcBorders>
            <w:shd w:val="clear" w:color="000000" w:fill="FFFFFF"/>
            <w:vAlign w:val="center"/>
          </w:tcPr>
          <w:p w14:paraId="1B278F3B">
            <w:pPr>
              <w:widowControl/>
              <w:jc w:val="center"/>
              <w:rPr>
                <w:rFonts w:hint="eastAsia" w:ascii="宋体" w:hAnsi="宋体" w:cs="宋体"/>
                <w:color w:val="000000"/>
                <w:kern w:val="0"/>
                <w:sz w:val="24"/>
              </w:rPr>
            </w:pPr>
            <w:r>
              <w:rPr>
                <w:rFonts w:hint="eastAsia" w:ascii="宋体" w:hAnsi="宋体" w:cs="宋体"/>
                <w:color w:val="000000"/>
                <w:kern w:val="0"/>
                <w:sz w:val="24"/>
              </w:rPr>
              <w:t>是</w:t>
            </w:r>
          </w:p>
        </w:tc>
        <w:tc>
          <w:tcPr>
            <w:tcW w:w="952" w:type="dxa"/>
            <w:tcBorders>
              <w:top w:val="nil"/>
              <w:left w:val="nil"/>
              <w:bottom w:val="single" w:color="auto" w:sz="4" w:space="0"/>
              <w:right w:val="single" w:color="auto" w:sz="4" w:space="0"/>
            </w:tcBorders>
            <w:shd w:val="clear" w:color="000000" w:fill="FFFFFF"/>
            <w:vAlign w:val="center"/>
          </w:tcPr>
          <w:p w14:paraId="57AE93F0">
            <w:pPr>
              <w:widowControl/>
              <w:jc w:val="center"/>
              <w:rPr>
                <w:rFonts w:hint="eastAsia" w:ascii="宋体" w:hAnsi="宋体" w:cs="宋体"/>
                <w:color w:val="000000"/>
                <w:kern w:val="0"/>
                <w:sz w:val="24"/>
              </w:rPr>
            </w:pPr>
            <w:r>
              <w:rPr>
                <w:rFonts w:hint="eastAsia" w:ascii="宋体" w:hAnsi="宋体" w:cs="宋体"/>
                <w:color w:val="000000"/>
                <w:kern w:val="0"/>
                <w:sz w:val="24"/>
              </w:rPr>
              <w:t>否</w:t>
            </w:r>
          </w:p>
        </w:tc>
      </w:tr>
      <w:tr w14:paraId="0049BAF6">
        <w:tblPrEx>
          <w:tblCellMar>
            <w:top w:w="0" w:type="dxa"/>
            <w:left w:w="108" w:type="dxa"/>
            <w:bottom w:w="0" w:type="dxa"/>
            <w:right w:w="108" w:type="dxa"/>
          </w:tblCellMar>
        </w:tblPrEx>
        <w:trPr>
          <w:trHeight w:val="576" w:hRule="atLeast"/>
        </w:trPr>
        <w:tc>
          <w:tcPr>
            <w:tcW w:w="704" w:type="dxa"/>
            <w:tcBorders>
              <w:top w:val="nil"/>
              <w:left w:val="single" w:color="auto" w:sz="4" w:space="0"/>
              <w:bottom w:val="single" w:color="auto" w:sz="4" w:space="0"/>
              <w:right w:val="single" w:color="auto" w:sz="4" w:space="0"/>
            </w:tcBorders>
            <w:shd w:val="clear" w:color="000000" w:fill="FFFFFF"/>
            <w:vAlign w:val="center"/>
          </w:tcPr>
          <w:p w14:paraId="237F09AC">
            <w:pPr>
              <w:widowControl/>
              <w:jc w:val="center"/>
              <w:rPr>
                <w:rFonts w:hint="eastAsia" w:ascii="宋体" w:hAnsi="宋体" w:cs="宋体"/>
                <w:kern w:val="0"/>
                <w:sz w:val="24"/>
              </w:rPr>
            </w:pPr>
            <w:r>
              <w:rPr>
                <w:rFonts w:hint="eastAsia" w:ascii="宋体" w:hAnsi="宋体" w:cs="宋体"/>
                <w:kern w:val="0"/>
                <w:sz w:val="24"/>
              </w:rPr>
              <w:t>119</w:t>
            </w:r>
          </w:p>
        </w:tc>
        <w:tc>
          <w:tcPr>
            <w:tcW w:w="2851" w:type="dxa"/>
            <w:tcBorders>
              <w:top w:val="nil"/>
              <w:left w:val="nil"/>
              <w:bottom w:val="single" w:color="auto" w:sz="4" w:space="0"/>
              <w:right w:val="single" w:color="auto" w:sz="4" w:space="0"/>
            </w:tcBorders>
            <w:shd w:val="clear" w:color="000000" w:fill="FFFFFF"/>
            <w:vAlign w:val="center"/>
          </w:tcPr>
          <w:p w14:paraId="5BA2D4C3">
            <w:pPr>
              <w:jc w:val="center"/>
              <w:rPr>
                <w:rFonts w:hint="eastAsia" w:ascii="宋体" w:hAnsi="宋体" w:cs="宋体"/>
                <w:color w:val="000000"/>
                <w:sz w:val="24"/>
              </w:rPr>
            </w:pPr>
            <w:r>
              <w:rPr>
                <w:rFonts w:hint="eastAsia" w:ascii="宋体" w:hAnsi="宋体" w:cs="宋体"/>
                <w:color w:val="000000"/>
                <w:sz w:val="24"/>
              </w:rPr>
              <w:t>活化的部分凝血活酶时间测定试剂盒</w:t>
            </w:r>
          </w:p>
        </w:tc>
        <w:tc>
          <w:tcPr>
            <w:tcW w:w="1276" w:type="dxa"/>
            <w:tcBorders>
              <w:top w:val="nil"/>
              <w:left w:val="nil"/>
              <w:bottom w:val="single" w:color="auto" w:sz="4" w:space="0"/>
              <w:right w:val="single" w:color="auto" w:sz="4" w:space="0"/>
            </w:tcBorders>
            <w:shd w:val="clear" w:color="000000" w:fill="FFFFFF"/>
            <w:noWrap/>
            <w:vAlign w:val="center"/>
          </w:tcPr>
          <w:p w14:paraId="10C92F69">
            <w:pPr>
              <w:widowControl/>
              <w:jc w:val="center"/>
              <w:rPr>
                <w:rFonts w:hint="eastAsia" w:ascii="宋体" w:hAnsi="宋体" w:cs="宋体"/>
                <w:kern w:val="0"/>
                <w:sz w:val="24"/>
              </w:rPr>
            </w:pPr>
            <w:r>
              <w:rPr>
                <w:rFonts w:hint="eastAsia" w:ascii="宋体" w:hAnsi="宋体" w:cs="宋体"/>
                <w:kern w:val="0"/>
                <w:sz w:val="24"/>
              </w:rPr>
              <w:t>16.7</w:t>
            </w:r>
          </w:p>
        </w:tc>
        <w:tc>
          <w:tcPr>
            <w:tcW w:w="992" w:type="dxa"/>
            <w:tcBorders>
              <w:top w:val="nil"/>
              <w:left w:val="nil"/>
              <w:bottom w:val="single" w:color="auto" w:sz="4" w:space="0"/>
              <w:right w:val="single" w:color="auto" w:sz="4" w:space="0"/>
            </w:tcBorders>
            <w:shd w:val="clear" w:color="000000" w:fill="FFFFFF"/>
            <w:vAlign w:val="center"/>
          </w:tcPr>
          <w:p w14:paraId="112C7835">
            <w:pPr>
              <w:widowControl/>
              <w:jc w:val="center"/>
              <w:rPr>
                <w:rFonts w:hint="eastAsia" w:ascii="宋体" w:hAnsi="宋体" w:cs="宋体"/>
                <w:kern w:val="0"/>
                <w:sz w:val="24"/>
              </w:rPr>
            </w:pPr>
            <w:r>
              <w:rPr>
                <w:rFonts w:hint="eastAsia" w:ascii="宋体" w:hAnsi="宋体" w:cs="宋体"/>
                <w:kern w:val="0"/>
                <w:sz w:val="24"/>
              </w:rPr>
              <w:t>ml</w:t>
            </w:r>
          </w:p>
        </w:tc>
        <w:tc>
          <w:tcPr>
            <w:tcW w:w="992" w:type="dxa"/>
            <w:tcBorders>
              <w:top w:val="nil"/>
              <w:left w:val="nil"/>
              <w:bottom w:val="single" w:color="auto" w:sz="4" w:space="0"/>
              <w:right w:val="single" w:color="auto" w:sz="4" w:space="0"/>
            </w:tcBorders>
            <w:shd w:val="clear" w:color="000000" w:fill="FFFFFF"/>
            <w:noWrap/>
            <w:vAlign w:val="center"/>
          </w:tcPr>
          <w:p w14:paraId="720C5168">
            <w:pPr>
              <w:widowControl/>
              <w:jc w:val="center"/>
              <w:rPr>
                <w:rFonts w:hint="eastAsia" w:ascii="宋体" w:hAnsi="宋体" w:cs="宋体"/>
                <w:kern w:val="0"/>
                <w:sz w:val="24"/>
              </w:rPr>
            </w:pPr>
            <w:r>
              <w:rPr>
                <w:rFonts w:hint="eastAsia" w:ascii="宋体" w:hAnsi="宋体" w:cs="宋体"/>
                <w:kern w:val="0"/>
                <w:sz w:val="24"/>
              </w:rPr>
              <w:t>400</w:t>
            </w:r>
          </w:p>
        </w:tc>
        <w:tc>
          <w:tcPr>
            <w:tcW w:w="851" w:type="dxa"/>
            <w:tcBorders>
              <w:top w:val="nil"/>
              <w:left w:val="nil"/>
              <w:bottom w:val="single" w:color="auto" w:sz="4" w:space="0"/>
              <w:right w:val="single" w:color="auto" w:sz="4" w:space="0"/>
            </w:tcBorders>
            <w:shd w:val="clear" w:color="000000" w:fill="FFFFFF"/>
            <w:vAlign w:val="center"/>
          </w:tcPr>
          <w:p w14:paraId="5D9BFFE9">
            <w:pPr>
              <w:widowControl/>
              <w:jc w:val="center"/>
              <w:rPr>
                <w:rFonts w:hint="eastAsia" w:ascii="宋体" w:hAnsi="宋体" w:cs="宋体"/>
                <w:color w:val="000000"/>
                <w:kern w:val="0"/>
                <w:sz w:val="24"/>
              </w:rPr>
            </w:pPr>
            <w:r>
              <w:rPr>
                <w:rFonts w:hint="eastAsia" w:ascii="宋体" w:hAnsi="宋体" w:cs="宋体"/>
                <w:color w:val="000000"/>
                <w:kern w:val="0"/>
                <w:sz w:val="24"/>
              </w:rPr>
              <w:t>是</w:t>
            </w:r>
          </w:p>
        </w:tc>
        <w:tc>
          <w:tcPr>
            <w:tcW w:w="952" w:type="dxa"/>
            <w:tcBorders>
              <w:top w:val="nil"/>
              <w:left w:val="nil"/>
              <w:bottom w:val="single" w:color="auto" w:sz="4" w:space="0"/>
              <w:right w:val="single" w:color="auto" w:sz="4" w:space="0"/>
            </w:tcBorders>
            <w:shd w:val="clear" w:color="000000" w:fill="FFFFFF"/>
            <w:vAlign w:val="center"/>
          </w:tcPr>
          <w:p w14:paraId="44B574AC">
            <w:pPr>
              <w:widowControl/>
              <w:jc w:val="center"/>
              <w:rPr>
                <w:rFonts w:hint="eastAsia" w:ascii="宋体" w:hAnsi="宋体" w:cs="宋体"/>
                <w:color w:val="000000"/>
                <w:kern w:val="0"/>
                <w:sz w:val="24"/>
              </w:rPr>
            </w:pPr>
            <w:r>
              <w:rPr>
                <w:rFonts w:hint="eastAsia" w:ascii="宋体" w:hAnsi="宋体" w:cs="宋体"/>
                <w:color w:val="000000"/>
                <w:kern w:val="0"/>
                <w:sz w:val="24"/>
              </w:rPr>
              <w:t>否</w:t>
            </w:r>
          </w:p>
        </w:tc>
      </w:tr>
      <w:tr w14:paraId="0F463DEF">
        <w:tblPrEx>
          <w:tblCellMar>
            <w:top w:w="0" w:type="dxa"/>
            <w:left w:w="108" w:type="dxa"/>
            <w:bottom w:w="0" w:type="dxa"/>
            <w:right w:w="108" w:type="dxa"/>
          </w:tblCellMar>
        </w:tblPrEx>
        <w:trPr>
          <w:trHeight w:val="288" w:hRule="atLeast"/>
        </w:trPr>
        <w:tc>
          <w:tcPr>
            <w:tcW w:w="704" w:type="dxa"/>
            <w:tcBorders>
              <w:top w:val="nil"/>
              <w:left w:val="single" w:color="auto" w:sz="4" w:space="0"/>
              <w:bottom w:val="single" w:color="auto" w:sz="4" w:space="0"/>
              <w:right w:val="single" w:color="auto" w:sz="4" w:space="0"/>
            </w:tcBorders>
            <w:shd w:val="clear" w:color="000000" w:fill="FFFFFF"/>
            <w:vAlign w:val="center"/>
          </w:tcPr>
          <w:p w14:paraId="279625FE">
            <w:pPr>
              <w:widowControl/>
              <w:jc w:val="center"/>
              <w:rPr>
                <w:rFonts w:hint="eastAsia" w:ascii="宋体" w:hAnsi="宋体" w:cs="宋体"/>
                <w:kern w:val="0"/>
                <w:sz w:val="24"/>
              </w:rPr>
            </w:pPr>
            <w:r>
              <w:rPr>
                <w:rFonts w:hint="eastAsia" w:ascii="宋体" w:hAnsi="宋体" w:cs="宋体"/>
                <w:kern w:val="0"/>
                <w:sz w:val="24"/>
              </w:rPr>
              <w:t>120</w:t>
            </w:r>
          </w:p>
        </w:tc>
        <w:tc>
          <w:tcPr>
            <w:tcW w:w="2851" w:type="dxa"/>
            <w:tcBorders>
              <w:top w:val="nil"/>
              <w:left w:val="nil"/>
              <w:bottom w:val="single" w:color="auto" w:sz="4" w:space="0"/>
              <w:right w:val="single" w:color="auto" w:sz="4" w:space="0"/>
            </w:tcBorders>
            <w:shd w:val="clear" w:color="000000" w:fill="FFFFFF"/>
            <w:vAlign w:val="center"/>
          </w:tcPr>
          <w:p w14:paraId="463C44B6">
            <w:pPr>
              <w:jc w:val="center"/>
              <w:rPr>
                <w:rFonts w:hint="eastAsia" w:ascii="宋体" w:hAnsi="宋体" w:cs="宋体"/>
                <w:color w:val="000000"/>
                <w:sz w:val="24"/>
              </w:rPr>
            </w:pPr>
            <w:r>
              <w:rPr>
                <w:rFonts w:hint="eastAsia" w:ascii="宋体" w:hAnsi="宋体" w:cs="宋体"/>
                <w:color w:val="000000"/>
                <w:sz w:val="24"/>
              </w:rPr>
              <w:t>D-二聚体测定试剂盒</w:t>
            </w:r>
          </w:p>
        </w:tc>
        <w:tc>
          <w:tcPr>
            <w:tcW w:w="1276" w:type="dxa"/>
            <w:tcBorders>
              <w:top w:val="nil"/>
              <w:left w:val="nil"/>
              <w:bottom w:val="single" w:color="auto" w:sz="4" w:space="0"/>
              <w:right w:val="single" w:color="auto" w:sz="4" w:space="0"/>
            </w:tcBorders>
            <w:shd w:val="clear" w:color="000000" w:fill="FFFFFF"/>
            <w:noWrap/>
            <w:vAlign w:val="center"/>
          </w:tcPr>
          <w:p w14:paraId="1124CE44">
            <w:pPr>
              <w:widowControl/>
              <w:jc w:val="center"/>
              <w:rPr>
                <w:rFonts w:hint="eastAsia" w:ascii="宋体" w:hAnsi="宋体" w:cs="宋体"/>
                <w:kern w:val="0"/>
                <w:sz w:val="24"/>
              </w:rPr>
            </w:pPr>
            <w:r>
              <w:rPr>
                <w:rFonts w:hint="eastAsia" w:ascii="宋体" w:hAnsi="宋体" w:cs="宋体"/>
                <w:kern w:val="0"/>
                <w:sz w:val="24"/>
              </w:rPr>
              <w:t>250</w:t>
            </w:r>
          </w:p>
        </w:tc>
        <w:tc>
          <w:tcPr>
            <w:tcW w:w="992" w:type="dxa"/>
            <w:tcBorders>
              <w:top w:val="nil"/>
              <w:left w:val="nil"/>
              <w:bottom w:val="single" w:color="auto" w:sz="4" w:space="0"/>
              <w:right w:val="single" w:color="auto" w:sz="4" w:space="0"/>
            </w:tcBorders>
            <w:shd w:val="clear" w:color="000000" w:fill="FFFFFF"/>
            <w:vAlign w:val="center"/>
          </w:tcPr>
          <w:p w14:paraId="4C09B981">
            <w:pPr>
              <w:widowControl/>
              <w:jc w:val="center"/>
              <w:rPr>
                <w:rFonts w:hint="eastAsia" w:ascii="宋体" w:hAnsi="宋体" w:cs="宋体"/>
                <w:kern w:val="0"/>
                <w:sz w:val="24"/>
              </w:rPr>
            </w:pPr>
            <w:r>
              <w:rPr>
                <w:rFonts w:hint="eastAsia" w:ascii="宋体" w:hAnsi="宋体" w:cs="宋体"/>
                <w:kern w:val="0"/>
                <w:sz w:val="24"/>
              </w:rPr>
              <w:t>ml</w:t>
            </w:r>
          </w:p>
        </w:tc>
        <w:tc>
          <w:tcPr>
            <w:tcW w:w="992" w:type="dxa"/>
            <w:tcBorders>
              <w:top w:val="nil"/>
              <w:left w:val="nil"/>
              <w:bottom w:val="single" w:color="auto" w:sz="4" w:space="0"/>
              <w:right w:val="single" w:color="auto" w:sz="4" w:space="0"/>
            </w:tcBorders>
            <w:shd w:val="clear" w:color="000000" w:fill="FFFFFF"/>
            <w:noWrap/>
            <w:vAlign w:val="center"/>
          </w:tcPr>
          <w:p w14:paraId="2C1E698C">
            <w:pPr>
              <w:widowControl/>
              <w:jc w:val="center"/>
              <w:rPr>
                <w:rFonts w:hint="eastAsia" w:ascii="宋体" w:hAnsi="宋体" w:cs="宋体"/>
                <w:kern w:val="0"/>
                <w:sz w:val="24"/>
              </w:rPr>
            </w:pPr>
            <w:r>
              <w:rPr>
                <w:rFonts w:hint="eastAsia" w:ascii="宋体" w:hAnsi="宋体" w:cs="宋体"/>
                <w:kern w:val="0"/>
                <w:sz w:val="24"/>
              </w:rPr>
              <w:t>2560</w:t>
            </w:r>
          </w:p>
        </w:tc>
        <w:tc>
          <w:tcPr>
            <w:tcW w:w="851" w:type="dxa"/>
            <w:tcBorders>
              <w:top w:val="nil"/>
              <w:left w:val="nil"/>
              <w:bottom w:val="single" w:color="auto" w:sz="4" w:space="0"/>
              <w:right w:val="single" w:color="auto" w:sz="4" w:space="0"/>
            </w:tcBorders>
            <w:shd w:val="clear" w:color="000000" w:fill="FFFFFF"/>
            <w:vAlign w:val="center"/>
          </w:tcPr>
          <w:p w14:paraId="25C3F7FA">
            <w:pPr>
              <w:widowControl/>
              <w:jc w:val="center"/>
              <w:rPr>
                <w:rFonts w:hint="eastAsia" w:ascii="宋体" w:hAnsi="宋体" w:cs="宋体"/>
                <w:color w:val="000000"/>
                <w:kern w:val="0"/>
                <w:sz w:val="24"/>
              </w:rPr>
            </w:pPr>
            <w:r>
              <w:rPr>
                <w:rFonts w:hint="eastAsia" w:ascii="宋体" w:hAnsi="宋体" w:cs="宋体"/>
                <w:color w:val="000000"/>
                <w:kern w:val="0"/>
                <w:sz w:val="24"/>
              </w:rPr>
              <w:t>是</w:t>
            </w:r>
          </w:p>
        </w:tc>
        <w:tc>
          <w:tcPr>
            <w:tcW w:w="952" w:type="dxa"/>
            <w:tcBorders>
              <w:top w:val="nil"/>
              <w:left w:val="nil"/>
              <w:bottom w:val="single" w:color="auto" w:sz="4" w:space="0"/>
              <w:right w:val="single" w:color="auto" w:sz="4" w:space="0"/>
            </w:tcBorders>
            <w:shd w:val="clear" w:color="000000" w:fill="FFFFFF"/>
            <w:vAlign w:val="center"/>
          </w:tcPr>
          <w:p w14:paraId="6A0CFCAC">
            <w:pPr>
              <w:widowControl/>
              <w:jc w:val="center"/>
              <w:rPr>
                <w:rFonts w:hint="eastAsia" w:ascii="宋体" w:hAnsi="宋体" w:cs="宋体"/>
                <w:color w:val="000000"/>
                <w:kern w:val="0"/>
                <w:sz w:val="24"/>
              </w:rPr>
            </w:pPr>
            <w:r>
              <w:rPr>
                <w:rFonts w:hint="eastAsia" w:ascii="宋体" w:hAnsi="宋体" w:cs="宋体"/>
                <w:color w:val="000000"/>
                <w:kern w:val="0"/>
                <w:sz w:val="24"/>
              </w:rPr>
              <w:t>否</w:t>
            </w:r>
          </w:p>
        </w:tc>
      </w:tr>
      <w:tr w14:paraId="11B49F1E">
        <w:tblPrEx>
          <w:tblCellMar>
            <w:top w:w="0" w:type="dxa"/>
            <w:left w:w="108" w:type="dxa"/>
            <w:bottom w:w="0" w:type="dxa"/>
            <w:right w:w="108" w:type="dxa"/>
          </w:tblCellMar>
        </w:tblPrEx>
        <w:trPr>
          <w:trHeight w:val="288" w:hRule="atLeast"/>
        </w:trPr>
        <w:tc>
          <w:tcPr>
            <w:tcW w:w="704" w:type="dxa"/>
            <w:tcBorders>
              <w:top w:val="nil"/>
              <w:left w:val="single" w:color="auto" w:sz="4" w:space="0"/>
              <w:bottom w:val="single" w:color="auto" w:sz="4" w:space="0"/>
              <w:right w:val="single" w:color="auto" w:sz="4" w:space="0"/>
            </w:tcBorders>
            <w:shd w:val="clear" w:color="000000" w:fill="FFFFFF"/>
            <w:vAlign w:val="center"/>
          </w:tcPr>
          <w:p w14:paraId="14C2BF70">
            <w:pPr>
              <w:widowControl/>
              <w:jc w:val="center"/>
              <w:rPr>
                <w:rFonts w:hint="eastAsia" w:ascii="宋体" w:hAnsi="宋体" w:cs="宋体"/>
                <w:kern w:val="0"/>
                <w:sz w:val="24"/>
              </w:rPr>
            </w:pPr>
            <w:r>
              <w:rPr>
                <w:rFonts w:hint="eastAsia" w:ascii="宋体" w:hAnsi="宋体" w:cs="宋体"/>
                <w:kern w:val="0"/>
                <w:sz w:val="24"/>
              </w:rPr>
              <w:t>121</w:t>
            </w:r>
          </w:p>
        </w:tc>
        <w:tc>
          <w:tcPr>
            <w:tcW w:w="2851" w:type="dxa"/>
            <w:tcBorders>
              <w:top w:val="nil"/>
              <w:left w:val="nil"/>
              <w:bottom w:val="single" w:color="auto" w:sz="4" w:space="0"/>
              <w:right w:val="single" w:color="auto" w:sz="4" w:space="0"/>
            </w:tcBorders>
            <w:shd w:val="clear" w:color="000000" w:fill="FFFFFF"/>
            <w:vAlign w:val="center"/>
          </w:tcPr>
          <w:p w14:paraId="0E36D55A">
            <w:pPr>
              <w:jc w:val="center"/>
              <w:rPr>
                <w:rFonts w:hint="eastAsia" w:ascii="宋体" w:hAnsi="宋体" w:cs="宋体"/>
                <w:color w:val="000000"/>
                <w:sz w:val="24"/>
              </w:rPr>
            </w:pPr>
            <w:r>
              <w:rPr>
                <w:rFonts w:hint="eastAsia" w:ascii="宋体" w:hAnsi="宋体" w:cs="宋体"/>
                <w:color w:val="000000"/>
                <w:sz w:val="24"/>
              </w:rPr>
              <w:t>纤维蛋白原测定试剂盒</w:t>
            </w:r>
          </w:p>
        </w:tc>
        <w:tc>
          <w:tcPr>
            <w:tcW w:w="1276" w:type="dxa"/>
            <w:tcBorders>
              <w:top w:val="nil"/>
              <w:left w:val="nil"/>
              <w:bottom w:val="single" w:color="auto" w:sz="4" w:space="0"/>
              <w:right w:val="single" w:color="auto" w:sz="4" w:space="0"/>
            </w:tcBorders>
            <w:shd w:val="clear" w:color="000000" w:fill="FFFFFF"/>
            <w:noWrap/>
            <w:vAlign w:val="center"/>
          </w:tcPr>
          <w:p w14:paraId="68A390DF">
            <w:pPr>
              <w:widowControl/>
              <w:jc w:val="center"/>
              <w:rPr>
                <w:rFonts w:hint="eastAsia" w:ascii="宋体" w:hAnsi="宋体" w:cs="宋体"/>
                <w:kern w:val="0"/>
                <w:sz w:val="24"/>
              </w:rPr>
            </w:pPr>
            <w:r>
              <w:rPr>
                <w:rFonts w:hint="eastAsia" w:ascii="宋体" w:hAnsi="宋体" w:cs="宋体"/>
                <w:kern w:val="0"/>
                <w:sz w:val="24"/>
              </w:rPr>
              <w:t>130</w:t>
            </w:r>
          </w:p>
        </w:tc>
        <w:tc>
          <w:tcPr>
            <w:tcW w:w="992" w:type="dxa"/>
            <w:tcBorders>
              <w:top w:val="nil"/>
              <w:left w:val="nil"/>
              <w:bottom w:val="single" w:color="auto" w:sz="4" w:space="0"/>
              <w:right w:val="single" w:color="auto" w:sz="4" w:space="0"/>
            </w:tcBorders>
            <w:shd w:val="clear" w:color="000000" w:fill="FFFFFF"/>
            <w:vAlign w:val="center"/>
          </w:tcPr>
          <w:p w14:paraId="65F9972C">
            <w:pPr>
              <w:widowControl/>
              <w:jc w:val="center"/>
              <w:rPr>
                <w:rFonts w:hint="eastAsia" w:ascii="宋体" w:hAnsi="宋体" w:cs="宋体"/>
                <w:kern w:val="0"/>
                <w:sz w:val="24"/>
              </w:rPr>
            </w:pPr>
            <w:r>
              <w:rPr>
                <w:rFonts w:hint="eastAsia" w:ascii="宋体" w:hAnsi="宋体" w:cs="宋体"/>
                <w:kern w:val="0"/>
                <w:sz w:val="24"/>
              </w:rPr>
              <w:t>ml</w:t>
            </w:r>
          </w:p>
        </w:tc>
        <w:tc>
          <w:tcPr>
            <w:tcW w:w="992" w:type="dxa"/>
            <w:tcBorders>
              <w:top w:val="nil"/>
              <w:left w:val="nil"/>
              <w:bottom w:val="single" w:color="auto" w:sz="4" w:space="0"/>
              <w:right w:val="single" w:color="auto" w:sz="4" w:space="0"/>
            </w:tcBorders>
            <w:shd w:val="clear" w:color="000000" w:fill="FFFFFF"/>
            <w:noWrap/>
            <w:vAlign w:val="center"/>
          </w:tcPr>
          <w:p w14:paraId="33295CDC">
            <w:pPr>
              <w:widowControl/>
              <w:jc w:val="center"/>
              <w:rPr>
                <w:rFonts w:hint="eastAsia" w:ascii="宋体" w:hAnsi="宋体" w:cs="宋体"/>
                <w:kern w:val="0"/>
                <w:sz w:val="24"/>
              </w:rPr>
            </w:pPr>
            <w:r>
              <w:rPr>
                <w:rFonts w:hint="eastAsia" w:ascii="宋体" w:hAnsi="宋体" w:cs="宋体"/>
                <w:kern w:val="0"/>
                <w:sz w:val="24"/>
              </w:rPr>
              <w:t>500</w:t>
            </w:r>
          </w:p>
        </w:tc>
        <w:tc>
          <w:tcPr>
            <w:tcW w:w="851" w:type="dxa"/>
            <w:tcBorders>
              <w:top w:val="nil"/>
              <w:left w:val="nil"/>
              <w:bottom w:val="single" w:color="auto" w:sz="4" w:space="0"/>
              <w:right w:val="single" w:color="auto" w:sz="4" w:space="0"/>
            </w:tcBorders>
            <w:shd w:val="clear" w:color="000000" w:fill="FFFFFF"/>
            <w:vAlign w:val="center"/>
          </w:tcPr>
          <w:p w14:paraId="54DC30A6">
            <w:pPr>
              <w:widowControl/>
              <w:jc w:val="center"/>
              <w:rPr>
                <w:rFonts w:hint="eastAsia" w:ascii="宋体" w:hAnsi="宋体" w:cs="宋体"/>
                <w:color w:val="000000"/>
                <w:kern w:val="0"/>
                <w:sz w:val="24"/>
              </w:rPr>
            </w:pPr>
            <w:r>
              <w:rPr>
                <w:rFonts w:hint="eastAsia" w:ascii="宋体" w:hAnsi="宋体" w:cs="宋体"/>
                <w:color w:val="000000"/>
                <w:kern w:val="0"/>
                <w:sz w:val="24"/>
              </w:rPr>
              <w:t>是</w:t>
            </w:r>
          </w:p>
        </w:tc>
        <w:tc>
          <w:tcPr>
            <w:tcW w:w="952" w:type="dxa"/>
            <w:tcBorders>
              <w:top w:val="nil"/>
              <w:left w:val="nil"/>
              <w:bottom w:val="single" w:color="auto" w:sz="4" w:space="0"/>
              <w:right w:val="single" w:color="auto" w:sz="4" w:space="0"/>
            </w:tcBorders>
            <w:shd w:val="clear" w:color="000000" w:fill="FFFFFF"/>
            <w:vAlign w:val="center"/>
          </w:tcPr>
          <w:p w14:paraId="1E432A25">
            <w:pPr>
              <w:widowControl/>
              <w:jc w:val="center"/>
              <w:rPr>
                <w:rFonts w:hint="eastAsia" w:ascii="宋体" w:hAnsi="宋体" w:cs="宋体"/>
                <w:color w:val="000000"/>
                <w:kern w:val="0"/>
                <w:sz w:val="24"/>
              </w:rPr>
            </w:pPr>
            <w:r>
              <w:rPr>
                <w:rFonts w:hint="eastAsia" w:ascii="宋体" w:hAnsi="宋体" w:cs="宋体"/>
                <w:color w:val="000000"/>
                <w:kern w:val="0"/>
                <w:sz w:val="24"/>
              </w:rPr>
              <w:t>否</w:t>
            </w:r>
          </w:p>
        </w:tc>
      </w:tr>
      <w:tr w14:paraId="7E46E0BD">
        <w:tblPrEx>
          <w:tblCellMar>
            <w:top w:w="0" w:type="dxa"/>
            <w:left w:w="108" w:type="dxa"/>
            <w:bottom w:w="0" w:type="dxa"/>
            <w:right w:w="108" w:type="dxa"/>
          </w:tblCellMar>
        </w:tblPrEx>
        <w:trPr>
          <w:trHeight w:val="288" w:hRule="atLeast"/>
        </w:trPr>
        <w:tc>
          <w:tcPr>
            <w:tcW w:w="704" w:type="dxa"/>
            <w:tcBorders>
              <w:top w:val="nil"/>
              <w:left w:val="single" w:color="auto" w:sz="4" w:space="0"/>
              <w:bottom w:val="single" w:color="auto" w:sz="4" w:space="0"/>
              <w:right w:val="single" w:color="auto" w:sz="4" w:space="0"/>
            </w:tcBorders>
            <w:shd w:val="clear" w:color="000000" w:fill="FFFFFF"/>
            <w:vAlign w:val="center"/>
          </w:tcPr>
          <w:p w14:paraId="5948F4EC">
            <w:pPr>
              <w:widowControl/>
              <w:jc w:val="center"/>
              <w:rPr>
                <w:rFonts w:hint="eastAsia" w:ascii="宋体" w:hAnsi="宋体" w:cs="宋体"/>
                <w:kern w:val="0"/>
                <w:sz w:val="24"/>
              </w:rPr>
            </w:pPr>
            <w:r>
              <w:rPr>
                <w:rFonts w:hint="eastAsia" w:ascii="宋体" w:hAnsi="宋体" w:cs="宋体"/>
                <w:kern w:val="0"/>
                <w:sz w:val="24"/>
              </w:rPr>
              <w:t>122</w:t>
            </w:r>
          </w:p>
        </w:tc>
        <w:tc>
          <w:tcPr>
            <w:tcW w:w="2851" w:type="dxa"/>
            <w:tcBorders>
              <w:top w:val="nil"/>
              <w:left w:val="nil"/>
              <w:bottom w:val="single" w:color="auto" w:sz="4" w:space="0"/>
              <w:right w:val="single" w:color="auto" w:sz="4" w:space="0"/>
            </w:tcBorders>
            <w:shd w:val="clear" w:color="000000" w:fill="FFFFFF"/>
            <w:vAlign w:val="center"/>
          </w:tcPr>
          <w:p w14:paraId="5EE8F652">
            <w:pPr>
              <w:jc w:val="center"/>
              <w:rPr>
                <w:rFonts w:hint="eastAsia" w:ascii="宋体" w:hAnsi="宋体" w:cs="宋体"/>
                <w:color w:val="000000"/>
                <w:sz w:val="24"/>
              </w:rPr>
            </w:pPr>
            <w:r>
              <w:rPr>
                <w:rFonts w:hint="eastAsia" w:ascii="宋体" w:hAnsi="宋体" w:cs="宋体"/>
                <w:color w:val="000000"/>
                <w:sz w:val="24"/>
              </w:rPr>
              <w:t>血凝分析仪冲洗液</w:t>
            </w:r>
          </w:p>
        </w:tc>
        <w:tc>
          <w:tcPr>
            <w:tcW w:w="1276" w:type="dxa"/>
            <w:tcBorders>
              <w:top w:val="nil"/>
              <w:left w:val="nil"/>
              <w:bottom w:val="single" w:color="auto" w:sz="4" w:space="0"/>
              <w:right w:val="single" w:color="auto" w:sz="4" w:space="0"/>
            </w:tcBorders>
            <w:shd w:val="clear" w:color="000000" w:fill="FFFFFF"/>
            <w:noWrap/>
            <w:vAlign w:val="center"/>
          </w:tcPr>
          <w:p w14:paraId="2A3E99E8">
            <w:pPr>
              <w:widowControl/>
              <w:jc w:val="center"/>
              <w:rPr>
                <w:rFonts w:hint="eastAsia" w:ascii="宋体" w:hAnsi="宋体" w:cs="宋体"/>
                <w:kern w:val="0"/>
                <w:sz w:val="24"/>
              </w:rPr>
            </w:pPr>
            <w:r>
              <w:rPr>
                <w:rFonts w:hint="eastAsia" w:ascii="宋体" w:hAnsi="宋体" w:cs="宋体"/>
                <w:kern w:val="0"/>
                <w:sz w:val="24"/>
              </w:rPr>
              <w:t>362.5</w:t>
            </w:r>
          </w:p>
        </w:tc>
        <w:tc>
          <w:tcPr>
            <w:tcW w:w="992" w:type="dxa"/>
            <w:tcBorders>
              <w:top w:val="nil"/>
              <w:left w:val="nil"/>
              <w:bottom w:val="single" w:color="auto" w:sz="4" w:space="0"/>
              <w:right w:val="single" w:color="auto" w:sz="4" w:space="0"/>
            </w:tcBorders>
            <w:shd w:val="clear" w:color="000000" w:fill="FFFFFF"/>
            <w:vAlign w:val="center"/>
          </w:tcPr>
          <w:p w14:paraId="3EA32542">
            <w:pPr>
              <w:widowControl/>
              <w:jc w:val="center"/>
              <w:rPr>
                <w:rFonts w:hint="eastAsia" w:ascii="宋体" w:hAnsi="宋体" w:cs="宋体"/>
                <w:kern w:val="0"/>
                <w:sz w:val="24"/>
              </w:rPr>
            </w:pPr>
            <w:r>
              <w:rPr>
                <w:rFonts w:hint="eastAsia" w:ascii="宋体" w:hAnsi="宋体" w:cs="宋体"/>
                <w:kern w:val="0"/>
                <w:sz w:val="24"/>
              </w:rPr>
              <w:t>L</w:t>
            </w:r>
          </w:p>
        </w:tc>
        <w:tc>
          <w:tcPr>
            <w:tcW w:w="992" w:type="dxa"/>
            <w:tcBorders>
              <w:top w:val="nil"/>
              <w:left w:val="nil"/>
              <w:bottom w:val="single" w:color="auto" w:sz="4" w:space="0"/>
              <w:right w:val="single" w:color="auto" w:sz="4" w:space="0"/>
            </w:tcBorders>
            <w:shd w:val="clear" w:color="000000" w:fill="FFFFFF"/>
            <w:noWrap/>
            <w:vAlign w:val="center"/>
          </w:tcPr>
          <w:p w14:paraId="13D935DD">
            <w:pPr>
              <w:widowControl/>
              <w:jc w:val="center"/>
              <w:rPr>
                <w:rFonts w:hint="eastAsia" w:ascii="宋体" w:hAnsi="宋体" w:cs="宋体"/>
                <w:kern w:val="0"/>
                <w:sz w:val="24"/>
              </w:rPr>
            </w:pPr>
            <w:r>
              <w:rPr>
                <w:rFonts w:hint="eastAsia" w:ascii="宋体" w:hAnsi="宋体" w:cs="宋体"/>
                <w:kern w:val="0"/>
                <w:sz w:val="24"/>
              </w:rPr>
              <w:t>4</w:t>
            </w:r>
          </w:p>
        </w:tc>
        <w:tc>
          <w:tcPr>
            <w:tcW w:w="851" w:type="dxa"/>
            <w:tcBorders>
              <w:top w:val="nil"/>
              <w:left w:val="nil"/>
              <w:bottom w:val="single" w:color="auto" w:sz="4" w:space="0"/>
              <w:right w:val="single" w:color="auto" w:sz="4" w:space="0"/>
            </w:tcBorders>
            <w:shd w:val="clear" w:color="000000" w:fill="FFFFFF"/>
            <w:vAlign w:val="center"/>
          </w:tcPr>
          <w:p w14:paraId="0EF40D72">
            <w:pPr>
              <w:widowControl/>
              <w:jc w:val="center"/>
              <w:rPr>
                <w:rFonts w:hint="eastAsia" w:ascii="宋体" w:hAnsi="宋体" w:cs="宋体"/>
                <w:color w:val="000000"/>
                <w:kern w:val="0"/>
                <w:sz w:val="24"/>
              </w:rPr>
            </w:pPr>
            <w:r>
              <w:rPr>
                <w:rFonts w:hint="eastAsia" w:ascii="宋体" w:hAnsi="宋体" w:cs="宋体"/>
                <w:color w:val="000000"/>
                <w:kern w:val="0"/>
                <w:sz w:val="24"/>
              </w:rPr>
              <w:t>是</w:t>
            </w:r>
          </w:p>
        </w:tc>
        <w:tc>
          <w:tcPr>
            <w:tcW w:w="952" w:type="dxa"/>
            <w:tcBorders>
              <w:top w:val="nil"/>
              <w:left w:val="nil"/>
              <w:bottom w:val="single" w:color="auto" w:sz="4" w:space="0"/>
              <w:right w:val="single" w:color="auto" w:sz="4" w:space="0"/>
            </w:tcBorders>
            <w:shd w:val="clear" w:color="000000" w:fill="FFFFFF"/>
            <w:vAlign w:val="center"/>
          </w:tcPr>
          <w:p w14:paraId="43B47DB2">
            <w:pPr>
              <w:widowControl/>
              <w:jc w:val="center"/>
              <w:rPr>
                <w:rFonts w:hint="eastAsia" w:ascii="宋体" w:hAnsi="宋体" w:cs="宋体"/>
                <w:color w:val="000000"/>
                <w:kern w:val="0"/>
                <w:sz w:val="24"/>
              </w:rPr>
            </w:pPr>
            <w:r>
              <w:rPr>
                <w:rFonts w:hint="eastAsia" w:ascii="宋体" w:hAnsi="宋体" w:cs="宋体"/>
                <w:color w:val="000000"/>
                <w:kern w:val="0"/>
                <w:sz w:val="24"/>
              </w:rPr>
              <w:t>否</w:t>
            </w:r>
          </w:p>
        </w:tc>
      </w:tr>
      <w:tr w14:paraId="49CEAD62">
        <w:tblPrEx>
          <w:tblCellMar>
            <w:top w:w="0" w:type="dxa"/>
            <w:left w:w="108" w:type="dxa"/>
            <w:bottom w:w="0" w:type="dxa"/>
            <w:right w:w="108" w:type="dxa"/>
          </w:tblCellMar>
        </w:tblPrEx>
        <w:trPr>
          <w:trHeight w:val="288" w:hRule="atLeast"/>
        </w:trPr>
        <w:tc>
          <w:tcPr>
            <w:tcW w:w="704" w:type="dxa"/>
            <w:tcBorders>
              <w:top w:val="nil"/>
              <w:left w:val="single" w:color="auto" w:sz="4" w:space="0"/>
              <w:bottom w:val="single" w:color="auto" w:sz="4" w:space="0"/>
              <w:right w:val="single" w:color="auto" w:sz="4" w:space="0"/>
            </w:tcBorders>
            <w:shd w:val="clear" w:color="000000" w:fill="FFFFFF"/>
            <w:vAlign w:val="center"/>
          </w:tcPr>
          <w:p w14:paraId="0028B304">
            <w:pPr>
              <w:widowControl/>
              <w:jc w:val="center"/>
              <w:rPr>
                <w:rFonts w:hint="eastAsia" w:ascii="宋体" w:hAnsi="宋体" w:cs="宋体"/>
                <w:kern w:val="0"/>
                <w:sz w:val="24"/>
              </w:rPr>
            </w:pPr>
            <w:r>
              <w:rPr>
                <w:rFonts w:hint="eastAsia" w:ascii="宋体" w:hAnsi="宋体" w:cs="宋体"/>
                <w:kern w:val="0"/>
                <w:sz w:val="24"/>
              </w:rPr>
              <w:t>123</w:t>
            </w:r>
          </w:p>
        </w:tc>
        <w:tc>
          <w:tcPr>
            <w:tcW w:w="2851" w:type="dxa"/>
            <w:tcBorders>
              <w:top w:val="nil"/>
              <w:left w:val="nil"/>
              <w:bottom w:val="single" w:color="auto" w:sz="4" w:space="0"/>
              <w:right w:val="single" w:color="auto" w:sz="4" w:space="0"/>
            </w:tcBorders>
            <w:shd w:val="clear" w:color="000000" w:fill="FFFFFF"/>
            <w:vAlign w:val="center"/>
          </w:tcPr>
          <w:p w14:paraId="346859C6">
            <w:pPr>
              <w:jc w:val="center"/>
              <w:rPr>
                <w:rFonts w:hint="eastAsia" w:ascii="宋体" w:hAnsi="宋体" w:cs="宋体"/>
                <w:color w:val="000000"/>
                <w:sz w:val="24"/>
              </w:rPr>
            </w:pPr>
            <w:r>
              <w:rPr>
                <w:rFonts w:hint="eastAsia" w:ascii="宋体" w:hAnsi="宋体" w:cs="宋体"/>
                <w:color w:val="000000"/>
                <w:sz w:val="24"/>
              </w:rPr>
              <w:t>分析杯</w:t>
            </w:r>
          </w:p>
        </w:tc>
        <w:tc>
          <w:tcPr>
            <w:tcW w:w="1276" w:type="dxa"/>
            <w:tcBorders>
              <w:top w:val="nil"/>
              <w:left w:val="nil"/>
              <w:bottom w:val="single" w:color="auto" w:sz="4" w:space="0"/>
              <w:right w:val="single" w:color="auto" w:sz="4" w:space="0"/>
            </w:tcBorders>
            <w:shd w:val="clear" w:color="000000" w:fill="FFFFFF"/>
            <w:noWrap/>
            <w:vAlign w:val="center"/>
          </w:tcPr>
          <w:p w14:paraId="2248D90D">
            <w:pPr>
              <w:widowControl/>
              <w:jc w:val="center"/>
              <w:rPr>
                <w:rFonts w:hint="eastAsia" w:ascii="宋体" w:hAnsi="宋体" w:cs="宋体"/>
                <w:kern w:val="0"/>
                <w:sz w:val="24"/>
              </w:rPr>
            </w:pPr>
            <w:r>
              <w:rPr>
                <w:rFonts w:hint="eastAsia" w:ascii="宋体" w:hAnsi="宋体" w:cs="宋体"/>
                <w:kern w:val="0"/>
                <w:sz w:val="24"/>
              </w:rPr>
              <w:t>3000</w:t>
            </w:r>
          </w:p>
        </w:tc>
        <w:tc>
          <w:tcPr>
            <w:tcW w:w="992" w:type="dxa"/>
            <w:tcBorders>
              <w:top w:val="nil"/>
              <w:left w:val="nil"/>
              <w:bottom w:val="single" w:color="auto" w:sz="4" w:space="0"/>
              <w:right w:val="single" w:color="auto" w:sz="4" w:space="0"/>
            </w:tcBorders>
            <w:shd w:val="clear" w:color="000000" w:fill="FFFFFF"/>
            <w:vAlign w:val="center"/>
          </w:tcPr>
          <w:p w14:paraId="5FBB7A99">
            <w:pPr>
              <w:widowControl/>
              <w:jc w:val="center"/>
              <w:rPr>
                <w:rFonts w:hint="eastAsia" w:ascii="宋体" w:hAnsi="宋体" w:cs="宋体"/>
                <w:kern w:val="0"/>
                <w:sz w:val="24"/>
              </w:rPr>
            </w:pPr>
            <w:r>
              <w:rPr>
                <w:rFonts w:hint="eastAsia" w:ascii="宋体" w:hAnsi="宋体" w:cs="宋体"/>
                <w:kern w:val="0"/>
                <w:sz w:val="24"/>
              </w:rPr>
              <w:t>箱</w:t>
            </w:r>
          </w:p>
        </w:tc>
        <w:tc>
          <w:tcPr>
            <w:tcW w:w="992" w:type="dxa"/>
            <w:tcBorders>
              <w:top w:val="nil"/>
              <w:left w:val="nil"/>
              <w:bottom w:val="single" w:color="auto" w:sz="4" w:space="0"/>
              <w:right w:val="single" w:color="auto" w:sz="4" w:space="0"/>
            </w:tcBorders>
            <w:shd w:val="clear" w:color="000000" w:fill="FFFFFF"/>
            <w:noWrap/>
            <w:vAlign w:val="center"/>
          </w:tcPr>
          <w:p w14:paraId="365B263C">
            <w:pPr>
              <w:widowControl/>
              <w:jc w:val="center"/>
              <w:rPr>
                <w:rFonts w:hint="eastAsia" w:ascii="宋体" w:hAnsi="宋体" w:cs="宋体"/>
                <w:kern w:val="0"/>
                <w:sz w:val="24"/>
              </w:rPr>
            </w:pPr>
            <w:r>
              <w:rPr>
                <w:rFonts w:hint="eastAsia" w:ascii="宋体" w:hAnsi="宋体" w:cs="宋体"/>
                <w:kern w:val="0"/>
                <w:sz w:val="24"/>
              </w:rPr>
              <w:t>5</w:t>
            </w:r>
          </w:p>
        </w:tc>
        <w:tc>
          <w:tcPr>
            <w:tcW w:w="851" w:type="dxa"/>
            <w:tcBorders>
              <w:top w:val="nil"/>
              <w:left w:val="nil"/>
              <w:bottom w:val="single" w:color="auto" w:sz="4" w:space="0"/>
              <w:right w:val="single" w:color="auto" w:sz="4" w:space="0"/>
            </w:tcBorders>
            <w:shd w:val="clear" w:color="000000" w:fill="FFFFFF"/>
            <w:vAlign w:val="center"/>
          </w:tcPr>
          <w:p w14:paraId="61D69FCA">
            <w:pPr>
              <w:widowControl/>
              <w:jc w:val="center"/>
              <w:rPr>
                <w:rFonts w:hint="eastAsia" w:ascii="宋体" w:hAnsi="宋体" w:cs="宋体"/>
                <w:color w:val="000000"/>
                <w:kern w:val="0"/>
                <w:sz w:val="24"/>
              </w:rPr>
            </w:pPr>
            <w:r>
              <w:rPr>
                <w:rFonts w:hint="eastAsia" w:ascii="宋体" w:hAnsi="宋体" w:cs="宋体"/>
                <w:color w:val="000000"/>
                <w:kern w:val="0"/>
                <w:sz w:val="24"/>
              </w:rPr>
              <w:t>是</w:t>
            </w:r>
          </w:p>
        </w:tc>
        <w:tc>
          <w:tcPr>
            <w:tcW w:w="952" w:type="dxa"/>
            <w:tcBorders>
              <w:top w:val="nil"/>
              <w:left w:val="nil"/>
              <w:bottom w:val="single" w:color="auto" w:sz="4" w:space="0"/>
              <w:right w:val="single" w:color="auto" w:sz="4" w:space="0"/>
            </w:tcBorders>
            <w:shd w:val="clear" w:color="000000" w:fill="FFFFFF"/>
            <w:vAlign w:val="center"/>
          </w:tcPr>
          <w:p w14:paraId="01BCF9FA">
            <w:pPr>
              <w:widowControl/>
              <w:jc w:val="center"/>
              <w:rPr>
                <w:rFonts w:hint="eastAsia" w:ascii="宋体" w:hAnsi="宋体" w:cs="宋体"/>
                <w:color w:val="000000"/>
                <w:kern w:val="0"/>
                <w:sz w:val="24"/>
              </w:rPr>
            </w:pPr>
            <w:r>
              <w:rPr>
                <w:rFonts w:hint="eastAsia" w:ascii="宋体" w:hAnsi="宋体" w:cs="宋体"/>
                <w:color w:val="000000"/>
                <w:kern w:val="0"/>
                <w:sz w:val="24"/>
              </w:rPr>
              <w:t>否</w:t>
            </w:r>
          </w:p>
        </w:tc>
      </w:tr>
      <w:tr w14:paraId="4984E51D">
        <w:tblPrEx>
          <w:tblCellMar>
            <w:top w:w="0" w:type="dxa"/>
            <w:left w:w="108" w:type="dxa"/>
            <w:bottom w:w="0" w:type="dxa"/>
            <w:right w:w="108" w:type="dxa"/>
          </w:tblCellMar>
        </w:tblPrEx>
        <w:trPr>
          <w:trHeight w:val="576" w:hRule="atLeast"/>
        </w:trPr>
        <w:tc>
          <w:tcPr>
            <w:tcW w:w="704" w:type="dxa"/>
            <w:tcBorders>
              <w:top w:val="nil"/>
              <w:left w:val="single" w:color="auto" w:sz="4" w:space="0"/>
              <w:bottom w:val="single" w:color="auto" w:sz="4" w:space="0"/>
              <w:right w:val="single" w:color="auto" w:sz="4" w:space="0"/>
            </w:tcBorders>
            <w:shd w:val="clear" w:color="000000" w:fill="FFFFFF"/>
            <w:vAlign w:val="center"/>
          </w:tcPr>
          <w:p w14:paraId="18DE5FF9">
            <w:pPr>
              <w:widowControl/>
              <w:jc w:val="center"/>
              <w:rPr>
                <w:rFonts w:hint="eastAsia" w:ascii="宋体" w:hAnsi="宋体" w:cs="宋体"/>
                <w:kern w:val="0"/>
                <w:sz w:val="24"/>
              </w:rPr>
            </w:pPr>
            <w:r>
              <w:rPr>
                <w:rFonts w:hint="eastAsia" w:ascii="宋体" w:hAnsi="宋体" w:cs="宋体"/>
                <w:kern w:val="0"/>
                <w:sz w:val="24"/>
              </w:rPr>
              <w:t>124</w:t>
            </w:r>
          </w:p>
        </w:tc>
        <w:tc>
          <w:tcPr>
            <w:tcW w:w="2851" w:type="dxa"/>
            <w:tcBorders>
              <w:top w:val="nil"/>
              <w:left w:val="nil"/>
              <w:bottom w:val="single" w:color="auto" w:sz="4" w:space="0"/>
              <w:right w:val="single" w:color="auto" w:sz="4" w:space="0"/>
            </w:tcBorders>
            <w:shd w:val="clear" w:color="000000" w:fill="FFFFFF"/>
            <w:vAlign w:val="center"/>
          </w:tcPr>
          <w:p w14:paraId="261495FF">
            <w:pPr>
              <w:jc w:val="center"/>
              <w:rPr>
                <w:rFonts w:hint="eastAsia" w:ascii="宋体" w:hAnsi="宋体" w:cs="宋体"/>
                <w:color w:val="000000"/>
                <w:sz w:val="24"/>
              </w:rPr>
            </w:pPr>
            <w:r>
              <w:rPr>
                <w:rFonts w:hint="eastAsia" w:ascii="宋体" w:hAnsi="宋体" w:cs="宋体"/>
                <w:color w:val="000000"/>
                <w:sz w:val="24"/>
              </w:rPr>
              <w:t>校准品（定标血浆校准品）</w:t>
            </w:r>
          </w:p>
        </w:tc>
        <w:tc>
          <w:tcPr>
            <w:tcW w:w="1276" w:type="dxa"/>
            <w:tcBorders>
              <w:top w:val="nil"/>
              <w:left w:val="nil"/>
              <w:bottom w:val="single" w:color="auto" w:sz="4" w:space="0"/>
              <w:right w:val="single" w:color="auto" w:sz="4" w:space="0"/>
            </w:tcBorders>
            <w:shd w:val="clear" w:color="000000" w:fill="FFFFFF"/>
            <w:noWrap/>
            <w:vAlign w:val="center"/>
          </w:tcPr>
          <w:p w14:paraId="7ECB1680">
            <w:pPr>
              <w:widowControl/>
              <w:jc w:val="center"/>
              <w:rPr>
                <w:rFonts w:hint="eastAsia" w:ascii="宋体" w:hAnsi="宋体" w:cs="宋体"/>
                <w:kern w:val="0"/>
                <w:sz w:val="24"/>
              </w:rPr>
            </w:pPr>
            <w:r>
              <w:rPr>
                <w:rFonts w:hint="eastAsia" w:ascii="宋体" w:hAnsi="宋体" w:cs="宋体"/>
                <w:kern w:val="0"/>
                <w:sz w:val="24"/>
              </w:rPr>
              <w:t>100</w:t>
            </w:r>
          </w:p>
        </w:tc>
        <w:tc>
          <w:tcPr>
            <w:tcW w:w="992" w:type="dxa"/>
            <w:tcBorders>
              <w:top w:val="nil"/>
              <w:left w:val="nil"/>
              <w:bottom w:val="single" w:color="auto" w:sz="4" w:space="0"/>
              <w:right w:val="single" w:color="auto" w:sz="4" w:space="0"/>
            </w:tcBorders>
            <w:shd w:val="clear" w:color="000000" w:fill="FFFFFF"/>
            <w:vAlign w:val="center"/>
          </w:tcPr>
          <w:p w14:paraId="502B158C">
            <w:pPr>
              <w:widowControl/>
              <w:jc w:val="center"/>
              <w:rPr>
                <w:rFonts w:hint="eastAsia" w:ascii="宋体" w:hAnsi="宋体" w:cs="宋体"/>
                <w:kern w:val="0"/>
                <w:sz w:val="24"/>
              </w:rPr>
            </w:pPr>
            <w:r>
              <w:rPr>
                <w:rFonts w:hint="eastAsia" w:ascii="宋体" w:hAnsi="宋体" w:cs="宋体"/>
                <w:kern w:val="0"/>
                <w:sz w:val="24"/>
              </w:rPr>
              <w:t>ml</w:t>
            </w:r>
          </w:p>
        </w:tc>
        <w:tc>
          <w:tcPr>
            <w:tcW w:w="992" w:type="dxa"/>
            <w:tcBorders>
              <w:top w:val="nil"/>
              <w:left w:val="nil"/>
              <w:bottom w:val="single" w:color="auto" w:sz="4" w:space="0"/>
              <w:right w:val="single" w:color="auto" w:sz="4" w:space="0"/>
            </w:tcBorders>
            <w:shd w:val="clear" w:color="000000" w:fill="FFFFFF"/>
            <w:noWrap/>
            <w:vAlign w:val="center"/>
          </w:tcPr>
          <w:p w14:paraId="1FE68F2D">
            <w:pPr>
              <w:widowControl/>
              <w:jc w:val="center"/>
              <w:rPr>
                <w:rFonts w:hint="eastAsia" w:ascii="宋体" w:hAnsi="宋体" w:cs="宋体"/>
                <w:kern w:val="0"/>
                <w:sz w:val="24"/>
              </w:rPr>
            </w:pPr>
            <w:r>
              <w:rPr>
                <w:rFonts w:hint="eastAsia" w:ascii="宋体" w:hAnsi="宋体" w:cs="宋体"/>
                <w:kern w:val="0"/>
                <w:sz w:val="24"/>
              </w:rPr>
              <w:t>10</w:t>
            </w:r>
          </w:p>
        </w:tc>
        <w:tc>
          <w:tcPr>
            <w:tcW w:w="851" w:type="dxa"/>
            <w:tcBorders>
              <w:top w:val="nil"/>
              <w:left w:val="nil"/>
              <w:bottom w:val="single" w:color="auto" w:sz="4" w:space="0"/>
              <w:right w:val="single" w:color="auto" w:sz="4" w:space="0"/>
            </w:tcBorders>
            <w:shd w:val="clear" w:color="000000" w:fill="FFFFFF"/>
            <w:vAlign w:val="center"/>
          </w:tcPr>
          <w:p w14:paraId="6B0F79BA">
            <w:pPr>
              <w:widowControl/>
              <w:jc w:val="center"/>
              <w:rPr>
                <w:rFonts w:hint="eastAsia" w:ascii="宋体" w:hAnsi="宋体" w:cs="宋体"/>
                <w:color w:val="000000"/>
                <w:kern w:val="0"/>
                <w:sz w:val="24"/>
              </w:rPr>
            </w:pPr>
            <w:r>
              <w:rPr>
                <w:rFonts w:hint="eastAsia" w:ascii="宋体" w:hAnsi="宋体" w:cs="宋体"/>
                <w:color w:val="000000"/>
                <w:kern w:val="0"/>
                <w:sz w:val="24"/>
              </w:rPr>
              <w:t>是</w:t>
            </w:r>
          </w:p>
        </w:tc>
        <w:tc>
          <w:tcPr>
            <w:tcW w:w="952" w:type="dxa"/>
            <w:tcBorders>
              <w:top w:val="nil"/>
              <w:left w:val="nil"/>
              <w:bottom w:val="single" w:color="auto" w:sz="4" w:space="0"/>
              <w:right w:val="single" w:color="auto" w:sz="4" w:space="0"/>
            </w:tcBorders>
            <w:shd w:val="clear" w:color="000000" w:fill="FFFFFF"/>
            <w:vAlign w:val="center"/>
          </w:tcPr>
          <w:p w14:paraId="4BBDC03E">
            <w:pPr>
              <w:widowControl/>
              <w:jc w:val="center"/>
              <w:rPr>
                <w:rFonts w:hint="eastAsia" w:ascii="宋体" w:hAnsi="宋体" w:cs="宋体"/>
                <w:color w:val="000000"/>
                <w:kern w:val="0"/>
                <w:sz w:val="24"/>
              </w:rPr>
            </w:pPr>
            <w:r>
              <w:rPr>
                <w:rFonts w:hint="eastAsia" w:ascii="宋体" w:hAnsi="宋体" w:cs="宋体"/>
                <w:color w:val="000000"/>
                <w:kern w:val="0"/>
                <w:sz w:val="24"/>
              </w:rPr>
              <w:t>否</w:t>
            </w:r>
          </w:p>
        </w:tc>
      </w:tr>
      <w:tr w14:paraId="6642D4E4">
        <w:tblPrEx>
          <w:tblCellMar>
            <w:top w:w="0" w:type="dxa"/>
            <w:left w:w="108" w:type="dxa"/>
            <w:bottom w:w="0" w:type="dxa"/>
            <w:right w:w="108" w:type="dxa"/>
          </w:tblCellMar>
        </w:tblPrEx>
        <w:trPr>
          <w:trHeight w:val="288" w:hRule="atLeast"/>
        </w:trPr>
        <w:tc>
          <w:tcPr>
            <w:tcW w:w="704" w:type="dxa"/>
            <w:tcBorders>
              <w:top w:val="nil"/>
              <w:left w:val="single" w:color="auto" w:sz="4" w:space="0"/>
              <w:bottom w:val="single" w:color="auto" w:sz="4" w:space="0"/>
              <w:right w:val="single" w:color="auto" w:sz="4" w:space="0"/>
            </w:tcBorders>
            <w:shd w:val="clear" w:color="000000" w:fill="FFFFFF"/>
            <w:vAlign w:val="center"/>
          </w:tcPr>
          <w:p w14:paraId="0A56542B">
            <w:pPr>
              <w:widowControl/>
              <w:jc w:val="center"/>
              <w:rPr>
                <w:rFonts w:hint="eastAsia" w:ascii="宋体" w:hAnsi="宋体" w:cs="宋体"/>
                <w:kern w:val="0"/>
                <w:sz w:val="24"/>
              </w:rPr>
            </w:pPr>
            <w:r>
              <w:rPr>
                <w:rFonts w:hint="eastAsia" w:ascii="宋体" w:hAnsi="宋体" w:cs="宋体"/>
                <w:kern w:val="0"/>
                <w:sz w:val="24"/>
              </w:rPr>
              <w:t>125</w:t>
            </w:r>
          </w:p>
        </w:tc>
        <w:tc>
          <w:tcPr>
            <w:tcW w:w="2851" w:type="dxa"/>
            <w:tcBorders>
              <w:top w:val="nil"/>
              <w:left w:val="nil"/>
              <w:bottom w:val="single" w:color="auto" w:sz="4" w:space="0"/>
              <w:right w:val="single" w:color="auto" w:sz="4" w:space="0"/>
            </w:tcBorders>
            <w:shd w:val="clear" w:color="000000" w:fill="FFFFFF"/>
            <w:vAlign w:val="center"/>
          </w:tcPr>
          <w:p w14:paraId="2CE7A5CD">
            <w:pPr>
              <w:jc w:val="center"/>
              <w:rPr>
                <w:rFonts w:hint="eastAsia" w:ascii="宋体" w:hAnsi="宋体" w:cs="宋体"/>
                <w:color w:val="000000"/>
                <w:sz w:val="24"/>
              </w:rPr>
            </w:pPr>
            <w:r>
              <w:rPr>
                <w:rFonts w:hint="eastAsia" w:ascii="宋体" w:hAnsi="宋体" w:cs="宋体"/>
                <w:color w:val="000000"/>
                <w:sz w:val="24"/>
              </w:rPr>
              <w:t>正常值血凝试剂质控品</w:t>
            </w:r>
          </w:p>
        </w:tc>
        <w:tc>
          <w:tcPr>
            <w:tcW w:w="1276" w:type="dxa"/>
            <w:tcBorders>
              <w:top w:val="nil"/>
              <w:left w:val="nil"/>
              <w:bottom w:val="single" w:color="auto" w:sz="4" w:space="0"/>
              <w:right w:val="single" w:color="auto" w:sz="4" w:space="0"/>
            </w:tcBorders>
            <w:shd w:val="clear" w:color="000000" w:fill="FFFFFF"/>
            <w:noWrap/>
            <w:vAlign w:val="center"/>
          </w:tcPr>
          <w:p w14:paraId="4DD07B72">
            <w:pPr>
              <w:widowControl/>
              <w:jc w:val="center"/>
              <w:rPr>
                <w:rFonts w:hint="eastAsia" w:ascii="宋体" w:hAnsi="宋体" w:cs="宋体"/>
                <w:kern w:val="0"/>
                <w:sz w:val="24"/>
              </w:rPr>
            </w:pPr>
            <w:r>
              <w:rPr>
                <w:rFonts w:hint="eastAsia" w:ascii="宋体" w:hAnsi="宋体" w:cs="宋体"/>
                <w:kern w:val="0"/>
                <w:sz w:val="24"/>
              </w:rPr>
              <w:t>84</w:t>
            </w:r>
          </w:p>
        </w:tc>
        <w:tc>
          <w:tcPr>
            <w:tcW w:w="992" w:type="dxa"/>
            <w:tcBorders>
              <w:top w:val="nil"/>
              <w:left w:val="nil"/>
              <w:bottom w:val="single" w:color="auto" w:sz="4" w:space="0"/>
              <w:right w:val="single" w:color="auto" w:sz="4" w:space="0"/>
            </w:tcBorders>
            <w:shd w:val="clear" w:color="000000" w:fill="FFFFFF"/>
            <w:vAlign w:val="center"/>
          </w:tcPr>
          <w:p w14:paraId="521C9350">
            <w:pPr>
              <w:widowControl/>
              <w:jc w:val="center"/>
              <w:rPr>
                <w:rFonts w:hint="eastAsia" w:ascii="宋体" w:hAnsi="宋体" w:cs="宋体"/>
                <w:kern w:val="0"/>
                <w:sz w:val="24"/>
              </w:rPr>
            </w:pPr>
            <w:r>
              <w:rPr>
                <w:rFonts w:hint="eastAsia" w:ascii="宋体" w:hAnsi="宋体" w:cs="宋体"/>
                <w:kern w:val="0"/>
                <w:sz w:val="24"/>
              </w:rPr>
              <w:t>ml</w:t>
            </w:r>
          </w:p>
        </w:tc>
        <w:tc>
          <w:tcPr>
            <w:tcW w:w="992" w:type="dxa"/>
            <w:tcBorders>
              <w:top w:val="nil"/>
              <w:left w:val="nil"/>
              <w:bottom w:val="single" w:color="auto" w:sz="4" w:space="0"/>
              <w:right w:val="single" w:color="auto" w:sz="4" w:space="0"/>
            </w:tcBorders>
            <w:shd w:val="clear" w:color="000000" w:fill="FFFFFF"/>
            <w:noWrap/>
            <w:vAlign w:val="center"/>
          </w:tcPr>
          <w:p w14:paraId="2D4C482B">
            <w:pPr>
              <w:widowControl/>
              <w:jc w:val="center"/>
              <w:rPr>
                <w:rFonts w:hint="eastAsia" w:ascii="宋体" w:hAnsi="宋体" w:cs="宋体"/>
                <w:kern w:val="0"/>
                <w:sz w:val="24"/>
              </w:rPr>
            </w:pPr>
            <w:r>
              <w:rPr>
                <w:rFonts w:hint="eastAsia" w:ascii="宋体" w:hAnsi="宋体" w:cs="宋体"/>
                <w:kern w:val="0"/>
                <w:sz w:val="24"/>
              </w:rPr>
              <w:t>420</w:t>
            </w:r>
          </w:p>
        </w:tc>
        <w:tc>
          <w:tcPr>
            <w:tcW w:w="851" w:type="dxa"/>
            <w:tcBorders>
              <w:top w:val="nil"/>
              <w:left w:val="nil"/>
              <w:bottom w:val="single" w:color="auto" w:sz="4" w:space="0"/>
              <w:right w:val="single" w:color="auto" w:sz="4" w:space="0"/>
            </w:tcBorders>
            <w:shd w:val="clear" w:color="000000" w:fill="FFFFFF"/>
            <w:vAlign w:val="center"/>
          </w:tcPr>
          <w:p w14:paraId="627966DF">
            <w:pPr>
              <w:widowControl/>
              <w:jc w:val="center"/>
              <w:rPr>
                <w:rFonts w:hint="eastAsia" w:ascii="宋体" w:hAnsi="宋体" w:cs="宋体"/>
                <w:color w:val="000000"/>
                <w:kern w:val="0"/>
                <w:sz w:val="24"/>
              </w:rPr>
            </w:pPr>
            <w:r>
              <w:rPr>
                <w:rFonts w:hint="eastAsia" w:ascii="宋体" w:hAnsi="宋体" w:cs="宋体"/>
                <w:color w:val="000000"/>
                <w:kern w:val="0"/>
                <w:sz w:val="24"/>
              </w:rPr>
              <w:t>是</w:t>
            </w:r>
          </w:p>
        </w:tc>
        <w:tc>
          <w:tcPr>
            <w:tcW w:w="952" w:type="dxa"/>
            <w:tcBorders>
              <w:top w:val="nil"/>
              <w:left w:val="nil"/>
              <w:bottom w:val="single" w:color="auto" w:sz="4" w:space="0"/>
              <w:right w:val="single" w:color="auto" w:sz="4" w:space="0"/>
            </w:tcBorders>
            <w:shd w:val="clear" w:color="000000" w:fill="FFFFFF"/>
            <w:vAlign w:val="center"/>
          </w:tcPr>
          <w:p w14:paraId="666C5D44">
            <w:pPr>
              <w:widowControl/>
              <w:jc w:val="center"/>
              <w:rPr>
                <w:rFonts w:hint="eastAsia" w:ascii="宋体" w:hAnsi="宋体" w:cs="宋体"/>
                <w:color w:val="000000"/>
                <w:kern w:val="0"/>
                <w:sz w:val="24"/>
              </w:rPr>
            </w:pPr>
            <w:r>
              <w:rPr>
                <w:rFonts w:hint="eastAsia" w:ascii="宋体" w:hAnsi="宋体" w:cs="宋体"/>
                <w:color w:val="000000"/>
                <w:kern w:val="0"/>
                <w:sz w:val="24"/>
              </w:rPr>
              <w:t>否</w:t>
            </w:r>
          </w:p>
        </w:tc>
      </w:tr>
      <w:tr w14:paraId="376A3F34">
        <w:tblPrEx>
          <w:tblCellMar>
            <w:top w:w="0" w:type="dxa"/>
            <w:left w:w="108" w:type="dxa"/>
            <w:bottom w:w="0" w:type="dxa"/>
            <w:right w:w="108" w:type="dxa"/>
          </w:tblCellMar>
        </w:tblPrEx>
        <w:trPr>
          <w:trHeight w:val="288" w:hRule="atLeast"/>
        </w:trPr>
        <w:tc>
          <w:tcPr>
            <w:tcW w:w="704" w:type="dxa"/>
            <w:tcBorders>
              <w:top w:val="nil"/>
              <w:left w:val="single" w:color="auto" w:sz="4" w:space="0"/>
              <w:bottom w:val="single" w:color="auto" w:sz="4" w:space="0"/>
              <w:right w:val="single" w:color="auto" w:sz="4" w:space="0"/>
            </w:tcBorders>
            <w:shd w:val="clear" w:color="000000" w:fill="FFFFFF"/>
            <w:vAlign w:val="center"/>
          </w:tcPr>
          <w:p w14:paraId="2CEE0AD7">
            <w:pPr>
              <w:widowControl/>
              <w:jc w:val="center"/>
              <w:rPr>
                <w:rFonts w:hint="eastAsia" w:ascii="宋体" w:hAnsi="宋体" w:cs="宋体"/>
                <w:kern w:val="0"/>
                <w:sz w:val="24"/>
              </w:rPr>
            </w:pPr>
            <w:r>
              <w:rPr>
                <w:rFonts w:hint="eastAsia" w:ascii="宋体" w:hAnsi="宋体" w:cs="宋体"/>
                <w:kern w:val="0"/>
                <w:sz w:val="24"/>
              </w:rPr>
              <w:t>126</w:t>
            </w:r>
          </w:p>
        </w:tc>
        <w:tc>
          <w:tcPr>
            <w:tcW w:w="2851" w:type="dxa"/>
            <w:tcBorders>
              <w:top w:val="nil"/>
              <w:left w:val="nil"/>
              <w:bottom w:val="single" w:color="auto" w:sz="4" w:space="0"/>
              <w:right w:val="single" w:color="auto" w:sz="4" w:space="0"/>
            </w:tcBorders>
            <w:shd w:val="clear" w:color="000000" w:fill="FFFFFF"/>
            <w:vAlign w:val="center"/>
          </w:tcPr>
          <w:p w14:paraId="4322B60B">
            <w:pPr>
              <w:jc w:val="center"/>
              <w:rPr>
                <w:rFonts w:hint="eastAsia" w:ascii="宋体" w:hAnsi="宋体" w:cs="宋体"/>
                <w:color w:val="000000"/>
                <w:sz w:val="24"/>
              </w:rPr>
            </w:pPr>
            <w:r>
              <w:rPr>
                <w:rFonts w:hint="eastAsia" w:ascii="宋体" w:hAnsi="宋体" w:cs="宋体"/>
                <w:color w:val="000000"/>
                <w:sz w:val="24"/>
              </w:rPr>
              <w:t>低值血凝试剂质控品</w:t>
            </w:r>
          </w:p>
        </w:tc>
        <w:tc>
          <w:tcPr>
            <w:tcW w:w="1276" w:type="dxa"/>
            <w:tcBorders>
              <w:top w:val="nil"/>
              <w:left w:val="nil"/>
              <w:bottom w:val="single" w:color="auto" w:sz="4" w:space="0"/>
              <w:right w:val="single" w:color="auto" w:sz="4" w:space="0"/>
            </w:tcBorders>
            <w:shd w:val="clear" w:color="000000" w:fill="FFFFFF"/>
            <w:noWrap/>
            <w:vAlign w:val="center"/>
          </w:tcPr>
          <w:p w14:paraId="25AE98F7">
            <w:pPr>
              <w:widowControl/>
              <w:jc w:val="center"/>
              <w:rPr>
                <w:rFonts w:hint="eastAsia" w:ascii="宋体" w:hAnsi="宋体" w:cs="宋体"/>
                <w:kern w:val="0"/>
                <w:sz w:val="24"/>
              </w:rPr>
            </w:pPr>
            <w:r>
              <w:rPr>
                <w:rFonts w:hint="eastAsia" w:ascii="宋体" w:hAnsi="宋体" w:cs="宋体"/>
                <w:kern w:val="0"/>
                <w:sz w:val="24"/>
              </w:rPr>
              <w:t>140</w:t>
            </w:r>
          </w:p>
        </w:tc>
        <w:tc>
          <w:tcPr>
            <w:tcW w:w="992" w:type="dxa"/>
            <w:tcBorders>
              <w:top w:val="nil"/>
              <w:left w:val="nil"/>
              <w:bottom w:val="single" w:color="auto" w:sz="4" w:space="0"/>
              <w:right w:val="single" w:color="auto" w:sz="4" w:space="0"/>
            </w:tcBorders>
            <w:shd w:val="clear" w:color="000000" w:fill="FFFFFF"/>
            <w:vAlign w:val="center"/>
          </w:tcPr>
          <w:p w14:paraId="362F14D2">
            <w:pPr>
              <w:widowControl/>
              <w:jc w:val="center"/>
              <w:rPr>
                <w:rFonts w:hint="eastAsia" w:ascii="宋体" w:hAnsi="宋体" w:cs="宋体"/>
                <w:kern w:val="0"/>
                <w:sz w:val="24"/>
              </w:rPr>
            </w:pPr>
            <w:r>
              <w:rPr>
                <w:rFonts w:hint="eastAsia" w:ascii="宋体" w:hAnsi="宋体" w:cs="宋体"/>
                <w:kern w:val="0"/>
                <w:sz w:val="24"/>
              </w:rPr>
              <w:t>ml</w:t>
            </w:r>
          </w:p>
        </w:tc>
        <w:tc>
          <w:tcPr>
            <w:tcW w:w="992" w:type="dxa"/>
            <w:tcBorders>
              <w:top w:val="nil"/>
              <w:left w:val="nil"/>
              <w:bottom w:val="single" w:color="auto" w:sz="4" w:space="0"/>
              <w:right w:val="single" w:color="auto" w:sz="4" w:space="0"/>
            </w:tcBorders>
            <w:shd w:val="clear" w:color="000000" w:fill="FFFFFF"/>
            <w:noWrap/>
            <w:vAlign w:val="center"/>
          </w:tcPr>
          <w:p w14:paraId="473E9501">
            <w:pPr>
              <w:widowControl/>
              <w:jc w:val="center"/>
              <w:rPr>
                <w:rFonts w:hint="eastAsia" w:ascii="宋体" w:hAnsi="宋体" w:cs="宋体"/>
                <w:kern w:val="0"/>
                <w:sz w:val="24"/>
              </w:rPr>
            </w:pPr>
            <w:r>
              <w:rPr>
                <w:rFonts w:hint="eastAsia" w:ascii="宋体" w:hAnsi="宋体" w:cs="宋体"/>
                <w:kern w:val="0"/>
                <w:sz w:val="24"/>
              </w:rPr>
              <w:t>420</w:t>
            </w:r>
          </w:p>
        </w:tc>
        <w:tc>
          <w:tcPr>
            <w:tcW w:w="851" w:type="dxa"/>
            <w:tcBorders>
              <w:top w:val="nil"/>
              <w:left w:val="nil"/>
              <w:bottom w:val="single" w:color="auto" w:sz="4" w:space="0"/>
              <w:right w:val="single" w:color="auto" w:sz="4" w:space="0"/>
            </w:tcBorders>
            <w:shd w:val="clear" w:color="000000" w:fill="FFFFFF"/>
            <w:vAlign w:val="center"/>
          </w:tcPr>
          <w:p w14:paraId="46E7239A">
            <w:pPr>
              <w:widowControl/>
              <w:jc w:val="center"/>
              <w:rPr>
                <w:rFonts w:hint="eastAsia" w:ascii="宋体" w:hAnsi="宋体" w:cs="宋体"/>
                <w:color w:val="000000"/>
                <w:kern w:val="0"/>
                <w:sz w:val="24"/>
              </w:rPr>
            </w:pPr>
            <w:r>
              <w:rPr>
                <w:rFonts w:hint="eastAsia" w:ascii="宋体" w:hAnsi="宋体" w:cs="宋体"/>
                <w:color w:val="000000"/>
                <w:kern w:val="0"/>
                <w:sz w:val="24"/>
              </w:rPr>
              <w:t>是</w:t>
            </w:r>
          </w:p>
        </w:tc>
        <w:tc>
          <w:tcPr>
            <w:tcW w:w="952" w:type="dxa"/>
            <w:tcBorders>
              <w:top w:val="nil"/>
              <w:left w:val="nil"/>
              <w:bottom w:val="single" w:color="auto" w:sz="4" w:space="0"/>
              <w:right w:val="single" w:color="auto" w:sz="4" w:space="0"/>
            </w:tcBorders>
            <w:shd w:val="clear" w:color="000000" w:fill="FFFFFF"/>
            <w:vAlign w:val="center"/>
          </w:tcPr>
          <w:p w14:paraId="2C4D956D">
            <w:pPr>
              <w:widowControl/>
              <w:jc w:val="center"/>
              <w:rPr>
                <w:rFonts w:hint="eastAsia" w:ascii="宋体" w:hAnsi="宋体" w:cs="宋体"/>
                <w:color w:val="000000"/>
                <w:kern w:val="0"/>
                <w:sz w:val="24"/>
              </w:rPr>
            </w:pPr>
            <w:r>
              <w:rPr>
                <w:rFonts w:hint="eastAsia" w:ascii="宋体" w:hAnsi="宋体" w:cs="宋体"/>
                <w:color w:val="000000"/>
                <w:kern w:val="0"/>
                <w:sz w:val="24"/>
              </w:rPr>
              <w:t>否</w:t>
            </w:r>
          </w:p>
        </w:tc>
      </w:tr>
      <w:tr w14:paraId="18C28304">
        <w:tblPrEx>
          <w:tblCellMar>
            <w:top w:w="0" w:type="dxa"/>
            <w:left w:w="108" w:type="dxa"/>
            <w:bottom w:w="0" w:type="dxa"/>
            <w:right w:w="108" w:type="dxa"/>
          </w:tblCellMar>
        </w:tblPrEx>
        <w:trPr>
          <w:trHeight w:val="288" w:hRule="atLeast"/>
        </w:trPr>
        <w:tc>
          <w:tcPr>
            <w:tcW w:w="704" w:type="dxa"/>
            <w:tcBorders>
              <w:top w:val="nil"/>
              <w:left w:val="single" w:color="auto" w:sz="4" w:space="0"/>
              <w:bottom w:val="single" w:color="auto" w:sz="4" w:space="0"/>
              <w:right w:val="single" w:color="auto" w:sz="4" w:space="0"/>
            </w:tcBorders>
            <w:shd w:val="clear" w:color="000000" w:fill="FFFFFF"/>
            <w:vAlign w:val="center"/>
          </w:tcPr>
          <w:p w14:paraId="0207881C">
            <w:pPr>
              <w:widowControl/>
              <w:jc w:val="center"/>
              <w:rPr>
                <w:rFonts w:hint="eastAsia" w:ascii="宋体" w:hAnsi="宋体" w:cs="宋体"/>
                <w:kern w:val="0"/>
                <w:sz w:val="24"/>
              </w:rPr>
            </w:pPr>
            <w:r>
              <w:rPr>
                <w:rFonts w:hint="eastAsia" w:ascii="宋体" w:hAnsi="宋体" w:cs="宋体"/>
                <w:kern w:val="0"/>
                <w:sz w:val="24"/>
              </w:rPr>
              <w:t>127</w:t>
            </w:r>
          </w:p>
        </w:tc>
        <w:tc>
          <w:tcPr>
            <w:tcW w:w="2851" w:type="dxa"/>
            <w:tcBorders>
              <w:top w:val="nil"/>
              <w:left w:val="nil"/>
              <w:bottom w:val="single" w:color="auto" w:sz="4" w:space="0"/>
              <w:right w:val="single" w:color="auto" w:sz="4" w:space="0"/>
            </w:tcBorders>
            <w:shd w:val="clear" w:color="000000" w:fill="FFFFFF"/>
            <w:vAlign w:val="center"/>
          </w:tcPr>
          <w:p w14:paraId="75FD41F5">
            <w:pPr>
              <w:jc w:val="center"/>
              <w:rPr>
                <w:rFonts w:hint="eastAsia" w:ascii="宋体" w:hAnsi="宋体" w:cs="宋体"/>
                <w:color w:val="000000"/>
                <w:sz w:val="24"/>
              </w:rPr>
            </w:pPr>
            <w:r>
              <w:rPr>
                <w:rFonts w:hint="eastAsia" w:ascii="宋体" w:hAnsi="宋体" w:cs="宋体"/>
                <w:color w:val="000000"/>
                <w:sz w:val="24"/>
              </w:rPr>
              <w:t>D-二聚体质控品</w:t>
            </w:r>
          </w:p>
        </w:tc>
        <w:tc>
          <w:tcPr>
            <w:tcW w:w="1276" w:type="dxa"/>
            <w:tcBorders>
              <w:top w:val="nil"/>
              <w:left w:val="nil"/>
              <w:bottom w:val="single" w:color="auto" w:sz="4" w:space="0"/>
              <w:right w:val="single" w:color="auto" w:sz="4" w:space="0"/>
            </w:tcBorders>
            <w:shd w:val="clear" w:color="000000" w:fill="FFFFFF"/>
            <w:noWrap/>
            <w:vAlign w:val="center"/>
          </w:tcPr>
          <w:p w14:paraId="0FD83F28">
            <w:pPr>
              <w:widowControl/>
              <w:jc w:val="center"/>
              <w:rPr>
                <w:rFonts w:hint="eastAsia" w:ascii="宋体" w:hAnsi="宋体" w:cs="宋体"/>
                <w:kern w:val="0"/>
                <w:sz w:val="24"/>
              </w:rPr>
            </w:pPr>
            <w:r>
              <w:rPr>
                <w:rFonts w:hint="eastAsia" w:ascii="宋体" w:hAnsi="宋体" w:cs="宋体"/>
                <w:kern w:val="0"/>
                <w:sz w:val="24"/>
              </w:rPr>
              <w:t>215</w:t>
            </w:r>
          </w:p>
        </w:tc>
        <w:tc>
          <w:tcPr>
            <w:tcW w:w="992" w:type="dxa"/>
            <w:tcBorders>
              <w:top w:val="nil"/>
              <w:left w:val="nil"/>
              <w:bottom w:val="single" w:color="auto" w:sz="4" w:space="0"/>
              <w:right w:val="single" w:color="auto" w:sz="4" w:space="0"/>
            </w:tcBorders>
            <w:shd w:val="clear" w:color="000000" w:fill="FFFFFF"/>
            <w:vAlign w:val="center"/>
          </w:tcPr>
          <w:p w14:paraId="75FBA257">
            <w:pPr>
              <w:widowControl/>
              <w:jc w:val="center"/>
              <w:rPr>
                <w:rFonts w:hint="eastAsia" w:ascii="宋体" w:hAnsi="宋体" w:cs="宋体"/>
                <w:kern w:val="0"/>
                <w:sz w:val="24"/>
              </w:rPr>
            </w:pPr>
            <w:r>
              <w:rPr>
                <w:rFonts w:hint="eastAsia" w:ascii="宋体" w:hAnsi="宋体" w:cs="宋体"/>
                <w:kern w:val="0"/>
                <w:sz w:val="24"/>
              </w:rPr>
              <w:t>ml</w:t>
            </w:r>
          </w:p>
        </w:tc>
        <w:tc>
          <w:tcPr>
            <w:tcW w:w="992" w:type="dxa"/>
            <w:tcBorders>
              <w:top w:val="nil"/>
              <w:left w:val="nil"/>
              <w:bottom w:val="single" w:color="auto" w:sz="4" w:space="0"/>
              <w:right w:val="single" w:color="auto" w:sz="4" w:space="0"/>
            </w:tcBorders>
            <w:shd w:val="clear" w:color="000000" w:fill="FFFFFF"/>
            <w:noWrap/>
            <w:vAlign w:val="center"/>
          </w:tcPr>
          <w:p w14:paraId="518FE861">
            <w:pPr>
              <w:widowControl/>
              <w:jc w:val="center"/>
              <w:rPr>
                <w:rFonts w:hint="eastAsia" w:ascii="宋体" w:hAnsi="宋体" w:cs="宋体"/>
                <w:kern w:val="0"/>
                <w:sz w:val="24"/>
              </w:rPr>
            </w:pPr>
            <w:r>
              <w:rPr>
                <w:rFonts w:hint="eastAsia" w:ascii="宋体" w:hAnsi="宋体" w:cs="宋体"/>
                <w:kern w:val="0"/>
                <w:sz w:val="24"/>
              </w:rPr>
              <w:t>360</w:t>
            </w:r>
          </w:p>
        </w:tc>
        <w:tc>
          <w:tcPr>
            <w:tcW w:w="851" w:type="dxa"/>
            <w:tcBorders>
              <w:top w:val="nil"/>
              <w:left w:val="nil"/>
              <w:bottom w:val="single" w:color="auto" w:sz="4" w:space="0"/>
              <w:right w:val="single" w:color="auto" w:sz="4" w:space="0"/>
            </w:tcBorders>
            <w:shd w:val="clear" w:color="000000" w:fill="FFFFFF"/>
            <w:vAlign w:val="center"/>
          </w:tcPr>
          <w:p w14:paraId="18D2A5FC">
            <w:pPr>
              <w:widowControl/>
              <w:jc w:val="center"/>
              <w:rPr>
                <w:rFonts w:hint="eastAsia" w:ascii="宋体" w:hAnsi="宋体" w:cs="宋体"/>
                <w:color w:val="000000"/>
                <w:kern w:val="0"/>
                <w:sz w:val="24"/>
              </w:rPr>
            </w:pPr>
            <w:r>
              <w:rPr>
                <w:rFonts w:hint="eastAsia" w:ascii="宋体" w:hAnsi="宋体" w:cs="宋体"/>
                <w:color w:val="000000"/>
                <w:kern w:val="0"/>
                <w:sz w:val="24"/>
              </w:rPr>
              <w:t>是</w:t>
            </w:r>
          </w:p>
        </w:tc>
        <w:tc>
          <w:tcPr>
            <w:tcW w:w="952" w:type="dxa"/>
            <w:tcBorders>
              <w:top w:val="nil"/>
              <w:left w:val="nil"/>
              <w:bottom w:val="single" w:color="auto" w:sz="4" w:space="0"/>
              <w:right w:val="single" w:color="auto" w:sz="4" w:space="0"/>
            </w:tcBorders>
            <w:shd w:val="clear" w:color="000000" w:fill="FFFFFF"/>
            <w:vAlign w:val="center"/>
          </w:tcPr>
          <w:p w14:paraId="643678BB">
            <w:pPr>
              <w:widowControl/>
              <w:jc w:val="center"/>
              <w:rPr>
                <w:rFonts w:hint="eastAsia" w:ascii="宋体" w:hAnsi="宋体" w:cs="宋体"/>
                <w:color w:val="000000"/>
                <w:kern w:val="0"/>
                <w:sz w:val="24"/>
              </w:rPr>
            </w:pPr>
            <w:r>
              <w:rPr>
                <w:rFonts w:hint="eastAsia" w:ascii="宋体" w:hAnsi="宋体" w:cs="宋体"/>
                <w:color w:val="000000"/>
                <w:kern w:val="0"/>
                <w:sz w:val="24"/>
              </w:rPr>
              <w:t>否</w:t>
            </w:r>
          </w:p>
        </w:tc>
      </w:tr>
      <w:tr w14:paraId="42121087">
        <w:tblPrEx>
          <w:tblCellMar>
            <w:top w:w="0" w:type="dxa"/>
            <w:left w:w="108" w:type="dxa"/>
            <w:bottom w:w="0" w:type="dxa"/>
            <w:right w:w="108" w:type="dxa"/>
          </w:tblCellMar>
        </w:tblPrEx>
        <w:trPr>
          <w:trHeight w:val="288" w:hRule="atLeast"/>
        </w:trPr>
        <w:tc>
          <w:tcPr>
            <w:tcW w:w="704" w:type="dxa"/>
            <w:tcBorders>
              <w:top w:val="nil"/>
              <w:left w:val="single" w:color="auto" w:sz="4" w:space="0"/>
              <w:bottom w:val="single" w:color="auto" w:sz="4" w:space="0"/>
              <w:right w:val="single" w:color="auto" w:sz="4" w:space="0"/>
            </w:tcBorders>
            <w:shd w:val="clear" w:color="000000" w:fill="FFFFFF"/>
            <w:vAlign w:val="center"/>
          </w:tcPr>
          <w:p w14:paraId="7928E533">
            <w:pPr>
              <w:widowControl/>
              <w:jc w:val="center"/>
              <w:rPr>
                <w:rFonts w:hint="eastAsia" w:ascii="宋体" w:hAnsi="宋体" w:cs="宋体"/>
                <w:kern w:val="0"/>
                <w:sz w:val="24"/>
              </w:rPr>
            </w:pPr>
            <w:r>
              <w:rPr>
                <w:rFonts w:hint="eastAsia" w:ascii="宋体" w:hAnsi="宋体" w:cs="宋体"/>
                <w:kern w:val="0"/>
                <w:sz w:val="24"/>
              </w:rPr>
              <w:t>128</w:t>
            </w:r>
          </w:p>
        </w:tc>
        <w:tc>
          <w:tcPr>
            <w:tcW w:w="2851" w:type="dxa"/>
            <w:tcBorders>
              <w:top w:val="nil"/>
              <w:left w:val="nil"/>
              <w:bottom w:val="single" w:color="auto" w:sz="4" w:space="0"/>
              <w:right w:val="single" w:color="auto" w:sz="4" w:space="0"/>
            </w:tcBorders>
            <w:shd w:val="clear" w:color="000000" w:fill="FFFFFF"/>
            <w:vAlign w:val="center"/>
          </w:tcPr>
          <w:p w14:paraId="30EDD0EF">
            <w:pPr>
              <w:jc w:val="center"/>
              <w:rPr>
                <w:rFonts w:hint="eastAsia" w:ascii="宋体" w:hAnsi="宋体" w:cs="宋体"/>
                <w:color w:val="000000"/>
                <w:sz w:val="24"/>
              </w:rPr>
            </w:pPr>
            <w:r>
              <w:rPr>
                <w:rFonts w:hint="eastAsia" w:ascii="宋体" w:hAnsi="宋体" w:cs="宋体"/>
                <w:color w:val="000000"/>
                <w:sz w:val="24"/>
              </w:rPr>
              <w:t>清洗液B</w:t>
            </w:r>
          </w:p>
        </w:tc>
        <w:tc>
          <w:tcPr>
            <w:tcW w:w="1276" w:type="dxa"/>
            <w:tcBorders>
              <w:top w:val="nil"/>
              <w:left w:val="nil"/>
              <w:bottom w:val="single" w:color="auto" w:sz="4" w:space="0"/>
              <w:right w:val="single" w:color="auto" w:sz="4" w:space="0"/>
            </w:tcBorders>
            <w:shd w:val="clear" w:color="000000" w:fill="FFFFFF"/>
            <w:noWrap/>
            <w:vAlign w:val="center"/>
          </w:tcPr>
          <w:p w14:paraId="2E7540F5">
            <w:pPr>
              <w:widowControl/>
              <w:jc w:val="center"/>
              <w:rPr>
                <w:rFonts w:hint="eastAsia" w:ascii="宋体" w:hAnsi="宋体" w:cs="宋体"/>
                <w:kern w:val="0"/>
                <w:sz w:val="24"/>
              </w:rPr>
            </w:pPr>
            <w:r>
              <w:rPr>
                <w:rFonts w:hint="eastAsia" w:ascii="宋体" w:hAnsi="宋体" w:cs="宋体"/>
                <w:kern w:val="0"/>
                <w:sz w:val="24"/>
              </w:rPr>
              <w:t>2.25</w:t>
            </w:r>
          </w:p>
        </w:tc>
        <w:tc>
          <w:tcPr>
            <w:tcW w:w="992" w:type="dxa"/>
            <w:tcBorders>
              <w:top w:val="nil"/>
              <w:left w:val="nil"/>
              <w:bottom w:val="single" w:color="auto" w:sz="4" w:space="0"/>
              <w:right w:val="single" w:color="auto" w:sz="4" w:space="0"/>
            </w:tcBorders>
            <w:shd w:val="clear" w:color="000000" w:fill="FFFFFF"/>
            <w:vAlign w:val="center"/>
          </w:tcPr>
          <w:p w14:paraId="6349D290">
            <w:pPr>
              <w:widowControl/>
              <w:jc w:val="center"/>
              <w:rPr>
                <w:rFonts w:hint="eastAsia" w:ascii="宋体" w:hAnsi="宋体" w:cs="宋体"/>
                <w:kern w:val="0"/>
                <w:sz w:val="24"/>
              </w:rPr>
            </w:pPr>
            <w:r>
              <w:rPr>
                <w:rFonts w:hint="eastAsia" w:ascii="宋体" w:hAnsi="宋体" w:cs="宋体"/>
                <w:kern w:val="0"/>
                <w:sz w:val="24"/>
              </w:rPr>
              <w:t>ml</w:t>
            </w:r>
          </w:p>
        </w:tc>
        <w:tc>
          <w:tcPr>
            <w:tcW w:w="992" w:type="dxa"/>
            <w:tcBorders>
              <w:top w:val="nil"/>
              <w:left w:val="nil"/>
              <w:bottom w:val="single" w:color="auto" w:sz="4" w:space="0"/>
              <w:right w:val="single" w:color="auto" w:sz="4" w:space="0"/>
            </w:tcBorders>
            <w:shd w:val="clear" w:color="000000" w:fill="FFFFFF"/>
            <w:noWrap/>
            <w:vAlign w:val="center"/>
          </w:tcPr>
          <w:p w14:paraId="221FDD2B">
            <w:pPr>
              <w:widowControl/>
              <w:jc w:val="center"/>
              <w:rPr>
                <w:rFonts w:hint="eastAsia" w:ascii="宋体" w:hAnsi="宋体" w:cs="宋体"/>
                <w:kern w:val="0"/>
                <w:sz w:val="24"/>
              </w:rPr>
            </w:pPr>
            <w:r>
              <w:rPr>
                <w:rFonts w:hint="eastAsia" w:ascii="宋体" w:hAnsi="宋体" w:cs="宋体"/>
                <w:kern w:val="0"/>
                <w:sz w:val="24"/>
              </w:rPr>
              <w:t>4240</w:t>
            </w:r>
          </w:p>
        </w:tc>
        <w:tc>
          <w:tcPr>
            <w:tcW w:w="851" w:type="dxa"/>
            <w:tcBorders>
              <w:top w:val="nil"/>
              <w:left w:val="nil"/>
              <w:bottom w:val="single" w:color="auto" w:sz="4" w:space="0"/>
              <w:right w:val="single" w:color="auto" w:sz="4" w:space="0"/>
            </w:tcBorders>
            <w:shd w:val="clear" w:color="000000" w:fill="FFFFFF"/>
            <w:vAlign w:val="center"/>
          </w:tcPr>
          <w:p w14:paraId="3B7481F4">
            <w:pPr>
              <w:widowControl/>
              <w:jc w:val="center"/>
              <w:rPr>
                <w:rFonts w:hint="eastAsia" w:ascii="宋体" w:hAnsi="宋体" w:cs="宋体"/>
                <w:color w:val="000000"/>
                <w:kern w:val="0"/>
                <w:sz w:val="24"/>
              </w:rPr>
            </w:pPr>
            <w:r>
              <w:rPr>
                <w:rFonts w:hint="eastAsia" w:ascii="宋体" w:hAnsi="宋体" w:cs="宋体"/>
                <w:color w:val="000000"/>
                <w:kern w:val="0"/>
                <w:sz w:val="24"/>
              </w:rPr>
              <w:t>是</w:t>
            </w:r>
          </w:p>
        </w:tc>
        <w:tc>
          <w:tcPr>
            <w:tcW w:w="952" w:type="dxa"/>
            <w:tcBorders>
              <w:top w:val="nil"/>
              <w:left w:val="nil"/>
              <w:bottom w:val="single" w:color="auto" w:sz="4" w:space="0"/>
              <w:right w:val="single" w:color="auto" w:sz="4" w:space="0"/>
            </w:tcBorders>
            <w:shd w:val="clear" w:color="000000" w:fill="FFFFFF"/>
            <w:vAlign w:val="center"/>
          </w:tcPr>
          <w:p w14:paraId="7FAA447B">
            <w:pPr>
              <w:widowControl/>
              <w:jc w:val="center"/>
              <w:rPr>
                <w:rFonts w:hint="eastAsia" w:ascii="宋体" w:hAnsi="宋体" w:cs="宋体"/>
                <w:color w:val="000000"/>
                <w:kern w:val="0"/>
                <w:sz w:val="24"/>
              </w:rPr>
            </w:pPr>
            <w:r>
              <w:rPr>
                <w:rFonts w:hint="eastAsia" w:ascii="宋体" w:hAnsi="宋体" w:cs="宋体"/>
                <w:color w:val="000000"/>
                <w:kern w:val="0"/>
                <w:sz w:val="24"/>
              </w:rPr>
              <w:t>否</w:t>
            </w:r>
          </w:p>
        </w:tc>
      </w:tr>
      <w:tr w14:paraId="2C0A6A4F">
        <w:tblPrEx>
          <w:tblCellMar>
            <w:top w:w="0" w:type="dxa"/>
            <w:left w:w="108" w:type="dxa"/>
            <w:bottom w:w="0" w:type="dxa"/>
            <w:right w:w="108" w:type="dxa"/>
          </w:tblCellMar>
        </w:tblPrEx>
        <w:trPr>
          <w:trHeight w:val="288" w:hRule="atLeast"/>
        </w:trPr>
        <w:tc>
          <w:tcPr>
            <w:tcW w:w="704" w:type="dxa"/>
            <w:tcBorders>
              <w:top w:val="nil"/>
              <w:left w:val="single" w:color="auto" w:sz="4" w:space="0"/>
              <w:bottom w:val="single" w:color="auto" w:sz="4" w:space="0"/>
              <w:right w:val="single" w:color="auto" w:sz="4" w:space="0"/>
            </w:tcBorders>
            <w:shd w:val="clear" w:color="000000" w:fill="FFFFFF"/>
            <w:vAlign w:val="center"/>
          </w:tcPr>
          <w:p w14:paraId="4A10EFF9">
            <w:pPr>
              <w:widowControl/>
              <w:jc w:val="center"/>
              <w:rPr>
                <w:rFonts w:hint="eastAsia" w:ascii="宋体" w:hAnsi="宋体" w:cs="宋体"/>
                <w:kern w:val="0"/>
                <w:sz w:val="24"/>
              </w:rPr>
            </w:pPr>
            <w:r>
              <w:rPr>
                <w:rFonts w:hint="eastAsia" w:ascii="宋体" w:hAnsi="宋体" w:cs="宋体"/>
                <w:kern w:val="0"/>
                <w:sz w:val="24"/>
              </w:rPr>
              <w:t>129</w:t>
            </w:r>
          </w:p>
        </w:tc>
        <w:tc>
          <w:tcPr>
            <w:tcW w:w="2851" w:type="dxa"/>
            <w:tcBorders>
              <w:top w:val="nil"/>
              <w:left w:val="nil"/>
              <w:bottom w:val="single" w:color="auto" w:sz="4" w:space="0"/>
              <w:right w:val="single" w:color="auto" w:sz="4" w:space="0"/>
            </w:tcBorders>
            <w:shd w:val="clear" w:color="000000" w:fill="FFFFFF"/>
            <w:vAlign w:val="center"/>
          </w:tcPr>
          <w:p w14:paraId="06D2F0A3">
            <w:pPr>
              <w:jc w:val="center"/>
              <w:rPr>
                <w:rFonts w:hint="eastAsia" w:ascii="宋体" w:hAnsi="宋体" w:cs="宋体"/>
                <w:color w:val="000000"/>
                <w:sz w:val="24"/>
              </w:rPr>
            </w:pPr>
            <w:r>
              <w:rPr>
                <w:rFonts w:hint="eastAsia" w:ascii="宋体" w:hAnsi="宋体" w:cs="宋体"/>
                <w:color w:val="000000"/>
                <w:sz w:val="24"/>
              </w:rPr>
              <w:t>免疫球蛋白E测定试剂盒</w:t>
            </w:r>
          </w:p>
        </w:tc>
        <w:tc>
          <w:tcPr>
            <w:tcW w:w="1276" w:type="dxa"/>
            <w:tcBorders>
              <w:top w:val="nil"/>
              <w:left w:val="nil"/>
              <w:bottom w:val="single" w:color="auto" w:sz="4" w:space="0"/>
              <w:right w:val="single" w:color="auto" w:sz="4" w:space="0"/>
            </w:tcBorders>
            <w:shd w:val="clear" w:color="000000" w:fill="FFFFFF"/>
            <w:noWrap/>
            <w:vAlign w:val="center"/>
          </w:tcPr>
          <w:p w14:paraId="65665423">
            <w:pPr>
              <w:widowControl/>
              <w:jc w:val="center"/>
              <w:rPr>
                <w:rFonts w:hint="eastAsia" w:ascii="宋体" w:hAnsi="宋体" w:cs="宋体"/>
                <w:kern w:val="0"/>
                <w:sz w:val="24"/>
              </w:rPr>
            </w:pPr>
            <w:r>
              <w:rPr>
                <w:rFonts w:hint="eastAsia" w:ascii="宋体" w:hAnsi="宋体" w:cs="宋体"/>
                <w:kern w:val="0"/>
                <w:sz w:val="24"/>
              </w:rPr>
              <w:t>99.84</w:t>
            </w:r>
          </w:p>
        </w:tc>
        <w:tc>
          <w:tcPr>
            <w:tcW w:w="992" w:type="dxa"/>
            <w:tcBorders>
              <w:top w:val="nil"/>
              <w:left w:val="nil"/>
              <w:bottom w:val="single" w:color="auto" w:sz="4" w:space="0"/>
              <w:right w:val="single" w:color="auto" w:sz="4" w:space="0"/>
            </w:tcBorders>
            <w:shd w:val="clear" w:color="000000" w:fill="FFFFFF"/>
            <w:vAlign w:val="center"/>
          </w:tcPr>
          <w:p w14:paraId="21B6A207">
            <w:pPr>
              <w:widowControl/>
              <w:jc w:val="center"/>
              <w:rPr>
                <w:rFonts w:hint="eastAsia" w:ascii="宋体" w:hAnsi="宋体" w:cs="宋体"/>
                <w:kern w:val="0"/>
                <w:sz w:val="24"/>
              </w:rPr>
            </w:pPr>
            <w:r>
              <w:rPr>
                <w:rFonts w:hint="eastAsia" w:ascii="宋体" w:hAnsi="宋体" w:cs="宋体"/>
                <w:kern w:val="0"/>
                <w:sz w:val="24"/>
              </w:rPr>
              <w:t>ml</w:t>
            </w:r>
          </w:p>
        </w:tc>
        <w:tc>
          <w:tcPr>
            <w:tcW w:w="992" w:type="dxa"/>
            <w:tcBorders>
              <w:top w:val="nil"/>
              <w:left w:val="nil"/>
              <w:bottom w:val="single" w:color="auto" w:sz="4" w:space="0"/>
              <w:right w:val="single" w:color="auto" w:sz="4" w:space="0"/>
            </w:tcBorders>
            <w:shd w:val="clear" w:color="000000" w:fill="FFFFFF"/>
            <w:noWrap/>
            <w:vAlign w:val="center"/>
          </w:tcPr>
          <w:p w14:paraId="76729BD0">
            <w:pPr>
              <w:widowControl/>
              <w:jc w:val="center"/>
              <w:rPr>
                <w:rFonts w:hint="eastAsia" w:ascii="宋体" w:hAnsi="宋体" w:cs="宋体"/>
                <w:kern w:val="0"/>
                <w:sz w:val="24"/>
              </w:rPr>
            </w:pPr>
            <w:r>
              <w:rPr>
                <w:rFonts w:hint="eastAsia" w:ascii="宋体" w:hAnsi="宋体" w:cs="宋体"/>
                <w:kern w:val="0"/>
                <w:sz w:val="24"/>
              </w:rPr>
              <w:t>1800</w:t>
            </w:r>
          </w:p>
        </w:tc>
        <w:tc>
          <w:tcPr>
            <w:tcW w:w="851" w:type="dxa"/>
            <w:tcBorders>
              <w:top w:val="nil"/>
              <w:left w:val="nil"/>
              <w:bottom w:val="single" w:color="auto" w:sz="4" w:space="0"/>
              <w:right w:val="single" w:color="auto" w:sz="4" w:space="0"/>
            </w:tcBorders>
            <w:shd w:val="clear" w:color="000000" w:fill="FFFFFF"/>
            <w:vAlign w:val="center"/>
          </w:tcPr>
          <w:p w14:paraId="25D08063">
            <w:pPr>
              <w:widowControl/>
              <w:jc w:val="center"/>
              <w:rPr>
                <w:rFonts w:hint="eastAsia" w:ascii="宋体" w:hAnsi="宋体" w:cs="宋体"/>
                <w:color w:val="000000"/>
                <w:kern w:val="0"/>
                <w:sz w:val="24"/>
              </w:rPr>
            </w:pPr>
            <w:r>
              <w:rPr>
                <w:rFonts w:hint="eastAsia" w:ascii="宋体" w:hAnsi="宋体" w:cs="宋体"/>
                <w:color w:val="000000"/>
                <w:kern w:val="0"/>
                <w:sz w:val="24"/>
              </w:rPr>
              <w:t>是</w:t>
            </w:r>
          </w:p>
        </w:tc>
        <w:tc>
          <w:tcPr>
            <w:tcW w:w="952" w:type="dxa"/>
            <w:tcBorders>
              <w:top w:val="nil"/>
              <w:left w:val="nil"/>
              <w:bottom w:val="single" w:color="auto" w:sz="4" w:space="0"/>
              <w:right w:val="single" w:color="auto" w:sz="4" w:space="0"/>
            </w:tcBorders>
            <w:shd w:val="clear" w:color="000000" w:fill="FFFFFF"/>
            <w:vAlign w:val="center"/>
          </w:tcPr>
          <w:p w14:paraId="4ADA1953">
            <w:pPr>
              <w:widowControl/>
              <w:jc w:val="center"/>
              <w:rPr>
                <w:rFonts w:hint="eastAsia" w:ascii="宋体" w:hAnsi="宋体" w:cs="宋体"/>
                <w:color w:val="000000"/>
                <w:kern w:val="0"/>
                <w:sz w:val="24"/>
              </w:rPr>
            </w:pPr>
            <w:r>
              <w:rPr>
                <w:rFonts w:hint="eastAsia" w:ascii="宋体" w:hAnsi="宋体" w:cs="宋体"/>
                <w:color w:val="000000"/>
                <w:kern w:val="0"/>
                <w:sz w:val="24"/>
              </w:rPr>
              <w:t>否</w:t>
            </w:r>
          </w:p>
        </w:tc>
      </w:tr>
      <w:tr w14:paraId="11BD8537">
        <w:tblPrEx>
          <w:tblCellMar>
            <w:top w:w="0" w:type="dxa"/>
            <w:left w:w="108" w:type="dxa"/>
            <w:bottom w:w="0" w:type="dxa"/>
            <w:right w:w="108" w:type="dxa"/>
          </w:tblCellMar>
        </w:tblPrEx>
        <w:trPr>
          <w:trHeight w:val="288" w:hRule="atLeast"/>
        </w:trPr>
        <w:tc>
          <w:tcPr>
            <w:tcW w:w="704" w:type="dxa"/>
            <w:tcBorders>
              <w:top w:val="nil"/>
              <w:left w:val="single" w:color="auto" w:sz="4" w:space="0"/>
              <w:bottom w:val="single" w:color="auto" w:sz="4" w:space="0"/>
              <w:right w:val="single" w:color="auto" w:sz="4" w:space="0"/>
            </w:tcBorders>
            <w:shd w:val="clear" w:color="000000" w:fill="FFFFFF"/>
            <w:vAlign w:val="center"/>
          </w:tcPr>
          <w:p w14:paraId="269D146B">
            <w:pPr>
              <w:widowControl/>
              <w:jc w:val="center"/>
              <w:rPr>
                <w:rFonts w:hint="eastAsia" w:ascii="宋体" w:hAnsi="宋体" w:cs="宋体"/>
                <w:kern w:val="0"/>
                <w:sz w:val="24"/>
              </w:rPr>
            </w:pPr>
            <w:r>
              <w:rPr>
                <w:rFonts w:hint="eastAsia" w:ascii="宋体" w:hAnsi="宋体" w:cs="宋体"/>
                <w:kern w:val="0"/>
                <w:sz w:val="24"/>
              </w:rPr>
              <w:t>130</w:t>
            </w:r>
          </w:p>
        </w:tc>
        <w:tc>
          <w:tcPr>
            <w:tcW w:w="2851" w:type="dxa"/>
            <w:tcBorders>
              <w:top w:val="nil"/>
              <w:left w:val="nil"/>
              <w:bottom w:val="single" w:color="auto" w:sz="4" w:space="0"/>
              <w:right w:val="single" w:color="auto" w:sz="4" w:space="0"/>
            </w:tcBorders>
            <w:shd w:val="clear" w:color="000000" w:fill="FFFFFF"/>
            <w:vAlign w:val="center"/>
          </w:tcPr>
          <w:p w14:paraId="73251DCA">
            <w:pPr>
              <w:jc w:val="center"/>
              <w:rPr>
                <w:rFonts w:hint="eastAsia" w:ascii="宋体" w:hAnsi="宋体" w:cs="宋体"/>
                <w:color w:val="000000"/>
                <w:sz w:val="24"/>
              </w:rPr>
            </w:pPr>
            <w:r>
              <w:rPr>
                <w:rFonts w:hint="eastAsia" w:ascii="宋体" w:hAnsi="宋体" w:cs="宋体"/>
                <w:color w:val="000000"/>
                <w:sz w:val="24"/>
              </w:rPr>
              <w:t>免疫球蛋白E校准品</w:t>
            </w:r>
          </w:p>
        </w:tc>
        <w:tc>
          <w:tcPr>
            <w:tcW w:w="1276" w:type="dxa"/>
            <w:tcBorders>
              <w:top w:val="nil"/>
              <w:left w:val="nil"/>
              <w:bottom w:val="single" w:color="auto" w:sz="4" w:space="0"/>
              <w:right w:val="single" w:color="auto" w:sz="4" w:space="0"/>
            </w:tcBorders>
            <w:shd w:val="clear" w:color="000000" w:fill="FFFFFF"/>
            <w:noWrap/>
            <w:vAlign w:val="center"/>
          </w:tcPr>
          <w:p w14:paraId="71F4D52D">
            <w:pPr>
              <w:widowControl/>
              <w:jc w:val="center"/>
              <w:rPr>
                <w:rFonts w:hint="eastAsia" w:ascii="宋体" w:hAnsi="宋体" w:cs="宋体"/>
                <w:kern w:val="0"/>
                <w:sz w:val="24"/>
              </w:rPr>
            </w:pPr>
            <w:r>
              <w:rPr>
                <w:rFonts w:hint="eastAsia" w:ascii="宋体" w:hAnsi="宋体" w:cs="宋体"/>
                <w:kern w:val="0"/>
                <w:sz w:val="24"/>
              </w:rPr>
              <w:t>620</w:t>
            </w:r>
          </w:p>
        </w:tc>
        <w:tc>
          <w:tcPr>
            <w:tcW w:w="992" w:type="dxa"/>
            <w:tcBorders>
              <w:top w:val="nil"/>
              <w:left w:val="nil"/>
              <w:bottom w:val="single" w:color="auto" w:sz="4" w:space="0"/>
              <w:right w:val="single" w:color="auto" w:sz="4" w:space="0"/>
            </w:tcBorders>
            <w:shd w:val="clear" w:color="000000" w:fill="FFFFFF"/>
            <w:vAlign w:val="center"/>
          </w:tcPr>
          <w:p w14:paraId="58A316DB">
            <w:pPr>
              <w:widowControl/>
              <w:jc w:val="center"/>
              <w:rPr>
                <w:rFonts w:hint="eastAsia" w:ascii="宋体" w:hAnsi="宋体" w:cs="宋体"/>
                <w:kern w:val="0"/>
                <w:sz w:val="24"/>
              </w:rPr>
            </w:pPr>
            <w:r>
              <w:rPr>
                <w:rFonts w:hint="eastAsia" w:ascii="宋体" w:hAnsi="宋体" w:cs="宋体"/>
                <w:kern w:val="0"/>
                <w:sz w:val="24"/>
              </w:rPr>
              <w:t>ml</w:t>
            </w:r>
          </w:p>
        </w:tc>
        <w:tc>
          <w:tcPr>
            <w:tcW w:w="992" w:type="dxa"/>
            <w:tcBorders>
              <w:top w:val="nil"/>
              <w:left w:val="nil"/>
              <w:bottom w:val="single" w:color="auto" w:sz="4" w:space="0"/>
              <w:right w:val="single" w:color="auto" w:sz="4" w:space="0"/>
            </w:tcBorders>
            <w:shd w:val="clear" w:color="000000" w:fill="FFFFFF"/>
            <w:noWrap/>
            <w:vAlign w:val="center"/>
          </w:tcPr>
          <w:p w14:paraId="03B0C4FA">
            <w:pPr>
              <w:widowControl/>
              <w:jc w:val="center"/>
              <w:rPr>
                <w:rFonts w:hint="eastAsia" w:ascii="宋体" w:hAnsi="宋体" w:cs="宋体"/>
                <w:kern w:val="0"/>
                <w:sz w:val="24"/>
              </w:rPr>
            </w:pPr>
            <w:r>
              <w:rPr>
                <w:rFonts w:hint="eastAsia" w:ascii="宋体" w:hAnsi="宋体" w:cs="宋体"/>
                <w:kern w:val="0"/>
                <w:sz w:val="24"/>
              </w:rPr>
              <w:t>20</w:t>
            </w:r>
          </w:p>
        </w:tc>
        <w:tc>
          <w:tcPr>
            <w:tcW w:w="851" w:type="dxa"/>
            <w:tcBorders>
              <w:top w:val="nil"/>
              <w:left w:val="nil"/>
              <w:bottom w:val="single" w:color="auto" w:sz="4" w:space="0"/>
              <w:right w:val="single" w:color="auto" w:sz="4" w:space="0"/>
            </w:tcBorders>
            <w:shd w:val="clear" w:color="000000" w:fill="FFFFFF"/>
            <w:vAlign w:val="center"/>
          </w:tcPr>
          <w:p w14:paraId="2F815023">
            <w:pPr>
              <w:widowControl/>
              <w:jc w:val="center"/>
              <w:rPr>
                <w:rFonts w:hint="eastAsia" w:ascii="宋体" w:hAnsi="宋体" w:cs="宋体"/>
                <w:color w:val="000000"/>
                <w:kern w:val="0"/>
                <w:sz w:val="24"/>
              </w:rPr>
            </w:pPr>
            <w:r>
              <w:rPr>
                <w:rFonts w:hint="eastAsia" w:ascii="宋体" w:hAnsi="宋体" w:cs="宋体"/>
                <w:color w:val="000000"/>
                <w:kern w:val="0"/>
                <w:sz w:val="24"/>
              </w:rPr>
              <w:t>是</w:t>
            </w:r>
          </w:p>
        </w:tc>
        <w:tc>
          <w:tcPr>
            <w:tcW w:w="952" w:type="dxa"/>
            <w:tcBorders>
              <w:top w:val="nil"/>
              <w:left w:val="nil"/>
              <w:bottom w:val="single" w:color="auto" w:sz="4" w:space="0"/>
              <w:right w:val="single" w:color="auto" w:sz="4" w:space="0"/>
            </w:tcBorders>
            <w:shd w:val="clear" w:color="000000" w:fill="FFFFFF"/>
            <w:vAlign w:val="center"/>
          </w:tcPr>
          <w:p w14:paraId="0EEC13BA">
            <w:pPr>
              <w:widowControl/>
              <w:jc w:val="center"/>
              <w:rPr>
                <w:rFonts w:hint="eastAsia" w:ascii="宋体" w:hAnsi="宋体" w:cs="宋体"/>
                <w:color w:val="000000"/>
                <w:kern w:val="0"/>
                <w:sz w:val="24"/>
              </w:rPr>
            </w:pPr>
            <w:r>
              <w:rPr>
                <w:rFonts w:hint="eastAsia" w:ascii="宋体" w:hAnsi="宋体" w:cs="宋体"/>
                <w:color w:val="000000"/>
                <w:kern w:val="0"/>
                <w:sz w:val="24"/>
              </w:rPr>
              <w:t>否</w:t>
            </w:r>
          </w:p>
        </w:tc>
      </w:tr>
      <w:tr w14:paraId="056C65ED">
        <w:tblPrEx>
          <w:tblCellMar>
            <w:top w:w="0" w:type="dxa"/>
            <w:left w:w="108" w:type="dxa"/>
            <w:bottom w:w="0" w:type="dxa"/>
            <w:right w:w="108" w:type="dxa"/>
          </w:tblCellMar>
        </w:tblPrEx>
        <w:trPr>
          <w:trHeight w:val="576" w:hRule="atLeast"/>
        </w:trPr>
        <w:tc>
          <w:tcPr>
            <w:tcW w:w="704" w:type="dxa"/>
            <w:tcBorders>
              <w:top w:val="nil"/>
              <w:left w:val="single" w:color="auto" w:sz="4" w:space="0"/>
              <w:bottom w:val="single" w:color="auto" w:sz="4" w:space="0"/>
              <w:right w:val="single" w:color="auto" w:sz="4" w:space="0"/>
            </w:tcBorders>
            <w:shd w:val="clear" w:color="000000" w:fill="FFFFFF"/>
            <w:vAlign w:val="center"/>
          </w:tcPr>
          <w:p w14:paraId="2EAC3CC3">
            <w:pPr>
              <w:widowControl/>
              <w:jc w:val="center"/>
              <w:rPr>
                <w:rFonts w:hint="eastAsia" w:ascii="宋体" w:hAnsi="宋体" w:cs="宋体"/>
                <w:kern w:val="0"/>
                <w:sz w:val="24"/>
              </w:rPr>
            </w:pPr>
            <w:r>
              <w:rPr>
                <w:rFonts w:hint="eastAsia" w:ascii="宋体" w:hAnsi="宋体" w:cs="宋体"/>
                <w:kern w:val="0"/>
                <w:sz w:val="24"/>
              </w:rPr>
              <w:t>131</w:t>
            </w:r>
          </w:p>
        </w:tc>
        <w:tc>
          <w:tcPr>
            <w:tcW w:w="2851" w:type="dxa"/>
            <w:tcBorders>
              <w:top w:val="nil"/>
              <w:left w:val="nil"/>
              <w:bottom w:val="single" w:color="auto" w:sz="4" w:space="0"/>
              <w:right w:val="single" w:color="auto" w:sz="4" w:space="0"/>
            </w:tcBorders>
            <w:shd w:val="clear" w:color="000000" w:fill="FFFFFF"/>
            <w:vAlign w:val="center"/>
          </w:tcPr>
          <w:p w14:paraId="20A3DE02">
            <w:pPr>
              <w:jc w:val="center"/>
              <w:rPr>
                <w:rFonts w:hint="eastAsia" w:ascii="宋体" w:hAnsi="宋体" w:cs="宋体"/>
                <w:color w:val="000000"/>
                <w:sz w:val="24"/>
              </w:rPr>
            </w:pPr>
            <w:r>
              <w:rPr>
                <w:rFonts w:hint="eastAsia" w:ascii="宋体" w:hAnsi="宋体" w:cs="宋体"/>
                <w:color w:val="000000"/>
                <w:sz w:val="24"/>
              </w:rPr>
              <w:t>尿生化多项质控品（水平1）</w:t>
            </w:r>
          </w:p>
        </w:tc>
        <w:tc>
          <w:tcPr>
            <w:tcW w:w="1276" w:type="dxa"/>
            <w:tcBorders>
              <w:top w:val="nil"/>
              <w:left w:val="nil"/>
              <w:bottom w:val="single" w:color="auto" w:sz="4" w:space="0"/>
              <w:right w:val="single" w:color="auto" w:sz="4" w:space="0"/>
            </w:tcBorders>
            <w:shd w:val="clear" w:color="000000" w:fill="FFFFFF"/>
            <w:noWrap/>
            <w:vAlign w:val="center"/>
          </w:tcPr>
          <w:p w14:paraId="4988AC0C">
            <w:pPr>
              <w:widowControl/>
              <w:jc w:val="center"/>
              <w:rPr>
                <w:rFonts w:hint="eastAsia" w:ascii="宋体" w:hAnsi="宋体" w:cs="宋体"/>
                <w:kern w:val="0"/>
                <w:sz w:val="24"/>
              </w:rPr>
            </w:pPr>
            <w:r>
              <w:rPr>
                <w:rFonts w:hint="eastAsia" w:ascii="宋体" w:hAnsi="宋体" w:cs="宋体"/>
                <w:kern w:val="0"/>
                <w:sz w:val="24"/>
              </w:rPr>
              <w:t>30</w:t>
            </w:r>
          </w:p>
        </w:tc>
        <w:tc>
          <w:tcPr>
            <w:tcW w:w="992" w:type="dxa"/>
            <w:tcBorders>
              <w:top w:val="nil"/>
              <w:left w:val="nil"/>
              <w:bottom w:val="single" w:color="auto" w:sz="4" w:space="0"/>
              <w:right w:val="single" w:color="auto" w:sz="4" w:space="0"/>
            </w:tcBorders>
            <w:shd w:val="clear" w:color="000000" w:fill="FFFFFF"/>
            <w:vAlign w:val="center"/>
          </w:tcPr>
          <w:p w14:paraId="1B3D207A">
            <w:pPr>
              <w:widowControl/>
              <w:jc w:val="center"/>
              <w:rPr>
                <w:rFonts w:hint="eastAsia" w:ascii="宋体" w:hAnsi="宋体" w:cs="宋体"/>
                <w:kern w:val="0"/>
                <w:sz w:val="24"/>
              </w:rPr>
            </w:pPr>
            <w:r>
              <w:rPr>
                <w:rFonts w:hint="eastAsia" w:ascii="宋体" w:hAnsi="宋体" w:cs="宋体"/>
                <w:kern w:val="0"/>
                <w:sz w:val="24"/>
              </w:rPr>
              <w:t>ml</w:t>
            </w:r>
          </w:p>
        </w:tc>
        <w:tc>
          <w:tcPr>
            <w:tcW w:w="992" w:type="dxa"/>
            <w:tcBorders>
              <w:top w:val="nil"/>
              <w:left w:val="nil"/>
              <w:bottom w:val="single" w:color="auto" w:sz="4" w:space="0"/>
              <w:right w:val="single" w:color="auto" w:sz="4" w:space="0"/>
            </w:tcBorders>
            <w:shd w:val="clear" w:color="000000" w:fill="FFFFFF"/>
            <w:noWrap/>
            <w:vAlign w:val="center"/>
          </w:tcPr>
          <w:p w14:paraId="1313B32D">
            <w:pPr>
              <w:widowControl/>
              <w:jc w:val="center"/>
              <w:rPr>
                <w:rFonts w:hint="eastAsia" w:ascii="宋体" w:hAnsi="宋体" w:cs="宋体"/>
                <w:kern w:val="0"/>
                <w:sz w:val="24"/>
              </w:rPr>
            </w:pPr>
            <w:r>
              <w:rPr>
                <w:rFonts w:hint="eastAsia" w:ascii="宋体" w:hAnsi="宋体" w:cs="宋体"/>
                <w:kern w:val="0"/>
                <w:sz w:val="24"/>
              </w:rPr>
              <w:t>120</w:t>
            </w:r>
          </w:p>
        </w:tc>
        <w:tc>
          <w:tcPr>
            <w:tcW w:w="851" w:type="dxa"/>
            <w:tcBorders>
              <w:top w:val="nil"/>
              <w:left w:val="nil"/>
              <w:bottom w:val="single" w:color="auto" w:sz="4" w:space="0"/>
              <w:right w:val="single" w:color="auto" w:sz="4" w:space="0"/>
            </w:tcBorders>
            <w:shd w:val="clear" w:color="000000" w:fill="FFFFFF"/>
            <w:vAlign w:val="center"/>
          </w:tcPr>
          <w:p w14:paraId="75CD8A6E">
            <w:pPr>
              <w:widowControl/>
              <w:jc w:val="center"/>
              <w:rPr>
                <w:rFonts w:hint="eastAsia" w:ascii="宋体" w:hAnsi="宋体" w:cs="宋体"/>
                <w:color w:val="000000"/>
                <w:kern w:val="0"/>
                <w:sz w:val="24"/>
              </w:rPr>
            </w:pPr>
            <w:r>
              <w:rPr>
                <w:rFonts w:hint="eastAsia" w:ascii="宋体" w:hAnsi="宋体" w:cs="宋体"/>
                <w:color w:val="000000"/>
                <w:kern w:val="0"/>
                <w:sz w:val="24"/>
              </w:rPr>
              <w:t>是</w:t>
            </w:r>
          </w:p>
        </w:tc>
        <w:tc>
          <w:tcPr>
            <w:tcW w:w="952" w:type="dxa"/>
            <w:tcBorders>
              <w:top w:val="nil"/>
              <w:left w:val="nil"/>
              <w:bottom w:val="single" w:color="auto" w:sz="4" w:space="0"/>
              <w:right w:val="single" w:color="auto" w:sz="4" w:space="0"/>
            </w:tcBorders>
            <w:shd w:val="clear" w:color="000000" w:fill="FFFFFF"/>
            <w:vAlign w:val="center"/>
          </w:tcPr>
          <w:p w14:paraId="694489EE">
            <w:pPr>
              <w:widowControl/>
              <w:jc w:val="center"/>
              <w:rPr>
                <w:rFonts w:hint="eastAsia" w:ascii="宋体" w:hAnsi="宋体" w:cs="宋体"/>
                <w:color w:val="000000"/>
                <w:kern w:val="0"/>
                <w:sz w:val="24"/>
              </w:rPr>
            </w:pPr>
            <w:r>
              <w:rPr>
                <w:rFonts w:hint="eastAsia" w:ascii="宋体" w:hAnsi="宋体" w:cs="宋体"/>
                <w:color w:val="000000"/>
                <w:kern w:val="0"/>
                <w:sz w:val="24"/>
              </w:rPr>
              <w:t>否</w:t>
            </w:r>
          </w:p>
        </w:tc>
      </w:tr>
      <w:tr w14:paraId="61AE0CD2">
        <w:tblPrEx>
          <w:tblCellMar>
            <w:top w:w="0" w:type="dxa"/>
            <w:left w:w="108" w:type="dxa"/>
            <w:bottom w:w="0" w:type="dxa"/>
            <w:right w:w="108" w:type="dxa"/>
          </w:tblCellMar>
        </w:tblPrEx>
        <w:trPr>
          <w:trHeight w:val="576" w:hRule="atLeast"/>
        </w:trPr>
        <w:tc>
          <w:tcPr>
            <w:tcW w:w="704" w:type="dxa"/>
            <w:tcBorders>
              <w:top w:val="nil"/>
              <w:left w:val="single" w:color="auto" w:sz="4" w:space="0"/>
              <w:bottom w:val="single" w:color="auto" w:sz="4" w:space="0"/>
              <w:right w:val="single" w:color="auto" w:sz="4" w:space="0"/>
            </w:tcBorders>
            <w:shd w:val="clear" w:color="000000" w:fill="FFFFFF"/>
            <w:vAlign w:val="center"/>
          </w:tcPr>
          <w:p w14:paraId="2A8EEF3E">
            <w:pPr>
              <w:widowControl/>
              <w:jc w:val="center"/>
              <w:rPr>
                <w:rFonts w:hint="eastAsia" w:ascii="宋体" w:hAnsi="宋体" w:cs="宋体"/>
                <w:kern w:val="0"/>
                <w:sz w:val="24"/>
              </w:rPr>
            </w:pPr>
            <w:r>
              <w:rPr>
                <w:rFonts w:hint="eastAsia" w:ascii="宋体" w:hAnsi="宋体" w:cs="宋体"/>
                <w:kern w:val="0"/>
                <w:sz w:val="24"/>
              </w:rPr>
              <w:t>132</w:t>
            </w:r>
          </w:p>
        </w:tc>
        <w:tc>
          <w:tcPr>
            <w:tcW w:w="2851" w:type="dxa"/>
            <w:tcBorders>
              <w:top w:val="nil"/>
              <w:left w:val="nil"/>
              <w:bottom w:val="single" w:color="auto" w:sz="4" w:space="0"/>
              <w:right w:val="single" w:color="auto" w:sz="4" w:space="0"/>
            </w:tcBorders>
            <w:shd w:val="clear" w:color="000000" w:fill="FFFFFF"/>
            <w:vAlign w:val="center"/>
          </w:tcPr>
          <w:p w14:paraId="487CF590">
            <w:pPr>
              <w:jc w:val="center"/>
              <w:rPr>
                <w:rFonts w:hint="eastAsia" w:ascii="宋体" w:hAnsi="宋体" w:cs="宋体"/>
                <w:color w:val="000000"/>
                <w:sz w:val="24"/>
              </w:rPr>
            </w:pPr>
            <w:r>
              <w:rPr>
                <w:rFonts w:hint="eastAsia" w:ascii="宋体" w:hAnsi="宋体" w:cs="宋体"/>
                <w:color w:val="000000"/>
                <w:sz w:val="24"/>
              </w:rPr>
              <w:t>尿生化多项质控品（水平2）</w:t>
            </w:r>
          </w:p>
        </w:tc>
        <w:tc>
          <w:tcPr>
            <w:tcW w:w="1276" w:type="dxa"/>
            <w:tcBorders>
              <w:top w:val="nil"/>
              <w:left w:val="nil"/>
              <w:bottom w:val="single" w:color="auto" w:sz="4" w:space="0"/>
              <w:right w:val="single" w:color="auto" w:sz="4" w:space="0"/>
            </w:tcBorders>
            <w:shd w:val="clear" w:color="000000" w:fill="FFFFFF"/>
            <w:noWrap/>
            <w:vAlign w:val="center"/>
          </w:tcPr>
          <w:p w14:paraId="7CE57F8F">
            <w:pPr>
              <w:widowControl/>
              <w:jc w:val="center"/>
              <w:rPr>
                <w:rFonts w:hint="eastAsia" w:ascii="宋体" w:hAnsi="宋体" w:cs="宋体"/>
                <w:kern w:val="0"/>
                <w:sz w:val="24"/>
              </w:rPr>
            </w:pPr>
            <w:r>
              <w:rPr>
                <w:rFonts w:hint="eastAsia" w:ascii="宋体" w:hAnsi="宋体" w:cs="宋体"/>
                <w:kern w:val="0"/>
                <w:sz w:val="24"/>
              </w:rPr>
              <w:t>30</w:t>
            </w:r>
          </w:p>
        </w:tc>
        <w:tc>
          <w:tcPr>
            <w:tcW w:w="992" w:type="dxa"/>
            <w:tcBorders>
              <w:top w:val="nil"/>
              <w:left w:val="nil"/>
              <w:bottom w:val="single" w:color="auto" w:sz="4" w:space="0"/>
              <w:right w:val="single" w:color="auto" w:sz="4" w:space="0"/>
            </w:tcBorders>
            <w:shd w:val="clear" w:color="000000" w:fill="FFFFFF"/>
            <w:vAlign w:val="center"/>
          </w:tcPr>
          <w:p w14:paraId="0B5B8085">
            <w:pPr>
              <w:widowControl/>
              <w:jc w:val="center"/>
              <w:rPr>
                <w:rFonts w:hint="eastAsia" w:ascii="宋体" w:hAnsi="宋体" w:cs="宋体"/>
                <w:kern w:val="0"/>
                <w:sz w:val="24"/>
              </w:rPr>
            </w:pPr>
            <w:r>
              <w:rPr>
                <w:rFonts w:hint="eastAsia" w:ascii="宋体" w:hAnsi="宋体" w:cs="宋体"/>
                <w:kern w:val="0"/>
                <w:sz w:val="24"/>
              </w:rPr>
              <w:t>ml</w:t>
            </w:r>
          </w:p>
        </w:tc>
        <w:tc>
          <w:tcPr>
            <w:tcW w:w="992" w:type="dxa"/>
            <w:tcBorders>
              <w:top w:val="nil"/>
              <w:left w:val="nil"/>
              <w:bottom w:val="single" w:color="auto" w:sz="4" w:space="0"/>
              <w:right w:val="single" w:color="auto" w:sz="4" w:space="0"/>
            </w:tcBorders>
            <w:shd w:val="clear" w:color="000000" w:fill="FFFFFF"/>
            <w:noWrap/>
            <w:vAlign w:val="center"/>
          </w:tcPr>
          <w:p w14:paraId="505E33A0">
            <w:pPr>
              <w:widowControl/>
              <w:jc w:val="center"/>
              <w:rPr>
                <w:rFonts w:hint="eastAsia" w:ascii="宋体" w:hAnsi="宋体" w:cs="宋体"/>
                <w:kern w:val="0"/>
                <w:sz w:val="24"/>
              </w:rPr>
            </w:pPr>
            <w:r>
              <w:rPr>
                <w:rFonts w:hint="eastAsia" w:ascii="宋体" w:hAnsi="宋体" w:cs="宋体"/>
                <w:kern w:val="0"/>
                <w:sz w:val="24"/>
              </w:rPr>
              <w:t>120</w:t>
            </w:r>
          </w:p>
        </w:tc>
        <w:tc>
          <w:tcPr>
            <w:tcW w:w="851" w:type="dxa"/>
            <w:tcBorders>
              <w:top w:val="nil"/>
              <w:left w:val="nil"/>
              <w:bottom w:val="single" w:color="auto" w:sz="4" w:space="0"/>
              <w:right w:val="single" w:color="auto" w:sz="4" w:space="0"/>
            </w:tcBorders>
            <w:shd w:val="clear" w:color="000000" w:fill="FFFFFF"/>
            <w:vAlign w:val="center"/>
          </w:tcPr>
          <w:p w14:paraId="48EF5BA3">
            <w:pPr>
              <w:widowControl/>
              <w:jc w:val="center"/>
              <w:rPr>
                <w:rFonts w:hint="eastAsia" w:ascii="宋体" w:hAnsi="宋体" w:cs="宋体"/>
                <w:color w:val="000000"/>
                <w:kern w:val="0"/>
                <w:sz w:val="24"/>
              </w:rPr>
            </w:pPr>
            <w:r>
              <w:rPr>
                <w:rFonts w:hint="eastAsia" w:ascii="宋体" w:hAnsi="宋体" w:cs="宋体"/>
                <w:color w:val="000000"/>
                <w:kern w:val="0"/>
                <w:sz w:val="24"/>
              </w:rPr>
              <w:t>是</w:t>
            </w:r>
          </w:p>
        </w:tc>
        <w:tc>
          <w:tcPr>
            <w:tcW w:w="952" w:type="dxa"/>
            <w:tcBorders>
              <w:top w:val="nil"/>
              <w:left w:val="nil"/>
              <w:bottom w:val="single" w:color="auto" w:sz="4" w:space="0"/>
              <w:right w:val="single" w:color="auto" w:sz="4" w:space="0"/>
            </w:tcBorders>
            <w:shd w:val="clear" w:color="000000" w:fill="FFFFFF"/>
            <w:vAlign w:val="center"/>
          </w:tcPr>
          <w:p w14:paraId="219B663E">
            <w:pPr>
              <w:widowControl/>
              <w:jc w:val="center"/>
              <w:rPr>
                <w:rFonts w:hint="eastAsia" w:ascii="宋体" w:hAnsi="宋体" w:cs="宋体"/>
                <w:color w:val="000000"/>
                <w:kern w:val="0"/>
                <w:sz w:val="24"/>
              </w:rPr>
            </w:pPr>
            <w:r>
              <w:rPr>
                <w:rFonts w:hint="eastAsia" w:ascii="宋体" w:hAnsi="宋体" w:cs="宋体"/>
                <w:color w:val="000000"/>
                <w:kern w:val="0"/>
                <w:sz w:val="24"/>
              </w:rPr>
              <w:t>否</w:t>
            </w:r>
          </w:p>
        </w:tc>
      </w:tr>
      <w:tr w14:paraId="6E9E3033">
        <w:tblPrEx>
          <w:tblCellMar>
            <w:top w:w="0" w:type="dxa"/>
            <w:left w:w="108" w:type="dxa"/>
            <w:bottom w:w="0" w:type="dxa"/>
            <w:right w:w="108" w:type="dxa"/>
          </w:tblCellMar>
        </w:tblPrEx>
        <w:trPr>
          <w:trHeight w:val="576" w:hRule="atLeast"/>
        </w:trPr>
        <w:tc>
          <w:tcPr>
            <w:tcW w:w="704" w:type="dxa"/>
            <w:tcBorders>
              <w:top w:val="nil"/>
              <w:left w:val="single" w:color="auto" w:sz="4" w:space="0"/>
              <w:bottom w:val="single" w:color="auto" w:sz="4" w:space="0"/>
              <w:right w:val="single" w:color="auto" w:sz="4" w:space="0"/>
            </w:tcBorders>
            <w:shd w:val="clear" w:color="000000" w:fill="FFFFFF"/>
            <w:vAlign w:val="center"/>
          </w:tcPr>
          <w:p w14:paraId="6D2ECC3F">
            <w:pPr>
              <w:widowControl/>
              <w:jc w:val="center"/>
              <w:rPr>
                <w:rFonts w:hint="eastAsia" w:ascii="宋体" w:hAnsi="宋体" w:cs="宋体"/>
                <w:kern w:val="0"/>
                <w:sz w:val="24"/>
              </w:rPr>
            </w:pPr>
            <w:r>
              <w:rPr>
                <w:rFonts w:hint="eastAsia" w:ascii="宋体" w:hAnsi="宋体" w:cs="宋体"/>
                <w:kern w:val="0"/>
                <w:sz w:val="24"/>
              </w:rPr>
              <w:t>133</w:t>
            </w:r>
          </w:p>
        </w:tc>
        <w:tc>
          <w:tcPr>
            <w:tcW w:w="2851" w:type="dxa"/>
            <w:tcBorders>
              <w:top w:val="nil"/>
              <w:left w:val="nil"/>
              <w:bottom w:val="single" w:color="auto" w:sz="4" w:space="0"/>
              <w:right w:val="single" w:color="auto" w:sz="4" w:space="0"/>
            </w:tcBorders>
            <w:shd w:val="clear" w:color="000000" w:fill="FFFFFF"/>
            <w:vAlign w:val="center"/>
          </w:tcPr>
          <w:p w14:paraId="375E85AC">
            <w:pPr>
              <w:jc w:val="center"/>
              <w:rPr>
                <w:rFonts w:hint="eastAsia" w:ascii="宋体" w:hAnsi="宋体" w:cs="宋体"/>
                <w:color w:val="000000"/>
                <w:sz w:val="24"/>
              </w:rPr>
            </w:pPr>
            <w:r>
              <w:rPr>
                <w:rFonts w:hint="eastAsia" w:ascii="宋体" w:hAnsi="宋体" w:cs="宋体"/>
                <w:color w:val="000000"/>
                <w:sz w:val="24"/>
              </w:rPr>
              <w:t>液体免疫学和蛋白质控品中值</w:t>
            </w:r>
          </w:p>
        </w:tc>
        <w:tc>
          <w:tcPr>
            <w:tcW w:w="1276" w:type="dxa"/>
            <w:tcBorders>
              <w:top w:val="nil"/>
              <w:left w:val="nil"/>
              <w:bottom w:val="single" w:color="auto" w:sz="4" w:space="0"/>
              <w:right w:val="single" w:color="auto" w:sz="4" w:space="0"/>
            </w:tcBorders>
            <w:shd w:val="clear" w:color="000000" w:fill="FFFFFF"/>
            <w:noWrap/>
            <w:vAlign w:val="center"/>
          </w:tcPr>
          <w:p w14:paraId="403AE9D5">
            <w:pPr>
              <w:widowControl/>
              <w:jc w:val="center"/>
              <w:rPr>
                <w:rFonts w:hint="eastAsia" w:ascii="宋体" w:hAnsi="宋体" w:cs="宋体"/>
                <w:kern w:val="0"/>
                <w:sz w:val="24"/>
              </w:rPr>
            </w:pPr>
            <w:r>
              <w:rPr>
                <w:rFonts w:hint="eastAsia" w:ascii="宋体" w:hAnsi="宋体" w:cs="宋体"/>
                <w:kern w:val="0"/>
                <w:sz w:val="24"/>
              </w:rPr>
              <w:t>450</w:t>
            </w:r>
          </w:p>
        </w:tc>
        <w:tc>
          <w:tcPr>
            <w:tcW w:w="992" w:type="dxa"/>
            <w:tcBorders>
              <w:top w:val="nil"/>
              <w:left w:val="nil"/>
              <w:bottom w:val="single" w:color="auto" w:sz="4" w:space="0"/>
              <w:right w:val="single" w:color="auto" w:sz="4" w:space="0"/>
            </w:tcBorders>
            <w:shd w:val="clear" w:color="000000" w:fill="FFFFFF"/>
            <w:vAlign w:val="center"/>
          </w:tcPr>
          <w:p w14:paraId="2F295BC2">
            <w:pPr>
              <w:widowControl/>
              <w:jc w:val="center"/>
              <w:rPr>
                <w:rFonts w:hint="eastAsia" w:ascii="宋体" w:hAnsi="宋体" w:cs="宋体"/>
                <w:kern w:val="0"/>
                <w:sz w:val="24"/>
              </w:rPr>
            </w:pPr>
            <w:r>
              <w:rPr>
                <w:rFonts w:hint="eastAsia" w:ascii="宋体" w:hAnsi="宋体" w:cs="宋体"/>
                <w:kern w:val="0"/>
                <w:sz w:val="24"/>
              </w:rPr>
              <w:t>ml</w:t>
            </w:r>
          </w:p>
        </w:tc>
        <w:tc>
          <w:tcPr>
            <w:tcW w:w="992" w:type="dxa"/>
            <w:tcBorders>
              <w:top w:val="nil"/>
              <w:left w:val="nil"/>
              <w:bottom w:val="single" w:color="auto" w:sz="4" w:space="0"/>
              <w:right w:val="single" w:color="auto" w:sz="4" w:space="0"/>
            </w:tcBorders>
            <w:shd w:val="clear" w:color="000000" w:fill="FFFFFF"/>
            <w:noWrap/>
            <w:vAlign w:val="center"/>
          </w:tcPr>
          <w:p w14:paraId="60B1F0F9">
            <w:pPr>
              <w:widowControl/>
              <w:jc w:val="center"/>
              <w:rPr>
                <w:rFonts w:hint="eastAsia" w:ascii="宋体" w:hAnsi="宋体" w:cs="宋体"/>
                <w:kern w:val="0"/>
                <w:sz w:val="24"/>
              </w:rPr>
            </w:pPr>
            <w:r>
              <w:rPr>
                <w:rFonts w:hint="eastAsia" w:ascii="宋体" w:hAnsi="宋体" w:cs="宋体"/>
                <w:kern w:val="0"/>
                <w:sz w:val="24"/>
              </w:rPr>
              <w:t>6</w:t>
            </w:r>
          </w:p>
        </w:tc>
        <w:tc>
          <w:tcPr>
            <w:tcW w:w="851" w:type="dxa"/>
            <w:tcBorders>
              <w:top w:val="nil"/>
              <w:left w:val="nil"/>
              <w:bottom w:val="single" w:color="auto" w:sz="4" w:space="0"/>
              <w:right w:val="single" w:color="auto" w:sz="4" w:space="0"/>
            </w:tcBorders>
            <w:shd w:val="clear" w:color="000000" w:fill="FFFFFF"/>
            <w:vAlign w:val="center"/>
          </w:tcPr>
          <w:p w14:paraId="257675F2">
            <w:pPr>
              <w:widowControl/>
              <w:jc w:val="center"/>
              <w:rPr>
                <w:rFonts w:hint="eastAsia" w:ascii="宋体" w:hAnsi="宋体" w:cs="宋体"/>
                <w:color w:val="000000"/>
                <w:kern w:val="0"/>
                <w:sz w:val="24"/>
              </w:rPr>
            </w:pPr>
            <w:r>
              <w:rPr>
                <w:rFonts w:hint="eastAsia" w:ascii="宋体" w:hAnsi="宋体" w:cs="宋体"/>
                <w:color w:val="000000"/>
                <w:kern w:val="0"/>
                <w:sz w:val="24"/>
              </w:rPr>
              <w:t>是</w:t>
            </w:r>
          </w:p>
        </w:tc>
        <w:tc>
          <w:tcPr>
            <w:tcW w:w="952" w:type="dxa"/>
            <w:tcBorders>
              <w:top w:val="nil"/>
              <w:left w:val="nil"/>
              <w:bottom w:val="single" w:color="auto" w:sz="4" w:space="0"/>
              <w:right w:val="single" w:color="auto" w:sz="4" w:space="0"/>
            </w:tcBorders>
            <w:shd w:val="clear" w:color="000000" w:fill="FFFFFF"/>
            <w:vAlign w:val="center"/>
          </w:tcPr>
          <w:p w14:paraId="4C97978F">
            <w:pPr>
              <w:widowControl/>
              <w:jc w:val="center"/>
              <w:rPr>
                <w:rFonts w:hint="eastAsia" w:ascii="宋体" w:hAnsi="宋体" w:cs="宋体"/>
                <w:color w:val="000000"/>
                <w:kern w:val="0"/>
                <w:sz w:val="24"/>
              </w:rPr>
            </w:pPr>
            <w:r>
              <w:rPr>
                <w:rFonts w:hint="eastAsia" w:ascii="宋体" w:hAnsi="宋体" w:cs="宋体"/>
                <w:color w:val="000000"/>
                <w:kern w:val="0"/>
                <w:sz w:val="24"/>
              </w:rPr>
              <w:t>否</w:t>
            </w:r>
          </w:p>
        </w:tc>
      </w:tr>
      <w:tr w14:paraId="026E9361">
        <w:tblPrEx>
          <w:tblCellMar>
            <w:top w:w="0" w:type="dxa"/>
            <w:left w:w="108" w:type="dxa"/>
            <w:bottom w:w="0" w:type="dxa"/>
            <w:right w:w="108" w:type="dxa"/>
          </w:tblCellMar>
        </w:tblPrEx>
        <w:trPr>
          <w:trHeight w:val="576" w:hRule="atLeast"/>
        </w:trPr>
        <w:tc>
          <w:tcPr>
            <w:tcW w:w="704" w:type="dxa"/>
            <w:tcBorders>
              <w:top w:val="nil"/>
              <w:left w:val="single" w:color="auto" w:sz="4" w:space="0"/>
              <w:bottom w:val="single" w:color="auto" w:sz="4" w:space="0"/>
              <w:right w:val="single" w:color="auto" w:sz="4" w:space="0"/>
            </w:tcBorders>
            <w:shd w:val="clear" w:color="000000" w:fill="FFFFFF"/>
            <w:vAlign w:val="center"/>
          </w:tcPr>
          <w:p w14:paraId="45ABF9E8">
            <w:pPr>
              <w:widowControl/>
              <w:jc w:val="center"/>
              <w:rPr>
                <w:rFonts w:hint="eastAsia" w:ascii="宋体" w:hAnsi="宋体" w:cs="宋体"/>
                <w:kern w:val="0"/>
                <w:sz w:val="24"/>
              </w:rPr>
            </w:pPr>
            <w:r>
              <w:rPr>
                <w:rFonts w:hint="eastAsia" w:ascii="宋体" w:hAnsi="宋体" w:cs="宋体"/>
                <w:kern w:val="0"/>
                <w:sz w:val="24"/>
              </w:rPr>
              <w:t>134</w:t>
            </w:r>
          </w:p>
        </w:tc>
        <w:tc>
          <w:tcPr>
            <w:tcW w:w="2851" w:type="dxa"/>
            <w:tcBorders>
              <w:top w:val="nil"/>
              <w:left w:val="nil"/>
              <w:bottom w:val="single" w:color="auto" w:sz="4" w:space="0"/>
              <w:right w:val="single" w:color="auto" w:sz="4" w:space="0"/>
            </w:tcBorders>
            <w:shd w:val="clear" w:color="000000" w:fill="FFFFFF"/>
            <w:vAlign w:val="center"/>
          </w:tcPr>
          <w:p w14:paraId="719F09FA">
            <w:pPr>
              <w:jc w:val="center"/>
              <w:rPr>
                <w:rFonts w:hint="eastAsia" w:ascii="宋体" w:hAnsi="宋体" w:cs="宋体"/>
                <w:color w:val="000000"/>
                <w:sz w:val="24"/>
              </w:rPr>
            </w:pPr>
            <w:r>
              <w:rPr>
                <w:rFonts w:hint="eastAsia" w:ascii="宋体" w:hAnsi="宋体" w:cs="宋体"/>
                <w:color w:val="000000"/>
                <w:sz w:val="24"/>
              </w:rPr>
              <w:t>液体免疫学和蛋白质控品水平1</w:t>
            </w:r>
          </w:p>
        </w:tc>
        <w:tc>
          <w:tcPr>
            <w:tcW w:w="1276" w:type="dxa"/>
            <w:tcBorders>
              <w:top w:val="nil"/>
              <w:left w:val="nil"/>
              <w:bottom w:val="single" w:color="auto" w:sz="4" w:space="0"/>
              <w:right w:val="single" w:color="auto" w:sz="4" w:space="0"/>
            </w:tcBorders>
            <w:shd w:val="clear" w:color="000000" w:fill="FFFFFF"/>
            <w:noWrap/>
            <w:vAlign w:val="center"/>
          </w:tcPr>
          <w:p w14:paraId="7D4EADB5">
            <w:pPr>
              <w:widowControl/>
              <w:jc w:val="center"/>
              <w:rPr>
                <w:rFonts w:hint="eastAsia" w:ascii="宋体" w:hAnsi="宋体" w:cs="宋体"/>
                <w:kern w:val="0"/>
                <w:sz w:val="24"/>
              </w:rPr>
            </w:pPr>
            <w:r>
              <w:rPr>
                <w:rFonts w:hint="eastAsia" w:ascii="宋体" w:hAnsi="宋体" w:cs="宋体"/>
                <w:kern w:val="0"/>
                <w:sz w:val="24"/>
              </w:rPr>
              <w:t>450</w:t>
            </w:r>
          </w:p>
        </w:tc>
        <w:tc>
          <w:tcPr>
            <w:tcW w:w="992" w:type="dxa"/>
            <w:tcBorders>
              <w:top w:val="nil"/>
              <w:left w:val="nil"/>
              <w:bottom w:val="single" w:color="auto" w:sz="4" w:space="0"/>
              <w:right w:val="single" w:color="auto" w:sz="4" w:space="0"/>
            </w:tcBorders>
            <w:shd w:val="clear" w:color="000000" w:fill="FFFFFF"/>
            <w:vAlign w:val="center"/>
          </w:tcPr>
          <w:p w14:paraId="4E6AFC8D">
            <w:pPr>
              <w:widowControl/>
              <w:jc w:val="center"/>
              <w:rPr>
                <w:rFonts w:hint="eastAsia" w:ascii="宋体" w:hAnsi="宋体" w:cs="宋体"/>
                <w:kern w:val="0"/>
                <w:sz w:val="24"/>
              </w:rPr>
            </w:pPr>
            <w:r>
              <w:rPr>
                <w:rFonts w:hint="eastAsia" w:ascii="宋体" w:hAnsi="宋体" w:cs="宋体"/>
                <w:kern w:val="0"/>
                <w:sz w:val="24"/>
              </w:rPr>
              <w:t>ml</w:t>
            </w:r>
          </w:p>
        </w:tc>
        <w:tc>
          <w:tcPr>
            <w:tcW w:w="992" w:type="dxa"/>
            <w:tcBorders>
              <w:top w:val="nil"/>
              <w:left w:val="nil"/>
              <w:bottom w:val="single" w:color="auto" w:sz="4" w:space="0"/>
              <w:right w:val="single" w:color="auto" w:sz="4" w:space="0"/>
            </w:tcBorders>
            <w:shd w:val="clear" w:color="000000" w:fill="FFFFFF"/>
            <w:noWrap/>
            <w:vAlign w:val="center"/>
          </w:tcPr>
          <w:p w14:paraId="79679A8A">
            <w:pPr>
              <w:widowControl/>
              <w:jc w:val="center"/>
              <w:rPr>
                <w:rFonts w:hint="eastAsia" w:ascii="宋体" w:hAnsi="宋体" w:cs="宋体"/>
                <w:kern w:val="0"/>
                <w:sz w:val="24"/>
              </w:rPr>
            </w:pPr>
            <w:r>
              <w:rPr>
                <w:rFonts w:hint="eastAsia" w:ascii="宋体" w:hAnsi="宋体" w:cs="宋体"/>
                <w:kern w:val="0"/>
                <w:sz w:val="24"/>
              </w:rPr>
              <w:t>18</w:t>
            </w:r>
          </w:p>
        </w:tc>
        <w:tc>
          <w:tcPr>
            <w:tcW w:w="851" w:type="dxa"/>
            <w:tcBorders>
              <w:top w:val="nil"/>
              <w:left w:val="nil"/>
              <w:bottom w:val="single" w:color="auto" w:sz="4" w:space="0"/>
              <w:right w:val="single" w:color="auto" w:sz="4" w:space="0"/>
            </w:tcBorders>
            <w:shd w:val="clear" w:color="000000" w:fill="FFFFFF"/>
            <w:vAlign w:val="center"/>
          </w:tcPr>
          <w:p w14:paraId="16A0A0DD">
            <w:pPr>
              <w:widowControl/>
              <w:jc w:val="center"/>
              <w:rPr>
                <w:rFonts w:hint="eastAsia" w:ascii="宋体" w:hAnsi="宋体" w:cs="宋体"/>
                <w:color w:val="000000"/>
                <w:kern w:val="0"/>
                <w:sz w:val="24"/>
              </w:rPr>
            </w:pPr>
            <w:r>
              <w:rPr>
                <w:rFonts w:hint="eastAsia" w:ascii="宋体" w:hAnsi="宋体" w:cs="宋体"/>
                <w:color w:val="000000"/>
                <w:kern w:val="0"/>
                <w:sz w:val="24"/>
              </w:rPr>
              <w:t>是</w:t>
            </w:r>
          </w:p>
        </w:tc>
        <w:tc>
          <w:tcPr>
            <w:tcW w:w="952" w:type="dxa"/>
            <w:tcBorders>
              <w:top w:val="nil"/>
              <w:left w:val="nil"/>
              <w:bottom w:val="single" w:color="auto" w:sz="4" w:space="0"/>
              <w:right w:val="single" w:color="auto" w:sz="4" w:space="0"/>
            </w:tcBorders>
            <w:shd w:val="clear" w:color="000000" w:fill="FFFFFF"/>
            <w:vAlign w:val="center"/>
          </w:tcPr>
          <w:p w14:paraId="2B47F429">
            <w:pPr>
              <w:widowControl/>
              <w:jc w:val="center"/>
              <w:rPr>
                <w:rFonts w:hint="eastAsia" w:ascii="宋体" w:hAnsi="宋体" w:cs="宋体"/>
                <w:color w:val="000000"/>
                <w:kern w:val="0"/>
                <w:sz w:val="24"/>
              </w:rPr>
            </w:pPr>
            <w:r>
              <w:rPr>
                <w:rFonts w:hint="eastAsia" w:ascii="宋体" w:hAnsi="宋体" w:cs="宋体"/>
                <w:color w:val="000000"/>
                <w:kern w:val="0"/>
                <w:sz w:val="24"/>
              </w:rPr>
              <w:t>否</w:t>
            </w:r>
          </w:p>
        </w:tc>
      </w:tr>
      <w:tr w14:paraId="768AD440">
        <w:tblPrEx>
          <w:tblCellMar>
            <w:top w:w="0" w:type="dxa"/>
            <w:left w:w="108" w:type="dxa"/>
            <w:bottom w:w="0" w:type="dxa"/>
            <w:right w:w="108" w:type="dxa"/>
          </w:tblCellMar>
        </w:tblPrEx>
        <w:trPr>
          <w:trHeight w:val="576" w:hRule="atLeast"/>
        </w:trPr>
        <w:tc>
          <w:tcPr>
            <w:tcW w:w="704" w:type="dxa"/>
            <w:tcBorders>
              <w:top w:val="nil"/>
              <w:left w:val="single" w:color="auto" w:sz="4" w:space="0"/>
              <w:bottom w:val="single" w:color="auto" w:sz="4" w:space="0"/>
              <w:right w:val="single" w:color="auto" w:sz="4" w:space="0"/>
            </w:tcBorders>
            <w:shd w:val="clear" w:color="000000" w:fill="FFFFFF"/>
            <w:vAlign w:val="center"/>
          </w:tcPr>
          <w:p w14:paraId="6718927A">
            <w:pPr>
              <w:widowControl/>
              <w:jc w:val="center"/>
              <w:rPr>
                <w:rFonts w:hint="eastAsia" w:ascii="宋体" w:hAnsi="宋体" w:cs="宋体"/>
                <w:kern w:val="0"/>
                <w:sz w:val="24"/>
              </w:rPr>
            </w:pPr>
            <w:r>
              <w:rPr>
                <w:rFonts w:hint="eastAsia" w:ascii="宋体" w:hAnsi="宋体" w:cs="宋体"/>
                <w:kern w:val="0"/>
                <w:sz w:val="24"/>
              </w:rPr>
              <w:t>135</w:t>
            </w:r>
          </w:p>
        </w:tc>
        <w:tc>
          <w:tcPr>
            <w:tcW w:w="2851" w:type="dxa"/>
            <w:tcBorders>
              <w:top w:val="nil"/>
              <w:left w:val="nil"/>
              <w:bottom w:val="single" w:color="auto" w:sz="4" w:space="0"/>
              <w:right w:val="single" w:color="auto" w:sz="4" w:space="0"/>
            </w:tcBorders>
            <w:shd w:val="clear" w:color="000000" w:fill="FFFFFF"/>
            <w:vAlign w:val="center"/>
          </w:tcPr>
          <w:p w14:paraId="34B852E7">
            <w:pPr>
              <w:jc w:val="center"/>
              <w:rPr>
                <w:rFonts w:hint="eastAsia" w:ascii="宋体" w:hAnsi="宋体" w:cs="宋体"/>
                <w:color w:val="000000"/>
                <w:sz w:val="24"/>
              </w:rPr>
            </w:pPr>
            <w:r>
              <w:rPr>
                <w:rFonts w:hint="eastAsia" w:ascii="宋体" w:hAnsi="宋体" w:cs="宋体"/>
                <w:color w:val="000000"/>
                <w:sz w:val="24"/>
              </w:rPr>
              <w:t>液体免疫学和蛋白质控品水平2</w:t>
            </w:r>
          </w:p>
        </w:tc>
        <w:tc>
          <w:tcPr>
            <w:tcW w:w="1276" w:type="dxa"/>
            <w:tcBorders>
              <w:top w:val="nil"/>
              <w:left w:val="nil"/>
              <w:bottom w:val="single" w:color="auto" w:sz="4" w:space="0"/>
              <w:right w:val="single" w:color="auto" w:sz="4" w:space="0"/>
            </w:tcBorders>
            <w:shd w:val="clear" w:color="000000" w:fill="FFFFFF"/>
            <w:noWrap/>
            <w:vAlign w:val="center"/>
          </w:tcPr>
          <w:p w14:paraId="1E5126B6">
            <w:pPr>
              <w:widowControl/>
              <w:jc w:val="center"/>
              <w:rPr>
                <w:rFonts w:hint="eastAsia" w:ascii="宋体" w:hAnsi="宋体" w:cs="宋体"/>
                <w:kern w:val="0"/>
                <w:sz w:val="24"/>
              </w:rPr>
            </w:pPr>
            <w:r>
              <w:rPr>
                <w:rFonts w:hint="eastAsia" w:ascii="宋体" w:hAnsi="宋体" w:cs="宋体"/>
                <w:kern w:val="0"/>
                <w:sz w:val="24"/>
              </w:rPr>
              <w:t>450</w:t>
            </w:r>
          </w:p>
        </w:tc>
        <w:tc>
          <w:tcPr>
            <w:tcW w:w="992" w:type="dxa"/>
            <w:tcBorders>
              <w:top w:val="nil"/>
              <w:left w:val="nil"/>
              <w:bottom w:val="single" w:color="auto" w:sz="4" w:space="0"/>
              <w:right w:val="single" w:color="auto" w:sz="4" w:space="0"/>
            </w:tcBorders>
            <w:shd w:val="clear" w:color="000000" w:fill="FFFFFF"/>
            <w:vAlign w:val="center"/>
          </w:tcPr>
          <w:p w14:paraId="2A46CFD6">
            <w:pPr>
              <w:widowControl/>
              <w:jc w:val="center"/>
              <w:rPr>
                <w:rFonts w:hint="eastAsia" w:ascii="宋体" w:hAnsi="宋体" w:cs="宋体"/>
                <w:kern w:val="0"/>
                <w:sz w:val="24"/>
              </w:rPr>
            </w:pPr>
            <w:r>
              <w:rPr>
                <w:rFonts w:hint="eastAsia" w:ascii="宋体" w:hAnsi="宋体" w:cs="宋体"/>
                <w:kern w:val="0"/>
                <w:sz w:val="24"/>
              </w:rPr>
              <w:t>ml</w:t>
            </w:r>
          </w:p>
        </w:tc>
        <w:tc>
          <w:tcPr>
            <w:tcW w:w="992" w:type="dxa"/>
            <w:tcBorders>
              <w:top w:val="nil"/>
              <w:left w:val="nil"/>
              <w:bottom w:val="single" w:color="auto" w:sz="4" w:space="0"/>
              <w:right w:val="single" w:color="auto" w:sz="4" w:space="0"/>
            </w:tcBorders>
            <w:shd w:val="clear" w:color="000000" w:fill="FFFFFF"/>
            <w:noWrap/>
            <w:vAlign w:val="center"/>
          </w:tcPr>
          <w:p w14:paraId="79A015A9">
            <w:pPr>
              <w:widowControl/>
              <w:jc w:val="center"/>
              <w:rPr>
                <w:rFonts w:hint="eastAsia" w:ascii="宋体" w:hAnsi="宋体" w:cs="宋体"/>
                <w:kern w:val="0"/>
                <w:sz w:val="24"/>
              </w:rPr>
            </w:pPr>
            <w:r>
              <w:rPr>
                <w:rFonts w:hint="eastAsia" w:ascii="宋体" w:hAnsi="宋体" w:cs="宋体"/>
                <w:kern w:val="0"/>
                <w:sz w:val="24"/>
              </w:rPr>
              <w:t>18</w:t>
            </w:r>
          </w:p>
        </w:tc>
        <w:tc>
          <w:tcPr>
            <w:tcW w:w="851" w:type="dxa"/>
            <w:tcBorders>
              <w:top w:val="nil"/>
              <w:left w:val="nil"/>
              <w:bottom w:val="single" w:color="auto" w:sz="4" w:space="0"/>
              <w:right w:val="single" w:color="auto" w:sz="4" w:space="0"/>
            </w:tcBorders>
            <w:shd w:val="clear" w:color="000000" w:fill="FFFFFF"/>
            <w:vAlign w:val="center"/>
          </w:tcPr>
          <w:p w14:paraId="0D6BFB32">
            <w:pPr>
              <w:widowControl/>
              <w:jc w:val="center"/>
              <w:rPr>
                <w:rFonts w:hint="eastAsia" w:ascii="宋体" w:hAnsi="宋体" w:cs="宋体"/>
                <w:color w:val="000000"/>
                <w:kern w:val="0"/>
                <w:sz w:val="24"/>
              </w:rPr>
            </w:pPr>
            <w:r>
              <w:rPr>
                <w:rFonts w:hint="eastAsia" w:ascii="宋体" w:hAnsi="宋体" w:cs="宋体"/>
                <w:color w:val="000000"/>
                <w:kern w:val="0"/>
                <w:sz w:val="24"/>
              </w:rPr>
              <w:t>是</w:t>
            </w:r>
          </w:p>
        </w:tc>
        <w:tc>
          <w:tcPr>
            <w:tcW w:w="952" w:type="dxa"/>
            <w:tcBorders>
              <w:top w:val="nil"/>
              <w:left w:val="nil"/>
              <w:bottom w:val="single" w:color="auto" w:sz="4" w:space="0"/>
              <w:right w:val="single" w:color="auto" w:sz="4" w:space="0"/>
            </w:tcBorders>
            <w:shd w:val="clear" w:color="000000" w:fill="FFFFFF"/>
            <w:vAlign w:val="center"/>
          </w:tcPr>
          <w:p w14:paraId="029057F4">
            <w:pPr>
              <w:widowControl/>
              <w:jc w:val="center"/>
              <w:rPr>
                <w:rFonts w:hint="eastAsia" w:ascii="宋体" w:hAnsi="宋体" w:cs="宋体"/>
                <w:color w:val="000000"/>
                <w:kern w:val="0"/>
                <w:sz w:val="24"/>
              </w:rPr>
            </w:pPr>
            <w:r>
              <w:rPr>
                <w:rFonts w:hint="eastAsia" w:ascii="宋体" w:hAnsi="宋体" w:cs="宋体"/>
                <w:color w:val="000000"/>
                <w:kern w:val="0"/>
                <w:sz w:val="24"/>
              </w:rPr>
              <w:t>否</w:t>
            </w:r>
          </w:p>
        </w:tc>
      </w:tr>
      <w:tr w14:paraId="2854AD07">
        <w:tblPrEx>
          <w:tblCellMar>
            <w:top w:w="0" w:type="dxa"/>
            <w:left w:w="108" w:type="dxa"/>
            <w:bottom w:w="0" w:type="dxa"/>
            <w:right w:w="108" w:type="dxa"/>
          </w:tblCellMar>
        </w:tblPrEx>
        <w:trPr>
          <w:trHeight w:val="576" w:hRule="atLeast"/>
        </w:trPr>
        <w:tc>
          <w:tcPr>
            <w:tcW w:w="704" w:type="dxa"/>
            <w:tcBorders>
              <w:top w:val="nil"/>
              <w:left w:val="single" w:color="auto" w:sz="4" w:space="0"/>
              <w:bottom w:val="single" w:color="auto" w:sz="4" w:space="0"/>
              <w:right w:val="single" w:color="auto" w:sz="4" w:space="0"/>
            </w:tcBorders>
            <w:shd w:val="clear" w:color="000000" w:fill="FFFFFF"/>
            <w:vAlign w:val="center"/>
          </w:tcPr>
          <w:p w14:paraId="46FD8653">
            <w:pPr>
              <w:widowControl/>
              <w:jc w:val="center"/>
              <w:rPr>
                <w:rFonts w:hint="eastAsia" w:ascii="宋体" w:hAnsi="宋体" w:cs="宋体"/>
                <w:kern w:val="0"/>
                <w:sz w:val="24"/>
              </w:rPr>
            </w:pPr>
            <w:r>
              <w:rPr>
                <w:rFonts w:hint="eastAsia" w:ascii="宋体" w:hAnsi="宋体" w:cs="宋体"/>
                <w:kern w:val="0"/>
                <w:sz w:val="24"/>
              </w:rPr>
              <w:t>136</w:t>
            </w:r>
          </w:p>
        </w:tc>
        <w:tc>
          <w:tcPr>
            <w:tcW w:w="2851" w:type="dxa"/>
            <w:tcBorders>
              <w:top w:val="nil"/>
              <w:left w:val="nil"/>
              <w:bottom w:val="single" w:color="auto" w:sz="4" w:space="0"/>
              <w:right w:val="single" w:color="auto" w:sz="4" w:space="0"/>
            </w:tcBorders>
            <w:shd w:val="clear" w:color="000000" w:fill="FFFFFF"/>
            <w:vAlign w:val="center"/>
          </w:tcPr>
          <w:p w14:paraId="0716FE4A">
            <w:pPr>
              <w:jc w:val="center"/>
              <w:rPr>
                <w:rFonts w:hint="eastAsia" w:ascii="宋体" w:hAnsi="宋体" w:cs="宋体"/>
                <w:color w:val="000000"/>
                <w:sz w:val="24"/>
              </w:rPr>
            </w:pPr>
            <w:r>
              <w:rPr>
                <w:rFonts w:hint="eastAsia" w:ascii="宋体" w:hAnsi="宋体" w:cs="宋体"/>
                <w:color w:val="000000"/>
                <w:sz w:val="24"/>
              </w:rPr>
              <w:t>液体免疫学和蛋白质控品水平3</w:t>
            </w:r>
          </w:p>
        </w:tc>
        <w:tc>
          <w:tcPr>
            <w:tcW w:w="1276" w:type="dxa"/>
            <w:tcBorders>
              <w:top w:val="nil"/>
              <w:left w:val="nil"/>
              <w:bottom w:val="single" w:color="auto" w:sz="4" w:space="0"/>
              <w:right w:val="single" w:color="auto" w:sz="4" w:space="0"/>
            </w:tcBorders>
            <w:shd w:val="clear" w:color="000000" w:fill="FFFFFF"/>
            <w:noWrap/>
            <w:vAlign w:val="center"/>
          </w:tcPr>
          <w:p w14:paraId="18261216">
            <w:pPr>
              <w:widowControl/>
              <w:jc w:val="center"/>
              <w:rPr>
                <w:rFonts w:hint="eastAsia" w:ascii="宋体" w:hAnsi="宋体" w:cs="宋体"/>
                <w:kern w:val="0"/>
                <w:sz w:val="24"/>
              </w:rPr>
            </w:pPr>
            <w:r>
              <w:rPr>
                <w:rFonts w:hint="eastAsia" w:ascii="宋体" w:hAnsi="宋体" w:cs="宋体"/>
                <w:kern w:val="0"/>
                <w:sz w:val="24"/>
              </w:rPr>
              <w:t>450</w:t>
            </w:r>
          </w:p>
        </w:tc>
        <w:tc>
          <w:tcPr>
            <w:tcW w:w="992" w:type="dxa"/>
            <w:tcBorders>
              <w:top w:val="nil"/>
              <w:left w:val="nil"/>
              <w:bottom w:val="single" w:color="auto" w:sz="4" w:space="0"/>
              <w:right w:val="single" w:color="auto" w:sz="4" w:space="0"/>
            </w:tcBorders>
            <w:shd w:val="clear" w:color="000000" w:fill="FFFFFF"/>
            <w:vAlign w:val="center"/>
          </w:tcPr>
          <w:p w14:paraId="0790881F">
            <w:pPr>
              <w:widowControl/>
              <w:jc w:val="center"/>
              <w:rPr>
                <w:rFonts w:hint="eastAsia" w:ascii="宋体" w:hAnsi="宋体" w:cs="宋体"/>
                <w:kern w:val="0"/>
                <w:sz w:val="24"/>
              </w:rPr>
            </w:pPr>
            <w:r>
              <w:rPr>
                <w:rFonts w:hint="eastAsia" w:ascii="宋体" w:hAnsi="宋体" w:cs="宋体"/>
                <w:kern w:val="0"/>
                <w:sz w:val="24"/>
              </w:rPr>
              <w:t>ml</w:t>
            </w:r>
          </w:p>
        </w:tc>
        <w:tc>
          <w:tcPr>
            <w:tcW w:w="992" w:type="dxa"/>
            <w:tcBorders>
              <w:top w:val="nil"/>
              <w:left w:val="nil"/>
              <w:bottom w:val="single" w:color="auto" w:sz="4" w:space="0"/>
              <w:right w:val="single" w:color="auto" w:sz="4" w:space="0"/>
            </w:tcBorders>
            <w:shd w:val="clear" w:color="000000" w:fill="FFFFFF"/>
            <w:noWrap/>
            <w:vAlign w:val="center"/>
          </w:tcPr>
          <w:p w14:paraId="4EC2D498">
            <w:pPr>
              <w:widowControl/>
              <w:jc w:val="center"/>
              <w:rPr>
                <w:rFonts w:hint="eastAsia" w:ascii="宋体" w:hAnsi="宋体" w:cs="宋体"/>
                <w:kern w:val="0"/>
                <w:sz w:val="24"/>
              </w:rPr>
            </w:pPr>
            <w:r>
              <w:rPr>
                <w:rFonts w:hint="eastAsia" w:ascii="宋体" w:hAnsi="宋体" w:cs="宋体"/>
                <w:kern w:val="0"/>
                <w:sz w:val="24"/>
              </w:rPr>
              <w:t>18</w:t>
            </w:r>
          </w:p>
        </w:tc>
        <w:tc>
          <w:tcPr>
            <w:tcW w:w="851" w:type="dxa"/>
            <w:tcBorders>
              <w:top w:val="nil"/>
              <w:left w:val="nil"/>
              <w:bottom w:val="single" w:color="auto" w:sz="4" w:space="0"/>
              <w:right w:val="single" w:color="auto" w:sz="4" w:space="0"/>
            </w:tcBorders>
            <w:shd w:val="clear" w:color="000000" w:fill="FFFFFF"/>
            <w:vAlign w:val="center"/>
          </w:tcPr>
          <w:p w14:paraId="2362A210">
            <w:pPr>
              <w:widowControl/>
              <w:jc w:val="center"/>
              <w:rPr>
                <w:rFonts w:hint="eastAsia" w:ascii="宋体" w:hAnsi="宋体" w:cs="宋体"/>
                <w:color w:val="000000"/>
                <w:kern w:val="0"/>
                <w:sz w:val="24"/>
              </w:rPr>
            </w:pPr>
            <w:r>
              <w:rPr>
                <w:rFonts w:hint="eastAsia" w:ascii="宋体" w:hAnsi="宋体" w:cs="宋体"/>
                <w:color w:val="000000"/>
                <w:kern w:val="0"/>
                <w:sz w:val="24"/>
              </w:rPr>
              <w:t>是</w:t>
            </w:r>
          </w:p>
        </w:tc>
        <w:tc>
          <w:tcPr>
            <w:tcW w:w="952" w:type="dxa"/>
            <w:tcBorders>
              <w:top w:val="nil"/>
              <w:left w:val="nil"/>
              <w:bottom w:val="single" w:color="auto" w:sz="4" w:space="0"/>
              <w:right w:val="single" w:color="auto" w:sz="4" w:space="0"/>
            </w:tcBorders>
            <w:shd w:val="clear" w:color="000000" w:fill="FFFFFF"/>
            <w:vAlign w:val="center"/>
          </w:tcPr>
          <w:p w14:paraId="19F0074C">
            <w:pPr>
              <w:widowControl/>
              <w:jc w:val="center"/>
              <w:rPr>
                <w:rFonts w:hint="eastAsia" w:ascii="宋体" w:hAnsi="宋体" w:cs="宋体"/>
                <w:color w:val="000000"/>
                <w:kern w:val="0"/>
                <w:sz w:val="24"/>
              </w:rPr>
            </w:pPr>
            <w:r>
              <w:rPr>
                <w:rFonts w:hint="eastAsia" w:ascii="宋体" w:hAnsi="宋体" w:cs="宋体"/>
                <w:color w:val="000000"/>
                <w:kern w:val="0"/>
                <w:sz w:val="24"/>
              </w:rPr>
              <w:t>否</w:t>
            </w:r>
          </w:p>
        </w:tc>
      </w:tr>
      <w:tr w14:paraId="1CA852BF">
        <w:tblPrEx>
          <w:tblCellMar>
            <w:top w:w="0" w:type="dxa"/>
            <w:left w:w="108" w:type="dxa"/>
            <w:bottom w:w="0" w:type="dxa"/>
            <w:right w:w="108" w:type="dxa"/>
          </w:tblCellMar>
        </w:tblPrEx>
        <w:trPr>
          <w:trHeight w:val="576" w:hRule="atLeast"/>
        </w:trPr>
        <w:tc>
          <w:tcPr>
            <w:tcW w:w="704" w:type="dxa"/>
            <w:tcBorders>
              <w:top w:val="nil"/>
              <w:left w:val="single" w:color="auto" w:sz="4" w:space="0"/>
              <w:bottom w:val="single" w:color="auto" w:sz="4" w:space="0"/>
              <w:right w:val="single" w:color="auto" w:sz="4" w:space="0"/>
            </w:tcBorders>
            <w:shd w:val="clear" w:color="000000" w:fill="FFFFFF"/>
            <w:vAlign w:val="center"/>
          </w:tcPr>
          <w:p w14:paraId="537EA4C8">
            <w:pPr>
              <w:widowControl/>
              <w:jc w:val="center"/>
              <w:rPr>
                <w:rFonts w:hint="eastAsia" w:ascii="宋体" w:hAnsi="宋体" w:cs="宋体"/>
                <w:kern w:val="0"/>
                <w:sz w:val="24"/>
              </w:rPr>
            </w:pPr>
            <w:r>
              <w:rPr>
                <w:rFonts w:hint="eastAsia" w:ascii="宋体" w:hAnsi="宋体" w:cs="宋体"/>
                <w:kern w:val="0"/>
                <w:sz w:val="24"/>
              </w:rPr>
              <w:t>137</w:t>
            </w:r>
          </w:p>
        </w:tc>
        <w:tc>
          <w:tcPr>
            <w:tcW w:w="2851" w:type="dxa"/>
            <w:tcBorders>
              <w:top w:val="nil"/>
              <w:left w:val="nil"/>
              <w:bottom w:val="single" w:color="auto" w:sz="4" w:space="0"/>
              <w:right w:val="single" w:color="auto" w:sz="4" w:space="0"/>
            </w:tcBorders>
            <w:shd w:val="clear" w:color="000000" w:fill="FFFFFF"/>
            <w:vAlign w:val="center"/>
          </w:tcPr>
          <w:p w14:paraId="3C84722F">
            <w:pPr>
              <w:jc w:val="center"/>
              <w:rPr>
                <w:rFonts w:hint="eastAsia" w:ascii="宋体" w:hAnsi="宋体" w:cs="宋体"/>
                <w:color w:val="000000"/>
                <w:sz w:val="24"/>
              </w:rPr>
            </w:pPr>
            <w:r>
              <w:rPr>
                <w:rFonts w:hint="eastAsia" w:ascii="宋体" w:hAnsi="宋体" w:cs="宋体"/>
                <w:color w:val="000000"/>
                <w:sz w:val="24"/>
              </w:rPr>
              <w:t>尿液生化多项检测用质控品水平2</w:t>
            </w:r>
          </w:p>
        </w:tc>
        <w:tc>
          <w:tcPr>
            <w:tcW w:w="1276" w:type="dxa"/>
            <w:tcBorders>
              <w:top w:val="nil"/>
              <w:left w:val="nil"/>
              <w:bottom w:val="single" w:color="auto" w:sz="4" w:space="0"/>
              <w:right w:val="single" w:color="auto" w:sz="4" w:space="0"/>
            </w:tcBorders>
            <w:shd w:val="clear" w:color="000000" w:fill="FFFFFF"/>
            <w:noWrap/>
            <w:vAlign w:val="center"/>
          </w:tcPr>
          <w:p w14:paraId="401D53A2">
            <w:pPr>
              <w:widowControl/>
              <w:jc w:val="center"/>
              <w:rPr>
                <w:rFonts w:hint="eastAsia" w:ascii="宋体" w:hAnsi="宋体" w:cs="宋体"/>
                <w:kern w:val="0"/>
                <w:sz w:val="24"/>
              </w:rPr>
            </w:pPr>
            <w:r>
              <w:rPr>
                <w:rFonts w:hint="eastAsia" w:ascii="宋体" w:hAnsi="宋体" w:cs="宋体"/>
                <w:kern w:val="0"/>
                <w:sz w:val="24"/>
              </w:rPr>
              <w:t>12.09</w:t>
            </w:r>
          </w:p>
        </w:tc>
        <w:tc>
          <w:tcPr>
            <w:tcW w:w="992" w:type="dxa"/>
            <w:tcBorders>
              <w:top w:val="nil"/>
              <w:left w:val="nil"/>
              <w:bottom w:val="single" w:color="auto" w:sz="4" w:space="0"/>
              <w:right w:val="single" w:color="auto" w:sz="4" w:space="0"/>
            </w:tcBorders>
            <w:shd w:val="clear" w:color="000000" w:fill="FFFFFF"/>
            <w:vAlign w:val="center"/>
          </w:tcPr>
          <w:p w14:paraId="401E5088">
            <w:pPr>
              <w:widowControl/>
              <w:jc w:val="center"/>
              <w:rPr>
                <w:rFonts w:hint="eastAsia" w:ascii="宋体" w:hAnsi="宋体" w:cs="宋体"/>
                <w:kern w:val="0"/>
                <w:sz w:val="24"/>
              </w:rPr>
            </w:pPr>
            <w:r>
              <w:rPr>
                <w:rFonts w:hint="eastAsia" w:ascii="宋体" w:hAnsi="宋体" w:cs="宋体"/>
                <w:kern w:val="0"/>
                <w:sz w:val="24"/>
              </w:rPr>
              <w:t>ml</w:t>
            </w:r>
          </w:p>
        </w:tc>
        <w:tc>
          <w:tcPr>
            <w:tcW w:w="992" w:type="dxa"/>
            <w:tcBorders>
              <w:top w:val="nil"/>
              <w:left w:val="nil"/>
              <w:bottom w:val="single" w:color="auto" w:sz="4" w:space="0"/>
              <w:right w:val="single" w:color="auto" w:sz="4" w:space="0"/>
            </w:tcBorders>
            <w:shd w:val="clear" w:color="000000" w:fill="FFFFFF"/>
            <w:noWrap/>
            <w:vAlign w:val="center"/>
          </w:tcPr>
          <w:p w14:paraId="660453B6">
            <w:pPr>
              <w:widowControl/>
              <w:jc w:val="center"/>
              <w:rPr>
                <w:rFonts w:hint="eastAsia" w:ascii="宋体" w:hAnsi="宋体" w:cs="宋体"/>
                <w:kern w:val="0"/>
                <w:sz w:val="24"/>
              </w:rPr>
            </w:pPr>
            <w:r>
              <w:rPr>
                <w:rFonts w:hint="eastAsia" w:ascii="宋体" w:hAnsi="宋体" w:cs="宋体"/>
                <w:kern w:val="0"/>
                <w:sz w:val="24"/>
              </w:rPr>
              <w:t>720</w:t>
            </w:r>
          </w:p>
        </w:tc>
        <w:tc>
          <w:tcPr>
            <w:tcW w:w="851" w:type="dxa"/>
            <w:tcBorders>
              <w:top w:val="nil"/>
              <w:left w:val="nil"/>
              <w:bottom w:val="single" w:color="auto" w:sz="4" w:space="0"/>
              <w:right w:val="single" w:color="auto" w:sz="4" w:space="0"/>
            </w:tcBorders>
            <w:shd w:val="clear" w:color="000000" w:fill="FFFFFF"/>
            <w:vAlign w:val="center"/>
          </w:tcPr>
          <w:p w14:paraId="4F0C52F2">
            <w:pPr>
              <w:widowControl/>
              <w:jc w:val="center"/>
              <w:rPr>
                <w:rFonts w:hint="eastAsia" w:ascii="宋体" w:hAnsi="宋体" w:cs="宋体"/>
                <w:color w:val="000000"/>
                <w:kern w:val="0"/>
                <w:sz w:val="24"/>
              </w:rPr>
            </w:pPr>
            <w:r>
              <w:rPr>
                <w:rFonts w:hint="eastAsia" w:ascii="宋体" w:hAnsi="宋体" w:cs="宋体"/>
                <w:color w:val="000000"/>
                <w:kern w:val="0"/>
                <w:sz w:val="24"/>
              </w:rPr>
              <w:t>是</w:t>
            </w:r>
          </w:p>
        </w:tc>
        <w:tc>
          <w:tcPr>
            <w:tcW w:w="952" w:type="dxa"/>
            <w:tcBorders>
              <w:top w:val="nil"/>
              <w:left w:val="nil"/>
              <w:bottom w:val="single" w:color="auto" w:sz="4" w:space="0"/>
              <w:right w:val="single" w:color="auto" w:sz="4" w:space="0"/>
            </w:tcBorders>
            <w:shd w:val="clear" w:color="000000" w:fill="FFFFFF"/>
            <w:vAlign w:val="center"/>
          </w:tcPr>
          <w:p w14:paraId="26D6E1FC">
            <w:pPr>
              <w:widowControl/>
              <w:jc w:val="center"/>
              <w:rPr>
                <w:rFonts w:hint="eastAsia" w:ascii="宋体" w:hAnsi="宋体" w:cs="宋体"/>
                <w:color w:val="000000"/>
                <w:kern w:val="0"/>
                <w:sz w:val="24"/>
              </w:rPr>
            </w:pPr>
            <w:r>
              <w:rPr>
                <w:rFonts w:hint="eastAsia" w:ascii="宋体" w:hAnsi="宋体" w:cs="宋体"/>
                <w:color w:val="000000"/>
                <w:kern w:val="0"/>
                <w:sz w:val="24"/>
              </w:rPr>
              <w:t>否</w:t>
            </w:r>
          </w:p>
        </w:tc>
      </w:tr>
      <w:tr w14:paraId="6FADE08C">
        <w:tblPrEx>
          <w:tblCellMar>
            <w:top w:w="0" w:type="dxa"/>
            <w:left w:w="108" w:type="dxa"/>
            <w:bottom w:w="0" w:type="dxa"/>
            <w:right w:w="108" w:type="dxa"/>
          </w:tblCellMar>
        </w:tblPrEx>
        <w:trPr>
          <w:trHeight w:val="576" w:hRule="atLeast"/>
        </w:trPr>
        <w:tc>
          <w:tcPr>
            <w:tcW w:w="704" w:type="dxa"/>
            <w:tcBorders>
              <w:top w:val="nil"/>
              <w:left w:val="single" w:color="auto" w:sz="4" w:space="0"/>
              <w:bottom w:val="single" w:color="auto" w:sz="4" w:space="0"/>
              <w:right w:val="single" w:color="auto" w:sz="4" w:space="0"/>
            </w:tcBorders>
            <w:shd w:val="clear" w:color="000000" w:fill="FFFFFF"/>
            <w:vAlign w:val="center"/>
          </w:tcPr>
          <w:p w14:paraId="007B26D5">
            <w:pPr>
              <w:widowControl/>
              <w:jc w:val="center"/>
              <w:rPr>
                <w:rFonts w:hint="eastAsia" w:ascii="宋体" w:hAnsi="宋体" w:cs="宋体"/>
                <w:kern w:val="0"/>
                <w:sz w:val="24"/>
              </w:rPr>
            </w:pPr>
            <w:r>
              <w:rPr>
                <w:rFonts w:hint="eastAsia" w:ascii="宋体" w:hAnsi="宋体" w:cs="宋体"/>
                <w:kern w:val="0"/>
                <w:sz w:val="24"/>
              </w:rPr>
              <w:t>138</w:t>
            </w:r>
          </w:p>
        </w:tc>
        <w:tc>
          <w:tcPr>
            <w:tcW w:w="2851" w:type="dxa"/>
            <w:tcBorders>
              <w:top w:val="nil"/>
              <w:left w:val="nil"/>
              <w:bottom w:val="single" w:color="auto" w:sz="4" w:space="0"/>
              <w:right w:val="single" w:color="auto" w:sz="4" w:space="0"/>
            </w:tcBorders>
            <w:shd w:val="clear" w:color="000000" w:fill="FFFFFF"/>
            <w:vAlign w:val="center"/>
          </w:tcPr>
          <w:p w14:paraId="0F8D6AC3">
            <w:pPr>
              <w:jc w:val="center"/>
              <w:rPr>
                <w:rFonts w:hint="eastAsia" w:ascii="宋体" w:hAnsi="宋体" w:cs="宋体"/>
                <w:color w:val="000000"/>
                <w:sz w:val="24"/>
              </w:rPr>
            </w:pPr>
            <w:r>
              <w:rPr>
                <w:rFonts w:hint="eastAsia" w:ascii="宋体" w:hAnsi="宋体" w:cs="宋体"/>
                <w:color w:val="000000"/>
                <w:sz w:val="24"/>
              </w:rPr>
              <w:t>尿液生化多项检测用质控品水平3</w:t>
            </w:r>
          </w:p>
        </w:tc>
        <w:tc>
          <w:tcPr>
            <w:tcW w:w="1276" w:type="dxa"/>
            <w:tcBorders>
              <w:top w:val="nil"/>
              <w:left w:val="nil"/>
              <w:bottom w:val="single" w:color="auto" w:sz="4" w:space="0"/>
              <w:right w:val="single" w:color="auto" w:sz="4" w:space="0"/>
            </w:tcBorders>
            <w:shd w:val="clear" w:color="000000" w:fill="FFFFFF"/>
            <w:noWrap/>
            <w:vAlign w:val="center"/>
          </w:tcPr>
          <w:p w14:paraId="3F4562DA">
            <w:pPr>
              <w:widowControl/>
              <w:jc w:val="center"/>
              <w:rPr>
                <w:rFonts w:hint="eastAsia" w:ascii="宋体" w:hAnsi="宋体" w:cs="宋体"/>
                <w:kern w:val="0"/>
                <w:sz w:val="24"/>
              </w:rPr>
            </w:pPr>
            <w:r>
              <w:rPr>
                <w:rFonts w:hint="eastAsia" w:ascii="宋体" w:hAnsi="宋体" w:cs="宋体"/>
                <w:kern w:val="0"/>
                <w:sz w:val="24"/>
              </w:rPr>
              <w:t>12.09</w:t>
            </w:r>
          </w:p>
        </w:tc>
        <w:tc>
          <w:tcPr>
            <w:tcW w:w="992" w:type="dxa"/>
            <w:tcBorders>
              <w:top w:val="nil"/>
              <w:left w:val="nil"/>
              <w:bottom w:val="single" w:color="auto" w:sz="4" w:space="0"/>
              <w:right w:val="single" w:color="auto" w:sz="4" w:space="0"/>
            </w:tcBorders>
            <w:shd w:val="clear" w:color="000000" w:fill="FFFFFF"/>
            <w:vAlign w:val="center"/>
          </w:tcPr>
          <w:p w14:paraId="63EE2A62">
            <w:pPr>
              <w:widowControl/>
              <w:jc w:val="center"/>
              <w:rPr>
                <w:rFonts w:hint="eastAsia" w:ascii="宋体" w:hAnsi="宋体" w:cs="宋体"/>
                <w:kern w:val="0"/>
                <w:sz w:val="24"/>
              </w:rPr>
            </w:pPr>
            <w:r>
              <w:rPr>
                <w:rFonts w:hint="eastAsia" w:ascii="宋体" w:hAnsi="宋体" w:cs="宋体"/>
                <w:kern w:val="0"/>
                <w:sz w:val="24"/>
              </w:rPr>
              <w:t>ml</w:t>
            </w:r>
          </w:p>
        </w:tc>
        <w:tc>
          <w:tcPr>
            <w:tcW w:w="992" w:type="dxa"/>
            <w:tcBorders>
              <w:top w:val="nil"/>
              <w:left w:val="nil"/>
              <w:bottom w:val="single" w:color="auto" w:sz="4" w:space="0"/>
              <w:right w:val="single" w:color="auto" w:sz="4" w:space="0"/>
            </w:tcBorders>
            <w:shd w:val="clear" w:color="000000" w:fill="FFFFFF"/>
            <w:noWrap/>
            <w:vAlign w:val="center"/>
          </w:tcPr>
          <w:p w14:paraId="42DCEA63">
            <w:pPr>
              <w:widowControl/>
              <w:jc w:val="center"/>
              <w:rPr>
                <w:rFonts w:hint="eastAsia" w:ascii="宋体" w:hAnsi="宋体" w:cs="宋体"/>
                <w:kern w:val="0"/>
                <w:sz w:val="24"/>
              </w:rPr>
            </w:pPr>
            <w:r>
              <w:rPr>
                <w:rFonts w:hint="eastAsia" w:ascii="宋体" w:hAnsi="宋体" w:cs="宋体"/>
                <w:kern w:val="0"/>
                <w:sz w:val="24"/>
              </w:rPr>
              <w:t>720</w:t>
            </w:r>
          </w:p>
        </w:tc>
        <w:tc>
          <w:tcPr>
            <w:tcW w:w="851" w:type="dxa"/>
            <w:tcBorders>
              <w:top w:val="nil"/>
              <w:left w:val="nil"/>
              <w:bottom w:val="single" w:color="auto" w:sz="4" w:space="0"/>
              <w:right w:val="single" w:color="auto" w:sz="4" w:space="0"/>
            </w:tcBorders>
            <w:shd w:val="clear" w:color="000000" w:fill="FFFFFF"/>
            <w:vAlign w:val="center"/>
          </w:tcPr>
          <w:p w14:paraId="3018AA50">
            <w:pPr>
              <w:widowControl/>
              <w:jc w:val="center"/>
              <w:rPr>
                <w:rFonts w:hint="eastAsia" w:ascii="宋体" w:hAnsi="宋体" w:cs="宋体"/>
                <w:color w:val="000000"/>
                <w:kern w:val="0"/>
                <w:sz w:val="24"/>
              </w:rPr>
            </w:pPr>
            <w:r>
              <w:rPr>
                <w:rFonts w:hint="eastAsia" w:ascii="宋体" w:hAnsi="宋体" w:cs="宋体"/>
                <w:color w:val="000000"/>
                <w:kern w:val="0"/>
                <w:sz w:val="24"/>
              </w:rPr>
              <w:t>是</w:t>
            </w:r>
          </w:p>
        </w:tc>
        <w:tc>
          <w:tcPr>
            <w:tcW w:w="952" w:type="dxa"/>
            <w:tcBorders>
              <w:top w:val="nil"/>
              <w:left w:val="nil"/>
              <w:bottom w:val="single" w:color="auto" w:sz="4" w:space="0"/>
              <w:right w:val="single" w:color="auto" w:sz="4" w:space="0"/>
            </w:tcBorders>
            <w:shd w:val="clear" w:color="000000" w:fill="FFFFFF"/>
            <w:vAlign w:val="center"/>
          </w:tcPr>
          <w:p w14:paraId="3D4A8A71">
            <w:pPr>
              <w:widowControl/>
              <w:jc w:val="center"/>
              <w:rPr>
                <w:rFonts w:hint="eastAsia" w:ascii="宋体" w:hAnsi="宋体" w:cs="宋体"/>
                <w:color w:val="000000"/>
                <w:kern w:val="0"/>
                <w:sz w:val="24"/>
              </w:rPr>
            </w:pPr>
            <w:r>
              <w:rPr>
                <w:rFonts w:hint="eastAsia" w:ascii="宋体" w:hAnsi="宋体" w:cs="宋体"/>
                <w:color w:val="000000"/>
                <w:kern w:val="0"/>
                <w:sz w:val="24"/>
              </w:rPr>
              <w:t>否</w:t>
            </w:r>
          </w:p>
        </w:tc>
      </w:tr>
      <w:tr w14:paraId="5432409F">
        <w:tblPrEx>
          <w:tblCellMar>
            <w:top w:w="0" w:type="dxa"/>
            <w:left w:w="108" w:type="dxa"/>
            <w:bottom w:w="0" w:type="dxa"/>
            <w:right w:w="108" w:type="dxa"/>
          </w:tblCellMar>
        </w:tblPrEx>
        <w:trPr>
          <w:trHeight w:val="576" w:hRule="atLeast"/>
        </w:trPr>
        <w:tc>
          <w:tcPr>
            <w:tcW w:w="704" w:type="dxa"/>
            <w:tcBorders>
              <w:top w:val="nil"/>
              <w:left w:val="single" w:color="auto" w:sz="4" w:space="0"/>
              <w:bottom w:val="single" w:color="auto" w:sz="4" w:space="0"/>
              <w:right w:val="single" w:color="auto" w:sz="4" w:space="0"/>
            </w:tcBorders>
            <w:shd w:val="clear" w:color="000000" w:fill="FFFFFF"/>
            <w:vAlign w:val="center"/>
          </w:tcPr>
          <w:p w14:paraId="7C8C5058">
            <w:pPr>
              <w:widowControl/>
              <w:jc w:val="center"/>
              <w:rPr>
                <w:rFonts w:hint="eastAsia" w:ascii="宋体" w:hAnsi="宋体" w:cs="宋体"/>
                <w:kern w:val="0"/>
                <w:sz w:val="24"/>
              </w:rPr>
            </w:pPr>
            <w:r>
              <w:rPr>
                <w:rFonts w:hint="eastAsia" w:ascii="宋体" w:hAnsi="宋体" w:cs="宋体"/>
                <w:kern w:val="0"/>
                <w:sz w:val="24"/>
              </w:rPr>
              <w:t>139</w:t>
            </w:r>
          </w:p>
        </w:tc>
        <w:tc>
          <w:tcPr>
            <w:tcW w:w="2851" w:type="dxa"/>
            <w:tcBorders>
              <w:top w:val="nil"/>
              <w:left w:val="nil"/>
              <w:bottom w:val="single" w:color="auto" w:sz="4" w:space="0"/>
              <w:right w:val="single" w:color="auto" w:sz="4" w:space="0"/>
            </w:tcBorders>
            <w:shd w:val="clear" w:color="000000" w:fill="FFFFFF"/>
            <w:vAlign w:val="center"/>
          </w:tcPr>
          <w:p w14:paraId="2DF338FB">
            <w:pPr>
              <w:jc w:val="center"/>
              <w:rPr>
                <w:rFonts w:hint="eastAsia" w:ascii="宋体" w:hAnsi="宋体" w:cs="宋体"/>
                <w:color w:val="000000"/>
                <w:sz w:val="24"/>
              </w:rPr>
            </w:pPr>
            <w:r>
              <w:rPr>
                <w:rFonts w:hint="eastAsia" w:ascii="宋体" w:hAnsi="宋体" w:cs="宋体"/>
                <w:color w:val="000000"/>
                <w:sz w:val="24"/>
              </w:rPr>
              <w:t>心肌多项标志物检测用质控品</w:t>
            </w:r>
          </w:p>
        </w:tc>
        <w:tc>
          <w:tcPr>
            <w:tcW w:w="1276" w:type="dxa"/>
            <w:tcBorders>
              <w:top w:val="nil"/>
              <w:left w:val="nil"/>
              <w:bottom w:val="single" w:color="auto" w:sz="4" w:space="0"/>
              <w:right w:val="single" w:color="auto" w:sz="4" w:space="0"/>
            </w:tcBorders>
            <w:shd w:val="clear" w:color="000000" w:fill="FFFFFF"/>
            <w:noWrap/>
            <w:vAlign w:val="center"/>
          </w:tcPr>
          <w:p w14:paraId="66DDB625">
            <w:pPr>
              <w:widowControl/>
              <w:jc w:val="center"/>
              <w:rPr>
                <w:rFonts w:hint="eastAsia" w:ascii="宋体" w:hAnsi="宋体" w:cs="宋体"/>
                <w:kern w:val="0"/>
                <w:sz w:val="24"/>
              </w:rPr>
            </w:pPr>
            <w:r>
              <w:rPr>
                <w:rFonts w:hint="eastAsia" w:ascii="宋体" w:hAnsi="宋体" w:cs="宋体"/>
                <w:kern w:val="0"/>
                <w:sz w:val="24"/>
              </w:rPr>
              <w:t>183.34</w:t>
            </w:r>
          </w:p>
        </w:tc>
        <w:tc>
          <w:tcPr>
            <w:tcW w:w="992" w:type="dxa"/>
            <w:tcBorders>
              <w:top w:val="nil"/>
              <w:left w:val="nil"/>
              <w:bottom w:val="single" w:color="auto" w:sz="4" w:space="0"/>
              <w:right w:val="single" w:color="auto" w:sz="4" w:space="0"/>
            </w:tcBorders>
            <w:shd w:val="clear" w:color="000000" w:fill="FFFFFF"/>
            <w:vAlign w:val="center"/>
          </w:tcPr>
          <w:p w14:paraId="62A195C9">
            <w:pPr>
              <w:widowControl/>
              <w:jc w:val="center"/>
              <w:rPr>
                <w:rFonts w:hint="eastAsia" w:ascii="宋体" w:hAnsi="宋体" w:cs="宋体"/>
                <w:kern w:val="0"/>
                <w:sz w:val="24"/>
              </w:rPr>
            </w:pPr>
            <w:r>
              <w:rPr>
                <w:rFonts w:hint="eastAsia" w:ascii="宋体" w:hAnsi="宋体" w:cs="宋体"/>
                <w:kern w:val="0"/>
                <w:sz w:val="24"/>
              </w:rPr>
              <w:t>ml</w:t>
            </w:r>
          </w:p>
        </w:tc>
        <w:tc>
          <w:tcPr>
            <w:tcW w:w="992" w:type="dxa"/>
            <w:tcBorders>
              <w:top w:val="nil"/>
              <w:left w:val="nil"/>
              <w:bottom w:val="single" w:color="auto" w:sz="4" w:space="0"/>
              <w:right w:val="single" w:color="auto" w:sz="4" w:space="0"/>
            </w:tcBorders>
            <w:shd w:val="clear" w:color="000000" w:fill="FFFFFF"/>
            <w:noWrap/>
            <w:vAlign w:val="center"/>
          </w:tcPr>
          <w:p w14:paraId="6BFC32E2">
            <w:pPr>
              <w:widowControl/>
              <w:jc w:val="center"/>
              <w:rPr>
                <w:rFonts w:hint="eastAsia" w:ascii="宋体" w:hAnsi="宋体" w:cs="宋体"/>
                <w:kern w:val="0"/>
                <w:sz w:val="24"/>
              </w:rPr>
            </w:pPr>
            <w:r>
              <w:rPr>
                <w:rFonts w:hint="eastAsia" w:ascii="宋体" w:hAnsi="宋体" w:cs="宋体"/>
                <w:kern w:val="0"/>
                <w:sz w:val="24"/>
              </w:rPr>
              <w:t>510</w:t>
            </w:r>
          </w:p>
        </w:tc>
        <w:tc>
          <w:tcPr>
            <w:tcW w:w="851" w:type="dxa"/>
            <w:tcBorders>
              <w:top w:val="nil"/>
              <w:left w:val="nil"/>
              <w:bottom w:val="single" w:color="auto" w:sz="4" w:space="0"/>
              <w:right w:val="single" w:color="auto" w:sz="4" w:space="0"/>
            </w:tcBorders>
            <w:shd w:val="clear" w:color="000000" w:fill="FFFFFF"/>
            <w:vAlign w:val="center"/>
          </w:tcPr>
          <w:p w14:paraId="4538F366">
            <w:pPr>
              <w:widowControl/>
              <w:jc w:val="center"/>
              <w:rPr>
                <w:rFonts w:hint="eastAsia" w:ascii="宋体" w:hAnsi="宋体" w:cs="宋体"/>
                <w:color w:val="000000"/>
                <w:kern w:val="0"/>
                <w:sz w:val="24"/>
              </w:rPr>
            </w:pPr>
            <w:r>
              <w:rPr>
                <w:rFonts w:hint="eastAsia" w:ascii="宋体" w:hAnsi="宋体" w:cs="宋体"/>
                <w:color w:val="000000"/>
                <w:kern w:val="0"/>
                <w:sz w:val="24"/>
              </w:rPr>
              <w:t>是</w:t>
            </w:r>
          </w:p>
        </w:tc>
        <w:tc>
          <w:tcPr>
            <w:tcW w:w="952" w:type="dxa"/>
            <w:tcBorders>
              <w:top w:val="nil"/>
              <w:left w:val="nil"/>
              <w:bottom w:val="single" w:color="auto" w:sz="4" w:space="0"/>
              <w:right w:val="single" w:color="auto" w:sz="4" w:space="0"/>
            </w:tcBorders>
            <w:shd w:val="clear" w:color="000000" w:fill="FFFFFF"/>
            <w:vAlign w:val="center"/>
          </w:tcPr>
          <w:p w14:paraId="34DE6E17">
            <w:pPr>
              <w:widowControl/>
              <w:jc w:val="center"/>
              <w:rPr>
                <w:rFonts w:hint="eastAsia" w:ascii="宋体" w:hAnsi="宋体" w:cs="宋体"/>
                <w:color w:val="000000"/>
                <w:kern w:val="0"/>
                <w:sz w:val="24"/>
              </w:rPr>
            </w:pPr>
            <w:r>
              <w:rPr>
                <w:rFonts w:hint="eastAsia" w:ascii="宋体" w:hAnsi="宋体" w:cs="宋体"/>
                <w:color w:val="000000"/>
                <w:kern w:val="0"/>
                <w:sz w:val="24"/>
              </w:rPr>
              <w:t>否</w:t>
            </w:r>
          </w:p>
        </w:tc>
      </w:tr>
      <w:tr w14:paraId="5B43BC1D">
        <w:tblPrEx>
          <w:tblCellMar>
            <w:top w:w="0" w:type="dxa"/>
            <w:left w:w="108" w:type="dxa"/>
            <w:bottom w:w="0" w:type="dxa"/>
            <w:right w:w="108" w:type="dxa"/>
          </w:tblCellMar>
        </w:tblPrEx>
        <w:trPr>
          <w:trHeight w:val="576" w:hRule="atLeast"/>
        </w:trPr>
        <w:tc>
          <w:tcPr>
            <w:tcW w:w="704" w:type="dxa"/>
            <w:tcBorders>
              <w:top w:val="nil"/>
              <w:left w:val="single" w:color="auto" w:sz="4" w:space="0"/>
              <w:bottom w:val="single" w:color="auto" w:sz="4" w:space="0"/>
              <w:right w:val="single" w:color="auto" w:sz="4" w:space="0"/>
            </w:tcBorders>
            <w:shd w:val="clear" w:color="000000" w:fill="FFFFFF"/>
            <w:vAlign w:val="center"/>
          </w:tcPr>
          <w:p w14:paraId="26E5EC8E">
            <w:pPr>
              <w:widowControl/>
              <w:jc w:val="center"/>
              <w:rPr>
                <w:rFonts w:hint="eastAsia" w:ascii="宋体" w:hAnsi="宋体" w:cs="宋体"/>
                <w:kern w:val="0"/>
                <w:sz w:val="24"/>
              </w:rPr>
            </w:pPr>
            <w:r>
              <w:rPr>
                <w:rFonts w:hint="eastAsia" w:ascii="宋体" w:hAnsi="宋体" w:cs="宋体"/>
                <w:kern w:val="0"/>
                <w:sz w:val="24"/>
              </w:rPr>
              <w:t>140</w:t>
            </w:r>
          </w:p>
        </w:tc>
        <w:tc>
          <w:tcPr>
            <w:tcW w:w="2851" w:type="dxa"/>
            <w:tcBorders>
              <w:top w:val="nil"/>
              <w:left w:val="nil"/>
              <w:bottom w:val="single" w:color="auto" w:sz="4" w:space="0"/>
              <w:right w:val="single" w:color="auto" w:sz="4" w:space="0"/>
            </w:tcBorders>
            <w:shd w:val="clear" w:color="000000" w:fill="FFFFFF"/>
            <w:vAlign w:val="center"/>
          </w:tcPr>
          <w:p w14:paraId="5DB0C06D">
            <w:pPr>
              <w:jc w:val="center"/>
              <w:rPr>
                <w:rFonts w:hint="eastAsia" w:ascii="宋体" w:hAnsi="宋体" w:cs="宋体"/>
                <w:color w:val="000000"/>
                <w:sz w:val="24"/>
              </w:rPr>
            </w:pPr>
            <w:r>
              <w:rPr>
                <w:rFonts w:hint="eastAsia" w:ascii="宋体" w:hAnsi="宋体" w:cs="宋体"/>
                <w:color w:val="000000"/>
                <w:sz w:val="24"/>
              </w:rPr>
              <w:t>脂类多项检测用质控品水平1</w:t>
            </w:r>
          </w:p>
        </w:tc>
        <w:tc>
          <w:tcPr>
            <w:tcW w:w="1276" w:type="dxa"/>
            <w:tcBorders>
              <w:top w:val="nil"/>
              <w:left w:val="nil"/>
              <w:bottom w:val="single" w:color="auto" w:sz="4" w:space="0"/>
              <w:right w:val="single" w:color="auto" w:sz="4" w:space="0"/>
            </w:tcBorders>
            <w:shd w:val="clear" w:color="000000" w:fill="FFFFFF"/>
            <w:noWrap/>
            <w:vAlign w:val="center"/>
          </w:tcPr>
          <w:p w14:paraId="60D30251">
            <w:pPr>
              <w:widowControl/>
              <w:jc w:val="center"/>
              <w:rPr>
                <w:rFonts w:hint="eastAsia" w:ascii="宋体" w:hAnsi="宋体" w:cs="宋体"/>
                <w:kern w:val="0"/>
                <w:sz w:val="24"/>
              </w:rPr>
            </w:pPr>
            <w:r>
              <w:rPr>
                <w:rFonts w:hint="eastAsia" w:ascii="宋体" w:hAnsi="宋体" w:cs="宋体"/>
                <w:kern w:val="0"/>
                <w:sz w:val="24"/>
              </w:rPr>
              <w:t>96.67</w:t>
            </w:r>
          </w:p>
        </w:tc>
        <w:tc>
          <w:tcPr>
            <w:tcW w:w="992" w:type="dxa"/>
            <w:tcBorders>
              <w:top w:val="nil"/>
              <w:left w:val="nil"/>
              <w:bottom w:val="single" w:color="auto" w:sz="4" w:space="0"/>
              <w:right w:val="single" w:color="auto" w:sz="4" w:space="0"/>
            </w:tcBorders>
            <w:shd w:val="clear" w:color="000000" w:fill="FFFFFF"/>
            <w:vAlign w:val="center"/>
          </w:tcPr>
          <w:p w14:paraId="1A0CCCC6">
            <w:pPr>
              <w:widowControl/>
              <w:jc w:val="center"/>
              <w:rPr>
                <w:rFonts w:hint="eastAsia" w:ascii="宋体" w:hAnsi="宋体" w:cs="宋体"/>
                <w:kern w:val="0"/>
                <w:sz w:val="24"/>
              </w:rPr>
            </w:pPr>
            <w:r>
              <w:rPr>
                <w:rFonts w:hint="eastAsia" w:ascii="宋体" w:hAnsi="宋体" w:cs="宋体"/>
                <w:kern w:val="0"/>
                <w:sz w:val="24"/>
              </w:rPr>
              <w:t>ml</w:t>
            </w:r>
          </w:p>
        </w:tc>
        <w:tc>
          <w:tcPr>
            <w:tcW w:w="992" w:type="dxa"/>
            <w:tcBorders>
              <w:top w:val="nil"/>
              <w:left w:val="nil"/>
              <w:bottom w:val="single" w:color="auto" w:sz="4" w:space="0"/>
              <w:right w:val="single" w:color="auto" w:sz="4" w:space="0"/>
            </w:tcBorders>
            <w:shd w:val="clear" w:color="000000" w:fill="FFFFFF"/>
            <w:noWrap/>
            <w:vAlign w:val="center"/>
          </w:tcPr>
          <w:p w14:paraId="78187841">
            <w:pPr>
              <w:widowControl/>
              <w:jc w:val="center"/>
              <w:rPr>
                <w:rFonts w:hint="eastAsia" w:ascii="宋体" w:hAnsi="宋体" w:cs="宋体"/>
                <w:kern w:val="0"/>
                <w:sz w:val="24"/>
              </w:rPr>
            </w:pPr>
            <w:r>
              <w:rPr>
                <w:rFonts w:hint="eastAsia" w:ascii="宋体" w:hAnsi="宋体" w:cs="宋体"/>
                <w:kern w:val="0"/>
                <w:sz w:val="24"/>
              </w:rPr>
              <w:t>300</w:t>
            </w:r>
          </w:p>
        </w:tc>
        <w:tc>
          <w:tcPr>
            <w:tcW w:w="851" w:type="dxa"/>
            <w:tcBorders>
              <w:top w:val="nil"/>
              <w:left w:val="nil"/>
              <w:bottom w:val="single" w:color="auto" w:sz="4" w:space="0"/>
              <w:right w:val="single" w:color="auto" w:sz="4" w:space="0"/>
            </w:tcBorders>
            <w:shd w:val="clear" w:color="000000" w:fill="FFFFFF"/>
            <w:vAlign w:val="center"/>
          </w:tcPr>
          <w:p w14:paraId="5DCA5BE2">
            <w:pPr>
              <w:widowControl/>
              <w:jc w:val="center"/>
              <w:rPr>
                <w:rFonts w:hint="eastAsia" w:ascii="宋体" w:hAnsi="宋体" w:cs="宋体"/>
                <w:color w:val="000000"/>
                <w:kern w:val="0"/>
                <w:sz w:val="24"/>
              </w:rPr>
            </w:pPr>
            <w:r>
              <w:rPr>
                <w:rFonts w:hint="eastAsia" w:ascii="宋体" w:hAnsi="宋体" w:cs="宋体"/>
                <w:color w:val="000000"/>
                <w:kern w:val="0"/>
                <w:sz w:val="24"/>
              </w:rPr>
              <w:t>是</w:t>
            </w:r>
          </w:p>
        </w:tc>
        <w:tc>
          <w:tcPr>
            <w:tcW w:w="952" w:type="dxa"/>
            <w:tcBorders>
              <w:top w:val="nil"/>
              <w:left w:val="nil"/>
              <w:bottom w:val="single" w:color="auto" w:sz="4" w:space="0"/>
              <w:right w:val="single" w:color="auto" w:sz="4" w:space="0"/>
            </w:tcBorders>
            <w:shd w:val="clear" w:color="000000" w:fill="FFFFFF"/>
            <w:vAlign w:val="center"/>
          </w:tcPr>
          <w:p w14:paraId="3733DA20">
            <w:pPr>
              <w:widowControl/>
              <w:jc w:val="center"/>
              <w:rPr>
                <w:rFonts w:hint="eastAsia" w:ascii="宋体" w:hAnsi="宋体" w:cs="宋体"/>
                <w:color w:val="000000"/>
                <w:kern w:val="0"/>
                <w:sz w:val="24"/>
              </w:rPr>
            </w:pPr>
            <w:r>
              <w:rPr>
                <w:rFonts w:hint="eastAsia" w:ascii="宋体" w:hAnsi="宋体" w:cs="宋体"/>
                <w:color w:val="000000"/>
                <w:kern w:val="0"/>
                <w:sz w:val="24"/>
              </w:rPr>
              <w:t>否</w:t>
            </w:r>
          </w:p>
        </w:tc>
      </w:tr>
      <w:tr w14:paraId="2D0DE16D">
        <w:tblPrEx>
          <w:tblCellMar>
            <w:top w:w="0" w:type="dxa"/>
            <w:left w:w="108" w:type="dxa"/>
            <w:bottom w:w="0" w:type="dxa"/>
            <w:right w:w="108" w:type="dxa"/>
          </w:tblCellMar>
        </w:tblPrEx>
        <w:trPr>
          <w:trHeight w:val="576" w:hRule="atLeast"/>
        </w:trPr>
        <w:tc>
          <w:tcPr>
            <w:tcW w:w="704" w:type="dxa"/>
            <w:tcBorders>
              <w:top w:val="nil"/>
              <w:left w:val="single" w:color="auto" w:sz="4" w:space="0"/>
              <w:bottom w:val="single" w:color="auto" w:sz="4" w:space="0"/>
              <w:right w:val="single" w:color="auto" w:sz="4" w:space="0"/>
            </w:tcBorders>
            <w:shd w:val="clear" w:color="000000" w:fill="FFFFFF"/>
            <w:vAlign w:val="center"/>
          </w:tcPr>
          <w:p w14:paraId="5094911B">
            <w:pPr>
              <w:widowControl/>
              <w:jc w:val="center"/>
              <w:rPr>
                <w:rFonts w:hint="eastAsia" w:ascii="宋体" w:hAnsi="宋体" w:cs="宋体"/>
                <w:kern w:val="0"/>
                <w:sz w:val="24"/>
              </w:rPr>
            </w:pPr>
            <w:r>
              <w:rPr>
                <w:rFonts w:hint="eastAsia" w:ascii="宋体" w:hAnsi="宋体" w:cs="宋体"/>
                <w:kern w:val="0"/>
                <w:sz w:val="24"/>
              </w:rPr>
              <w:t>141</w:t>
            </w:r>
          </w:p>
        </w:tc>
        <w:tc>
          <w:tcPr>
            <w:tcW w:w="2851" w:type="dxa"/>
            <w:tcBorders>
              <w:top w:val="nil"/>
              <w:left w:val="nil"/>
              <w:bottom w:val="single" w:color="auto" w:sz="4" w:space="0"/>
              <w:right w:val="single" w:color="auto" w:sz="4" w:space="0"/>
            </w:tcBorders>
            <w:shd w:val="clear" w:color="000000" w:fill="FFFFFF"/>
            <w:vAlign w:val="center"/>
          </w:tcPr>
          <w:p w14:paraId="6E8F9A36">
            <w:pPr>
              <w:jc w:val="center"/>
              <w:rPr>
                <w:rFonts w:hint="eastAsia" w:ascii="宋体" w:hAnsi="宋体" w:cs="宋体"/>
                <w:color w:val="000000"/>
                <w:sz w:val="24"/>
              </w:rPr>
            </w:pPr>
            <w:r>
              <w:rPr>
                <w:rFonts w:hint="eastAsia" w:ascii="宋体" w:hAnsi="宋体" w:cs="宋体"/>
                <w:color w:val="000000"/>
                <w:sz w:val="24"/>
              </w:rPr>
              <w:t>脂类多项检测用质控品水平3</w:t>
            </w:r>
          </w:p>
        </w:tc>
        <w:tc>
          <w:tcPr>
            <w:tcW w:w="1276" w:type="dxa"/>
            <w:tcBorders>
              <w:top w:val="nil"/>
              <w:left w:val="nil"/>
              <w:bottom w:val="single" w:color="auto" w:sz="4" w:space="0"/>
              <w:right w:val="single" w:color="auto" w:sz="4" w:space="0"/>
            </w:tcBorders>
            <w:shd w:val="clear" w:color="000000" w:fill="FFFFFF"/>
            <w:noWrap/>
            <w:vAlign w:val="center"/>
          </w:tcPr>
          <w:p w14:paraId="161C0EEB">
            <w:pPr>
              <w:widowControl/>
              <w:jc w:val="center"/>
              <w:rPr>
                <w:rFonts w:hint="eastAsia" w:ascii="宋体" w:hAnsi="宋体" w:cs="宋体"/>
                <w:kern w:val="0"/>
                <w:sz w:val="24"/>
              </w:rPr>
            </w:pPr>
            <w:r>
              <w:rPr>
                <w:rFonts w:hint="eastAsia" w:ascii="宋体" w:hAnsi="宋体" w:cs="宋体"/>
                <w:kern w:val="0"/>
                <w:sz w:val="24"/>
              </w:rPr>
              <w:t>96.67</w:t>
            </w:r>
          </w:p>
        </w:tc>
        <w:tc>
          <w:tcPr>
            <w:tcW w:w="992" w:type="dxa"/>
            <w:tcBorders>
              <w:top w:val="nil"/>
              <w:left w:val="nil"/>
              <w:bottom w:val="single" w:color="auto" w:sz="4" w:space="0"/>
              <w:right w:val="single" w:color="auto" w:sz="4" w:space="0"/>
            </w:tcBorders>
            <w:shd w:val="clear" w:color="000000" w:fill="FFFFFF"/>
            <w:vAlign w:val="center"/>
          </w:tcPr>
          <w:p w14:paraId="4D75063E">
            <w:pPr>
              <w:widowControl/>
              <w:jc w:val="center"/>
              <w:rPr>
                <w:rFonts w:hint="eastAsia" w:ascii="宋体" w:hAnsi="宋体" w:cs="宋体"/>
                <w:kern w:val="0"/>
                <w:sz w:val="24"/>
              </w:rPr>
            </w:pPr>
            <w:r>
              <w:rPr>
                <w:rFonts w:hint="eastAsia" w:ascii="宋体" w:hAnsi="宋体" w:cs="宋体"/>
                <w:kern w:val="0"/>
                <w:sz w:val="24"/>
              </w:rPr>
              <w:t>ml</w:t>
            </w:r>
          </w:p>
        </w:tc>
        <w:tc>
          <w:tcPr>
            <w:tcW w:w="992" w:type="dxa"/>
            <w:tcBorders>
              <w:top w:val="nil"/>
              <w:left w:val="nil"/>
              <w:bottom w:val="single" w:color="auto" w:sz="4" w:space="0"/>
              <w:right w:val="single" w:color="auto" w:sz="4" w:space="0"/>
            </w:tcBorders>
            <w:shd w:val="clear" w:color="000000" w:fill="FFFFFF"/>
            <w:noWrap/>
            <w:vAlign w:val="center"/>
          </w:tcPr>
          <w:p w14:paraId="1D7D4D32">
            <w:pPr>
              <w:widowControl/>
              <w:jc w:val="center"/>
              <w:rPr>
                <w:rFonts w:hint="eastAsia" w:ascii="宋体" w:hAnsi="宋体" w:cs="宋体"/>
                <w:kern w:val="0"/>
                <w:sz w:val="24"/>
              </w:rPr>
            </w:pPr>
            <w:r>
              <w:rPr>
                <w:rFonts w:hint="eastAsia" w:ascii="宋体" w:hAnsi="宋体" w:cs="宋体"/>
                <w:kern w:val="0"/>
                <w:sz w:val="24"/>
              </w:rPr>
              <w:t>300</w:t>
            </w:r>
          </w:p>
        </w:tc>
        <w:tc>
          <w:tcPr>
            <w:tcW w:w="851" w:type="dxa"/>
            <w:tcBorders>
              <w:top w:val="nil"/>
              <w:left w:val="nil"/>
              <w:bottom w:val="single" w:color="auto" w:sz="4" w:space="0"/>
              <w:right w:val="single" w:color="auto" w:sz="4" w:space="0"/>
            </w:tcBorders>
            <w:shd w:val="clear" w:color="000000" w:fill="FFFFFF"/>
            <w:vAlign w:val="center"/>
          </w:tcPr>
          <w:p w14:paraId="6B073461">
            <w:pPr>
              <w:widowControl/>
              <w:jc w:val="center"/>
              <w:rPr>
                <w:rFonts w:hint="eastAsia" w:ascii="宋体" w:hAnsi="宋体" w:cs="宋体"/>
                <w:color w:val="000000"/>
                <w:kern w:val="0"/>
                <w:sz w:val="24"/>
              </w:rPr>
            </w:pPr>
            <w:r>
              <w:rPr>
                <w:rFonts w:hint="eastAsia" w:ascii="宋体" w:hAnsi="宋体" w:cs="宋体"/>
                <w:color w:val="000000"/>
                <w:kern w:val="0"/>
                <w:sz w:val="24"/>
              </w:rPr>
              <w:t>是</w:t>
            </w:r>
          </w:p>
        </w:tc>
        <w:tc>
          <w:tcPr>
            <w:tcW w:w="952" w:type="dxa"/>
            <w:tcBorders>
              <w:top w:val="nil"/>
              <w:left w:val="nil"/>
              <w:bottom w:val="single" w:color="auto" w:sz="4" w:space="0"/>
              <w:right w:val="single" w:color="auto" w:sz="4" w:space="0"/>
            </w:tcBorders>
            <w:shd w:val="clear" w:color="000000" w:fill="FFFFFF"/>
            <w:vAlign w:val="center"/>
          </w:tcPr>
          <w:p w14:paraId="0E715671">
            <w:pPr>
              <w:widowControl/>
              <w:jc w:val="center"/>
              <w:rPr>
                <w:rFonts w:hint="eastAsia" w:ascii="宋体" w:hAnsi="宋体" w:cs="宋体"/>
                <w:color w:val="000000"/>
                <w:kern w:val="0"/>
                <w:sz w:val="24"/>
              </w:rPr>
            </w:pPr>
            <w:r>
              <w:rPr>
                <w:rFonts w:hint="eastAsia" w:ascii="宋体" w:hAnsi="宋体" w:cs="宋体"/>
                <w:color w:val="000000"/>
                <w:kern w:val="0"/>
                <w:sz w:val="24"/>
              </w:rPr>
              <w:t>否</w:t>
            </w:r>
          </w:p>
        </w:tc>
      </w:tr>
      <w:tr w14:paraId="0580A6E8">
        <w:tblPrEx>
          <w:tblCellMar>
            <w:top w:w="0" w:type="dxa"/>
            <w:left w:w="108" w:type="dxa"/>
            <w:bottom w:w="0" w:type="dxa"/>
            <w:right w:w="108" w:type="dxa"/>
          </w:tblCellMar>
        </w:tblPrEx>
        <w:trPr>
          <w:trHeight w:val="288" w:hRule="atLeast"/>
        </w:trPr>
        <w:tc>
          <w:tcPr>
            <w:tcW w:w="704" w:type="dxa"/>
            <w:tcBorders>
              <w:top w:val="nil"/>
              <w:left w:val="single" w:color="auto" w:sz="4" w:space="0"/>
              <w:bottom w:val="single" w:color="auto" w:sz="4" w:space="0"/>
              <w:right w:val="single" w:color="auto" w:sz="4" w:space="0"/>
            </w:tcBorders>
            <w:shd w:val="clear" w:color="000000" w:fill="FFFFFF"/>
            <w:vAlign w:val="center"/>
          </w:tcPr>
          <w:p w14:paraId="088DEB2B">
            <w:pPr>
              <w:widowControl/>
              <w:jc w:val="center"/>
              <w:rPr>
                <w:rFonts w:hint="eastAsia" w:ascii="宋体" w:hAnsi="宋体" w:cs="宋体"/>
                <w:kern w:val="0"/>
                <w:sz w:val="24"/>
              </w:rPr>
            </w:pPr>
            <w:r>
              <w:rPr>
                <w:rFonts w:hint="eastAsia" w:ascii="宋体" w:hAnsi="宋体" w:cs="宋体"/>
                <w:kern w:val="0"/>
                <w:sz w:val="24"/>
              </w:rPr>
              <w:t>142</w:t>
            </w:r>
          </w:p>
        </w:tc>
        <w:tc>
          <w:tcPr>
            <w:tcW w:w="2851" w:type="dxa"/>
            <w:tcBorders>
              <w:top w:val="nil"/>
              <w:left w:val="nil"/>
              <w:bottom w:val="single" w:color="auto" w:sz="4" w:space="0"/>
              <w:right w:val="single" w:color="auto" w:sz="4" w:space="0"/>
            </w:tcBorders>
            <w:shd w:val="clear" w:color="000000" w:fill="FFFFFF"/>
            <w:vAlign w:val="center"/>
          </w:tcPr>
          <w:p w14:paraId="4783788F">
            <w:pPr>
              <w:jc w:val="center"/>
              <w:rPr>
                <w:rFonts w:hint="eastAsia" w:ascii="宋体" w:hAnsi="宋体" w:cs="宋体"/>
                <w:color w:val="000000"/>
                <w:sz w:val="24"/>
              </w:rPr>
            </w:pPr>
            <w:r>
              <w:rPr>
                <w:rFonts w:hint="eastAsia" w:ascii="宋体" w:hAnsi="宋体" w:cs="宋体"/>
                <w:color w:val="000000"/>
                <w:sz w:val="24"/>
              </w:rPr>
              <w:t>质控血清1</w:t>
            </w:r>
          </w:p>
        </w:tc>
        <w:tc>
          <w:tcPr>
            <w:tcW w:w="1276" w:type="dxa"/>
            <w:tcBorders>
              <w:top w:val="nil"/>
              <w:left w:val="nil"/>
              <w:bottom w:val="single" w:color="auto" w:sz="4" w:space="0"/>
              <w:right w:val="single" w:color="auto" w:sz="4" w:space="0"/>
            </w:tcBorders>
            <w:shd w:val="clear" w:color="000000" w:fill="FFFFFF"/>
            <w:noWrap/>
            <w:vAlign w:val="center"/>
          </w:tcPr>
          <w:p w14:paraId="19B4D8AC">
            <w:pPr>
              <w:widowControl/>
              <w:jc w:val="center"/>
              <w:rPr>
                <w:rFonts w:hint="eastAsia" w:ascii="宋体" w:hAnsi="宋体" w:cs="宋体"/>
                <w:kern w:val="0"/>
                <w:sz w:val="24"/>
              </w:rPr>
            </w:pPr>
            <w:r>
              <w:rPr>
                <w:rFonts w:hint="eastAsia" w:ascii="宋体" w:hAnsi="宋体" w:cs="宋体"/>
                <w:kern w:val="0"/>
                <w:sz w:val="24"/>
              </w:rPr>
              <w:t>16.5</w:t>
            </w:r>
          </w:p>
        </w:tc>
        <w:tc>
          <w:tcPr>
            <w:tcW w:w="992" w:type="dxa"/>
            <w:tcBorders>
              <w:top w:val="nil"/>
              <w:left w:val="nil"/>
              <w:bottom w:val="single" w:color="auto" w:sz="4" w:space="0"/>
              <w:right w:val="single" w:color="auto" w:sz="4" w:space="0"/>
            </w:tcBorders>
            <w:shd w:val="clear" w:color="000000" w:fill="FFFFFF"/>
            <w:vAlign w:val="center"/>
          </w:tcPr>
          <w:p w14:paraId="49E90657">
            <w:pPr>
              <w:widowControl/>
              <w:jc w:val="center"/>
              <w:rPr>
                <w:rFonts w:hint="eastAsia" w:ascii="宋体" w:hAnsi="宋体" w:cs="宋体"/>
                <w:kern w:val="0"/>
                <w:sz w:val="24"/>
              </w:rPr>
            </w:pPr>
            <w:r>
              <w:rPr>
                <w:rFonts w:hint="eastAsia" w:ascii="宋体" w:hAnsi="宋体" w:cs="宋体"/>
                <w:kern w:val="0"/>
                <w:sz w:val="24"/>
              </w:rPr>
              <w:t>ml</w:t>
            </w:r>
          </w:p>
        </w:tc>
        <w:tc>
          <w:tcPr>
            <w:tcW w:w="992" w:type="dxa"/>
            <w:tcBorders>
              <w:top w:val="nil"/>
              <w:left w:val="nil"/>
              <w:bottom w:val="single" w:color="auto" w:sz="4" w:space="0"/>
              <w:right w:val="single" w:color="auto" w:sz="4" w:space="0"/>
            </w:tcBorders>
            <w:shd w:val="clear" w:color="000000" w:fill="FFFFFF"/>
            <w:noWrap/>
            <w:vAlign w:val="center"/>
          </w:tcPr>
          <w:p w14:paraId="0BA518DE">
            <w:pPr>
              <w:widowControl/>
              <w:jc w:val="center"/>
              <w:rPr>
                <w:rFonts w:hint="eastAsia" w:ascii="宋体" w:hAnsi="宋体" w:cs="宋体"/>
                <w:kern w:val="0"/>
                <w:sz w:val="24"/>
              </w:rPr>
            </w:pPr>
            <w:r>
              <w:rPr>
                <w:rFonts w:hint="eastAsia" w:ascii="宋体" w:hAnsi="宋体" w:cs="宋体"/>
                <w:kern w:val="0"/>
                <w:sz w:val="24"/>
              </w:rPr>
              <w:t>100</w:t>
            </w:r>
          </w:p>
        </w:tc>
        <w:tc>
          <w:tcPr>
            <w:tcW w:w="851" w:type="dxa"/>
            <w:tcBorders>
              <w:top w:val="nil"/>
              <w:left w:val="nil"/>
              <w:bottom w:val="single" w:color="auto" w:sz="4" w:space="0"/>
              <w:right w:val="single" w:color="auto" w:sz="4" w:space="0"/>
            </w:tcBorders>
            <w:shd w:val="clear" w:color="000000" w:fill="FFFFFF"/>
            <w:vAlign w:val="center"/>
          </w:tcPr>
          <w:p w14:paraId="57B7A748">
            <w:pPr>
              <w:widowControl/>
              <w:jc w:val="center"/>
              <w:rPr>
                <w:rFonts w:hint="eastAsia" w:ascii="宋体" w:hAnsi="宋体" w:cs="宋体"/>
                <w:color w:val="000000"/>
                <w:kern w:val="0"/>
                <w:sz w:val="24"/>
              </w:rPr>
            </w:pPr>
            <w:r>
              <w:rPr>
                <w:rFonts w:hint="eastAsia" w:ascii="宋体" w:hAnsi="宋体" w:cs="宋体"/>
                <w:color w:val="000000"/>
                <w:kern w:val="0"/>
                <w:sz w:val="24"/>
              </w:rPr>
              <w:t>是</w:t>
            </w:r>
          </w:p>
        </w:tc>
        <w:tc>
          <w:tcPr>
            <w:tcW w:w="952" w:type="dxa"/>
            <w:tcBorders>
              <w:top w:val="nil"/>
              <w:left w:val="nil"/>
              <w:bottom w:val="single" w:color="auto" w:sz="4" w:space="0"/>
              <w:right w:val="single" w:color="auto" w:sz="4" w:space="0"/>
            </w:tcBorders>
            <w:shd w:val="clear" w:color="000000" w:fill="FFFFFF"/>
            <w:vAlign w:val="center"/>
          </w:tcPr>
          <w:p w14:paraId="3B995C8F">
            <w:pPr>
              <w:widowControl/>
              <w:jc w:val="center"/>
              <w:rPr>
                <w:rFonts w:hint="eastAsia" w:ascii="宋体" w:hAnsi="宋体" w:cs="宋体"/>
                <w:color w:val="000000"/>
                <w:kern w:val="0"/>
                <w:sz w:val="24"/>
              </w:rPr>
            </w:pPr>
            <w:r>
              <w:rPr>
                <w:rFonts w:hint="eastAsia" w:ascii="宋体" w:hAnsi="宋体" w:cs="宋体"/>
                <w:color w:val="000000"/>
                <w:kern w:val="0"/>
                <w:sz w:val="24"/>
              </w:rPr>
              <w:t>否</w:t>
            </w:r>
          </w:p>
        </w:tc>
      </w:tr>
      <w:tr w14:paraId="17CA3184">
        <w:tblPrEx>
          <w:tblCellMar>
            <w:top w:w="0" w:type="dxa"/>
            <w:left w:w="108" w:type="dxa"/>
            <w:bottom w:w="0" w:type="dxa"/>
            <w:right w:w="108" w:type="dxa"/>
          </w:tblCellMar>
        </w:tblPrEx>
        <w:trPr>
          <w:trHeight w:val="288" w:hRule="atLeast"/>
        </w:trPr>
        <w:tc>
          <w:tcPr>
            <w:tcW w:w="704" w:type="dxa"/>
            <w:tcBorders>
              <w:top w:val="nil"/>
              <w:left w:val="single" w:color="auto" w:sz="4" w:space="0"/>
              <w:bottom w:val="single" w:color="auto" w:sz="4" w:space="0"/>
              <w:right w:val="single" w:color="auto" w:sz="4" w:space="0"/>
            </w:tcBorders>
            <w:shd w:val="clear" w:color="000000" w:fill="FFFFFF"/>
            <w:vAlign w:val="center"/>
          </w:tcPr>
          <w:p w14:paraId="338FB44D">
            <w:pPr>
              <w:widowControl/>
              <w:jc w:val="center"/>
              <w:rPr>
                <w:rFonts w:hint="eastAsia" w:ascii="宋体" w:hAnsi="宋体" w:cs="宋体"/>
                <w:kern w:val="0"/>
                <w:sz w:val="24"/>
              </w:rPr>
            </w:pPr>
            <w:r>
              <w:rPr>
                <w:rFonts w:hint="eastAsia" w:ascii="宋体" w:hAnsi="宋体" w:cs="宋体"/>
                <w:kern w:val="0"/>
                <w:sz w:val="24"/>
              </w:rPr>
              <w:t>143</w:t>
            </w:r>
          </w:p>
        </w:tc>
        <w:tc>
          <w:tcPr>
            <w:tcW w:w="2851" w:type="dxa"/>
            <w:tcBorders>
              <w:top w:val="nil"/>
              <w:left w:val="nil"/>
              <w:bottom w:val="single" w:color="auto" w:sz="4" w:space="0"/>
              <w:right w:val="single" w:color="auto" w:sz="4" w:space="0"/>
            </w:tcBorders>
            <w:shd w:val="clear" w:color="000000" w:fill="FFFFFF"/>
            <w:vAlign w:val="center"/>
          </w:tcPr>
          <w:p w14:paraId="2B04B348">
            <w:pPr>
              <w:jc w:val="center"/>
              <w:rPr>
                <w:rFonts w:hint="eastAsia" w:ascii="宋体" w:hAnsi="宋体" w:cs="宋体"/>
                <w:color w:val="000000"/>
                <w:sz w:val="24"/>
              </w:rPr>
            </w:pPr>
            <w:r>
              <w:rPr>
                <w:rFonts w:hint="eastAsia" w:ascii="宋体" w:hAnsi="宋体" w:cs="宋体"/>
                <w:color w:val="000000"/>
                <w:sz w:val="24"/>
              </w:rPr>
              <w:t>质控血清2</w:t>
            </w:r>
          </w:p>
        </w:tc>
        <w:tc>
          <w:tcPr>
            <w:tcW w:w="1276" w:type="dxa"/>
            <w:tcBorders>
              <w:top w:val="nil"/>
              <w:left w:val="nil"/>
              <w:bottom w:val="single" w:color="auto" w:sz="4" w:space="0"/>
              <w:right w:val="single" w:color="auto" w:sz="4" w:space="0"/>
            </w:tcBorders>
            <w:shd w:val="clear" w:color="000000" w:fill="FFFFFF"/>
            <w:noWrap/>
            <w:vAlign w:val="center"/>
          </w:tcPr>
          <w:p w14:paraId="6E5EABAB">
            <w:pPr>
              <w:widowControl/>
              <w:jc w:val="center"/>
              <w:rPr>
                <w:rFonts w:hint="eastAsia" w:ascii="宋体" w:hAnsi="宋体" w:cs="宋体"/>
                <w:kern w:val="0"/>
                <w:sz w:val="24"/>
              </w:rPr>
            </w:pPr>
            <w:r>
              <w:rPr>
                <w:rFonts w:hint="eastAsia" w:ascii="宋体" w:hAnsi="宋体" w:cs="宋体"/>
                <w:kern w:val="0"/>
                <w:sz w:val="24"/>
              </w:rPr>
              <w:t>16.5</w:t>
            </w:r>
          </w:p>
        </w:tc>
        <w:tc>
          <w:tcPr>
            <w:tcW w:w="992" w:type="dxa"/>
            <w:tcBorders>
              <w:top w:val="nil"/>
              <w:left w:val="nil"/>
              <w:bottom w:val="single" w:color="auto" w:sz="4" w:space="0"/>
              <w:right w:val="single" w:color="auto" w:sz="4" w:space="0"/>
            </w:tcBorders>
            <w:shd w:val="clear" w:color="000000" w:fill="FFFFFF"/>
            <w:vAlign w:val="center"/>
          </w:tcPr>
          <w:p w14:paraId="40ECA925">
            <w:pPr>
              <w:widowControl/>
              <w:jc w:val="center"/>
              <w:rPr>
                <w:rFonts w:hint="eastAsia" w:ascii="宋体" w:hAnsi="宋体" w:cs="宋体"/>
                <w:kern w:val="0"/>
                <w:sz w:val="24"/>
              </w:rPr>
            </w:pPr>
            <w:r>
              <w:rPr>
                <w:rFonts w:hint="eastAsia" w:ascii="宋体" w:hAnsi="宋体" w:cs="宋体"/>
                <w:kern w:val="0"/>
                <w:sz w:val="24"/>
              </w:rPr>
              <w:t>ml</w:t>
            </w:r>
          </w:p>
        </w:tc>
        <w:tc>
          <w:tcPr>
            <w:tcW w:w="992" w:type="dxa"/>
            <w:tcBorders>
              <w:top w:val="nil"/>
              <w:left w:val="nil"/>
              <w:bottom w:val="single" w:color="auto" w:sz="4" w:space="0"/>
              <w:right w:val="single" w:color="auto" w:sz="4" w:space="0"/>
            </w:tcBorders>
            <w:shd w:val="clear" w:color="000000" w:fill="FFFFFF"/>
            <w:noWrap/>
            <w:vAlign w:val="center"/>
          </w:tcPr>
          <w:p w14:paraId="5221CB2E">
            <w:pPr>
              <w:widowControl/>
              <w:jc w:val="center"/>
              <w:rPr>
                <w:rFonts w:hint="eastAsia" w:ascii="宋体" w:hAnsi="宋体" w:cs="宋体"/>
                <w:kern w:val="0"/>
                <w:sz w:val="24"/>
              </w:rPr>
            </w:pPr>
            <w:r>
              <w:rPr>
                <w:rFonts w:hint="eastAsia" w:ascii="宋体" w:hAnsi="宋体" w:cs="宋体"/>
                <w:kern w:val="0"/>
                <w:sz w:val="24"/>
              </w:rPr>
              <w:t>100</w:t>
            </w:r>
          </w:p>
        </w:tc>
        <w:tc>
          <w:tcPr>
            <w:tcW w:w="851" w:type="dxa"/>
            <w:tcBorders>
              <w:top w:val="nil"/>
              <w:left w:val="nil"/>
              <w:bottom w:val="single" w:color="auto" w:sz="4" w:space="0"/>
              <w:right w:val="single" w:color="auto" w:sz="4" w:space="0"/>
            </w:tcBorders>
            <w:shd w:val="clear" w:color="000000" w:fill="FFFFFF"/>
            <w:vAlign w:val="center"/>
          </w:tcPr>
          <w:p w14:paraId="757C7C46">
            <w:pPr>
              <w:widowControl/>
              <w:jc w:val="center"/>
              <w:rPr>
                <w:rFonts w:hint="eastAsia" w:ascii="宋体" w:hAnsi="宋体" w:cs="宋体"/>
                <w:color w:val="000000"/>
                <w:kern w:val="0"/>
                <w:sz w:val="24"/>
              </w:rPr>
            </w:pPr>
            <w:r>
              <w:rPr>
                <w:rFonts w:hint="eastAsia" w:ascii="宋体" w:hAnsi="宋体" w:cs="宋体"/>
                <w:color w:val="000000"/>
                <w:kern w:val="0"/>
                <w:sz w:val="24"/>
              </w:rPr>
              <w:t>是</w:t>
            </w:r>
          </w:p>
        </w:tc>
        <w:tc>
          <w:tcPr>
            <w:tcW w:w="952" w:type="dxa"/>
            <w:tcBorders>
              <w:top w:val="nil"/>
              <w:left w:val="nil"/>
              <w:bottom w:val="single" w:color="auto" w:sz="4" w:space="0"/>
              <w:right w:val="single" w:color="auto" w:sz="4" w:space="0"/>
            </w:tcBorders>
            <w:shd w:val="clear" w:color="000000" w:fill="FFFFFF"/>
            <w:vAlign w:val="center"/>
          </w:tcPr>
          <w:p w14:paraId="43B87E18">
            <w:pPr>
              <w:widowControl/>
              <w:jc w:val="center"/>
              <w:rPr>
                <w:rFonts w:hint="eastAsia" w:ascii="宋体" w:hAnsi="宋体" w:cs="宋体"/>
                <w:color w:val="000000"/>
                <w:kern w:val="0"/>
                <w:sz w:val="24"/>
              </w:rPr>
            </w:pPr>
            <w:r>
              <w:rPr>
                <w:rFonts w:hint="eastAsia" w:ascii="宋体" w:hAnsi="宋体" w:cs="宋体"/>
                <w:color w:val="000000"/>
                <w:kern w:val="0"/>
                <w:sz w:val="24"/>
              </w:rPr>
              <w:t>否</w:t>
            </w:r>
          </w:p>
        </w:tc>
      </w:tr>
      <w:tr w14:paraId="0C8B9D84">
        <w:tblPrEx>
          <w:tblCellMar>
            <w:top w:w="0" w:type="dxa"/>
            <w:left w:w="108" w:type="dxa"/>
            <w:bottom w:w="0" w:type="dxa"/>
            <w:right w:w="108" w:type="dxa"/>
          </w:tblCellMar>
        </w:tblPrEx>
        <w:trPr>
          <w:trHeight w:val="288" w:hRule="atLeast"/>
        </w:trPr>
        <w:tc>
          <w:tcPr>
            <w:tcW w:w="704" w:type="dxa"/>
            <w:tcBorders>
              <w:top w:val="nil"/>
              <w:left w:val="single" w:color="auto" w:sz="4" w:space="0"/>
              <w:bottom w:val="single" w:color="auto" w:sz="4" w:space="0"/>
              <w:right w:val="single" w:color="auto" w:sz="4" w:space="0"/>
            </w:tcBorders>
            <w:shd w:val="clear" w:color="000000" w:fill="FFFFFF"/>
            <w:vAlign w:val="center"/>
          </w:tcPr>
          <w:p w14:paraId="42DA63C7">
            <w:pPr>
              <w:widowControl/>
              <w:jc w:val="center"/>
              <w:rPr>
                <w:rFonts w:hint="eastAsia" w:ascii="宋体" w:hAnsi="宋体" w:cs="宋体"/>
                <w:kern w:val="0"/>
                <w:sz w:val="24"/>
              </w:rPr>
            </w:pPr>
            <w:r>
              <w:rPr>
                <w:rFonts w:hint="eastAsia" w:ascii="宋体" w:hAnsi="宋体" w:cs="宋体"/>
                <w:kern w:val="0"/>
                <w:sz w:val="24"/>
              </w:rPr>
              <w:t>144</w:t>
            </w:r>
          </w:p>
        </w:tc>
        <w:tc>
          <w:tcPr>
            <w:tcW w:w="2851" w:type="dxa"/>
            <w:tcBorders>
              <w:top w:val="nil"/>
              <w:left w:val="nil"/>
              <w:bottom w:val="single" w:color="auto" w:sz="4" w:space="0"/>
              <w:right w:val="single" w:color="auto" w:sz="4" w:space="0"/>
            </w:tcBorders>
            <w:shd w:val="clear" w:color="000000" w:fill="FFFFFF"/>
            <w:vAlign w:val="center"/>
          </w:tcPr>
          <w:p w14:paraId="4F32A66E">
            <w:pPr>
              <w:jc w:val="center"/>
              <w:rPr>
                <w:rFonts w:hint="eastAsia" w:ascii="宋体" w:hAnsi="宋体" w:cs="宋体"/>
                <w:color w:val="000000"/>
                <w:sz w:val="24"/>
              </w:rPr>
            </w:pPr>
            <w:r>
              <w:rPr>
                <w:rFonts w:hint="eastAsia" w:ascii="宋体" w:hAnsi="宋体" w:cs="宋体"/>
                <w:color w:val="000000"/>
                <w:sz w:val="24"/>
              </w:rPr>
              <w:t>糖化白蛋白测定试剂盒</w:t>
            </w:r>
          </w:p>
        </w:tc>
        <w:tc>
          <w:tcPr>
            <w:tcW w:w="1276" w:type="dxa"/>
            <w:tcBorders>
              <w:top w:val="nil"/>
              <w:left w:val="nil"/>
              <w:bottom w:val="single" w:color="auto" w:sz="4" w:space="0"/>
              <w:right w:val="single" w:color="auto" w:sz="4" w:space="0"/>
            </w:tcBorders>
            <w:shd w:val="clear" w:color="000000" w:fill="FFFFFF"/>
            <w:noWrap/>
            <w:vAlign w:val="center"/>
          </w:tcPr>
          <w:p w14:paraId="65279B55">
            <w:pPr>
              <w:widowControl/>
              <w:jc w:val="center"/>
              <w:rPr>
                <w:rFonts w:hint="eastAsia" w:ascii="宋体" w:hAnsi="宋体" w:cs="宋体"/>
                <w:kern w:val="0"/>
                <w:sz w:val="24"/>
              </w:rPr>
            </w:pPr>
            <w:r>
              <w:rPr>
                <w:rFonts w:hint="eastAsia" w:ascii="宋体" w:hAnsi="宋体" w:cs="宋体"/>
                <w:kern w:val="0"/>
                <w:sz w:val="24"/>
              </w:rPr>
              <w:t>59.09</w:t>
            </w:r>
          </w:p>
        </w:tc>
        <w:tc>
          <w:tcPr>
            <w:tcW w:w="992" w:type="dxa"/>
            <w:tcBorders>
              <w:top w:val="nil"/>
              <w:left w:val="nil"/>
              <w:bottom w:val="single" w:color="auto" w:sz="4" w:space="0"/>
              <w:right w:val="single" w:color="auto" w:sz="4" w:space="0"/>
            </w:tcBorders>
            <w:shd w:val="clear" w:color="000000" w:fill="FFFFFF"/>
            <w:vAlign w:val="center"/>
          </w:tcPr>
          <w:p w14:paraId="3B7EEFC2">
            <w:pPr>
              <w:widowControl/>
              <w:jc w:val="center"/>
              <w:rPr>
                <w:rFonts w:hint="eastAsia" w:ascii="宋体" w:hAnsi="宋体" w:cs="宋体"/>
                <w:kern w:val="0"/>
                <w:sz w:val="24"/>
              </w:rPr>
            </w:pPr>
            <w:r>
              <w:rPr>
                <w:rFonts w:hint="eastAsia" w:ascii="宋体" w:hAnsi="宋体" w:cs="宋体"/>
                <w:kern w:val="0"/>
                <w:sz w:val="24"/>
              </w:rPr>
              <w:t>ml</w:t>
            </w:r>
          </w:p>
        </w:tc>
        <w:tc>
          <w:tcPr>
            <w:tcW w:w="992" w:type="dxa"/>
            <w:tcBorders>
              <w:top w:val="nil"/>
              <w:left w:val="nil"/>
              <w:bottom w:val="single" w:color="auto" w:sz="4" w:space="0"/>
              <w:right w:val="single" w:color="auto" w:sz="4" w:space="0"/>
            </w:tcBorders>
            <w:shd w:val="clear" w:color="000000" w:fill="FFFFFF"/>
            <w:noWrap/>
            <w:vAlign w:val="center"/>
          </w:tcPr>
          <w:p w14:paraId="0FC0C430">
            <w:pPr>
              <w:widowControl/>
              <w:jc w:val="center"/>
              <w:rPr>
                <w:rFonts w:hint="eastAsia" w:ascii="宋体" w:hAnsi="宋体" w:cs="宋体"/>
                <w:kern w:val="0"/>
                <w:sz w:val="24"/>
              </w:rPr>
            </w:pPr>
            <w:r>
              <w:rPr>
                <w:rFonts w:hint="eastAsia" w:ascii="宋体" w:hAnsi="宋体" w:cs="宋体"/>
                <w:kern w:val="0"/>
                <w:sz w:val="24"/>
              </w:rPr>
              <w:t>220</w:t>
            </w:r>
          </w:p>
        </w:tc>
        <w:tc>
          <w:tcPr>
            <w:tcW w:w="851" w:type="dxa"/>
            <w:tcBorders>
              <w:top w:val="nil"/>
              <w:left w:val="nil"/>
              <w:bottom w:val="single" w:color="auto" w:sz="4" w:space="0"/>
              <w:right w:val="single" w:color="auto" w:sz="4" w:space="0"/>
            </w:tcBorders>
            <w:shd w:val="clear" w:color="000000" w:fill="FFFFFF"/>
            <w:vAlign w:val="center"/>
          </w:tcPr>
          <w:p w14:paraId="71332FB0">
            <w:pPr>
              <w:widowControl/>
              <w:jc w:val="center"/>
              <w:rPr>
                <w:rFonts w:hint="eastAsia" w:ascii="宋体" w:hAnsi="宋体" w:cs="宋体"/>
                <w:color w:val="000000"/>
                <w:kern w:val="0"/>
                <w:sz w:val="24"/>
              </w:rPr>
            </w:pPr>
            <w:r>
              <w:rPr>
                <w:rFonts w:hint="eastAsia" w:ascii="宋体" w:hAnsi="宋体" w:cs="宋体"/>
                <w:color w:val="000000"/>
                <w:kern w:val="0"/>
                <w:sz w:val="24"/>
              </w:rPr>
              <w:t>是</w:t>
            </w:r>
          </w:p>
        </w:tc>
        <w:tc>
          <w:tcPr>
            <w:tcW w:w="952" w:type="dxa"/>
            <w:tcBorders>
              <w:top w:val="nil"/>
              <w:left w:val="nil"/>
              <w:bottom w:val="single" w:color="auto" w:sz="4" w:space="0"/>
              <w:right w:val="single" w:color="auto" w:sz="4" w:space="0"/>
            </w:tcBorders>
            <w:shd w:val="clear" w:color="000000" w:fill="FFFFFF"/>
            <w:vAlign w:val="center"/>
          </w:tcPr>
          <w:p w14:paraId="53B9735D">
            <w:pPr>
              <w:widowControl/>
              <w:jc w:val="center"/>
              <w:rPr>
                <w:rFonts w:hint="eastAsia" w:ascii="宋体" w:hAnsi="宋体" w:cs="宋体"/>
                <w:color w:val="000000"/>
                <w:kern w:val="0"/>
                <w:sz w:val="24"/>
              </w:rPr>
            </w:pPr>
            <w:r>
              <w:rPr>
                <w:rFonts w:hint="eastAsia" w:ascii="宋体" w:hAnsi="宋体" w:cs="宋体"/>
                <w:color w:val="000000"/>
                <w:kern w:val="0"/>
                <w:sz w:val="24"/>
              </w:rPr>
              <w:t>否</w:t>
            </w:r>
          </w:p>
        </w:tc>
      </w:tr>
      <w:tr w14:paraId="19E21E47">
        <w:tblPrEx>
          <w:tblCellMar>
            <w:top w:w="0" w:type="dxa"/>
            <w:left w:w="108" w:type="dxa"/>
            <w:bottom w:w="0" w:type="dxa"/>
            <w:right w:w="108" w:type="dxa"/>
          </w:tblCellMar>
        </w:tblPrEx>
        <w:trPr>
          <w:trHeight w:val="288" w:hRule="atLeast"/>
        </w:trPr>
        <w:tc>
          <w:tcPr>
            <w:tcW w:w="704" w:type="dxa"/>
            <w:tcBorders>
              <w:top w:val="nil"/>
              <w:left w:val="single" w:color="auto" w:sz="4" w:space="0"/>
              <w:bottom w:val="single" w:color="auto" w:sz="4" w:space="0"/>
              <w:right w:val="single" w:color="auto" w:sz="4" w:space="0"/>
            </w:tcBorders>
            <w:shd w:val="clear" w:color="000000" w:fill="FFFFFF"/>
            <w:vAlign w:val="center"/>
          </w:tcPr>
          <w:p w14:paraId="6326858D">
            <w:pPr>
              <w:widowControl/>
              <w:jc w:val="center"/>
              <w:rPr>
                <w:rFonts w:hint="eastAsia" w:ascii="宋体" w:hAnsi="宋体" w:cs="宋体"/>
                <w:kern w:val="0"/>
                <w:sz w:val="24"/>
              </w:rPr>
            </w:pPr>
            <w:r>
              <w:rPr>
                <w:rFonts w:hint="eastAsia" w:ascii="宋体" w:hAnsi="宋体" w:cs="宋体"/>
                <w:kern w:val="0"/>
                <w:sz w:val="24"/>
              </w:rPr>
              <w:t>145</w:t>
            </w:r>
          </w:p>
        </w:tc>
        <w:tc>
          <w:tcPr>
            <w:tcW w:w="2851" w:type="dxa"/>
            <w:tcBorders>
              <w:top w:val="nil"/>
              <w:left w:val="nil"/>
              <w:bottom w:val="single" w:color="auto" w:sz="4" w:space="0"/>
              <w:right w:val="single" w:color="auto" w:sz="4" w:space="0"/>
            </w:tcBorders>
            <w:shd w:val="clear" w:color="000000" w:fill="FFFFFF"/>
            <w:vAlign w:val="center"/>
          </w:tcPr>
          <w:p w14:paraId="57DE5FB1">
            <w:pPr>
              <w:jc w:val="center"/>
              <w:rPr>
                <w:rFonts w:hint="eastAsia" w:ascii="宋体" w:hAnsi="宋体" w:cs="宋体"/>
                <w:color w:val="000000"/>
                <w:sz w:val="24"/>
              </w:rPr>
            </w:pPr>
            <w:r>
              <w:rPr>
                <w:rFonts w:hint="eastAsia" w:ascii="宋体" w:hAnsi="宋体" w:cs="宋体"/>
                <w:color w:val="000000"/>
                <w:sz w:val="24"/>
              </w:rPr>
              <w:t>糖化白蛋白校准品</w:t>
            </w:r>
          </w:p>
        </w:tc>
        <w:tc>
          <w:tcPr>
            <w:tcW w:w="1276" w:type="dxa"/>
            <w:tcBorders>
              <w:top w:val="nil"/>
              <w:left w:val="nil"/>
              <w:bottom w:val="single" w:color="auto" w:sz="4" w:space="0"/>
              <w:right w:val="single" w:color="auto" w:sz="4" w:space="0"/>
            </w:tcBorders>
            <w:shd w:val="clear" w:color="000000" w:fill="FFFFFF"/>
            <w:noWrap/>
            <w:vAlign w:val="center"/>
          </w:tcPr>
          <w:p w14:paraId="0909F19B">
            <w:pPr>
              <w:widowControl/>
              <w:jc w:val="center"/>
              <w:rPr>
                <w:rFonts w:hint="eastAsia" w:ascii="宋体" w:hAnsi="宋体" w:cs="宋体"/>
                <w:kern w:val="0"/>
                <w:sz w:val="24"/>
              </w:rPr>
            </w:pPr>
            <w:r>
              <w:rPr>
                <w:rFonts w:hint="eastAsia" w:ascii="宋体" w:hAnsi="宋体" w:cs="宋体"/>
                <w:kern w:val="0"/>
                <w:sz w:val="24"/>
              </w:rPr>
              <w:t>600</w:t>
            </w:r>
          </w:p>
        </w:tc>
        <w:tc>
          <w:tcPr>
            <w:tcW w:w="992" w:type="dxa"/>
            <w:tcBorders>
              <w:top w:val="nil"/>
              <w:left w:val="nil"/>
              <w:bottom w:val="single" w:color="auto" w:sz="4" w:space="0"/>
              <w:right w:val="single" w:color="auto" w:sz="4" w:space="0"/>
            </w:tcBorders>
            <w:shd w:val="clear" w:color="000000" w:fill="FFFFFF"/>
            <w:vAlign w:val="center"/>
          </w:tcPr>
          <w:p w14:paraId="5D8674CA">
            <w:pPr>
              <w:widowControl/>
              <w:jc w:val="center"/>
              <w:rPr>
                <w:rFonts w:hint="eastAsia" w:ascii="宋体" w:hAnsi="宋体" w:cs="宋体"/>
                <w:kern w:val="0"/>
                <w:sz w:val="24"/>
              </w:rPr>
            </w:pPr>
            <w:r>
              <w:rPr>
                <w:rFonts w:hint="eastAsia" w:ascii="宋体" w:hAnsi="宋体" w:cs="宋体"/>
                <w:kern w:val="0"/>
                <w:sz w:val="24"/>
              </w:rPr>
              <w:t>ml</w:t>
            </w:r>
          </w:p>
        </w:tc>
        <w:tc>
          <w:tcPr>
            <w:tcW w:w="992" w:type="dxa"/>
            <w:tcBorders>
              <w:top w:val="nil"/>
              <w:left w:val="nil"/>
              <w:bottom w:val="single" w:color="auto" w:sz="4" w:space="0"/>
              <w:right w:val="single" w:color="auto" w:sz="4" w:space="0"/>
            </w:tcBorders>
            <w:shd w:val="clear" w:color="000000" w:fill="FFFFFF"/>
            <w:noWrap/>
            <w:vAlign w:val="center"/>
          </w:tcPr>
          <w:p w14:paraId="0A3B4D0B">
            <w:pPr>
              <w:widowControl/>
              <w:jc w:val="center"/>
              <w:rPr>
                <w:rFonts w:hint="eastAsia" w:ascii="宋体" w:hAnsi="宋体" w:cs="宋体"/>
                <w:kern w:val="0"/>
                <w:sz w:val="24"/>
              </w:rPr>
            </w:pPr>
            <w:r>
              <w:rPr>
                <w:rFonts w:hint="eastAsia" w:ascii="宋体" w:hAnsi="宋体" w:cs="宋体"/>
                <w:kern w:val="0"/>
                <w:sz w:val="24"/>
              </w:rPr>
              <w:t>2</w:t>
            </w:r>
          </w:p>
        </w:tc>
        <w:tc>
          <w:tcPr>
            <w:tcW w:w="851" w:type="dxa"/>
            <w:tcBorders>
              <w:top w:val="nil"/>
              <w:left w:val="nil"/>
              <w:bottom w:val="single" w:color="auto" w:sz="4" w:space="0"/>
              <w:right w:val="single" w:color="auto" w:sz="4" w:space="0"/>
            </w:tcBorders>
            <w:shd w:val="clear" w:color="000000" w:fill="FFFFFF"/>
            <w:vAlign w:val="center"/>
          </w:tcPr>
          <w:p w14:paraId="20074271">
            <w:pPr>
              <w:widowControl/>
              <w:jc w:val="center"/>
              <w:rPr>
                <w:rFonts w:hint="eastAsia" w:ascii="宋体" w:hAnsi="宋体" w:cs="宋体"/>
                <w:color w:val="000000"/>
                <w:kern w:val="0"/>
                <w:sz w:val="24"/>
              </w:rPr>
            </w:pPr>
            <w:r>
              <w:rPr>
                <w:rFonts w:hint="eastAsia" w:ascii="宋体" w:hAnsi="宋体" w:cs="宋体"/>
                <w:color w:val="000000"/>
                <w:kern w:val="0"/>
                <w:sz w:val="24"/>
              </w:rPr>
              <w:t>是</w:t>
            </w:r>
          </w:p>
        </w:tc>
        <w:tc>
          <w:tcPr>
            <w:tcW w:w="952" w:type="dxa"/>
            <w:tcBorders>
              <w:top w:val="nil"/>
              <w:left w:val="nil"/>
              <w:bottom w:val="single" w:color="auto" w:sz="4" w:space="0"/>
              <w:right w:val="single" w:color="auto" w:sz="4" w:space="0"/>
            </w:tcBorders>
            <w:shd w:val="clear" w:color="000000" w:fill="FFFFFF"/>
            <w:vAlign w:val="center"/>
          </w:tcPr>
          <w:p w14:paraId="518C994E">
            <w:pPr>
              <w:widowControl/>
              <w:jc w:val="center"/>
              <w:rPr>
                <w:rFonts w:hint="eastAsia" w:ascii="宋体" w:hAnsi="宋体" w:cs="宋体"/>
                <w:color w:val="000000"/>
                <w:kern w:val="0"/>
                <w:sz w:val="24"/>
              </w:rPr>
            </w:pPr>
            <w:r>
              <w:rPr>
                <w:rFonts w:hint="eastAsia" w:ascii="宋体" w:hAnsi="宋体" w:cs="宋体"/>
                <w:color w:val="000000"/>
                <w:kern w:val="0"/>
                <w:sz w:val="24"/>
              </w:rPr>
              <w:t>否</w:t>
            </w:r>
          </w:p>
        </w:tc>
      </w:tr>
      <w:tr w14:paraId="24D89227">
        <w:tblPrEx>
          <w:tblCellMar>
            <w:top w:w="0" w:type="dxa"/>
            <w:left w:w="108" w:type="dxa"/>
            <w:bottom w:w="0" w:type="dxa"/>
            <w:right w:w="108" w:type="dxa"/>
          </w:tblCellMar>
        </w:tblPrEx>
        <w:trPr>
          <w:trHeight w:val="288" w:hRule="atLeast"/>
        </w:trPr>
        <w:tc>
          <w:tcPr>
            <w:tcW w:w="704" w:type="dxa"/>
            <w:tcBorders>
              <w:top w:val="nil"/>
              <w:left w:val="single" w:color="auto" w:sz="4" w:space="0"/>
              <w:bottom w:val="single" w:color="auto" w:sz="4" w:space="0"/>
              <w:right w:val="single" w:color="auto" w:sz="4" w:space="0"/>
            </w:tcBorders>
            <w:shd w:val="clear" w:color="000000" w:fill="FFFFFF"/>
            <w:vAlign w:val="center"/>
          </w:tcPr>
          <w:p w14:paraId="12B05493">
            <w:pPr>
              <w:widowControl/>
              <w:jc w:val="center"/>
              <w:rPr>
                <w:rFonts w:hint="eastAsia" w:ascii="宋体" w:hAnsi="宋体" w:cs="宋体"/>
                <w:kern w:val="0"/>
                <w:sz w:val="24"/>
              </w:rPr>
            </w:pPr>
            <w:r>
              <w:rPr>
                <w:rFonts w:hint="eastAsia" w:ascii="宋体" w:hAnsi="宋体" w:cs="宋体"/>
                <w:kern w:val="0"/>
                <w:sz w:val="24"/>
              </w:rPr>
              <w:t>146</w:t>
            </w:r>
          </w:p>
        </w:tc>
        <w:tc>
          <w:tcPr>
            <w:tcW w:w="2851" w:type="dxa"/>
            <w:tcBorders>
              <w:top w:val="nil"/>
              <w:left w:val="nil"/>
              <w:bottom w:val="single" w:color="auto" w:sz="4" w:space="0"/>
              <w:right w:val="single" w:color="auto" w:sz="4" w:space="0"/>
            </w:tcBorders>
            <w:shd w:val="clear" w:color="000000" w:fill="FFFFFF"/>
            <w:vAlign w:val="center"/>
          </w:tcPr>
          <w:p w14:paraId="11A94985">
            <w:pPr>
              <w:jc w:val="center"/>
              <w:rPr>
                <w:rFonts w:hint="eastAsia" w:ascii="宋体" w:hAnsi="宋体" w:cs="宋体"/>
                <w:color w:val="000000"/>
                <w:sz w:val="24"/>
              </w:rPr>
            </w:pPr>
            <w:r>
              <w:rPr>
                <w:rFonts w:hint="eastAsia" w:ascii="宋体" w:hAnsi="宋体" w:cs="宋体"/>
                <w:color w:val="000000"/>
                <w:sz w:val="24"/>
              </w:rPr>
              <w:t>糖化白蛋白质控品</w:t>
            </w:r>
          </w:p>
        </w:tc>
        <w:tc>
          <w:tcPr>
            <w:tcW w:w="1276" w:type="dxa"/>
            <w:tcBorders>
              <w:top w:val="nil"/>
              <w:left w:val="nil"/>
              <w:bottom w:val="single" w:color="auto" w:sz="4" w:space="0"/>
              <w:right w:val="single" w:color="auto" w:sz="4" w:space="0"/>
            </w:tcBorders>
            <w:shd w:val="clear" w:color="000000" w:fill="FFFFFF"/>
            <w:noWrap/>
            <w:vAlign w:val="center"/>
          </w:tcPr>
          <w:p w14:paraId="26763D0C">
            <w:pPr>
              <w:widowControl/>
              <w:jc w:val="center"/>
              <w:rPr>
                <w:rFonts w:hint="eastAsia" w:ascii="宋体" w:hAnsi="宋体" w:cs="宋体"/>
                <w:kern w:val="0"/>
                <w:sz w:val="24"/>
              </w:rPr>
            </w:pPr>
            <w:r>
              <w:rPr>
                <w:rFonts w:hint="eastAsia" w:ascii="宋体" w:hAnsi="宋体" w:cs="宋体"/>
                <w:kern w:val="0"/>
                <w:sz w:val="24"/>
              </w:rPr>
              <w:t>200</w:t>
            </w:r>
          </w:p>
        </w:tc>
        <w:tc>
          <w:tcPr>
            <w:tcW w:w="992" w:type="dxa"/>
            <w:tcBorders>
              <w:top w:val="nil"/>
              <w:left w:val="nil"/>
              <w:bottom w:val="single" w:color="auto" w:sz="4" w:space="0"/>
              <w:right w:val="single" w:color="auto" w:sz="4" w:space="0"/>
            </w:tcBorders>
            <w:shd w:val="clear" w:color="000000" w:fill="FFFFFF"/>
            <w:vAlign w:val="center"/>
          </w:tcPr>
          <w:p w14:paraId="2110C503">
            <w:pPr>
              <w:widowControl/>
              <w:jc w:val="center"/>
              <w:rPr>
                <w:rFonts w:hint="eastAsia" w:ascii="宋体" w:hAnsi="宋体" w:cs="宋体"/>
                <w:kern w:val="0"/>
                <w:sz w:val="24"/>
              </w:rPr>
            </w:pPr>
            <w:r>
              <w:rPr>
                <w:rFonts w:hint="eastAsia" w:ascii="宋体" w:hAnsi="宋体" w:cs="宋体"/>
                <w:kern w:val="0"/>
                <w:sz w:val="24"/>
              </w:rPr>
              <w:t>ml</w:t>
            </w:r>
          </w:p>
        </w:tc>
        <w:tc>
          <w:tcPr>
            <w:tcW w:w="992" w:type="dxa"/>
            <w:tcBorders>
              <w:top w:val="nil"/>
              <w:left w:val="nil"/>
              <w:bottom w:val="single" w:color="auto" w:sz="4" w:space="0"/>
              <w:right w:val="single" w:color="auto" w:sz="4" w:space="0"/>
            </w:tcBorders>
            <w:shd w:val="clear" w:color="000000" w:fill="FFFFFF"/>
            <w:noWrap/>
            <w:vAlign w:val="center"/>
          </w:tcPr>
          <w:p w14:paraId="1B62BACA">
            <w:pPr>
              <w:widowControl/>
              <w:jc w:val="center"/>
              <w:rPr>
                <w:rFonts w:hint="eastAsia" w:ascii="宋体" w:hAnsi="宋体" w:cs="宋体"/>
                <w:kern w:val="0"/>
                <w:sz w:val="24"/>
              </w:rPr>
            </w:pPr>
            <w:r>
              <w:rPr>
                <w:rFonts w:hint="eastAsia" w:ascii="宋体" w:hAnsi="宋体" w:cs="宋体"/>
                <w:kern w:val="0"/>
                <w:sz w:val="24"/>
              </w:rPr>
              <w:t>6</w:t>
            </w:r>
          </w:p>
        </w:tc>
        <w:tc>
          <w:tcPr>
            <w:tcW w:w="851" w:type="dxa"/>
            <w:tcBorders>
              <w:top w:val="nil"/>
              <w:left w:val="nil"/>
              <w:bottom w:val="single" w:color="auto" w:sz="4" w:space="0"/>
              <w:right w:val="single" w:color="auto" w:sz="4" w:space="0"/>
            </w:tcBorders>
            <w:shd w:val="clear" w:color="000000" w:fill="FFFFFF"/>
            <w:vAlign w:val="center"/>
          </w:tcPr>
          <w:p w14:paraId="35A4A1CA">
            <w:pPr>
              <w:widowControl/>
              <w:jc w:val="center"/>
              <w:rPr>
                <w:rFonts w:hint="eastAsia" w:ascii="宋体" w:hAnsi="宋体" w:cs="宋体"/>
                <w:color w:val="000000"/>
                <w:kern w:val="0"/>
                <w:sz w:val="24"/>
              </w:rPr>
            </w:pPr>
            <w:r>
              <w:rPr>
                <w:rFonts w:hint="eastAsia" w:ascii="宋体" w:hAnsi="宋体" w:cs="宋体"/>
                <w:color w:val="000000"/>
                <w:kern w:val="0"/>
                <w:sz w:val="24"/>
              </w:rPr>
              <w:t>是</w:t>
            </w:r>
          </w:p>
        </w:tc>
        <w:tc>
          <w:tcPr>
            <w:tcW w:w="952" w:type="dxa"/>
            <w:tcBorders>
              <w:top w:val="nil"/>
              <w:left w:val="nil"/>
              <w:bottom w:val="single" w:color="auto" w:sz="4" w:space="0"/>
              <w:right w:val="single" w:color="auto" w:sz="4" w:space="0"/>
            </w:tcBorders>
            <w:shd w:val="clear" w:color="000000" w:fill="FFFFFF"/>
            <w:vAlign w:val="center"/>
          </w:tcPr>
          <w:p w14:paraId="07DF8406">
            <w:pPr>
              <w:widowControl/>
              <w:jc w:val="center"/>
              <w:rPr>
                <w:rFonts w:hint="eastAsia" w:ascii="宋体" w:hAnsi="宋体" w:cs="宋体"/>
                <w:color w:val="000000"/>
                <w:kern w:val="0"/>
                <w:sz w:val="24"/>
              </w:rPr>
            </w:pPr>
            <w:r>
              <w:rPr>
                <w:rFonts w:hint="eastAsia" w:ascii="宋体" w:hAnsi="宋体" w:cs="宋体"/>
                <w:color w:val="000000"/>
                <w:kern w:val="0"/>
                <w:sz w:val="24"/>
              </w:rPr>
              <w:t>否</w:t>
            </w:r>
          </w:p>
        </w:tc>
      </w:tr>
      <w:tr w14:paraId="1EEF76F4">
        <w:tblPrEx>
          <w:tblCellMar>
            <w:top w:w="0" w:type="dxa"/>
            <w:left w:w="108" w:type="dxa"/>
            <w:bottom w:w="0" w:type="dxa"/>
            <w:right w:w="108" w:type="dxa"/>
          </w:tblCellMar>
        </w:tblPrEx>
        <w:trPr>
          <w:trHeight w:val="576" w:hRule="atLeast"/>
        </w:trPr>
        <w:tc>
          <w:tcPr>
            <w:tcW w:w="704" w:type="dxa"/>
            <w:tcBorders>
              <w:top w:val="nil"/>
              <w:left w:val="single" w:color="auto" w:sz="4" w:space="0"/>
              <w:bottom w:val="single" w:color="auto" w:sz="4" w:space="0"/>
              <w:right w:val="single" w:color="auto" w:sz="4" w:space="0"/>
            </w:tcBorders>
            <w:shd w:val="clear" w:color="000000" w:fill="FFFFFF"/>
            <w:vAlign w:val="center"/>
          </w:tcPr>
          <w:p w14:paraId="236BAFF2">
            <w:pPr>
              <w:widowControl/>
              <w:jc w:val="center"/>
              <w:rPr>
                <w:rFonts w:hint="eastAsia" w:ascii="宋体" w:hAnsi="宋体" w:cs="宋体"/>
                <w:kern w:val="0"/>
                <w:sz w:val="24"/>
              </w:rPr>
            </w:pPr>
            <w:r>
              <w:rPr>
                <w:rFonts w:hint="eastAsia" w:ascii="宋体" w:hAnsi="宋体" w:cs="宋体"/>
                <w:kern w:val="0"/>
                <w:sz w:val="24"/>
              </w:rPr>
              <w:t>147</w:t>
            </w:r>
          </w:p>
        </w:tc>
        <w:tc>
          <w:tcPr>
            <w:tcW w:w="2851" w:type="dxa"/>
            <w:tcBorders>
              <w:top w:val="nil"/>
              <w:left w:val="nil"/>
              <w:bottom w:val="single" w:color="auto" w:sz="4" w:space="0"/>
              <w:right w:val="single" w:color="auto" w:sz="4" w:space="0"/>
            </w:tcBorders>
            <w:shd w:val="clear" w:color="000000" w:fill="FFFFFF"/>
            <w:vAlign w:val="center"/>
          </w:tcPr>
          <w:p w14:paraId="75499F38">
            <w:pPr>
              <w:jc w:val="center"/>
              <w:rPr>
                <w:rFonts w:hint="eastAsia" w:ascii="宋体" w:hAnsi="宋体" w:cs="宋体"/>
                <w:color w:val="000000"/>
                <w:sz w:val="24"/>
              </w:rPr>
            </w:pPr>
            <w:r>
              <w:rPr>
                <w:rFonts w:hint="eastAsia" w:ascii="宋体" w:hAnsi="宋体" w:cs="宋体"/>
                <w:color w:val="000000"/>
                <w:sz w:val="24"/>
              </w:rPr>
              <w:t>血液分析仪用质控品 L1</w:t>
            </w:r>
          </w:p>
        </w:tc>
        <w:tc>
          <w:tcPr>
            <w:tcW w:w="1276" w:type="dxa"/>
            <w:tcBorders>
              <w:top w:val="nil"/>
              <w:left w:val="nil"/>
              <w:bottom w:val="single" w:color="auto" w:sz="4" w:space="0"/>
              <w:right w:val="single" w:color="auto" w:sz="4" w:space="0"/>
            </w:tcBorders>
            <w:shd w:val="clear" w:color="000000" w:fill="FFFFFF"/>
            <w:noWrap/>
            <w:vAlign w:val="center"/>
          </w:tcPr>
          <w:p w14:paraId="246E0C0D">
            <w:pPr>
              <w:widowControl/>
              <w:jc w:val="center"/>
              <w:rPr>
                <w:rFonts w:hint="eastAsia" w:ascii="宋体" w:hAnsi="宋体" w:cs="宋体"/>
                <w:kern w:val="0"/>
                <w:sz w:val="24"/>
              </w:rPr>
            </w:pPr>
            <w:r>
              <w:rPr>
                <w:rFonts w:hint="eastAsia" w:ascii="宋体" w:hAnsi="宋体" w:cs="宋体"/>
                <w:kern w:val="0"/>
                <w:sz w:val="24"/>
              </w:rPr>
              <w:t>243.34</w:t>
            </w:r>
          </w:p>
        </w:tc>
        <w:tc>
          <w:tcPr>
            <w:tcW w:w="992" w:type="dxa"/>
            <w:tcBorders>
              <w:top w:val="nil"/>
              <w:left w:val="nil"/>
              <w:bottom w:val="single" w:color="auto" w:sz="4" w:space="0"/>
              <w:right w:val="single" w:color="auto" w:sz="4" w:space="0"/>
            </w:tcBorders>
            <w:shd w:val="clear" w:color="000000" w:fill="FFFFFF"/>
            <w:vAlign w:val="center"/>
          </w:tcPr>
          <w:p w14:paraId="2CD106FF">
            <w:pPr>
              <w:widowControl/>
              <w:jc w:val="center"/>
              <w:rPr>
                <w:rFonts w:hint="eastAsia" w:ascii="宋体" w:hAnsi="宋体" w:cs="宋体"/>
                <w:kern w:val="0"/>
                <w:sz w:val="24"/>
              </w:rPr>
            </w:pPr>
            <w:r>
              <w:rPr>
                <w:rFonts w:hint="eastAsia" w:ascii="宋体" w:hAnsi="宋体" w:cs="宋体"/>
                <w:kern w:val="0"/>
                <w:sz w:val="24"/>
              </w:rPr>
              <w:t>ml</w:t>
            </w:r>
          </w:p>
        </w:tc>
        <w:tc>
          <w:tcPr>
            <w:tcW w:w="992" w:type="dxa"/>
            <w:tcBorders>
              <w:top w:val="nil"/>
              <w:left w:val="nil"/>
              <w:bottom w:val="single" w:color="auto" w:sz="4" w:space="0"/>
              <w:right w:val="single" w:color="auto" w:sz="4" w:space="0"/>
            </w:tcBorders>
            <w:shd w:val="clear" w:color="000000" w:fill="FFFFFF"/>
            <w:noWrap/>
            <w:vAlign w:val="center"/>
          </w:tcPr>
          <w:p w14:paraId="6A0627EC">
            <w:pPr>
              <w:widowControl/>
              <w:jc w:val="center"/>
              <w:rPr>
                <w:rFonts w:hint="eastAsia" w:ascii="宋体" w:hAnsi="宋体" w:cs="宋体"/>
                <w:kern w:val="0"/>
                <w:sz w:val="24"/>
              </w:rPr>
            </w:pPr>
            <w:r>
              <w:rPr>
                <w:rFonts w:hint="eastAsia" w:ascii="宋体" w:hAnsi="宋体" w:cs="宋体"/>
                <w:kern w:val="0"/>
                <w:sz w:val="24"/>
              </w:rPr>
              <w:t>3</w:t>
            </w:r>
          </w:p>
        </w:tc>
        <w:tc>
          <w:tcPr>
            <w:tcW w:w="851" w:type="dxa"/>
            <w:tcBorders>
              <w:top w:val="nil"/>
              <w:left w:val="nil"/>
              <w:bottom w:val="single" w:color="auto" w:sz="4" w:space="0"/>
              <w:right w:val="single" w:color="auto" w:sz="4" w:space="0"/>
            </w:tcBorders>
            <w:shd w:val="clear" w:color="000000" w:fill="FFFFFF"/>
            <w:vAlign w:val="center"/>
          </w:tcPr>
          <w:p w14:paraId="093666EC">
            <w:pPr>
              <w:widowControl/>
              <w:jc w:val="center"/>
              <w:rPr>
                <w:rFonts w:hint="eastAsia" w:ascii="宋体" w:hAnsi="宋体" w:cs="宋体"/>
                <w:color w:val="000000"/>
                <w:kern w:val="0"/>
                <w:sz w:val="24"/>
              </w:rPr>
            </w:pPr>
            <w:r>
              <w:rPr>
                <w:rFonts w:hint="eastAsia" w:ascii="宋体" w:hAnsi="宋体" w:cs="宋体"/>
                <w:color w:val="000000"/>
                <w:kern w:val="0"/>
                <w:sz w:val="24"/>
              </w:rPr>
              <w:t>是</w:t>
            </w:r>
          </w:p>
        </w:tc>
        <w:tc>
          <w:tcPr>
            <w:tcW w:w="952" w:type="dxa"/>
            <w:tcBorders>
              <w:top w:val="nil"/>
              <w:left w:val="nil"/>
              <w:bottom w:val="single" w:color="auto" w:sz="4" w:space="0"/>
              <w:right w:val="single" w:color="auto" w:sz="4" w:space="0"/>
            </w:tcBorders>
            <w:shd w:val="clear" w:color="000000" w:fill="FFFFFF"/>
            <w:vAlign w:val="center"/>
          </w:tcPr>
          <w:p w14:paraId="07172B94">
            <w:pPr>
              <w:widowControl/>
              <w:jc w:val="center"/>
              <w:rPr>
                <w:rFonts w:hint="eastAsia" w:ascii="宋体" w:hAnsi="宋体" w:cs="宋体"/>
                <w:color w:val="000000"/>
                <w:kern w:val="0"/>
                <w:sz w:val="24"/>
              </w:rPr>
            </w:pPr>
            <w:r>
              <w:rPr>
                <w:rFonts w:hint="eastAsia" w:ascii="宋体" w:hAnsi="宋体" w:cs="宋体"/>
                <w:color w:val="000000"/>
                <w:kern w:val="0"/>
                <w:sz w:val="24"/>
              </w:rPr>
              <w:t>否</w:t>
            </w:r>
          </w:p>
        </w:tc>
      </w:tr>
      <w:tr w14:paraId="1DFA4045">
        <w:tblPrEx>
          <w:tblCellMar>
            <w:top w:w="0" w:type="dxa"/>
            <w:left w:w="108" w:type="dxa"/>
            <w:bottom w:w="0" w:type="dxa"/>
            <w:right w:w="108" w:type="dxa"/>
          </w:tblCellMar>
        </w:tblPrEx>
        <w:trPr>
          <w:trHeight w:val="576" w:hRule="atLeast"/>
        </w:trPr>
        <w:tc>
          <w:tcPr>
            <w:tcW w:w="704" w:type="dxa"/>
            <w:tcBorders>
              <w:top w:val="nil"/>
              <w:left w:val="single" w:color="auto" w:sz="4" w:space="0"/>
              <w:bottom w:val="single" w:color="auto" w:sz="4" w:space="0"/>
              <w:right w:val="single" w:color="auto" w:sz="4" w:space="0"/>
            </w:tcBorders>
            <w:shd w:val="clear" w:color="000000" w:fill="FFFFFF"/>
            <w:vAlign w:val="center"/>
          </w:tcPr>
          <w:p w14:paraId="63B32C3B">
            <w:pPr>
              <w:widowControl/>
              <w:jc w:val="center"/>
              <w:rPr>
                <w:rFonts w:hint="eastAsia" w:ascii="宋体" w:hAnsi="宋体" w:cs="宋体"/>
                <w:kern w:val="0"/>
                <w:sz w:val="24"/>
              </w:rPr>
            </w:pPr>
            <w:r>
              <w:rPr>
                <w:rFonts w:hint="eastAsia" w:ascii="宋体" w:hAnsi="宋体" w:cs="宋体"/>
                <w:kern w:val="0"/>
                <w:sz w:val="24"/>
              </w:rPr>
              <w:t>148</w:t>
            </w:r>
          </w:p>
        </w:tc>
        <w:tc>
          <w:tcPr>
            <w:tcW w:w="2851" w:type="dxa"/>
            <w:tcBorders>
              <w:top w:val="nil"/>
              <w:left w:val="nil"/>
              <w:bottom w:val="single" w:color="auto" w:sz="4" w:space="0"/>
              <w:right w:val="single" w:color="auto" w:sz="4" w:space="0"/>
            </w:tcBorders>
            <w:shd w:val="clear" w:color="000000" w:fill="FFFFFF"/>
            <w:vAlign w:val="center"/>
          </w:tcPr>
          <w:p w14:paraId="6BB4B91C">
            <w:pPr>
              <w:jc w:val="center"/>
              <w:rPr>
                <w:rFonts w:hint="eastAsia" w:ascii="宋体" w:hAnsi="宋体" w:cs="宋体"/>
                <w:color w:val="000000"/>
                <w:sz w:val="24"/>
              </w:rPr>
            </w:pPr>
            <w:r>
              <w:rPr>
                <w:rFonts w:hint="eastAsia" w:ascii="宋体" w:hAnsi="宋体" w:cs="宋体"/>
                <w:color w:val="000000"/>
                <w:sz w:val="24"/>
              </w:rPr>
              <w:t>血液分析仪用质控品  L2</w:t>
            </w:r>
          </w:p>
        </w:tc>
        <w:tc>
          <w:tcPr>
            <w:tcW w:w="1276" w:type="dxa"/>
            <w:tcBorders>
              <w:top w:val="nil"/>
              <w:left w:val="nil"/>
              <w:bottom w:val="single" w:color="auto" w:sz="4" w:space="0"/>
              <w:right w:val="single" w:color="auto" w:sz="4" w:space="0"/>
            </w:tcBorders>
            <w:shd w:val="clear" w:color="000000" w:fill="FFFFFF"/>
            <w:noWrap/>
            <w:vAlign w:val="center"/>
          </w:tcPr>
          <w:p w14:paraId="0F2E53AC">
            <w:pPr>
              <w:widowControl/>
              <w:jc w:val="center"/>
              <w:rPr>
                <w:rFonts w:hint="eastAsia" w:ascii="宋体" w:hAnsi="宋体" w:cs="宋体"/>
                <w:kern w:val="0"/>
                <w:sz w:val="24"/>
              </w:rPr>
            </w:pPr>
            <w:r>
              <w:rPr>
                <w:rFonts w:hint="eastAsia" w:ascii="宋体" w:hAnsi="宋体" w:cs="宋体"/>
                <w:kern w:val="0"/>
                <w:sz w:val="24"/>
              </w:rPr>
              <w:t>243.34</w:t>
            </w:r>
          </w:p>
        </w:tc>
        <w:tc>
          <w:tcPr>
            <w:tcW w:w="992" w:type="dxa"/>
            <w:tcBorders>
              <w:top w:val="nil"/>
              <w:left w:val="nil"/>
              <w:bottom w:val="single" w:color="auto" w:sz="4" w:space="0"/>
              <w:right w:val="single" w:color="auto" w:sz="4" w:space="0"/>
            </w:tcBorders>
            <w:shd w:val="clear" w:color="000000" w:fill="FFFFFF"/>
            <w:vAlign w:val="center"/>
          </w:tcPr>
          <w:p w14:paraId="7F4CA18E">
            <w:pPr>
              <w:widowControl/>
              <w:jc w:val="center"/>
              <w:rPr>
                <w:rFonts w:hint="eastAsia" w:ascii="宋体" w:hAnsi="宋体" w:cs="宋体"/>
                <w:kern w:val="0"/>
                <w:sz w:val="24"/>
              </w:rPr>
            </w:pPr>
            <w:r>
              <w:rPr>
                <w:rFonts w:hint="eastAsia" w:ascii="宋体" w:hAnsi="宋体" w:cs="宋体"/>
                <w:kern w:val="0"/>
                <w:sz w:val="24"/>
              </w:rPr>
              <w:t>ml</w:t>
            </w:r>
          </w:p>
        </w:tc>
        <w:tc>
          <w:tcPr>
            <w:tcW w:w="992" w:type="dxa"/>
            <w:tcBorders>
              <w:top w:val="nil"/>
              <w:left w:val="nil"/>
              <w:bottom w:val="single" w:color="auto" w:sz="4" w:space="0"/>
              <w:right w:val="single" w:color="auto" w:sz="4" w:space="0"/>
            </w:tcBorders>
            <w:shd w:val="clear" w:color="000000" w:fill="FFFFFF"/>
            <w:noWrap/>
            <w:vAlign w:val="center"/>
          </w:tcPr>
          <w:p w14:paraId="39DECE01">
            <w:pPr>
              <w:widowControl/>
              <w:jc w:val="center"/>
              <w:rPr>
                <w:rFonts w:hint="eastAsia" w:ascii="宋体" w:hAnsi="宋体" w:cs="宋体"/>
                <w:kern w:val="0"/>
                <w:sz w:val="24"/>
              </w:rPr>
            </w:pPr>
            <w:r>
              <w:rPr>
                <w:rFonts w:hint="eastAsia" w:ascii="宋体" w:hAnsi="宋体" w:cs="宋体"/>
                <w:kern w:val="0"/>
                <w:sz w:val="24"/>
              </w:rPr>
              <w:t>354</w:t>
            </w:r>
          </w:p>
        </w:tc>
        <w:tc>
          <w:tcPr>
            <w:tcW w:w="851" w:type="dxa"/>
            <w:tcBorders>
              <w:top w:val="nil"/>
              <w:left w:val="nil"/>
              <w:bottom w:val="single" w:color="auto" w:sz="4" w:space="0"/>
              <w:right w:val="single" w:color="auto" w:sz="4" w:space="0"/>
            </w:tcBorders>
            <w:shd w:val="clear" w:color="000000" w:fill="FFFFFF"/>
            <w:vAlign w:val="center"/>
          </w:tcPr>
          <w:p w14:paraId="3391DB4C">
            <w:pPr>
              <w:widowControl/>
              <w:jc w:val="center"/>
              <w:rPr>
                <w:rFonts w:hint="eastAsia" w:ascii="宋体" w:hAnsi="宋体" w:cs="宋体"/>
                <w:color w:val="000000"/>
                <w:kern w:val="0"/>
                <w:sz w:val="24"/>
              </w:rPr>
            </w:pPr>
            <w:r>
              <w:rPr>
                <w:rFonts w:hint="eastAsia" w:ascii="宋体" w:hAnsi="宋体" w:cs="宋体"/>
                <w:color w:val="000000"/>
                <w:kern w:val="0"/>
                <w:sz w:val="24"/>
              </w:rPr>
              <w:t>是</w:t>
            </w:r>
          </w:p>
        </w:tc>
        <w:tc>
          <w:tcPr>
            <w:tcW w:w="952" w:type="dxa"/>
            <w:tcBorders>
              <w:top w:val="nil"/>
              <w:left w:val="nil"/>
              <w:bottom w:val="single" w:color="auto" w:sz="4" w:space="0"/>
              <w:right w:val="single" w:color="auto" w:sz="4" w:space="0"/>
            </w:tcBorders>
            <w:shd w:val="clear" w:color="000000" w:fill="FFFFFF"/>
            <w:vAlign w:val="center"/>
          </w:tcPr>
          <w:p w14:paraId="7D96D1C4">
            <w:pPr>
              <w:widowControl/>
              <w:jc w:val="center"/>
              <w:rPr>
                <w:rFonts w:hint="eastAsia" w:ascii="宋体" w:hAnsi="宋体" w:cs="宋体"/>
                <w:color w:val="000000"/>
                <w:kern w:val="0"/>
                <w:sz w:val="24"/>
              </w:rPr>
            </w:pPr>
            <w:r>
              <w:rPr>
                <w:rFonts w:hint="eastAsia" w:ascii="宋体" w:hAnsi="宋体" w:cs="宋体"/>
                <w:color w:val="000000"/>
                <w:kern w:val="0"/>
                <w:sz w:val="24"/>
              </w:rPr>
              <w:t>否</w:t>
            </w:r>
          </w:p>
        </w:tc>
      </w:tr>
      <w:tr w14:paraId="07FE8AC0">
        <w:tblPrEx>
          <w:tblCellMar>
            <w:top w:w="0" w:type="dxa"/>
            <w:left w:w="108" w:type="dxa"/>
            <w:bottom w:w="0" w:type="dxa"/>
            <w:right w:w="108" w:type="dxa"/>
          </w:tblCellMar>
        </w:tblPrEx>
        <w:trPr>
          <w:trHeight w:val="576" w:hRule="atLeast"/>
        </w:trPr>
        <w:tc>
          <w:tcPr>
            <w:tcW w:w="704" w:type="dxa"/>
            <w:tcBorders>
              <w:top w:val="nil"/>
              <w:left w:val="single" w:color="auto" w:sz="4" w:space="0"/>
              <w:bottom w:val="single" w:color="auto" w:sz="4" w:space="0"/>
              <w:right w:val="single" w:color="auto" w:sz="4" w:space="0"/>
            </w:tcBorders>
            <w:shd w:val="clear" w:color="000000" w:fill="FFFFFF"/>
            <w:vAlign w:val="center"/>
          </w:tcPr>
          <w:p w14:paraId="2480587B">
            <w:pPr>
              <w:widowControl/>
              <w:jc w:val="center"/>
              <w:rPr>
                <w:rFonts w:hint="eastAsia" w:ascii="宋体" w:hAnsi="宋体" w:cs="宋体"/>
                <w:kern w:val="0"/>
                <w:sz w:val="24"/>
              </w:rPr>
            </w:pPr>
            <w:r>
              <w:rPr>
                <w:rFonts w:hint="eastAsia" w:ascii="宋体" w:hAnsi="宋体" w:cs="宋体"/>
                <w:kern w:val="0"/>
                <w:sz w:val="24"/>
              </w:rPr>
              <w:t>149</w:t>
            </w:r>
          </w:p>
        </w:tc>
        <w:tc>
          <w:tcPr>
            <w:tcW w:w="2851" w:type="dxa"/>
            <w:tcBorders>
              <w:top w:val="nil"/>
              <w:left w:val="nil"/>
              <w:bottom w:val="single" w:color="auto" w:sz="4" w:space="0"/>
              <w:right w:val="single" w:color="auto" w:sz="4" w:space="0"/>
            </w:tcBorders>
            <w:shd w:val="clear" w:color="000000" w:fill="FFFFFF"/>
            <w:vAlign w:val="center"/>
          </w:tcPr>
          <w:p w14:paraId="6ACF301C">
            <w:pPr>
              <w:jc w:val="center"/>
              <w:rPr>
                <w:rFonts w:hint="eastAsia" w:ascii="宋体" w:hAnsi="宋体" w:cs="宋体"/>
                <w:color w:val="000000"/>
                <w:sz w:val="24"/>
              </w:rPr>
            </w:pPr>
            <w:r>
              <w:rPr>
                <w:rFonts w:hint="eastAsia" w:ascii="宋体" w:hAnsi="宋体" w:cs="宋体"/>
                <w:color w:val="000000"/>
                <w:sz w:val="24"/>
              </w:rPr>
              <w:t>血液分析仪用质控品  L3</w:t>
            </w:r>
          </w:p>
        </w:tc>
        <w:tc>
          <w:tcPr>
            <w:tcW w:w="1276" w:type="dxa"/>
            <w:tcBorders>
              <w:top w:val="nil"/>
              <w:left w:val="nil"/>
              <w:bottom w:val="single" w:color="auto" w:sz="4" w:space="0"/>
              <w:right w:val="single" w:color="auto" w:sz="4" w:space="0"/>
            </w:tcBorders>
            <w:shd w:val="clear" w:color="000000" w:fill="FFFFFF"/>
            <w:noWrap/>
            <w:vAlign w:val="center"/>
          </w:tcPr>
          <w:p w14:paraId="2975A2AD">
            <w:pPr>
              <w:widowControl/>
              <w:jc w:val="center"/>
              <w:rPr>
                <w:rFonts w:hint="eastAsia" w:ascii="宋体" w:hAnsi="宋体" w:cs="宋体"/>
                <w:kern w:val="0"/>
                <w:sz w:val="24"/>
              </w:rPr>
            </w:pPr>
            <w:r>
              <w:rPr>
                <w:rFonts w:hint="eastAsia" w:ascii="宋体" w:hAnsi="宋体" w:cs="宋体"/>
                <w:kern w:val="0"/>
                <w:sz w:val="24"/>
              </w:rPr>
              <w:t>243.34</w:t>
            </w:r>
          </w:p>
        </w:tc>
        <w:tc>
          <w:tcPr>
            <w:tcW w:w="992" w:type="dxa"/>
            <w:tcBorders>
              <w:top w:val="nil"/>
              <w:left w:val="nil"/>
              <w:bottom w:val="single" w:color="auto" w:sz="4" w:space="0"/>
              <w:right w:val="single" w:color="auto" w:sz="4" w:space="0"/>
            </w:tcBorders>
            <w:shd w:val="clear" w:color="000000" w:fill="FFFFFF"/>
            <w:vAlign w:val="center"/>
          </w:tcPr>
          <w:p w14:paraId="20EE8E1B">
            <w:pPr>
              <w:widowControl/>
              <w:jc w:val="center"/>
              <w:rPr>
                <w:rFonts w:hint="eastAsia" w:ascii="宋体" w:hAnsi="宋体" w:cs="宋体"/>
                <w:kern w:val="0"/>
                <w:sz w:val="24"/>
              </w:rPr>
            </w:pPr>
            <w:r>
              <w:rPr>
                <w:rFonts w:hint="eastAsia" w:ascii="宋体" w:hAnsi="宋体" w:cs="宋体"/>
                <w:kern w:val="0"/>
                <w:sz w:val="24"/>
              </w:rPr>
              <w:t>ml</w:t>
            </w:r>
          </w:p>
        </w:tc>
        <w:tc>
          <w:tcPr>
            <w:tcW w:w="992" w:type="dxa"/>
            <w:tcBorders>
              <w:top w:val="nil"/>
              <w:left w:val="nil"/>
              <w:bottom w:val="single" w:color="auto" w:sz="4" w:space="0"/>
              <w:right w:val="single" w:color="auto" w:sz="4" w:space="0"/>
            </w:tcBorders>
            <w:shd w:val="clear" w:color="000000" w:fill="FFFFFF"/>
            <w:noWrap/>
            <w:vAlign w:val="center"/>
          </w:tcPr>
          <w:p w14:paraId="7ACE71AE">
            <w:pPr>
              <w:widowControl/>
              <w:jc w:val="center"/>
              <w:rPr>
                <w:rFonts w:hint="eastAsia" w:ascii="宋体" w:hAnsi="宋体" w:cs="宋体"/>
                <w:kern w:val="0"/>
                <w:sz w:val="24"/>
              </w:rPr>
            </w:pPr>
            <w:r>
              <w:rPr>
                <w:rFonts w:hint="eastAsia" w:ascii="宋体" w:hAnsi="宋体" w:cs="宋体"/>
                <w:kern w:val="0"/>
                <w:sz w:val="24"/>
              </w:rPr>
              <w:t>354</w:t>
            </w:r>
          </w:p>
        </w:tc>
        <w:tc>
          <w:tcPr>
            <w:tcW w:w="851" w:type="dxa"/>
            <w:tcBorders>
              <w:top w:val="nil"/>
              <w:left w:val="nil"/>
              <w:bottom w:val="single" w:color="auto" w:sz="4" w:space="0"/>
              <w:right w:val="single" w:color="auto" w:sz="4" w:space="0"/>
            </w:tcBorders>
            <w:shd w:val="clear" w:color="000000" w:fill="FFFFFF"/>
            <w:vAlign w:val="center"/>
          </w:tcPr>
          <w:p w14:paraId="5CEC122D">
            <w:pPr>
              <w:widowControl/>
              <w:jc w:val="center"/>
              <w:rPr>
                <w:rFonts w:hint="eastAsia" w:ascii="宋体" w:hAnsi="宋体" w:cs="宋体"/>
                <w:color w:val="000000"/>
                <w:kern w:val="0"/>
                <w:sz w:val="24"/>
              </w:rPr>
            </w:pPr>
            <w:r>
              <w:rPr>
                <w:rFonts w:hint="eastAsia" w:ascii="宋体" w:hAnsi="宋体" w:cs="宋体"/>
                <w:color w:val="000000"/>
                <w:kern w:val="0"/>
                <w:sz w:val="24"/>
              </w:rPr>
              <w:t>是</w:t>
            </w:r>
          </w:p>
        </w:tc>
        <w:tc>
          <w:tcPr>
            <w:tcW w:w="952" w:type="dxa"/>
            <w:tcBorders>
              <w:top w:val="nil"/>
              <w:left w:val="nil"/>
              <w:bottom w:val="single" w:color="auto" w:sz="4" w:space="0"/>
              <w:right w:val="single" w:color="auto" w:sz="4" w:space="0"/>
            </w:tcBorders>
            <w:shd w:val="clear" w:color="000000" w:fill="FFFFFF"/>
            <w:vAlign w:val="center"/>
          </w:tcPr>
          <w:p w14:paraId="67822CD3">
            <w:pPr>
              <w:widowControl/>
              <w:jc w:val="center"/>
              <w:rPr>
                <w:rFonts w:hint="eastAsia" w:ascii="宋体" w:hAnsi="宋体" w:cs="宋体"/>
                <w:color w:val="000000"/>
                <w:kern w:val="0"/>
                <w:sz w:val="24"/>
              </w:rPr>
            </w:pPr>
            <w:r>
              <w:rPr>
                <w:rFonts w:hint="eastAsia" w:ascii="宋体" w:hAnsi="宋体" w:cs="宋体"/>
                <w:color w:val="000000"/>
                <w:kern w:val="0"/>
                <w:sz w:val="24"/>
              </w:rPr>
              <w:t>否</w:t>
            </w:r>
          </w:p>
        </w:tc>
      </w:tr>
      <w:tr w14:paraId="2CF0F1B3">
        <w:tblPrEx>
          <w:tblCellMar>
            <w:top w:w="0" w:type="dxa"/>
            <w:left w:w="108" w:type="dxa"/>
            <w:bottom w:w="0" w:type="dxa"/>
            <w:right w:w="108" w:type="dxa"/>
          </w:tblCellMar>
        </w:tblPrEx>
        <w:trPr>
          <w:trHeight w:val="576" w:hRule="atLeast"/>
        </w:trPr>
        <w:tc>
          <w:tcPr>
            <w:tcW w:w="704" w:type="dxa"/>
            <w:tcBorders>
              <w:top w:val="nil"/>
              <w:left w:val="single" w:color="auto" w:sz="4" w:space="0"/>
              <w:bottom w:val="single" w:color="auto" w:sz="4" w:space="0"/>
              <w:right w:val="single" w:color="auto" w:sz="4" w:space="0"/>
            </w:tcBorders>
            <w:shd w:val="clear" w:color="000000" w:fill="FFFFFF"/>
            <w:vAlign w:val="center"/>
          </w:tcPr>
          <w:p w14:paraId="4B1D9109">
            <w:pPr>
              <w:widowControl/>
              <w:jc w:val="center"/>
              <w:rPr>
                <w:rFonts w:hint="eastAsia" w:ascii="宋体" w:hAnsi="宋体" w:cs="宋体"/>
                <w:kern w:val="0"/>
                <w:sz w:val="24"/>
              </w:rPr>
            </w:pPr>
            <w:r>
              <w:rPr>
                <w:rFonts w:hint="eastAsia" w:ascii="宋体" w:hAnsi="宋体" w:cs="宋体"/>
                <w:kern w:val="0"/>
                <w:sz w:val="24"/>
              </w:rPr>
              <w:t>150</w:t>
            </w:r>
          </w:p>
        </w:tc>
        <w:tc>
          <w:tcPr>
            <w:tcW w:w="2851" w:type="dxa"/>
            <w:tcBorders>
              <w:top w:val="nil"/>
              <w:left w:val="nil"/>
              <w:bottom w:val="single" w:color="auto" w:sz="4" w:space="0"/>
              <w:right w:val="single" w:color="auto" w:sz="4" w:space="0"/>
            </w:tcBorders>
            <w:shd w:val="clear" w:color="000000" w:fill="FFFFFF"/>
            <w:vAlign w:val="center"/>
          </w:tcPr>
          <w:p w14:paraId="4851E355">
            <w:pPr>
              <w:jc w:val="center"/>
              <w:rPr>
                <w:rFonts w:hint="eastAsia" w:ascii="宋体" w:hAnsi="宋体" w:cs="宋体"/>
                <w:color w:val="000000"/>
                <w:sz w:val="24"/>
              </w:rPr>
            </w:pPr>
            <w:r>
              <w:rPr>
                <w:rFonts w:hint="eastAsia" w:ascii="宋体" w:hAnsi="宋体" w:cs="宋体"/>
                <w:color w:val="000000"/>
                <w:sz w:val="24"/>
              </w:rPr>
              <w:t>清洁液2</w:t>
            </w:r>
          </w:p>
        </w:tc>
        <w:tc>
          <w:tcPr>
            <w:tcW w:w="1276" w:type="dxa"/>
            <w:tcBorders>
              <w:top w:val="nil"/>
              <w:left w:val="nil"/>
              <w:bottom w:val="single" w:color="auto" w:sz="4" w:space="0"/>
              <w:right w:val="single" w:color="auto" w:sz="4" w:space="0"/>
            </w:tcBorders>
            <w:shd w:val="clear" w:color="000000" w:fill="FFFFFF"/>
            <w:noWrap/>
            <w:vAlign w:val="center"/>
          </w:tcPr>
          <w:p w14:paraId="088AFE49">
            <w:pPr>
              <w:widowControl/>
              <w:jc w:val="center"/>
              <w:rPr>
                <w:rFonts w:hint="eastAsia" w:ascii="宋体" w:hAnsi="宋体" w:cs="宋体"/>
                <w:kern w:val="0"/>
                <w:sz w:val="24"/>
              </w:rPr>
            </w:pPr>
            <w:r>
              <w:rPr>
                <w:rFonts w:hint="eastAsia" w:ascii="宋体" w:hAnsi="宋体" w:cs="宋体"/>
                <w:kern w:val="0"/>
                <w:sz w:val="24"/>
              </w:rPr>
              <w:t>18.13</w:t>
            </w:r>
          </w:p>
        </w:tc>
        <w:tc>
          <w:tcPr>
            <w:tcW w:w="992" w:type="dxa"/>
            <w:tcBorders>
              <w:top w:val="nil"/>
              <w:left w:val="nil"/>
              <w:bottom w:val="single" w:color="auto" w:sz="4" w:space="0"/>
              <w:right w:val="single" w:color="auto" w:sz="4" w:space="0"/>
            </w:tcBorders>
            <w:shd w:val="clear" w:color="000000" w:fill="FFFFFF"/>
            <w:vAlign w:val="center"/>
          </w:tcPr>
          <w:p w14:paraId="5749F828">
            <w:pPr>
              <w:widowControl/>
              <w:jc w:val="center"/>
              <w:rPr>
                <w:rFonts w:hint="eastAsia" w:ascii="宋体" w:hAnsi="宋体" w:cs="宋体"/>
                <w:kern w:val="0"/>
                <w:sz w:val="24"/>
              </w:rPr>
            </w:pPr>
            <w:r>
              <w:rPr>
                <w:rFonts w:hint="eastAsia" w:ascii="宋体" w:hAnsi="宋体" w:cs="宋体"/>
                <w:kern w:val="0"/>
                <w:sz w:val="24"/>
              </w:rPr>
              <w:t>ml</w:t>
            </w:r>
          </w:p>
        </w:tc>
        <w:tc>
          <w:tcPr>
            <w:tcW w:w="992" w:type="dxa"/>
            <w:tcBorders>
              <w:top w:val="nil"/>
              <w:left w:val="nil"/>
              <w:bottom w:val="single" w:color="auto" w:sz="4" w:space="0"/>
              <w:right w:val="single" w:color="auto" w:sz="4" w:space="0"/>
            </w:tcBorders>
            <w:shd w:val="clear" w:color="000000" w:fill="FFFFFF"/>
            <w:noWrap/>
            <w:vAlign w:val="center"/>
          </w:tcPr>
          <w:p w14:paraId="4BC1F4DE">
            <w:pPr>
              <w:widowControl/>
              <w:jc w:val="center"/>
              <w:rPr>
                <w:rFonts w:hint="eastAsia" w:ascii="宋体" w:hAnsi="宋体" w:cs="宋体"/>
                <w:kern w:val="0"/>
                <w:sz w:val="24"/>
              </w:rPr>
            </w:pPr>
            <w:r>
              <w:rPr>
                <w:rFonts w:hint="eastAsia" w:ascii="宋体" w:hAnsi="宋体" w:cs="宋体"/>
                <w:kern w:val="0"/>
                <w:sz w:val="24"/>
              </w:rPr>
              <w:t>1840</w:t>
            </w:r>
          </w:p>
        </w:tc>
        <w:tc>
          <w:tcPr>
            <w:tcW w:w="851" w:type="dxa"/>
            <w:tcBorders>
              <w:top w:val="nil"/>
              <w:left w:val="nil"/>
              <w:bottom w:val="single" w:color="auto" w:sz="4" w:space="0"/>
              <w:right w:val="single" w:color="auto" w:sz="4" w:space="0"/>
            </w:tcBorders>
            <w:shd w:val="clear" w:color="000000" w:fill="FFFFFF"/>
            <w:vAlign w:val="center"/>
          </w:tcPr>
          <w:p w14:paraId="6ADBB66C">
            <w:pPr>
              <w:widowControl/>
              <w:jc w:val="center"/>
              <w:rPr>
                <w:rFonts w:hint="eastAsia" w:ascii="宋体" w:hAnsi="宋体" w:cs="宋体"/>
                <w:color w:val="000000"/>
                <w:kern w:val="0"/>
                <w:sz w:val="24"/>
              </w:rPr>
            </w:pPr>
            <w:r>
              <w:rPr>
                <w:rFonts w:hint="eastAsia" w:ascii="宋体" w:hAnsi="宋体" w:cs="宋体"/>
                <w:color w:val="000000"/>
                <w:kern w:val="0"/>
                <w:sz w:val="24"/>
              </w:rPr>
              <w:t>是</w:t>
            </w:r>
          </w:p>
        </w:tc>
        <w:tc>
          <w:tcPr>
            <w:tcW w:w="952" w:type="dxa"/>
            <w:tcBorders>
              <w:top w:val="nil"/>
              <w:left w:val="nil"/>
              <w:bottom w:val="single" w:color="auto" w:sz="4" w:space="0"/>
              <w:right w:val="single" w:color="auto" w:sz="4" w:space="0"/>
            </w:tcBorders>
            <w:shd w:val="clear" w:color="000000" w:fill="FFFFFF"/>
            <w:vAlign w:val="center"/>
          </w:tcPr>
          <w:p w14:paraId="09F23BE8">
            <w:pPr>
              <w:widowControl/>
              <w:jc w:val="center"/>
              <w:rPr>
                <w:rFonts w:hint="eastAsia" w:ascii="宋体" w:hAnsi="宋体" w:cs="宋体"/>
                <w:color w:val="000000"/>
                <w:kern w:val="0"/>
                <w:sz w:val="24"/>
              </w:rPr>
            </w:pPr>
            <w:r>
              <w:rPr>
                <w:rFonts w:hint="eastAsia" w:ascii="宋体" w:hAnsi="宋体" w:cs="宋体"/>
                <w:color w:val="000000"/>
                <w:kern w:val="0"/>
                <w:sz w:val="24"/>
              </w:rPr>
              <w:t>否</w:t>
            </w:r>
          </w:p>
        </w:tc>
      </w:tr>
      <w:tr w14:paraId="10ACA311">
        <w:tblPrEx>
          <w:tblCellMar>
            <w:top w:w="0" w:type="dxa"/>
            <w:left w:w="108" w:type="dxa"/>
            <w:bottom w:w="0" w:type="dxa"/>
            <w:right w:w="108" w:type="dxa"/>
          </w:tblCellMar>
        </w:tblPrEx>
        <w:trPr>
          <w:trHeight w:val="576" w:hRule="atLeast"/>
        </w:trPr>
        <w:tc>
          <w:tcPr>
            <w:tcW w:w="704" w:type="dxa"/>
            <w:tcBorders>
              <w:top w:val="nil"/>
              <w:left w:val="single" w:color="auto" w:sz="4" w:space="0"/>
              <w:bottom w:val="single" w:color="auto" w:sz="4" w:space="0"/>
              <w:right w:val="single" w:color="auto" w:sz="4" w:space="0"/>
            </w:tcBorders>
            <w:shd w:val="clear" w:color="000000" w:fill="FFFFFF"/>
            <w:vAlign w:val="center"/>
          </w:tcPr>
          <w:p w14:paraId="32751F45">
            <w:pPr>
              <w:widowControl/>
              <w:jc w:val="center"/>
              <w:rPr>
                <w:rFonts w:hint="eastAsia" w:ascii="宋体" w:hAnsi="宋体" w:cs="宋体"/>
                <w:kern w:val="0"/>
                <w:sz w:val="24"/>
              </w:rPr>
            </w:pPr>
            <w:r>
              <w:rPr>
                <w:rFonts w:hint="eastAsia" w:ascii="宋体" w:hAnsi="宋体" w:cs="宋体"/>
                <w:kern w:val="0"/>
                <w:sz w:val="24"/>
              </w:rPr>
              <w:t>151</w:t>
            </w:r>
          </w:p>
        </w:tc>
        <w:tc>
          <w:tcPr>
            <w:tcW w:w="2851" w:type="dxa"/>
            <w:tcBorders>
              <w:top w:val="nil"/>
              <w:left w:val="nil"/>
              <w:bottom w:val="single" w:color="auto" w:sz="4" w:space="0"/>
              <w:right w:val="single" w:color="auto" w:sz="4" w:space="0"/>
            </w:tcBorders>
            <w:shd w:val="clear" w:color="000000" w:fill="FFFFFF"/>
            <w:vAlign w:val="center"/>
          </w:tcPr>
          <w:p w14:paraId="523D593B">
            <w:pPr>
              <w:jc w:val="center"/>
              <w:rPr>
                <w:rFonts w:hint="eastAsia" w:ascii="宋体" w:hAnsi="宋体" w:cs="宋体"/>
                <w:color w:val="000000"/>
                <w:sz w:val="24"/>
              </w:rPr>
            </w:pPr>
            <w:r>
              <w:rPr>
                <w:rFonts w:hint="eastAsia" w:ascii="宋体" w:hAnsi="宋体" w:cs="宋体"/>
                <w:color w:val="000000"/>
                <w:sz w:val="24"/>
              </w:rPr>
              <w:t>血液分析仪用校准品</w:t>
            </w:r>
          </w:p>
        </w:tc>
        <w:tc>
          <w:tcPr>
            <w:tcW w:w="1276" w:type="dxa"/>
            <w:tcBorders>
              <w:top w:val="nil"/>
              <w:left w:val="nil"/>
              <w:bottom w:val="single" w:color="auto" w:sz="4" w:space="0"/>
              <w:right w:val="single" w:color="auto" w:sz="4" w:space="0"/>
            </w:tcBorders>
            <w:shd w:val="clear" w:color="000000" w:fill="FFFFFF"/>
            <w:noWrap/>
            <w:vAlign w:val="center"/>
          </w:tcPr>
          <w:p w14:paraId="16950AFF">
            <w:pPr>
              <w:widowControl/>
              <w:jc w:val="center"/>
              <w:rPr>
                <w:rFonts w:hint="eastAsia" w:ascii="宋体" w:hAnsi="宋体" w:cs="宋体"/>
                <w:kern w:val="0"/>
                <w:sz w:val="24"/>
              </w:rPr>
            </w:pPr>
            <w:r>
              <w:rPr>
                <w:rFonts w:hint="eastAsia" w:ascii="宋体" w:hAnsi="宋体" w:cs="宋体"/>
                <w:kern w:val="0"/>
                <w:sz w:val="24"/>
              </w:rPr>
              <w:t>816.67</w:t>
            </w:r>
          </w:p>
        </w:tc>
        <w:tc>
          <w:tcPr>
            <w:tcW w:w="992" w:type="dxa"/>
            <w:tcBorders>
              <w:top w:val="nil"/>
              <w:left w:val="nil"/>
              <w:bottom w:val="single" w:color="auto" w:sz="4" w:space="0"/>
              <w:right w:val="single" w:color="auto" w:sz="4" w:space="0"/>
            </w:tcBorders>
            <w:shd w:val="clear" w:color="000000" w:fill="FFFFFF"/>
            <w:vAlign w:val="center"/>
          </w:tcPr>
          <w:p w14:paraId="6ED394F4">
            <w:pPr>
              <w:widowControl/>
              <w:jc w:val="center"/>
              <w:rPr>
                <w:rFonts w:hint="eastAsia" w:ascii="宋体" w:hAnsi="宋体" w:cs="宋体"/>
                <w:kern w:val="0"/>
                <w:sz w:val="24"/>
              </w:rPr>
            </w:pPr>
            <w:r>
              <w:rPr>
                <w:rFonts w:hint="eastAsia" w:ascii="宋体" w:hAnsi="宋体" w:cs="宋体"/>
                <w:kern w:val="0"/>
                <w:sz w:val="24"/>
              </w:rPr>
              <w:t>ml</w:t>
            </w:r>
          </w:p>
        </w:tc>
        <w:tc>
          <w:tcPr>
            <w:tcW w:w="992" w:type="dxa"/>
            <w:tcBorders>
              <w:top w:val="nil"/>
              <w:left w:val="nil"/>
              <w:bottom w:val="single" w:color="auto" w:sz="4" w:space="0"/>
              <w:right w:val="single" w:color="auto" w:sz="4" w:space="0"/>
            </w:tcBorders>
            <w:shd w:val="clear" w:color="000000" w:fill="FFFFFF"/>
            <w:noWrap/>
            <w:vAlign w:val="center"/>
          </w:tcPr>
          <w:p w14:paraId="460636F2">
            <w:pPr>
              <w:widowControl/>
              <w:jc w:val="center"/>
              <w:rPr>
                <w:rFonts w:hint="eastAsia" w:ascii="宋体" w:hAnsi="宋体" w:cs="宋体"/>
                <w:kern w:val="0"/>
                <w:sz w:val="24"/>
              </w:rPr>
            </w:pPr>
            <w:r>
              <w:rPr>
                <w:rFonts w:hint="eastAsia" w:ascii="宋体" w:hAnsi="宋体" w:cs="宋体"/>
                <w:kern w:val="0"/>
                <w:sz w:val="24"/>
              </w:rPr>
              <w:t>60</w:t>
            </w:r>
          </w:p>
        </w:tc>
        <w:tc>
          <w:tcPr>
            <w:tcW w:w="851" w:type="dxa"/>
            <w:tcBorders>
              <w:top w:val="nil"/>
              <w:left w:val="nil"/>
              <w:bottom w:val="single" w:color="auto" w:sz="4" w:space="0"/>
              <w:right w:val="single" w:color="auto" w:sz="4" w:space="0"/>
            </w:tcBorders>
            <w:shd w:val="clear" w:color="000000" w:fill="FFFFFF"/>
            <w:vAlign w:val="center"/>
          </w:tcPr>
          <w:p w14:paraId="7776C7BD">
            <w:pPr>
              <w:widowControl/>
              <w:jc w:val="center"/>
              <w:rPr>
                <w:rFonts w:hint="eastAsia" w:ascii="宋体" w:hAnsi="宋体" w:cs="宋体"/>
                <w:color w:val="000000"/>
                <w:kern w:val="0"/>
                <w:sz w:val="24"/>
              </w:rPr>
            </w:pPr>
            <w:r>
              <w:rPr>
                <w:rFonts w:hint="eastAsia" w:ascii="宋体" w:hAnsi="宋体" w:cs="宋体"/>
                <w:color w:val="000000"/>
                <w:kern w:val="0"/>
                <w:sz w:val="24"/>
              </w:rPr>
              <w:t>是</w:t>
            </w:r>
          </w:p>
        </w:tc>
        <w:tc>
          <w:tcPr>
            <w:tcW w:w="952" w:type="dxa"/>
            <w:tcBorders>
              <w:top w:val="nil"/>
              <w:left w:val="nil"/>
              <w:bottom w:val="single" w:color="auto" w:sz="4" w:space="0"/>
              <w:right w:val="single" w:color="auto" w:sz="4" w:space="0"/>
            </w:tcBorders>
            <w:shd w:val="clear" w:color="000000" w:fill="FFFFFF"/>
            <w:vAlign w:val="center"/>
          </w:tcPr>
          <w:p w14:paraId="22D99818">
            <w:pPr>
              <w:widowControl/>
              <w:jc w:val="center"/>
              <w:rPr>
                <w:rFonts w:hint="eastAsia" w:ascii="宋体" w:hAnsi="宋体" w:cs="宋体"/>
                <w:color w:val="000000"/>
                <w:kern w:val="0"/>
                <w:sz w:val="24"/>
              </w:rPr>
            </w:pPr>
            <w:r>
              <w:rPr>
                <w:rFonts w:hint="eastAsia" w:ascii="宋体" w:hAnsi="宋体" w:cs="宋体"/>
                <w:color w:val="000000"/>
                <w:kern w:val="0"/>
                <w:sz w:val="24"/>
              </w:rPr>
              <w:t>否</w:t>
            </w:r>
          </w:p>
        </w:tc>
      </w:tr>
      <w:tr w14:paraId="32F7EC93">
        <w:tblPrEx>
          <w:tblCellMar>
            <w:top w:w="0" w:type="dxa"/>
            <w:left w:w="108" w:type="dxa"/>
            <w:bottom w:w="0" w:type="dxa"/>
            <w:right w:w="108" w:type="dxa"/>
          </w:tblCellMar>
        </w:tblPrEx>
        <w:trPr>
          <w:trHeight w:val="288" w:hRule="atLeast"/>
        </w:trPr>
        <w:tc>
          <w:tcPr>
            <w:tcW w:w="704" w:type="dxa"/>
            <w:tcBorders>
              <w:top w:val="nil"/>
              <w:left w:val="single" w:color="auto" w:sz="4" w:space="0"/>
              <w:bottom w:val="single" w:color="auto" w:sz="4" w:space="0"/>
              <w:right w:val="single" w:color="auto" w:sz="4" w:space="0"/>
            </w:tcBorders>
            <w:shd w:val="clear" w:color="000000" w:fill="FFFFFF"/>
            <w:vAlign w:val="center"/>
          </w:tcPr>
          <w:p w14:paraId="49F88E8E">
            <w:pPr>
              <w:widowControl/>
              <w:jc w:val="center"/>
              <w:rPr>
                <w:rFonts w:hint="eastAsia" w:ascii="宋体" w:hAnsi="宋体" w:cs="宋体"/>
                <w:kern w:val="0"/>
                <w:sz w:val="24"/>
              </w:rPr>
            </w:pPr>
            <w:r>
              <w:rPr>
                <w:rFonts w:hint="eastAsia" w:ascii="宋体" w:hAnsi="宋体" w:cs="宋体"/>
                <w:kern w:val="0"/>
                <w:sz w:val="24"/>
              </w:rPr>
              <w:t>152</w:t>
            </w:r>
          </w:p>
        </w:tc>
        <w:tc>
          <w:tcPr>
            <w:tcW w:w="2851" w:type="dxa"/>
            <w:tcBorders>
              <w:top w:val="nil"/>
              <w:left w:val="nil"/>
              <w:bottom w:val="single" w:color="auto" w:sz="4" w:space="0"/>
              <w:right w:val="single" w:color="auto" w:sz="4" w:space="0"/>
            </w:tcBorders>
            <w:shd w:val="clear" w:color="000000" w:fill="FFFFFF"/>
            <w:vAlign w:val="center"/>
          </w:tcPr>
          <w:p w14:paraId="5F81AD15">
            <w:pPr>
              <w:jc w:val="center"/>
              <w:rPr>
                <w:rFonts w:hint="eastAsia" w:ascii="宋体" w:hAnsi="宋体" w:cs="宋体"/>
                <w:color w:val="000000"/>
                <w:sz w:val="24"/>
              </w:rPr>
            </w:pPr>
            <w:r>
              <w:rPr>
                <w:rFonts w:hint="eastAsia" w:ascii="宋体" w:hAnsi="宋体" w:cs="宋体"/>
                <w:color w:val="000000"/>
                <w:sz w:val="24"/>
              </w:rPr>
              <w:t>25-羟基维生素D质控品</w:t>
            </w:r>
          </w:p>
        </w:tc>
        <w:tc>
          <w:tcPr>
            <w:tcW w:w="1276" w:type="dxa"/>
            <w:tcBorders>
              <w:top w:val="nil"/>
              <w:left w:val="nil"/>
              <w:bottom w:val="single" w:color="auto" w:sz="4" w:space="0"/>
              <w:right w:val="single" w:color="auto" w:sz="4" w:space="0"/>
            </w:tcBorders>
            <w:shd w:val="clear" w:color="000000" w:fill="FFFFFF"/>
            <w:noWrap/>
            <w:vAlign w:val="center"/>
          </w:tcPr>
          <w:p w14:paraId="0CD9F41F">
            <w:pPr>
              <w:widowControl/>
              <w:jc w:val="center"/>
              <w:rPr>
                <w:rFonts w:hint="eastAsia" w:ascii="宋体" w:hAnsi="宋体" w:cs="宋体"/>
                <w:kern w:val="0"/>
                <w:sz w:val="24"/>
              </w:rPr>
            </w:pPr>
            <w:r>
              <w:rPr>
                <w:rFonts w:hint="eastAsia" w:ascii="宋体" w:hAnsi="宋体" w:cs="宋体"/>
                <w:kern w:val="0"/>
                <w:sz w:val="24"/>
              </w:rPr>
              <w:t>316.65</w:t>
            </w:r>
          </w:p>
        </w:tc>
        <w:tc>
          <w:tcPr>
            <w:tcW w:w="992" w:type="dxa"/>
            <w:tcBorders>
              <w:top w:val="nil"/>
              <w:left w:val="nil"/>
              <w:bottom w:val="single" w:color="auto" w:sz="4" w:space="0"/>
              <w:right w:val="single" w:color="auto" w:sz="4" w:space="0"/>
            </w:tcBorders>
            <w:shd w:val="clear" w:color="000000" w:fill="FFFFFF"/>
            <w:vAlign w:val="center"/>
          </w:tcPr>
          <w:p w14:paraId="2076F58C">
            <w:pPr>
              <w:widowControl/>
              <w:jc w:val="center"/>
              <w:rPr>
                <w:rFonts w:hint="eastAsia" w:ascii="宋体" w:hAnsi="宋体" w:cs="宋体"/>
                <w:kern w:val="0"/>
                <w:sz w:val="24"/>
              </w:rPr>
            </w:pPr>
            <w:r>
              <w:rPr>
                <w:rFonts w:hint="eastAsia" w:ascii="宋体" w:hAnsi="宋体" w:cs="宋体"/>
                <w:kern w:val="0"/>
                <w:sz w:val="24"/>
              </w:rPr>
              <w:t>ml</w:t>
            </w:r>
          </w:p>
        </w:tc>
        <w:tc>
          <w:tcPr>
            <w:tcW w:w="992" w:type="dxa"/>
            <w:tcBorders>
              <w:top w:val="nil"/>
              <w:left w:val="nil"/>
              <w:bottom w:val="single" w:color="auto" w:sz="4" w:space="0"/>
              <w:right w:val="single" w:color="auto" w:sz="4" w:space="0"/>
            </w:tcBorders>
            <w:shd w:val="clear" w:color="000000" w:fill="FFFFFF"/>
            <w:noWrap/>
            <w:vAlign w:val="center"/>
          </w:tcPr>
          <w:p w14:paraId="0EB6BCC0">
            <w:pPr>
              <w:widowControl/>
              <w:jc w:val="center"/>
              <w:rPr>
                <w:rFonts w:hint="eastAsia" w:ascii="宋体" w:hAnsi="宋体" w:cs="宋体"/>
                <w:kern w:val="0"/>
                <w:sz w:val="24"/>
              </w:rPr>
            </w:pPr>
            <w:r>
              <w:rPr>
                <w:rFonts w:hint="eastAsia" w:ascii="宋体" w:hAnsi="宋体" w:cs="宋体"/>
                <w:kern w:val="0"/>
                <w:sz w:val="24"/>
              </w:rPr>
              <w:t>132</w:t>
            </w:r>
          </w:p>
        </w:tc>
        <w:tc>
          <w:tcPr>
            <w:tcW w:w="851" w:type="dxa"/>
            <w:tcBorders>
              <w:top w:val="nil"/>
              <w:left w:val="nil"/>
              <w:bottom w:val="single" w:color="auto" w:sz="4" w:space="0"/>
              <w:right w:val="single" w:color="auto" w:sz="4" w:space="0"/>
            </w:tcBorders>
            <w:shd w:val="clear" w:color="000000" w:fill="FFFFFF"/>
            <w:vAlign w:val="center"/>
          </w:tcPr>
          <w:p w14:paraId="1373D0C5">
            <w:pPr>
              <w:widowControl/>
              <w:jc w:val="center"/>
              <w:rPr>
                <w:rFonts w:hint="eastAsia" w:ascii="宋体" w:hAnsi="宋体" w:cs="宋体"/>
                <w:color w:val="000000"/>
                <w:kern w:val="0"/>
                <w:sz w:val="24"/>
              </w:rPr>
            </w:pPr>
            <w:r>
              <w:rPr>
                <w:rFonts w:hint="eastAsia" w:ascii="宋体" w:hAnsi="宋体" w:cs="宋体"/>
                <w:color w:val="000000"/>
                <w:kern w:val="0"/>
                <w:sz w:val="24"/>
              </w:rPr>
              <w:t>是</w:t>
            </w:r>
          </w:p>
        </w:tc>
        <w:tc>
          <w:tcPr>
            <w:tcW w:w="952" w:type="dxa"/>
            <w:tcBorders>
              <w:top w:val="nil"/>
              <w:left w:val="nil"/>
              <w:bottom w:val="single" w:color="auto" w:sz="4" w:space="0"/>
              <w:right w:val="single" w:color="auto" w:sz="4" w:space="0"/>
            </w:tcBorders>
            <w:shd w:val="clear" w:color="000000" w:fill="FFFFFF"/>
            <w:vAlign w:val="center"/>
          </w:tcPr>
          <w:p w14:paraId="5D1CBFD3">
            <w:pPr>
              <w:widowControl/>
              <w:jc w:val="center"/>
              <w:rPr>
                <w:rFonts w:hint="eastAsia" w:ascii="宋体" w:hAnsi="宋体" w:cs="宋体"/>
                <w:color w:val="000000"/>
                <w:kern w:val="0"/>
                <w:sz w:val="24"/>
              </w:rPr>
            </w:pPr>
            <w:r>
              <w:rPr>
                <w:rFonts w:hint="eastAsia" w:ascii="宋体" w:hAnsi="宋体" w:cs="宋体"/>
                <w:color w:val="000000"/>
                <w:kern w:val="0"/>
                <w:sz w:val="24"/>
              </w:rPr>
              <w:t>否</w:t>
            </w:r>
          </w:p>
        </w:tc>
      </w:tr>
      <w:tr w14:paraId="290F0B7B">
        <w:tblPrEx>
          <w:tblCellMar>
            <w:top w:w="0" w:type="dxa"/>
            <w:left w:w="108" w:type="dxa"/>
            <w:bottom w:w="0" w:type="dxa"/>
            <w:right w:w="108" w:type="dxa"/>
          </w:tblCellMar>
        </w:tblPrEx>
        <w:trPr>
          <w:trHeight w:val="576" w:hRule="atLeast"/>
        </w:trPr>
        <w:tc>
          <w:tcPr>
            <w:tcW w:w="704" w:type="dxa"/>
            <w:tcBorders>
              <w:top w:val="nil"/>
              <w:left w:val="single" w:color="auto" w:sz="4" w:space="0"/>
              <w:bottom w:val="single" w:color="auto" w:sz="4" w:space="0"/>
              <w:right w:val="single" w:color="auto" w:sz="4" w:space="0"/>
            </w:tcBorders>
            <w:shd w:val="clear" w:color="000000" w:fill="FFFFFF"/>
            <w:vAlign w:val="center"/>
          </w:tcPr>
          <w:p w14:paraId="6C3BA4F5">
            <w:pPr>
              <w:widowControl/>
              <w:jc w:val="center"/>
              <w:rPr>
                <w:rFonts w:hint="eastAsia" w:ascii="宋体" w:hAnsi="宋体" w:cs="宋体"/>
                <w:kern w:val="0"/>
                <w:sz w:val="24"/>
              </w:rPr>
            </w:pPr>
            <w:r>
              <w:rPr>
                <w:rFonts w:hint="eastAsia" w:ascii="宋体" w:hAnsi="宋体" w:cs="宋体"/>
                <w:kern w:val="0"/>
                <w:sz w:val="24"/>
              </w:rPr>
              <w:t>153</w:t>
            </w:r>
          </w:p>
        </w:tc>
        <w:tc>
          <w:tcPr>
            <w:tcW w:w="2851" w:type="dxa"/>
            <w:tcBorders>
              <w:top w:val="nil"/>
              <w:left w:val="nil"/>
              <w:bottom w:val="single" w:color="auto" w:sz="4" w:space="0"/>
              <w:right w:val="single" w:color="auto" w:sz="4" w:space="0"/>
            </w:tcBorders>
            <w:shd w:val="clear" w:color="000000" w:fill="FFFFFF"/>
            <w:vAlign w:val="center"/>
          </w:tcPr>
          <w:p w14:paraId="473437E0">
            <w:pPr>
              <w:jc w:val="center"/>
              <w:rPr>
                <w:rFonts w:hint="eastAsia" w:ascii="宋体" w:hAnsi="宋体" w:cs="宋体"/>
                <w:color w:val="000000"/>
                <w:sz w:val="24"/>
              </w:rPr>
            </w:pPr>
            <w:r>
              <w:rPr>
                <w:rFonts w:hint="eastAsia" w:ascii="宋体" w:hAnsi="宋体" w:cs="宋体"/>
                <w:color w:val="000000"/>
                <w:sz w:val="24"/>
              </w:rPr>
              <w:t>血细胞分析用染色液(网织红细胞)</w:t>
            </w:r>
          </w:p>
        </w:tc>
        <w:tc>
          <w:tcPr>
            <w:tcW w:w="1276" w:type="dxa"/>
            <w:tcBorders>
              <w:top w:val="nil"/>
              <w:left w:val="nil"/>
              <w:bottom w:val="single" w:color="auto" w:sz="4" w:space="0"/>
              <w:right w:val="single" w:color="auto" w:sz="4" w:space="0"/>
            </w:tcBorders>
            <w:shd w:val="clear" w:color="000000" w:fill="FFFFFF"/>
            <w:noWrap/>
            <w:vAlign w:val="center"/>
          </w:tcPr>
          <w:p w14:paraId="3950635E">
            <w:pPr>
              <w:widowControl/>
              <w:jc w:val="center"/>
              <w:rPr>
                <w:rFonts w:hint="eastAsia" w:ascii="宋体" w:hAnsi="宋体" w:cs="宋体"/>
                <w:kern w:val="0"/>
                <w:sz w:val="24"/>
              </w:rPr>
            </w:pPr>
            <w:r>
              <w:rPr>
                <w:rFonts w:hint="eastAsia" w:ascii="宋体" w:hAnsi="宋体" w:cs="宋体"/>
                <w:kern w:val="0"/>
                <w:sz w:val="24"/>
              </w:rPr>
              <w:t>337.5</w:t>
            </w:r>
          </w:p>
        </w:tc>
        <w:tc>
          <w:tcPr>
            <w:tcW w:w="992" w:type="dxa"/>
            <w:tcBorders>
              <w:top w:val="nil"/>
              <w:left w:val="nil"/>
              <w:bottom w:val="single" w:color="auto" w:sz="4" w:space="0"/>
              <w:right w:val="single" w:color="auto" w:sz="4" w:space="0"/>
            </w:tcBorders>
            <w:shd w:val="clear" w:color="000000" w:fill="FFFFFF"/>
            <w:vAlign w:val="center"/>
          </w:tcPr>
          <w:p w14:paraId="5C00E291">
            <w:pPr>
              <w:widowControl/>
              <w:jc w:val="center"/>
              <w:rPr>
                <w:rFonts w:hint="eastAsia" w:ascii="宋体" w:hAnsi="宋体" w:cs="宋体"/>
                <w:kern w:val="0"/>
                <w:sz w:val="24"/>
              </w:rPr>
            </w:pPr>
            <w:r>
              <w:rPr>
                <w:rFonts w:hint="eastAsia" w:ascii="宋体" w:hAnsi="宋体" w:cs="宋体"/>
                <w:kern w:val="0"/>
                <w:sz w:val="24"/>
              </w:rPr>
              <w:t>ml</w:t>
            </w:r>
          </w:p>
        </w:tc>
        <w:tc>
          <w:tcPr>
            <w:tcW w:w="992" w:type="dxa"/>
            <w:tcBorders>
              <w:top w:val="nil"/>
              <w:left w:val="nil"/>
              <w:bottom w:val="single" w:color="auto" w:sz="4" w:space="0"/>
              <w:right w:val="single" w:color="auto" w:sz="4" w:space="0"/>
            </w:tcBorders>
            <w:shd w:val="clear" w:color="000000" w:fill="FFFFFF"/>
            <w:noWrap/>
            <w:vAlign w:val="center"/>
          </w:tcPr>
          <w:p w14:paraId="2900B137">
            <w:pPr>
              <w:widowControl/>
              <w:jc w:val="center"/>
              <w:rPr>
                <w:rFonts w:hint="eastAsia" w:ascii="宋体" w:hAnsi="宋体" w:cs="宋体"/>
                <w:kern w:val="0"/>
                <w:sz w:val="24"/>
              </w:rPr>
            </w:pPr>
            <w:r>
              <w:rPr>
                <w:rFonts w:hint="eastAsia" w:ascii="宋体" w:hAnsi="宋体" w:cs="宋体"/>
                <w:kern w:val="0"/>
                <w:sz w:val="24"/>
              </w:rPr>
              <w:t>12</w:t>
            </w:r>
          </w:p>
        </w:tc>
        <w:tc>
          <w:tcPr>
            <w:tcW w:w="851" w:type="dxa"/>
            <w:tcBorders>
              <w:top w:val="nil"/>
              <w:left w:val="nil"/>
              <w:bottom w:val="single" w:color="auto" w:sz="4" w:space="0"/>
              <w:right w:val="single" w:color="auto" w:sz="4" w:space="0"/>
            </w:tcBorders>
            <w:shd w:val="clear" w:color="000000" w:fill="FFFFFF"/>
            <w:vAlign w:val="center"/>
          </w:tcPr>
          <w:p w14:paraId="1A9B4AF9">
            <w:pPr>
              <w:widowControl/>
              <w:jc w:val="center"/>
              <w:rPr>
                <w:rFonts w:hint="eastAsia" w:ascii="宋体" w:hAnsi="宋体" w:cs="宋体"/>
                <w:color w:val="000000"/>
                <w:kern w:val="0"/>
                <w:sz w:val="24"/>
              </w:rPr>
            </w:pPr>
            <w:r>
              <w:rPr>
                <w:rFonts w:hint="eastAsia" w:ascii="宋体" w:hAnsi="宋体" w:cs="宋体"/>
                <w:color w:val="000000"/>
                <w:kern w:val="0"/>
                <w:sz w:val="24"/>
              </w:rPr>
              <w:t>是</w:t>
            </w:r>
          </w:p>
        </w:tc>
        <w:tc>
          <w:tcPr>
            <w:tcW w:w="952" w:type="dxa"/>
            <w:tcBorders>
              <w:top w:val="nil"/>
              <w:left w:val="nil"/>
              <w:bottom w:val="single" w:color="auto" w:sz="4" w:space="0"/>
              <w:right w:val="single" w:color="auto" w:sz="4" w:space="0"/>
            </w:tcBorders>
            <w:shd w:val="clear" w:color="000000" w:fill="FFFFFF"/>
            <w:vAlign w:val="center"/>
          </w:tcPr>
          <w:p w14:paraId="5297EA94">
            <w:pPr>
              <w:widowControl/>
              <w:jc w:val="center"/>
              <w:rPr>
                <w:rFonts w:hint="eastAsia" w:ascii="宋体" w:hAnsi="宋体" w:cs="宋体"/>
                <w:color w:val="000000"/>
                <w:kern w:val="0"/>
                <w:sz w:val="24"/>
              </w:rPr>
            </w:pPr>
            <w:r>
              <w:rPr>
                <w:rFonts w:hint="eastAsia" w:ascii="宋体" w:hAnsi="宋体" w:cs="宋体"/>
                <w:color w:val="000000"/>
                <w:kern w:val="0"/>
                <w:sz w:val="24"/>
              </w:rPr>
              <w:t>否</w:t>
            </w:r>
          </w:p>
        </w:tc>
      </w:tr>
      <w:tr w14:paraId="6D9007EC">
        <w:tblPrEx>
          <w:tblCellMar>
            <w:top w:w="0" w:type="dxa"/>
            <w:left w:w="108" w:type="dxa"/>
            <w:bottom w:w="0" w:type="dxa"/>
            <w:right w:w="108" w:type="dxa"/>
          </w:tblCellMar>
        </w:tblPrEx>
        <w:trPr>
          <w:trHeight w:val="288" w:hRule="atLeast"/>
        </w:trPr>
        <w:tc>
          <w:tcPr>
            <w:tcW w:w="704" w:type="dxa"/>
            <w:tcBorders>
              <w:top w:val="nil"/>
              <w:left w:val="single" w:color="auto" w:sz="4" w:space="0"/>
              <w:bottom w:val="single" w:color="auto" w:sz="4" w:space="0"/>
              <w:right w:val="single" w:color="auto" w:sz="4" w:space="0"/>
            </w:tcBorders>
            <w:shd w:val="clear" w:color="000000" w:fill="FFFFFF"/>
            <w:vAlign w:val="center"/>
          </w:tcPr>
          <w:p w14:paraId="41382DBF">
            <w:pPr>
              <w:widowControl/>
              <w:jc w:val="center"/>
              <w:rPr>
                <w:rFonts w:hint="eastAsia" w:ascii="宋体" w:hAnsi="宋体" w:cs="宋体"/>
                <w:kern w:val="0"/>
                <w:sz w:val="24"/>
              </w:rPr>
            </w:pPr>
            <w:r>
              <w:rPr>
                <w:rFonts w:hint="eastAsia" w:ascii="宋体" w:hAnsi="宋体" w:cs="宋体"/>
                <w:kern w:val="0"/>
                <w:sz w:val="24"/>
              </w:rPr>
              <w:t>154</w:t>
            </w:r>
          </w:p>
        </w:tc>
        <w:tc>
          <w:tcPr>
            <w:tcW w:w="2851" w:type="dxa"/>
            <w:tcBorders>
              <w:top w:val="nil"/>
              <w:left w:val="nil"/>
              <w:bottom w:val="single" w:color="auto" w:sz="4" w:space="0"/>
              <w:right w:val="single" w:color="auto" w:sz="4" w:space="0"/>
            </w:tcBorders>
            <w:shd w:val="clear" w:color="000000" w:fill="FFFFFF"/>
            <w:vAlign w:val="center"/>
          </w:tcPr>
          <w:p w14:paraId="233FDDD7">
            <w:pPr>
              <w:jc w:val="center"/>
              <w:rPr>
                <w:rFonts w:hint="eastAsia" w:ascii="宋体" w:hAnsi="宋体" w:cs="宋体"/>
                <w:color w:val="000000"/>
                <w:sz w:val="24"/>
              </w:rPr>
            </w:pPr>
            <w:r>
              <w:rPr>
                <w:rFonts w:hint="eastAsia" w:ascii="宋体" w:hAnsi="宋体" w:cs="宋体"/>
                <w:color w:val="000000"/>
                <w:sz w:val="24"/>
              </w:rPr>
              <w:t>尿液分析物质控品</w:t>
            </w:r>
          </w:p>
        </w:tc>
        <w:tc>
          <w:tcPr>
            <w:tcW w:w="1276" w:type="dxa"/>
            <w:tcBorders>
              <w:top w:val="nil"/>
              <w:left w:val="nil"/>
              <w:bottom w:val="single" w:color="auto" w:sz="4" w:space="0"/>
              <w:right w:val="single" w:color="auto" w:sz="4" w:space="0"/>
            </w:tcBorders>
            <w:shd w:val="clear" w:color="000000" w:fill="FFFFFF"/>
            <w:noWrap/>
            <w:vAlign w:val="center"/>
          </w:tcPr>
          <w:p w14:paraId="642E58B2">
            <w:pPr>
              <w:widowControl/>
              <w:jc w:val="center"/>
              <w:rPr>
                <w:rFonts w:hint="eastAsia" w:ascii="宋体" w:hAnsi="宋体" w:cs="宋体"/>
                <w:kern w:val="0"/>
                <w:sz w:val="24"/>
              </w:rPr>
            </w:pPr>
            <w:r>
              <w:rPr>
                <w:rFonts w:hint="eastAsia" w:ascii="宋体" w:hAnsi="宋体" w:cs="宋体"/>
                <w:kern w:val="0"/>
                <w:sz w:val="24"/>
              </w:rPr>
              <w:t>15.625</w:t>
            </w:r>
          </w:p>
        </w:tc>
        <w:tc>
          <w:tcPr>
            <w:tcW w:w="992" w:type="dxa"/>
            <w:tcBorders>
              <w:top w:val="nil"/>
              <w:left w:val="nil"/>
              <w:bottom w:val="single" w:color="auto" w:sz="4" w:space="0"/>
              <w:right w:val="single" w:color="auto" w:sz="4" w:space="0"/>
            </w:tcBorders>
            <w:shd w:val="clear" w:color="000000" w:fill="FFFFFF"/>
            <w:vAlign w:val="center"/>
          </w:tcPr>
          <w:p w14:paraId="610D8B77">
            <w:pPr>
              <w:widowControl/>
              <w:jc w:val="center"/>
              <w:rPr>
                <w:rFonts w:hint="eastAsia" w:ascii="宋体" w:hAnsi="宋体" w:cs="宋体"/>
                <w:kern w:val="0"/>
                <w:sz w:val="24"/>
              </w:rPr>
            </w:pPr>
            <w:r>
              <w:rPr>
                <w:rFonts w:hint="eastAsia" w:ascii="宋体" w:hAnsi="宋体" w:cs="宋体"/>
                <w:kern w:val="0"/>
                <w:sz w:val="24"/>
              </w:rPr>
              <w:t>ml</w:t>
            </w:r>
          </w:p>
        </w:tc>
        <w:tc>
          <w:tcPr>
            <w:tcW w:w="992" w:type="dxa"/>
            <w:tcBorders>
              <w:top w:val="nil"/>
              <w:left w:val="nil"/>
              <w:bottom w:val="single" w:color="auto" w:sz="4" w:space="0"/>
              <w:right w:val="single" w:color="auto" w:sz="4" w:space="0"/>
            </w:tcBorders>
            <w:shd w:val="clear" w:color="000000" w:fill="FFFFFF"/>
            <w:noWrap/>
            <w:vAlign w:val="center"/>
          </w:tcPr>
          <w:p w14:paraId="5FAC3629">
            <w:pPr>
              <w:widowControl/>
              <w:jc w:val="center"/>
              <w:rPr>
                <w:rFonts w:hint="eastAsia" w:ascii="宋体" w:hAnsi="宋体" w:cs="宋体"/>
                <w:kern w:val="0"/>
                <w:sz w:val="24"/>
              </w:rPr>
            </w:pPr>
            <w:r>
              <w:rPr>
                <w:rFonts w:hint="eastAsia" w:ascii="宋体" w:hAnsi="宋体" w:cs="宋体"/>
                <w:kern w:val="0"/>
                <w:sz w:val="24"/>
              </w:rPr>
              <w:t>2160</w:t>
            </w:r>
          </w:p>
        </w:tc>
        <w:tc>
          <w:tcPr>
            <w:tcW w:w="851" w:type="dxa"/>
            <w:tcBorders>
              <w:top w:val="nil"/>
              <w:left w:val="nil"/>
              <w:bottom w:val="single" w:color="auto" w:sz="4" w:space="0"/>
              <w:right w:val="single" w:color="auto" w:sz="4" w:space="0"/>
            </w:tcBorders>
            <w:shd w:val="clear" w:color="000000" w:fill="FFFFFF"/>
            <w:vAlign w:val="center"/>
          </w:tcPr>
          <w:p w14:paraId="6CA6AC3E">
            <w:pPr>
              <w:widowControl/>
              <w:jc w:val="center"/>
              <w:rPr>
                <w:rFonts w:hint="eastAsia" w:ascii="宋体" w:hAnsi="宋体" w:cs="宋体"/>
                <w:color w:val="000000"/>
                <w:kern w:val="0"/>
                <w:sz w:val="24"/>
              </w:rPr>
            </w:pPr>
            <w:r>
              <w:rPr>
                <w:rFonts w:hint="eastAsia" w:ascii="宋体" w:hAnsi="宋体" w:cs="宋体"/>
                <w:color w:val="000000"/>
                <w:kern w:val="0"/>
                <w:sz w:val="24"/>
              </w:rPr>
              <w:t>是</w:t>
            </w:r>
          </w:p>
        </w:tc>
        <w:tc>
          <w:tcPr>
            <w:tcW w:w="952" w:type="dxa"/>
            <w:tcBorders>
              <w:top w:val="nil"/>
              <w:left w:val="nil"/>
              <w:bottom w:val="single" w:color="auto" w:sz="4" w:space="0"/>
              <w:right w:val="single" w:color="auto" w:sz="4" w:space="0"/>
            </w:tcBorders>
            <w:shd w:val="clear" w:color="000000" w:fill="FFFFFF"/>
            <w:vAlign w:val="center"/>
          </w:tcPr>
          <w:p w14:paraId="512AAF33">
            <w:pPr>
              <w:widowControl/>
              <w:jc w:val="center"/>
              <w:rPr>
                <w:rFonts w:hint="eastAsia" w:ascii="宋体" w:hAnsi="宋体" w:cs="宋体"/>
                <w:color w:val="000000"/>
                <w:kern w:val="0"/>
                <w:sz w:val="24"/>
              </w:rPr>
            </w:pPr>
            <w:r>
              <w:rPr>
                <w:rFonts w:hint="eastAsia" w:ascii="宋体" w:hAnsi="宋体" w:cs="宋体"/>
                <w:color w:val="000000"/>
                <w:kern w:val="0"/>
                <w:sz w:val="24"/>
              </w:rPr>
              <w:t>否</w:t>
            </w:r>
          </w:p>
        </w:tc>
      </w:tr>
      <w:tr w14:paraId="5241E604">
        <w:tblPrEx>
          <w:tblCellMar>
            <w:top w:w="0" w:type="dxa"/>
            <w:left w:w="108" w:type="dxa"/>
            <w:bottom w:w="0" w:type="dxa"/>
            <w:right w:w="108" w:type="dxa"/>
          </w:tblCellMar>
        </w:tblPrEx>
        <w:trPr>
          <w:trHeight w:val="288" w:hRule="atLeast"/>
        </w:trPr>
        <w:tc>
          <w:tcPr>
            <w:tcW w:w="704" w:type="dxa"/>
            <w:tcBorders>
              <w:top w:val="nil"/>
              <w:left w:val="single" w:color="auto" w:sz="4" w:space="0"/>
              <w:bottom w:val="single" w:color="auto" w:sz="4" w:space="0"/>
              <w:right w:val="single" w:color="auto" w:sz="4" w:space="0"/>
            </w:tcBorders>
            <w:shd w:val="clear" w:color="000000" w:fill="FFFFFF"/>
            <w:vAlign w:val="center"/>
          </w:tcPr>
          <w:p w14:paraId="498CE51D">
            <w:pPr>
              <w:widowControl/>
              <w:jc w:val="center"/>
              <w:rPr>
                <w:rFonts w:hint="eastAsia" w:ascii="宋体" w:hAnsi="宋体" w:cs="宋体"/>
                <w:kern w:val="0"/>
                <w:sz w:val="24"/>
              </w:rPr>
            </w:pPr>
            <w:r>
              <w:rPr>
                <w:rFonts w:hint="eastAsia" w:ascii="宋体" w:hAnsi="宋体" w:cs="宋体"/>
                <w:kern w:val="0"/>
                <w:sz w:val="24"/>
              </w:rPr>
              <w:t>155</w:t>
            </w:r>
          </w:p>
        </w:tc>
        <w:tc>
          <w:tcPr>
            <w:tcW w:w="2851" w:type="dxa"/>
            <w:tcBorders>
              <w:top w:val="nil"/>
              <w:left w:val="nil"/>
              <w:bottom w:val="single" w:color="auto" w:sz="4" w:space="0"/>
              <w:right w:val="single" w:color="auto" w:sz="4" w:space="0"/>
            </w:tcBorders>
            <w:shd w:val="clear" w:color="000000" w:fill="FFFFFF"/>
            <w:vAlign w:val="center"/>
          </w:tcPr>
          <w:p w14:paraId="3D3E7775">
            <w:pPr>
              <w:jc w:val="center"/>
              <w:rPr>
                <w:rFonts w:hint="eastAsia" w:ascii="宋体" w:hAnsi="宋体" w:cs="宋体"/>
                <w:color w:val="000000"/>
                <w:sz w:val="24"/>
              </w:rPr>
            </w:pPr>
            <w:r>
              <w:rPr>
                <w:rFonts w:hint="eastAsia" w:ascii="宋体" w:hAnsi="宋体" w:cs="宋体"/>
                <w:color w:val="000000"/>
                <w:sz w:val="24"/>
              </w:rPr>
              <w:t>化学清洗液</w:t>
            </w:r>
          </w:p>
        </w:tc>
        <w:tc>
          <w:tcPr>
            <w:tcW w:w="1276" w:type="dxa"/>
            <w:tcBorders>
              <w:top w:val="nil"/>
              <w:left w:val="nil"/>
              <w:bottom w:val="single" w:color="auto" w:sz="4" w:space="0"/>
              <w:right w:val="single" w:color="auto" w:sz="4" w:space="0"/>
            </w:tcBorders>
            <w:shd w:val="clear" w:color="000000" w:fill="FFFFFF"/>
            <w:noWrap/>
            <w:vAlign w:val="center"/>
          </w:tcPr>
          <w:p w14:paraId="207988E4">
            <w:pPr>
              <w:widowControl/>
              <w:jc w:val="center"/>
              <w:rPr>
                <w:rFonts w:hint="eastAsia" w:ascii="宋体" w:hAnsi="宋体" w:cs="宋体"/>
                <w:kern w:val="0"/>
                <w:sz w:val="24"/>
              </w:rPr>
            </w:pPr>
            <w:r>
              <w:rPr>
                <w:rFonts w:hint="eastAsia" w:ascii="宋体" w:hAnsi="宋体" w:cs="宋体"/>
                <w:kern w:val="0"/>
                <w:sz w:val="24"/>
              </w:rPr>
              <w:t>570</w:t>
            </w:r>
          </w:p>
        </w:tc>
        <w:tc>
          <w:tcPr>
            <w:tcW w:w="992" w:type="dxa"/>
            <w:tcBorders>
              <w:top w:val="nil"/>
              <w:left w:val="nil"/>
              <w:bottom w:val="single" w:color="auto" w:sz="4" w:space="0"/>
              <w:right w:val="single" w:color="auto" w:sz="4" w:space="0"/>
            </w:tcBorders>
            <w:shd w:val="clear" w:color="000000" w:fill="FFFFFF"/>
            <w:vAlign w:val="center"/>
          </w:tcPr>
          <w:p w14:paraId="71854DF2">
            <w:pPr>
              <w:widowControl/>
              <w:jc w:val="center"/>
              <w:rPr>
                <w:rFonts w:hint="eastAsia" w:ascii="宋体" w:hAnsi="宋体" w:cs="宋体"/>
                <w:kern w:val="0"/>
                <w:sz w:val="24"/>
              </w:rPr>
            </w:pPr>
            <w:r>
              <w:rPr>
                <w:rFonts w:hint="eastAsia" w:ascii="宋体" w:hAnsi="宋体" w:cs="宋体"/>
                <w:kern w:val="0"/>
                <w:sz w:val="24"/>
              </w:rPr>
              <w:t>L</w:t>
            </w:r>
          </w:p>
        </w:tc>
        <w:tc>
          <w:tcPr>
            <w:tcW w:w="992" w:type="dxa"/>
            <w:tcBorders>
              <w:top w:val="nil"/>
              <w:left w:val="nil"/>
              <w:bottom w:val="single" w:color="auto" w:sz="4" w:space="0"/>
              <w:right w:val="single" w:color="auto" w:sz="4" w:space="0"/>
            </w:tcBorders>
            <w:shd w:val="clear" w:color="000000" w:fill="FFFFFF"/>
            <w:noWrap/>
            <w:vAlign w:val="center"/>
          </w:tcPr>
          <w:p w14:paraId="220C22D2">
            <w:pPr>
              <w:widowControl/>
              <w:jc w:val="center"/>
              <w:rPr>
                <w:rFonts w:hint="eastAsia" w:ascii="宋体" w:hAnsi="宋体" w:cs="宋体"/>
                <w:kern w:val="0"/>
                <w:sz w:val="24"/>
              </w:rPr>
            </w:pPr>
            <w:r>
              <w:rPr>
                <w:rFonts w:hint="eastAsia" w:ascii="宋体" w:hAnsi="宋体" w:cs="宋体"/>
                <w:kern w:val="0"/>
                <w:sz w:val="24"/>
              </w:rPr>
              <w:t>46</w:t>
            </w:r>
          </w:p>
        </w:tc>
        <w:tc>
          <w:tcPr>
            <w:tcW w:w="851" w:type="dxa"/>
            <w:tcBorders>
              <w:top w:val="nil"/>
              <w:left w:val="nil"/>
              <w:bottom w:val="single" w:color="auto" w:sz="4" w:space="0"/>
              <w:right w:val="single" w:color="auto" w:sz="4" w:space="0"/>
            </w:tcBorders>
            <w:shd w:val="clear" w:color="000000" w:fill="FFFFFF"/>
            <w:vAlign w:val="center"/>
          </w:tcPr>
          <w:p w14:paraId="46A086F7">
            <w:pPr>
              <w:widowControl/>
              <w:jc w:val="center"/>
              <w:rPr>
                <w:rFonts w:hint="eastAsia" w:ascii="宋体" w:hAnsi="宋体" w:cs="宋体"/>
                <w:color w:val="000000"/>
                <w:kern w:val="0"/>
                <w:sz w:val="24"/>
              </w:rPr>
            </w:pPr>
            <w:r>
              <w:rPr>
                <w:rFonts w:hint="eastAsia" w:ascii="宋体" w:hAnsi="宋体" w:cs="宋体"/>
                <w:color w:val="000000"/>
                <w:kern w:val="0"/>
                <w:sz w:val="24"/>
              </w:rPr>
              <w:t>是</w:t>
            </w:r>
          </w:p>
        </w:tc>
        <w:tc>
          <w:tcPr>
            <w:tcW w:w="952" w:type="dxa"/>
            <w:tcBorders>
              <w:top w:val="nil"/>
              <w:left w:val="nil"/>
              <w:bottom w:val="single" w:color="auto" w:sz="4" w:space="0"/>
              <w:right w:val="single" w:color="auto" w:sz="4" w:space="0"/>
            </w:tcBorders>
            <w:shd w:val="clear" w:color="000000" w:fill="FFFFFF"/>
            <w:vAlign w:val="center"/>
          </w:tcPr>
          <w:p w14:paraId="17667FCF">
            <w:pPr>
              <w:widowControl/>
              <w:jc w:val="center"/>
              <w:rPr>
                <w:rFonts w:hint="eastAsia" w:ascii="宋体" w:hAnsi="宋体" w:cs="宋体"/>
                <w:color w:val="000000"/>
                <w:kern w:val="0"/>
                <w:sz w:val="24"/>
              </w:rPr>
            </w:pPr>
            <w:r>
              <w:rPr>
                <w:rFonts w:hint="eastAsia" w:ascii="宋体" w:hAnsi="宋体" w:cs="宋体"/>
                <w:color w:val="000000"/>
                <w:kern w:val="0"/>
                <w:sz w:val="24"/>
              </w:rPr>
              <w:t>否</w:t>
            </w:r>
          </w:p>
        </w:tc>
      </w:tr>
      <w:tr w14:paraId="2F08C454">
        <w:tblPrEx>
          <w:tblCellMar>
            <w:top w:w="0" w:type="dxa"/>
            <w:left w:w="108" w:type="dxa"/>
            <w:bottom w:w="0" w:type="dxa"/>
            <w:right w:w="108" w:type="dxa"/>
          </w:tblCellMar>
        </w:tblPrEx>
        <w:trPr>
          <w:trHeight w:val="288" w:hRule="atLeast"/>
        </w:trPr>
        <w:tc>
          <w:tcPr>
            <w:tcW w:w="704" w:type="dxa"/>
            <w:tcBorders>
              <w:top w:val="nil"/>
              <w:left w:val="single" w:color="auto" w:sz="4" w:space="0"/>
              <w:bottom w:val="single" w:color="auto" w:sz="4" w:space="0"/>
              <w:right w:val="single" w:color="auto" w:sz="4" w:space="0"/>
            </w:tcBorders>
            <w:shd w:val="clear" w:color="000000" w:fill="FFFFFF"/>
            <w:vAlign w:val="center"/>
          </w:tcPr>
          <w:p w14:paraId="4521FBAC">
            <w:pPr>
              <w:widowControl/>
              <w:jc w:val="center"/>
              <w:rPr>
                <w:rFonts w:hint="eastAsia" w:ascii="宋体" w:hAnsi="宋体" w:cs="宋体"/>
                <w:kern w:val="0"/>
                <w:sz w:val="24"/>
              </w:rPr>
            </w:pPr>
            <w:r>
              <w:rPr>
                <w:rFonts w:hint="eastAsia" w:ascii="宋体" w:hAnsi="宋体" w:cs="宋体"/>
                <w:kern w:val="0"/>
                <w:sz w:val="24"/>
              </w:rPr>
              <w:t>156</w:t>
            </w:r>
          </w:p>
        </w:tc>
        <w:tc>
          <w:tcPr>
            <w:tcW w:w="2851" w:type="dxa"/>
            <w:tcBorders>
              <w:top w:val="nil"/>
              <w:left w:val="nil"/>
              <w:bottom w:val="single" w:color="auto" w:sz="4" w:space="0"/>
              <w:right w:val="single" w:color="auto" w:sz="4" w:space="0"/>
            </w:tcBorders>
            <w:shd w:val="clear" w:color="000000" w:fill="FFFFFF"/>
            <w:vAlign w:val="center"/>
          </w:tcPr>
          <w:p w14:paraId="43C0D59E">
            <w:pPr>
              <w:jc w:val="center"/>
              <w:rPr>
                <w:rFonts w:hint="eastAsia" w:ascii="宋体" w:hAnsi="宋体" w:cs="宋体"/>
                <w:color w:val="000000"/>
                <w:sz w:val="24"/>
              </w:rPr>
            </w:pPr>
            <w:r>
              <w:rPr>
                <w:rFonts w:hint="eastAsia" w:ascii="宋体" w:hAnsi="宋体" w:cs="宋体"/>
                <w:color w:val="000000"/>
                <w:sz w:val="24"/>
              </w:rPr>
              <w:t>尿液分析试纸条</w:t>
            </w:r>
          </w:p>
        </w:tc>
        <w:tc>
          <w:tcPr>
            <w:tcW w:w="1276" w:type="dxa"/>
            <w:tcBorders>
              <w:top w:val="nil"/>
              <w:left w:val="nil"/>
              <w:bottom w:val="single" w:color="auto" w:sz="4" w:space="0"/>
              <w:right w:val="single" w:color="auto" w:sz="4" w:space="0"/>
            </w:tcBorders>
            <w:shd w:val="clear" w:color="000000" w:fill="FFFFFF"/>
            <w:noWrap/>
            <w:vAlign w:val="center"/>
          </w:tcPr>
          <w:p w14:paraId="57CFE9F6">
            <w:pPr>
              <w:widowControl/>
              <w:jc w:val="center"/>
              <w:rPr>
                <w:rFonts w:hint="eastAsia" w:ascii="宋体" w:hAnsi="宋体" w:cs="宋体"/>
                <w:kern w:val="0"/>
                <w:sz w:val="24"/>
              </w:rPr>
            </w:pPr>
            <w:r>
              <w:rPr>
                <w:rFonts w:hint="eastAsia" w:ascii="宋体" w:hAnsi="宋体" w:cs="宋体"/>
                <w:kern w:val="0"/>
                <w:sz w:val="24"/>
              </w:rPr>
              <w:t>1.9</w:t>
            </w:r>
          </w:p>
        </w:tc>
        <w:tc>
          <w:tcPr>
            <w:tcW w:w="992" w:type="dxa"/>
            <w:tcBorders>
              <w:top w:val="nil"/>
              <w:left w:val="nil"/>
              <w:bottom w:val="single" w:color="auto" w:sz="4" w:space="0"/>
              <w:right w:val="single" w:color="auto" w:sz="4" w:space="0"/>
            </w:tcBorders>
            <w:shd w:val="clear" w:color="000000" w:fill="FFFFFF"/>
            <w:vAlign w:val="center"/>
          </w:tcPr>
          <w:p w14:paraId="5E4F5ADB">
            <w:pPr>
              <w:widowControl/>
              <w:jc w:val="center"/>
              <w:rPr>
                <w:rFonts w:hint="eastAsia" w:ascii="宋体" w:hAnsi="宋体" w:cs="宋体"/>
                <w:kern w:val="0"/>
                <w:sz w:val="24"/>
              </w:rPr>
            </w:pPr>
            <w:r>
              <w:rPr>
                <w:rFonts w:hint="eastAsia" w:ascii="宋体" w:hAnsi="宋体" w:cs="宋体"/>
                <w:kern w:val="0"/>
                <w:sz w:val="24"/>
              </w:rPr>
              <w:t>条</w:t>
            </w:r>
          </w:p>
        </w:tc>
        <w:tc>
          <w:tcPr>
            <w:tcW w:w="992" w:type="dxa"/>
            <w:tcBorders>
              <w:top w:val="nil"/>
              <w:left w:val="nil"/>
              <w:bottom w:val="single" w:color="auto" w:sz="4" w:space="0"/>
              <w:right w:val="single" w:color="auto" w:sz="4" w:space="0"/>
            </w:tcBorders>
            <w:shd w:val="clear" w:color="000000" w:fill="FFFFFF"/>
            <w:noWrap/>
            <w:vAlign w:val="center"/>
          </w:tcPr>
          <w:p w14:paraId="255D7141">
            <w:pPr>
              <w:widowControl/>
              <w:jc w:val="center"/>
              <w:rPr>
                <w:rFonts w:hint="eastAsia" w:ascii="宋体" w:hAnsi="宋体" w:cs="宋体"/>
                <w:kern w:val="0"/>
                <w:sz w:val="24"/>
              </w:rPr>
            </w:pPr>
            <w:r>
              <w:rPr>
                <w:rFonts w:hint="eastAsia" w:ascii="宋体" w:hAnsi="宋体" w:cs="宋体"/>
                <w:kern w:val="0"/>
                <w:sz w:val="24"/>
              </w:rPr>
              <w:t>71300</w:t>
            </w:r>
          </w:p>
        </w:tc>
        <w:tc>
          <w:tcPr>
            <w:tcW w:w="851" w:type="dxa"/>
            <w:tcBorders>
              <w:top w:val="nil"/>
              <w:left w:val="nil"/>
              <w:bottom w:val="single" w:color="auto" w:sz="4" w:space="0"/>
              <w:right w:val="single" w:color="auto" w:sz="4" w:space="0"/>
            </w:tcBorders>
            <w:shd w:val="clear" w:color="000000" w:fill="FFFFFF"/>
            <w:vAlign w:val="center"/>
          </w:tcPr>
          <w:p w14:paraId="0CCEA175">
            <w:pPr>
              <w:widowControl/>
              <w:jc w:val="center"/>
              <w:rPr>
                <w:rFonts w:hint="eastAsia" w:ascii="宋体" w:hAnsi="宋体" w:cs="宋体"/>
                <w:color w:val="000000"/>
                <w:kern w:val="0"/>
                <w:sz w:val="24"/>
              </w:rPr>
            </w:pPr>
            <w:r>
              <w:rPr>
                <w:rFonts w:hint="eastAsia" w:ascii="宋体" w:hAnsi="宋体" w:cs="宋体"/>
                <w:color w:val="000000"/>
                <w:kern w:val="0"/>
                <w:sz w:val="24"/>
              </w:rPr>
              <w:t>是</w:t>
            </w:r>
          </w:p>
        </w:tc>
        <w:tc>
          <w:tcPr>
            <w:tcW w:w="952" w:type="dxa"/>
            <w:tcBorders>
              <w:top w:val="nil"/>
              <w:left w:val="nil"/>
              <w:bottom w:val="single" w:color="auto" w:sz="4" w:space="0"/>
              <w:right w:val="single" w:color="auto" w:sz="4" w:space="0"/>
            </w:tcBorders>
            <w:shd w:val="clear" w:color="000000" w:fill="FFFFFF"/>
            <w:vAlign w:val="center"/>
          </w:tcPr>
          <w:p w14:paraId="6E14CCFC">
            <w:pPr>
              <w:widowControl/>
              <w:jc w:val="center"/>
              <w:rPr>
                <w:rFonts w:hint="eastAsia" w:ascii="宋体" w:hAnsi="宋体" w:cs="宋体"/>
                <w:color w:val="000000"/>
                <w:kern w:val="0"/>
                <w:sz w:val="24"/>
              </w:rPr>
            </w:pPr>
            <w:r>
              <w:rPr>
                <w:rFonts w:hint="eastAsia" w:ascii="宋体" w:hAnsi="宋体" w:cs="宋体"/>
                <w:color w:val="000000"/>
                <w:kern w:val="0"/>
                <w:sz w:val="24"/>
              </w:rPr>
              <w:t>否</w:t>
            </w:r>
          </w:p>
        </w:tc>
      </w:tr>
      <w:tr w14:paraId="6DAF08FB">
        <w:tblPrEx>
          <w:tblCellMar>
            <w:top w:w="0" w:type="dxa"/>
            <w:left w:w="108" w:type="dxa"/>
            <w:bottom w:w="0" w:type="dxa"/>
            <w:right w:w="108" w:type="dxa"/>
          </w:tblCellMar>
        </w:tblPrEx>
        <w:trPr>
          <w:trHeight w:val="288" w:hRule="atLeast"/>
        </w:trPr>
        <w:tc>
          <w:tcPr>
            <w:tcW w:w="704" w:type="dxa"/>
            <w:tcBorders>
              <w:top w:val="nil"/>
              <w:left w:val="single" w:color="auto" w:sz="4" w:space="0"/>
              <w:bottom w:val="single" w:color="auto" w:sz="4" w:space="0"/>
              <w:right w:val="single" w:color="auto" w:sz="4" w:space="0"/>
            </w:tcBorders>
            <w:shd w:val="clear" w:color="000000" w:fill="FFFFFF"/>
            <w:vAlign w:val="center"/>
          </w:tcPr>
          <w:p w14:paraId="7E6089D4">
            <w:pPr>
              <w:widowControl/>
              <w:jc w:val="center"/>
              <w:rPr>
                <w:rFonts w:hint="eastAsia" w:ascii="宋体" w:hAnsi="宋体" w:cs="宋体"/>
                <w:kern w:val="0"/>
                <w:sz w:val="24"/>
              </w:rPr>
            </w:pPr>
            <w:r>
              <w:rPr>
                <w:rFonts w:hint="eastAsia" w:ascii="宋体" w:hAnsi="宋体" w:cs="宋体"/>
                <w:kern w:val="0"/>
                <w:sz w:val="24"/>
              </w:rPr>
              <w:t>157</w:t>
            </w:r>
          </w:p>
        </w:tc>
        <w:tc>
          <w:tcPr>
            <w:tcW w:w="2851" w:type="dxa"/>
            <w:tcBorders>
              <w:top w:val="nil"/>
              <w:left w:val="nil"/>
              <w:bottom w:val="single" w:color="auto" w:sz="4" w:space="0"/>
              <w:right w:val="single" w:color="auto" w:sz="4" w:space="0"/>
            </w:tcBorders>
            <w:shd w:val="clear" w:color="000000" w:fill="FFFFFF"/>
            <w:vAlign w:val="center"/>
          </w:tcPr>
          <w:p w14:paraId="58947683">
            <w:pPr>
              <w:jc w:val="center"/>
              <w:rPr>
                <w:rFonts w:hint="eastAsia" w:ascii="宋体" w:hAnsi="宋体" w:cs="宋体"/>
                <w:color w:val="000000"/>
                <w:sz w:val="24"/>
              </w:rPr>
            </w:pPr>
            <w:r>
              <w:rPr>
                <w:rFonts w:hint="eastAsia" w:ascii="宋体" w:hAnsi="宋体" w:cs="宋体"/>
                <w:color w:val="000000"/>
                <w:sz w:val="24"/>
              </w:rPr>
              <w:t>糖化血红蛋白溶血剂</w:t>
            </w:r>
          </w:p>
        </w:tc>
        <w:tc>
          <w:tcPr>
            <w:tcW w:w="1276" w:type="dxa"/>
            <w:tcBorders>
              <w:top w:val="nil"/>
              <w:left w:val="nil"/>
              <w:bottom w:val="single" w:color="auto" w:sz="4" w:space="0"/>
              <w:right w:val="single" w:color="auto" w:sz="4" w:space="0"/>
            </w:tcBorders>
            <w:shd w:val="clear" w:color="000000" w:fill="FFFFFF"/>
            <w:noWrap/>
            <w:vAlign w:val="center"/>
          </w:tcPr>
          <w:p w14:paraId="52935A07">
            <w:pPr>
              <w:widowControl/>
              <w:jc w:val="center"/>
              <w:rPr>
                <w:rFonts w:hint="eastAsia" w:ascii="宋体" w:hAnsi="宋体" w:cs="宋体"/>
                <w:kern w:val="0"/>
                <w:sz w:val="24"/>
              </w:rPr>
            </w:pPr>
            <w:r>
              <w:rPr>
                <w:rFonts w:hint="eastAsia" w:ascii="宋体" w:hAnsi="宋体" w:cs="宋体"/>
                <w:kern w:val="0"/>
                <w:sz w:val="24"/>
              </w:rPr>
              <w:t>640</w:t>
            </w:r>
          </w:p>
        </w:tc>
        <w:tc>
          <w:tcPr>
            <w:tcW w:w="992" w:type="dxa"/>
            <w:tcBorders>
              <w:top w:val="nil"/>
              <w:left w:val="nil"/>
              <w:bottom w:val="single" w:color="auto" w:sz="4" w:space="0"/>
              <w:right w:val="single" w:color="auto" w:sz="4" w:space="0"/>
            </w:tcBorders>
            <w:shd w:val="clear" w:color="000000" w:fill="FFFFFF"/>
            <w:vAlign w:val="center"/>
          </w:tcPr>
          <w:p w14:paraId="79F1A198">
            <w:pPr>
              <w:widowControl/>
              <w:jc w:val="center"/>
              <w:rPr>
                <w:rFonts w:hint="eastAsia" w:ascii="宋体" w:hAnsi="宋体" w:cs="宋体"/>
                <w:kern w:val="0"/>
                <w:sz w:val="24"/>
              </w:rPr>
            </w:pPr>
            <w:r>
              <w:rPr>
                <w:rFonts w:hint="eastAsia" w:ascii="宋体" w:hAnsi="宋体" w:cs="宋体"/>
                <w:kern w:val="0"/>
                <w:sz w:val="24"/>
              </w:rPr>
              <w:t>L</w:t>
            </w:r>
          </w:p>
        </w:tc>
        <w:tc>
          <w:tcPr>
            <w:tcW w:w="992" w:type="dxa"/>
            <w:tcBorders>
              <w:top w:val="nil"/>
              <w:left w:val="nil"/>
              <w:bottom w:val="single" w:color="auto" w:sz="4" w:space="0"/>
              <w:right w:val="single" w:color="auto" w:sz="4" w:space="0"/>
            </w:tcBorders>
            <w:shd w:val="clear" w:color="000000" w:fill="FFFFFF"/>
            <w:noWrap/>
            <w:vAlign w:val="center"/>
          </w:tcPr>
          <w:p w14:paraId="45D1495E">
            <w:pPr>
              <w:widowControl/>
              <w:jc w:val="center"/>
              <w:rPr>
                <w:rFonts w:hint="eastAsia" w:ascii="宋体" w:hAnsi="宋体" w:cs="宋体"/>
                <w:kern w:val="0"/>
                <w:sz w:val="24"/>
              </w:rPr>
            </w:pPr>
            <w:r>
              <w:rPr>
                <w:rFonts w:hint="eastAsia" w:ascii="宋体" w:hAnsi="宋体" w:cs="宋体"/>
                <w:kern w:val="0"/>
                <w:sz w:val="24"/>
              </w:rPr>
              <w:t>118</w:t>
            </w:r>
          </w:p>
        </w:tc>
        <w:tc>
          <w:tcPr>
            <w:tcW w:w="851" w:type="dxa"/>
            <w:tcBorders>
              <w:top w:val="nil"/>
              <w:left w:val="nil"/>
              <w:bottom w:val="single" w:color="auto" w:sz="4" w:space="0"/>
              <w:right w:val="single" w:color="auto" w:sz="4" w:space="0"/>
            </w:tcBorders>
            <w:shd w:val="clear" w:color="000000" w:fill="FFFFFF"/>
            <w:vAlign w:val="center"/>
          </w:tcPr>
          <w:p w14:paraId="08F86C73">
            <w:pPr>
              <w:widowControl/>
              <w:jc w:val="center"/>
              <w:rPr>
                <w:rFonts w:hint="eastAsia" w:ascii="宋体" w:hAnsi="宋体" w:cs="宋体"/>
                <w:color w:val="000000"/>
                <w:kern w:val="0"/>
                <w:sz w:val="24"/>
              </w:rPr>
            </w:pPr>
            <w:r>
              <w:rPr>
                <w:rFonts w:hint="eastAsia" w:ascii="宋体" w:hAnsi="宋体" w:cs="宋体"/>
                <w:color w:val="000000"/>
                <w:kern w:val="0"/>
                <w:sz w:val="24"/>
              </w:rPr>
              <w:t>是</w:t>
            </w:r>
          </w:p>
        </w:tc>
        <w:tc>
          <w:tcPr>
            <w:tcW w:w="952" w:type="dxa"/>
            <w:tcBorders>
              <w:top w:val="nil"/>
              <w:left w:val="nil"/>
              <w:bottom w:val="single" w:color="auto" w:sz="4" w:space="0"/>
              <w:right w:val="single" w:color="auto" w:sz="4" w:space="0"/>
            </w:tcBorders>
            <w:shd w:val="clear" w:color="000000" w:fill="FFFFFF"/>
            <w:vAlign w:val="center"/>
          </w:tcPr>
          <w:p w14:paraId="3D652E53">
            <w:pPr>
              <w:widowControl/>
              <w:jc w:val="center"/>
              <w:rPr>
                <w:rFonts w:hint="eastAsia" w:ascii="宋体" w:hAnsi="宋体" w:cs="宋体"/>
                <w:color w:val="000000"/>
                <w:kern w:val="0"/>
                <w:sz w:val="24"/>
              </w:rPr>
            </w:pPr>
            <w:r>
              <w:rPr>
                <w:rFonts w:hint="eastAsia" w:ascii="宋体" w:hAnsi="宋体" w:cs="宋体"/>
                <w:color w:val="000000"/>
                <w:kern w:val="0"/>
                <w:sz w:val="24"/>
              </w:rPr>
              <w:t>否</w:t>
            </w:r>
          </w:p>
        </w:tc>
      </w:tr>
      <w:tr w14:paraId="7C818E1E">
        <w:tblPrEx>
          <w:tblCellMar>
            <w:top w:w="0" w:type="dxa"/>
            <w:left w:w="108" w:type="dxa"/>
            <w:bottom w:w="0" w:type="dxa"/>
            <w:right w:w="108" w:type="dxa"/>
          </w:tblCellMar>
        </w:tblPrEx>
        <w:trPr>
          <w:trHeight w:val="288" w:hRule="atLeast"/>
        </w:trPr>
        <w:tc>
          <w:tcPr>
            <w:tcW w:w="704" w:type="dxa"/>
            <w:tcBorders>
              <w:top w:val="nil"/>
              <w:left w:val="single" w:color="auto" w:sz="4" w:space="0"/>
              <w:bottom w:val="single" w:color="auto" w:sz="4" w:space="0"/>
              <w:right w:val="single" w:color="auto" w:sz="4" w:space="0"/>
            </w:tcBorders>
            <w:shd w:val="clear" w:color="000000" w:fill="FFFFFF"/>
            <w:vAlign w:val="center"/>
          </w:tcPr>
          <w:p w14:paraId="6EF8756C">
            <w:pPr>
              <w:widowControl/>
              <w:jc w:val="center"/>
              <w:rPr>
                <w:rFonts w:hint="eastAsia" w:ascii="宋体" w:hAnsi="宋体" w:cs="宋体"/>
                <w:kern w:val="0"/>
                <w:sz w:val="24"/>
              </w:rPr>
            </w:pPr>
            <w:r>
              <w:rPr>
                <w:rFonts w:hint="eastAsia" w:ascii="宋体" w:hAnsi="宋体" w:cs="宋体"/>
                <w:kern w:val="0"/>
                <w:sz w:val="24"/>
              </w:rPr>
              <w:t>158</w:t>
            </w:r>
          </w:p>
        </w:tc>
        <w:tc>
          <w:tcPr>
            <w:tcW w:w="2851" w:type="dxa"/>
            <w:tcBorders>
              <w:top w:val="nil"/>
              <w:left w:val="nil"/>
              <w:bottom w:val="single" w:color="auto" w:sz="4" w:space="0"/>
              <w:right w:val="single" w:color="auto" w:sz="4" w:space="0"/>
            </w:tcBorders>
            <w:shd w:val="clear" w:color="000000" w:fill="FFFFFF"/>
            <w:vAlign w:val="center"/>
          </w:tcPr>
          <w:p w14:paraId="4CBDB455">
            <w:pPr>
              <w:jc w:val="center"/>
              <w:rPr>
                <w:rFonts w:hint="eastAsia" w:ascii="宋体" w:hAnsi="宋体" w:cs="宋体"/>
                <w:color w:val="000000"/>
                <w:sz w:val="24"/>
              </w:rPr>
            </w:pPr>
            <w:r>
              <w:rPr>
                <w:rFonts w:hint="eastAsia" w:ascii="宋体" w:hAnsi="宋体" w:cs="宋体"/>
                <w:color w:val="000000"/>
                <w:sz w:val="24"/>
              </w:rPr>
              <w:t>糖化血红蛋白校准品</w:t>
            </w:r>
          </w:p>
        </w:tc>
        <w:tc>
          <w:tcPr>
            <w:tcW w:w="1276" w:type="dxa"/>
            <w:tcBorders>
              <w:top w:val="nil"/>
              <w:left w:val="nil"/>
              <w:bottom w:val="single" w:color="auto" w:sz="4" w:space="0"/>
              <w:right w:val="single" w:color="auto" w:sz="4" w:space="0"/>
            </w:tcBorders>
            <w:shd w:val="clear" w:color="000000" w:fill="FFFFFF"/>
            <w:noWrap/>
            <w:vAlign w:val="center"/>
          </w:tcPr>
          <w:p w14:paraId="24BC03B6">
            <w:pPr>
              <w:widowControl/>
              <w:jc w:val="center"/>
              <w:rPr>
                <w:rFonts w:hint="eastAsia" w:ascii="宋体" w:hAnsi="宋体" w:cs="宋体"/>
                <w:kern w:val="0"/>
                <w:sz w:val="24"/>
              </w:rPr>
            </w:pPr>
            <w:r>
              <w:rPr>
                <w:rFonts w:hint="eastAsia" w:ascii="宋体" w:hAnsi="宋体" w:cs="宋体"/>
                <w:kern w:val="0"/>
                <w:sz w:val="24"/>
              </w:rPr>
              <w:t>175</w:t>
            </w:r>
          </w:p>
        </w:tc>
        <w:tc>
          <w:tcPr>
            <w:tcW w:w="992" w:type="dxa"/>
            <w:tcBorders>
              <w:top w:val="nil"/>
              <w:left w:val="nil"/>
              <w:bottom w:val="single" w:color="auto" w:sz="4" w:space="0"/>
              <w:right w:val="single" w:color="auto" w:sz="4" w:space="0"/>
            </w:tcBorders>
            <w:shd w:val="clear" w:color="000000" w:fill="FFFFFF"/>
            <w:vAlign w:val="center"/>
          </w:tcPr>
          <w:p w14:paraId="5BE726FF">
            <w:pPr>
              <w:widowControl/>
              <w:jc w:val="center"/>
              <w:rPr>
                <w:rFonts w:hint="eastAsia" w:ascii="宋体" w:hAnsi="宋体" w:cs="宋体"/>
                <w:kern w:val="0"/>
                <w:sz w:val="24"/>
              </w:rPr>
            </w:pPr>
            <w:r>
              <w:rPr>
                <w:rFonts w:hint="eastAsia" w:ascii="宋体" w:hAnsi="宋体" w:cs="宋体"/>
                <w:kern w:val="0"/>
                <w:sz w:val="24"/>
              </w:rPr>
              <w:t>ml</w:t>
            </w:r>
          </w:p>
        </w:tc>
        <w:tc>
          <w:tcPr>
            <w:tcW w:w="992" w:type="dxa"/>
            <w:tcBorders>
              <w:top w:val="nil"/>
              <w:left w:val="nil"/>
              <w:bottom w:val="single" w:color="auto" w:sz="4" w:space="0"/>
              <w:right w:val="single" w:color="auto" w:sz="4" w:space="0"/>
            </w:tcBorders>
            <w:shd w:val="clear" w:color="000000" w:fill="FFFFFF"/>
            <w:noWrap/>
            <w:vAlign w:val="center"/>
          </w:tcPr>
          <w:p w14:paraId="4DCFE239">
            <w:pPr>
              <w:widowControl/>
              <w:jc w:val="center"/>
              <w:rPr>
                <w:rFonts w:hint="eastAsia" w:ascii="宋体" w:hAnsi="宋体" w:cs="宋体"/>
                <w:kern w:val="0"/>
                <w:sz w:val="24"/>
              </w:rPr>
            </w:pPr>
            <w:r>
              <w:rPr>
                <w:rFonts w:hint="eastAsia" w:ascii="宋体" w:hAnsi="宋体" w:cs="宋体"/>
                <w:kern w:val="0"/>
                <w:sz w:val="24"/>
              </w:rPr>
              <w:t>24</w:t>
            </w:r>
          </w:p>
        </w:tc>
        <w:tc>
          <w:tcPr>
            <w:tcW w:w="851" w:type="dxa"/>
            <w:tcBorders>
              <w:top w:val="nil"/>
              <w:left w:val="nil"/>
              <w:bottom w:val="single" w:color="auto" w:sz="4" w:space="0"/>
              <w:right w:val="single" w:color="auto" w:sz="4" w:space="0"/>
            </w:tcBorders>
            <w:shd w:val="clear" w:color="000000" w:fill="FFFFFF"/>
            <w:vAlign w:val="center"/>
          </w:tcPr>
          <w:p w14:paraId="3B267987">
            <w:pPr>
              <w:widowControl/>
              <w:jc w:val="center"/>
              <w:rPr>
                <w:rFonts w:hint="eastAsia" w:ascii="宋体" w:hAnsi="宋体" w:cs="宋体"/>
                <w:color w:val="000000"/>
                <w:kern w:val="0"/>
                <w:sz w:val="24"/>
              </w:rPr>
            </w:pPr>
            <w:r>
              <w:rPr>
                <w:rFonts w:hint="eastAsia" w:ascii="宋体" w:hAnsi="宋体" w:cs="宋体"/>
                <w:color w:val="000000"/>
                <w:kern w:val="0"/>
                <w:sz w:val="24"/>
              </w:rPr>
              <w:t>是</w:t>
            </w:r>
          </w:p>
        </w:tc>
        <w:tc>
          <w:tcPr>
            <w:tcW w:w="952" w:type="dxa"/>
            <w:tcBorders>
              <w:top w:val="nil"/>
              <w:left w:val="nil"/>
              <w:bottom w:val="single" w:color="auto" w:sz="4" w:space="0"/>
              <w:right w:val="single" w:color="auto" w:sz="4" w:space="0"/>
            </w:tcBorders>
            <w:shd w:val="clear" w:color="000000" w:fill="FFFFFF"/>
            <w:vAlign w:val="center"/>
          </w:tcPr>
          <w:p w14:paraId="4E10FB32">
            <w:pPr>
              <w:widowControl/>
              <w:jc w:val="center"/>
              <w:rPr>
                <w:rFonts w:hint="eastAsia" w:ascii="宋体" w:hAnsi="宋体" w:cs="宋体"/>
                <w:color w:val="000000"/>
                <w:kern w:val="0"/>
                <w:sz w:val="24"/>
              </w:rPr>
            </w:pPr>
            <w:r>
              <w:rPr>
                <w:rFonts w:hint="eastAsia" w:ascii="宋体" w:hAnsi="宋体" w:cs="宋体"/>
                <w:color w:val="000000"/>
                <w:kern w:val="0"/>
                <w:sz w:val="24"/>
              </w:rPr>
              <w:t>否</w:t>
            </w:r>
          </w:p>
        </w:tc>
      </w:tr>
      <w:tr w14:paraId="0165D447">
        <w:tblPrEx>
          <w:tblCellMar>
            <w:top w:w="0" w:type="dxa"/>
            <w:left w:w="108" w:type="dxa"/>
            <w:bottom w:w="0" w:type="dxa"/>
            <w:right w:w="108" w:type="dxa"/>
          </w:tblCellMar>
        </w:tblPrEx>
        <w:trPr>
          <w:trHeight w:val="288" w:hRule="atLeast"/>
        </w:trPr>
        <w:tc>
          <w:tcPr>
            <w:tcW w:w="704" w:type="dxa"/>
            <w:tcBorders>
              <w:top w:val="nil"/>
              <w:left w:val="single" w:color="auto" w:sz="4" w:space="0"/>
              <w:bottom w:val="single" w:color="auto" w:sz="4" w:space="0"/>
              <w:right w:val="single" w:color="auto" w:sz="4" w:space="0"/>
            </w:tcBorders>
            <w:shd w:val="clear" w:color="000000" w:fill="FFFFFF"/>
            <w:vAlign w:val="center"/>
          </w:tcPr>
          <w:p w14:paraId="113616C1">
            <w:pPr>
              <w:widowControl/>
              <w:jc w:val="center"/>
              <w:rPr>
                <w:rFonts w:hint="eastAsia" w:ascii="宋体" w:hAnsi="宋体" w:cs="宋体"/>
                <w:kern w:val="0"/>
                <w:sz w:val="24"/>
              </w:rPr>
            </w:pPr>
            <w:r>
              <w:rPr>
                <w:rFonts w:hint="eastAsia" w:ascii="宋体" w:hAnsi="宋体" w:cs="宋体"/>
                <w:kern w:val="0"/>
                <w:sz w:val="24"/>
              </w:rPr>
              <w:t>159</w:t>
            </w:r>
          </w:p>
        </w:tc>
        <w:tc>
          <w:tcPr>
            <w:tcW w:w="2851" w:type="dxa"/>
            <w:tcBorders>
              <w:top w:val="nil"/>
              <w:left w:val="nil"/>
              <w:bottom w:val="single" w:color="auto" w:sz="4" w:space="0"/>
              <w:right w:val="single" w:color="auto" w:sz="4" w:space="0"/>
            </w:tcBorders>
            <w:shd w:val="clear" w:color="000000" w:fill="FFFFFF"/>
            <w:vAlign w:val="center"/>
          </w:tcPr>
          <w:p w14:paraId="63139558">
            <w:pPr>
              <w:jc w:val="center"/>
              <w:rPr>
                <w:rFonts w:hint="eastAsia" w:ascii="宋体" w:hAnsi="宋体" w:cs="宋体"/>
                <w:color w:val="000000"/>
                <w:sz w:val="24"/>
              </w:rPr>
            </w:pPr>
            <w:r>
              <w:rPr>
                <w:rFonts w:hint="eastAsia" w:ascii="宋体" w:hAnsi="宋体" w:cs="宋体"/>
                <w:color w:val="000000"/>
                <w:sz w:val="24"/>
              </w:rPr>
              <w:t>糖化血红蛋白质控品</w:t>
            </w:r>
          </w:p>
        </w:tc>
        <w:tc>
          <w:tcPr>
            <w:tcW w:w="1276" w:type="dxa"/>
            <w:tcBorders>
              <w:top w:val="nil"/>
              <w:left w:val="nil"/>
              <w:bottom w:val="single" w:color="auto" w:sz="4" w:space="0"/>
              <w:right w:val="single" w:color="auto" w:sz="4" w:space="0"/>
            </w:tcBorders>
            <w:shd w:val="clear" w:color="000000" w:fill="FFFFFF"/>
            <w:noWrap/>
            <w:vAlign w:val="center"/>
          </w:tcPr>
          <w:p w14:paraId="015549C2">
            <w:pPr>
              <w:widowControl/>
              <w:jc w:val="center"/>
              <w:rPr>
                <w:rFonts w:hint="eastAsia" w:ascii="宋体" w:hAnsi="宋体" w:cs="宋体"/>
                <w:kern w:val="0"/>
                <w:sz w:val="24"/>
              </w:rPr>
            </w:pPr>
            <w:r>
              <w:rPr>
                <w:rFonts w:hint="eastAsia" w:ascii="宋体" w:hAnsi="宋体" w:cs="宋体"/>
                <w:kern w:val="0"/>
                <w:sz w:val="24"/>
              </w:rPr>
              <w:t>950</w:t>
            </w:r>
          </w:p>
        </w:tc>
        <w:tc>
          <w:tcPr>
            <w:tcW w:w="992" w:type="dxa"/>
            <w:tcBorders>
              <w:top w:val="nil"/>
              <w:left w:val="nil"/>
              <w:bottom w:val="single" w:color="auto" w:sz="4" w:space="0"/>
              <w:right w:val="single" w:color="auto" w:sz="4" w:space="0"/>
            </w:tcBorders>
            <w:shd w:val="clear" w:color="000000" w:fill="FFFFFF"/>
            <w:vAlign w:val="center"/>
          </w:tcPr>
          <w:p w14:paraId="3FFB4376">
            <w:pPr>
              <w:widowControl/>
              <w:jc w:val="center"/>
              <w:rPr>
                <w:rFonts w:hint="eastAsia" w:ascii="宋体" w:hAnsi="宋体" w:cs="宋体"/>
                <w:kern w:val="0"/>
                <w:sz w:val="24"/>
              </w:rPr>
            </w:pPr>
            <w:r>
              <w:rPr>
                <w:rFonts w:hint="eastAsia" w:ascii="宋体" w:hAnsi="宋体" w:cs="宋体"/>
                <w:kern w:val="0"/>
                <w:sz w:val="24"/>
              </w:rPr>
              <w:t>瓶</w:t>
            </w:r>
          </w:p>
        </w:tc>
        <w:tc>
          <w:tcPr>
            <w:tcW w:w="992" w:type="dxa"/>
            <w:tcBorders>
              <w:top w:val="nil"/>
              <w:left w:val="nil"/>
              <w:bottom w:val="single" w:color="auto" w:sz="4" w:space="0"/>
              <w:right w:val="single" w:color="auto" w:sz="4" w:space="0"/>
            </w:tcBorders>
            <w:shd w:val="clear" w:color="000000" w:fill="FFFFFF"/>
            <w:noWrap/>
            <w:vAlign w:val="center"/>
          </w:tcPr>
          <w:p w14:paraId="2557D140">
            <w:pPr>
              <w:widowControl/>
              <w:jc w:val="center"/>
              <w:rPr>
                <w:rFonts w:hint="eastAsia" w:ascii="宋体" w:hAnsi="宋体" w:cs="宋体"/>
                <w:kern w:val="0"/>
                <w:sz w:val="24"/>
              </w:rPr>
            </w:pPr>
            <w:r>
              <w:rPr>
                <w:rFonts w:hint="eastAsia" w:ascii="宋体" w:hAnsi="宋体" w:cs="宋体"/>
                <w:kern w:val="0"/>
                <w:sz w:val="24"/>
              </w:rPr>
              <w:t>8</w:t>
            </w:r>
          </w:p>
        </w:tc>
        <w:tc>
          <w:tcPr>
            <w:tcW w:w="851" w:type="dxa"/>
            <w:tcBorders>
              <w:top w:val="nil"/>
              <w:left w:val="nil"/>
              <w:bottom w:val="single" w:color="auto" w:sz="4" w:space="0"/>
              <w:right w:val="single" w:color="auto" w:sz="4" w:space="0"/>
            </w:tcBorders>
            <w:shd w:val="clear" w:color="000000" w:fill="FFFFFF"/>
            <w:vAlign w:val="center"/>
          </w:tcPr>
          <w:p w14:paraId="350338DA">
            <w:pPr>
              <w:widowControl/>
              <w:jc w:val="center"/>
              <w:rPr>
                <w:rFonts w:hint="eastAsia" w:ascii="宋体" w:hAnsi="宋体" w:cs="宋体"/>
                <w:color w:val="000000"/>
                <w:kern w:val="0"/>
                <w:sz w:val="24"/>
              </w:rPr>
            </w:pPr>
            <w:r>
              <w:rPr>
                <w:rFonts w:hint="eastAsia" w:ascii="宋体" w:hAnsi="宋体" w:cs="宋体"/>
                <w:color w:val="000000"/>
                <w:kern w:val="0"/>
                <w:sz w:val="24"/>
              </w:rPr>
              <w:t>是</w:t>
            </w:r>
          </w:p>
        </w:tc>
        <w:tc>
          <w:tcPr>
            <w:tcW w:w="952" w:type="dxa"/>
            <w:tcBorders>
              <w:top w:val="nil"/>
              <w:left w:val="nil"/>
              <w:bottom w:val="single" w:color="auto" w:sz="4" w:space="0"/>
              <w:right w:val="single" w:color="auto" w:sz="4" w:space="0"/>
            </w:tcBorders>
            <w:shd w:val="clear" w:color="000000" w:fill="FFFFFF"/>
            <w:vAlign w:val="center"/>
          </w:tcPr>
          <w:p w14:paraId="57A8CA4D">
            <w:pPr>
              <w:widowControl/>
              <w:jc w:val="center"/>
              <w:rPr>
                <w:rFonts w:hint="eastAsia" w:ascii="宋体" w:hAnsi="宋体" w:cs="宋体"/>
                <w:color w:val="000000"/>
                <w:kern w:val="0"/>
                <w:sz w:val="24"/>
              </w:rPr>
            </w:pPr>
            <w:r>
              <w:rPr>
                <w:rFonts w:hint="eastAsia" w:ascii="宋体" w:hAnsi="宋体" w:cs="宋体"/>
                <w:color w:val="000000"/>
                <w:kern w:val="0"/>
                <w:sz w:val="24"/>
              </w:rPr>
              <w:t>否</w:t>
            </w:r>
          </w:p>
        </w:tc>
      </w:tr>
      <w:tr w14:paraId="466AE7E7">
        <w:tblPrEx>
          <w:tblCellMar>
            <w:top w:w="0" w:type="dxa"/>
            <w:left w:w="108" w:type="dxa"/>
            <w:bottom w:w="0" w:type="dxa"/>
            <w:right w:w="108" w:type="dxa"/>
          </w:tblCellMar>
        </w:tblPrEx>
        <w:trPr>
          <w:trHeight w:val="864" w:hRule="atLeast"/>
        </w:trPr>
        <w:tc>
          <w:tcPr>
            <w:tcW w:w="704" w:type="dxa"/>
            <w:tcBorders>
              <w:top w:val="nil"/>
              <w:left w:val="single" w:color="auto" w:sz="4" w:space="0"/>
              <w:bottom w:val="single" w:color="auto" w:sz="4" w:space="0"/>
              <w:right w:val="single" w:color="auto" w:sz="4" w:space="0"/>
            </w:tcBorders>
            <w:shd w:val="clear" w:color="000000" w:fill="FFFFFF"/>
            <w:vAlign w:val="center"/>
          </w:tcPr>
          <w:p w14:paraId="3A8D5546">
            <w:pPr>
              <w:widowControl/>
              <w:jc w:val="center"/>
              <w:rPr>
                <w:rFonts w:hint="eastAsia" w:ascii="宋体" w:hAnsi="宋体" w:cs="宋体"/>
                <w:kern w:val="0"/>
                <w:sz w:val="24"/>
              </w:rPr>
            </w:pPr>
            <w:r>
              <w:rPr>
                <w:rFonts w:hint="eastAsia" w:ascii="宋体" w:hAnsi="宋体" w:cs="宋体"/>
                <w:kern w:val="0"/>
                <w:sz w:val="24"/>
              </w:rPr>
              <w:t>160</w:t>
            </w:r>
          </w:p>
        </w:tc>
        <w:tc>
          <w:tcPr>
            <w:tcW w:w="2851" w:type="dxa"/>
            <w:tcBorders>
              <w:top w:val="nil"/>
              <w:left w:val="nil"/>
              <w:bottom w:val="single" w:color="auto" w:sz="4" w:space="0"/>
              <w:right w:val="single" w:color="auto" w:sz="4" w:space="0"/>
            </w:tcBorders>
            <w:shd w:val="clear" w:color="000000" w:fill="FFFFFF"/>
            <w:vAlign w:val="center"/>
          </w:tcPr>
          <w:p w14:paraId="5B0D4216">
            <w:pPr>
              <w:jc w:val="center"/>
              <w:rPr>
                <w:rFonts w:hint="eastAsia" w:ascii="宋体" w:hAnsi="宋体" w:cs="宋体"/>
                <w:color w:val="000000"/>
                <w:sz w:val="24"/>
              </w:rPr>
            </w:pPr>
            <w:r>
              <w:rPr>
                <w:rFonts w:hint="eastAsia" w:ascii="宋体" w:hAnsi="宋体" w:cs="宋体"/>
                <w:color w:val="000000"/>
                <w:sz w:val="24"/>
              </w:rPr>
              <w:t>全自动糖化血红蛋白分析仪过滤器</w:t>
            </w:r>
          </w:p>
        </w:tc>
        <w:tc>
          <w:tcPr>
            <w:tcW w:w="1276" w:type="dxa"/>
            <w:tcBorders>
              <w:top w:val="nil"/>
              <w:left w:val="nil"/>
              <w:bottom w:val="single" w:color="auto" w:sz="4" w:space="0"/>
              <w:right w:val="single" w:color="auto" w:sz="4" w:space="0"/>
            </w:tcBorders>
            <w:shd w:val="clear" w:color="000000" w:fill="FFFFFF"/>
            <w:noWrap/>
            <w:vAlign w:val="center"/>
          </w:tcPr>
          <w:p w14:paraId="26AD1B43">
            <w:pPr>
              <w:widowControl/>
              <w:jc w:val="center"/>
              <w:rPr>
                <w:rFonts w:hint="eastAsia" w:ascii="宋体" w:hAnsi="宋体" w:cs="宋体"/>
                <w:kern w:val="0"/>
                <w:sz w:val="24"/>
              </w:rPr>
            </w:pPr>
            <w:r>
              <w:rPr>
                <w:rFonts w:hint="eastAsia" w:ascii="宋体" w:hAnsi="宋体" w:cs="宋体"/>
                <w:kern w:val="0"/>
                <w:sz w:val="24"/>
              </w:rPr>
              <w:t>1568</w:t>
            </w:r>
          </w:p>
        </w:tc>
        <w:tc>
          <w:tcPr>
            <w:tcW w:w="992" w:type="dxa"/>
            <w:tcBorders>
              <w:top w:val="nil"/>
              <w:left w:val="nil"/>
              <w:bottom w:val="single" w:color="auto" w:sz="4" w:space="0"/>
              <w:right w:val="single" w:color="auto" w:sz="4" w:space="0"/>
            </w:tcBorders>
            <w:shd w:val="clear" w:color="000000" w:fill="FFFFFF"/>
            <w:vAlign w:val="center"/>
          </w:tcPr>
          <w:p w14:paraId="59FBA7F0">
            <w:pPr>
              <w:widowControl/>
              <w:jc w:val="center"/>
              <w:rPr>
                <w:rFonts w:hint="eastAsia" w:ascii="宋体" w:hAnsi="宋体" w:cs="宋体"/>
                <w:kern w:val="0"/>
                <w:sz w:val="24"/>
              </w:rPr>
            </w:pPr>
            <w:r>
              <w:rPr>
                <w:rFonts w:hint="eastAsia" w:ascii="宋体" w:hAnsi="宋体" w:cs="宋体"/>
                <w:kern w:val="0"/>
                <w:sz w:val="24"/>
              </w:rPr>
              <w:t>个</w:t>
            </w:r>
          </w:p>
        </w:tc>
        <w:tc>
          <w:tcPr>
            <w:tcW w:w="992" w:type="dxa"/>
            <w:tcBorders>
              <w:top w:val="nil"/>
              <w:left w:val="nil"/>
              <w:bottom w:val="single" w:color="auto" w:sz="4" w:space="0"/>
              <w:right w:val="single" w:color="auto" w:sz="4" w:space="0"/>
            </w:tcBorders>
            <w:shd w:val="clear" w:color="000000" w:fill="FFFFFF"/>
            <w:noWrap/>
            <w:vAlign w:val="center"/>
          </w:tcPr>
          <w:p w14:paraId="266690C9">
            <w:pPr>
              <w:widowControl/>
              <w:jc w:val="center"/>
              <w:rPr>
                <w:rFonts w:hint="eastAsia" w:ascii="宋体" w:hAnsi="宋体" w:cs="宋体"/>
                <w:kern w:val="0"/>
                <w:sz w:val="24"/>
              </w:rPr>
            </w:pPr>
            <w:r>
              <w:rPr>
                <w:rFonts w:hint="eastAsia" w:ascii="宋体" w:hAnsi="宋体" w:cs="宋体"/>
                <w:kern w:val="0"/>
                <w:sz w:val="24"/>
              </w:rPr>
              <w:t>25</w:t>
            </w:r>
          </w:p>
        </w:tc>
        <w:tc>
          <w:tcPr>
            <w:tcW w:w="851" w:type="dxa"/>
            <w:tcBorders>
              <w:top w:val="nil"/>
              <w:left w:val="nil"/>
              <w:bottom w:val="single" w:color="auto" w:sz="4" w:space="0"/>
              <w:right w:val="single" w:color="auto" w:sz="4" w:space="0"/>
            </w:tcBorders>
            <w:shd w:val="clear" w:color="000000" w:fill="FFFFFF"/>
            <w:vAlign w:val="center"/>
          </w:tcPr>
          <w:p w14:paraId="47CD2664">
            <w:pPr>
              <w:widowControl/>
              <w:jc w:val="center"/>
              <w:rPr>
                <w:rFonts w:hint="eastAsia" w:ascii="宋体" w:hAnsi="宋体" w:cs="宋体"/>
                <w:color w:val="000000"/>
                <w:kern w:val="0"/>
                <w:sz w:val="24"/>
              </w:rPr>
            </w:pPr>
            <w:r>
              <w:rPr>
                <w:rFonts w:hint="eastAsia" w:ascii="宋体" w:hAnsi="宋体" w:cs="宋体"/>
                <w:color w:val="000000"/>
                <w:kern w:val="0"/>
                <w:sz w:val="24"/>
              </w:rPr>
              <w:t>是</w:t>
            </w:r>
          </w:p>
        </w:tc>
        <w:tc>
          <w:tcPr>
            <w:tcW w:w="952" w:type="dxa"/>
            <w:tcBorders>
              <w:top w:val="nil"/>
              <w:left w:val="nil"/>
              <w:bottom w:val="single" w:color="auto" w:sz="4" w:space="0"/>
              <w:right w:val="single" w:color="auto" w:sz="4" w:space="0"/>
            </w:tcBorders>
            <w:shd w:val="clear" w:color="000000" w:fill="FFFFFF"/>
            <w:vAlign w:val="center"/>
          </w:tcPr>
          <w:p w14:paraId="2446AD16">
            <w:pPr>
              <w:widowControl/>
              <w:jc w:val="center"/>
              <w:rPr>
                <w:rFonts w:hint="eastAsia" w:ascii="宋体" w:hAnsi="宋体" w:cs="宋体"/>
                <w:color w:val="000000"/>
                <w:kern w:val="0"/>
                <w:sz w:val="24"/>
              </w:rPr>
            </w:pPr>
            <w:r>
              <w:rPr>
                <w:rFonts w:hint="eastAsia" w:ascii="宋体" w:hAnsi="宋体" w:cs="宋体"/>
                <w:color w:val="000000"/>
                <w:kern w:val="0"/>
                <w:sz w:val="24"/>
              </w:rPr>
              <w:t>否</w:t>
            </w:r>
          </w:p>
        </w:tc>
      </w:tr>
      <w:tr w14:paraId="425B1265">
        <w:tblPrEx>
          <w:tblCellMar>
            <w:top w:w="0" w:type="dxa"/>
            <w:left w:w="108" w:type="dxa"/>
            <w:bottom w:w="0" w:type="dxa"/>
            <w:right w:w="108" w:type="dxa"/>
          </w:tblCellMar>
        </w:tblPrEx>
        <w:trPr>
          <w:trHeight w:val="864" w:hRule="atLeast"/>
        </w:trPr>
        <w:tc>
          <w:tcPr>
            <w:tcW w:w="704" w:type="dxa"/>
            <w:tcBorders>
              <w:top w:val="nil"/>
              <w:left w:val="single" w:color="auto" w:sz="4" w:space="0"/>
              <w:bottom w:val="single" w:color="auto" w:sz="4" w:space="0"/>
              <w:right w:val="single" w:color="auto" w:sz="4" w:space="0"/>
            </w:tcBorders>
            <w:shd w:val="clear" w:color="000000" w:fill="FFFFFF"/>
            <w:vAlign w:val="center"/>
          </w:tcPr>
          <w:p w14:paraId="0E4F6AA1">
            <w:pPr>
              <w:widowControl/>
              <w:jc w:val="center"/>
              <w:rPr>
                <w:rFonts w:hint="eastAsia" w:ascii="宋体" w:hAnsi="宋体" w:cs="宋体"/>
                <w:kern w:val="0"/>
                <w:sz w:val="24"/>
              </w:rPr>
            </w:pPr>
            <w:r>
              <w:rPr>
                <w:rFonts w:hint="eastAsia" w:ascii="宋体" w:hAnsi="宋体" w:cs="宋体"/>
                <w:kern w:val="0"/>
                <w:sz w:val="24"/>
              </w:rPr>
              <w:t>161</w:t>
            </w:r>
          </w:p>
        </w:tc>
        <w:tc>
          <w:tcPr>
            <w:tcW w:w="2851" w:type="dxa"/>
            <w:tcBorders>
              <w:top w:val="nil"/>
              <w:left w:val="nil"/>
              <w:bottom w:val="single" w:color="auto" w:sz="4" w:space="0"/>
              <w:right w:val="single" w:color="auto" w:sz="4" w:space="0"/>
            </w:tcBorders>
            <w:shd w:val="clear" w:color="000000" w:fill="FFFFFF"/>
            <w:vAlign w:val="center"/>
          </w:tcPr>
          <w:p w14:paraId="17BA5092">
            <w:pPr>
              <w:jc w:val="center"/>
              <w:rPr>
                <w:rFonts w:hint="eastAsia" w:ascii="宋体" w:hAnsi="宋体" w:cs="宋体"/>
                <w:color w:val="000000"/>
                <w:sz w:val="24"/>
              </w:rPr>
            </w:pPr>
            <w:r>
              <w:rPr>
                <w:rFonts w:hint="eastAsia" w:ascii="宋体" w:hAnsi="宋体" w:cs="宋体"/>
                <w:color w:val="000000"/>
                <w:sz w:val="24"/>
              </w:rPr>
              <w:t>全自动糖化血红蛋白分析仪层析柱</w:t>
            </w:r>
          </w:p>
        </w:tc>
        <w:tc>
          <w:tcPr>
            <w:tcW w:w="1276" w:type="dxa"/>
            <w:tcBorders>
              <w:top w:val="nil"/>
              <w:left w:val="nil"/>
              <w:bottom w:val="single" w:color="auto" w:sz="4" w:space="0"/>
              <w:right w:val="single" w:color="auto" w:sz="4" w:space="0"/>
            </w:tcBorders>
            <w:shd w:val="clear" w:color="000000" w:fill="FFFFFF"/>
            <w:noWrap/>
            <w:vAlign w:val="center"/>
          </w:tcPr>
          <w:p w14:paraId="61B1BFB6">
            <w:pPr>
              <w:widowControl/>
              <w:jc w:val="center"/>
              <w:rPr>
                <w:rFonts w:hint="eastAsia" w:ascii="宋体" w:hAnsi="宋体" w:cs="宋体"/>
                <w:kern w:val="0"/>
                <w:sz w:val="24"/>
              </w:rPr>
            </w:pPr>
            <w:r>
              <w:rPr>
                <w:rFonts w:hint="eastAsia" w:ascii="宋体" w:hAnsi="宋体" w:cs="宋体"/>
                <w:kern w:val="0"/>
                <w:sz w:val="24"/>
              </w:rPr>
              <w:t>23200</w:t>
            </w:r>
          </w:p>
        </w:tc>
        <w:tc>
          <w:tcPr>
            <w:tcW w:w="992" w:type="dxa"/>
            <w:tcBorders>
              <w:top w:val="nil"/>
              <w:left w:val="nil"/>
              <w:bottom w:val="single" w:color="auto" w:sz="4" w:space="0"/>
              <w:right w:val="single" w:color="auto" w:sz="4" w:space="0"/>
            </w:tcBorders>
            <w:shd w:val="clear" w:color="000000" w:fill="FFFFFF"/>
            <w:vAlign w:val="center"/>
          </w:tcPr>
          <w:p w14:paraId="7B149EAD">
            <w:pPr>
              <w:widowControl/>
              <w:jc w:val="center"/>
              <w:rPr>
                <w:rFonts w:hint="eastAsia" w:ascii="宋体" w:hAnsi="宋体" w:cs="宋体"/>
                <w:kern w:val="0"/>
                <w:sz w:val="24"/>
              </w:rPr>
            </w:pPr>
            <w:r>
              <w:rPr>
                <w:rFonts w:hint="eastAsia" w:ascii="宋体" w:hAnsi="宋体" w:cs="宋体"/>
                <w:kern w:val="0"/>
                <w:sz w:val="24"/>
              </w:rPr>
              <w:t>根</w:t>
            </w:r>
          </w:p>
        </w:tc>
        <w:tc>
          <w:tcPr>
            <w:tcW w:w="992" w:type="dxa"/>
            <w:tcBorders>
              <w:top w:val="nil"/>
              <w:left w:val="nil"/>
              <w:bottom w:val="single" w:color="auto" w:sz="4" w:space="0"/>
              <w:right w:val="single" w:color="auto" w:sz="4" w:space="0"/>
            </w:tcBorders>
            <w:shd w:val="clear" w:color="000000" w:fill="FFFFFF"/>
            <w:noWrap/>
            <w:vAlign w:val="center"/>
          </w:tcPr>
          <w:p w14:paraId="611852D3">
            <w:pPr>
              <w:widowControl/>
              <w:jc w:val="center"/>
              <w:rPr>
                <w:rFonts w:hint="eastAsia" w:ascii="宋体" w:hAnsi="宋体" w:cs="宋体"/>
                <w:kern w:val="0"/>
                <w:sz w:val="24"/>
              </w:rPr>
            </w:pPr>
            <w:r>
              <w:rPr>
                <w:rFonts w:hint="eastAsia" w:ascii="宋体" w:hAnsi="宋体" w:cs="宋体"/>
                <w:kern w:val="0"/>
                <w:sz w:val="24"/>
              </w:rPr>
              <w:t>4</w:t>
            </w:r>
          </w:p>
        </w:tc>
        <w:tc>
          <w:tcPr>
            <w:tcW w:w="851" w:type="dxa"/>
            <w:tcBorders>
              <w:top w:val="nil"/>
              <w:left w:val="nil"/>
              <w:bottom w:val="single" w:color="auto" w:sz="4" w:space="0"/>
              <w:right w:val="single" w:color="auto" w:sz="4" w:space="0"/>
            </w:tcBorders>
            <w:shd w:val="clear" w:color="000000" w:fill="FFFFFF"/>
            <w:vAlign w:val="center"/>
          </w:tcPr>
          <w:p w14:paraId="7D2E4BC7">
            <w:pPr>
              <w:widowControl/>
              <w:jc w:val="center"/>
              <w:rPr>
                <w:rFonts w:hint="eastAsia" w:ascii="宋体" w:hAnsi="宋体" w:cs="宋体"/>
                <w:color w:val="000000"/>
                <w:kern w:val="0"/>
                <w:sz w:val="24"/>
              </w:rPr>
            </w:pPr>
            <w:r>
              <w:rPr>
                <w:rFonts w:hint="eastAsia" w:ascii="宋体" w:hAnsi="宋体" w:cs="宋体"/>
                <w:color w:val="000000"/>
                <w:kern w:val="0"/>
                <w:sz w:val="24"/>
              </w:rPr>
              <w:t>是</w:t>
            </w:r>
          </w:p>
        </w:tc>
        <w:tc>
          <w:tcPr>
            <w:tcW w:w="952" w:type="dxa"/>
            <w:tcBorders>
              <w:top w:val="nil"/>
              <w:left w:val="nil"/>
              <w:bottom w:val="single" w:color="auto" w:sz="4" w:space="0"/>
              <w:right w:val="single" w:color="auto" w:sz="4" w:space="0"/>
            </w:tcBorders>
            <w:shd w:val="clear" w:color="000000" w:fill="FFFFFF"/>
            <w:vAlign w:val="center"/>
          </w:tcPr>
          <w:p w14:paraId="741E1D68">
            <w:pPr>
              <w:widowControl/>
              <w:jc w:val="center"/>
              <w:rPr>
                <w:rFonts w:hint="eastAsia" w:ascii="宋体" w:hAnsi="宋体" w:cs="宋体"/>
                <w:color w:val="000000"/>
                <w:kern w:val="0"/>
                <w:sz w:val="24"/>
              </w:rPr>
            </w:pPr>
            <w:r>
              <w:rPr>
                <w:rFonts w:hint="eastAsia" w:ascii="宋体" w:hAnsi="宋体" w:cs="宋体"/>
                <w:color w:val="000000"/>
                <w:kern w:val="0"/>
                <w:sz w:val="24"/>
              </w:rPr>
              <w:t>否</w:t>
            </w:r>
          </w:p>
        </w:tc>
      </w:tr>
      <w:tr w14:paraId="2332BFCC">
        <w:tblPrEx>
          <w:tblCellMar>
            <w:top w:w="0" w:type="dxa"/>
            <w:left w:w="108" w:type="dxa"/>
            <w:bottom w:w="0" w:type="dxa"/>
            <w:right w:w="108" w:type="dxa"/>
          </w:tblCellMar>
        </w:tblPrEx>
        <w:trPr>
          <w:trHeight w:val="864" w:hRule="atLeast"/>
        </w:trPr>
        <w:tc>
          <w:tcPr>
            <w:tcW w:w="704" w:type="dxa"/>
            <w:tcBorders>
              <w:top w:val="nil"/>
              <w:left w:val="single" w:color="auto" w:sz="4" w:space="0"/>
              <w:bottom w:val="single" w:color="auto" w:sz="4" w:space="0"/>
              <w:right w:val="single" w:color="auto" w:sz="4" w:space="0"/>
            </w:tcBorders>
            <w:shd w:val="clear" w:color="000000" w:fill="FFFFFF"/>
            <w:vAlign w:val="center"/>
          </w:tcPr>
          <w:p w14:paraId="3ADD9105">
            <w:pPr>
              <w:widowControl/>
              <w:jc w:val="center"/>
              <w:rPr>
                <w:rFonts w:hint="eastAsia" w:ascii="宋体" w:hAnsi="宋体" w:cs="宋体"/>
                <w:kern w:val="0"/>
                <w:sz w:val="24"/>
              </w:rPr>
            </w:pPr>
            <w:r>
              <w:rPr>
                <w:rFonts w:hint="eastAsia" w:ascii="宋体" w:hAnsi="宋体" w:cs="宋体"/>
                <w:kern w:val="0"/>
                <w:sz w:val="24"/>
              </w:rPr>
              <w:t>162</w:t>
            </w:r>
          </w:p>
        </w:tc>
        <w:tc>
          <w:tcPr>
            <w:tcW w:w="2851" w:type="dxa"/>
            <w:tcBorders>
              <w:top w:val="nil"/>
              <w:left w:val="nil"/>
              <w:bottom w:val="single" w:color="auto" w:sz="4" w:space="0"/>
              <w:right w:val="single" w:color="auto" w:sz="4" w:space="0"/>
            </w:tcBorders>
            <w:shd w:val="clear" w:color="000000" w:fill="FFFFFF"/>
            <w:vAlign w:val="center"/>
          </w:tcPr>
          <w:p w14:paraId="61114EF9">
            <w:pPr>
              <w:jc w:val="center"/>
              <w:rPr>
                <w:rFonts w:hint="eastAsia" w:ascii="宋体" w:hAnsi="宋体" w:cs="宋体"/>
                <w:color w:val="000000"/>
                <w:sz w:val="24"/>
              </w:rPr>
            </w:pPr>
            <w:r>
              <w:rPr>
                <w:rFonts w:hint="eastAsia" w:ascii="宋体" w:hAnsi="宋体" w:cs="宋体"/>
                <w:color w:val="000000"/>
                <w:sz w:val="24"/>
              </w:rPr>
              <w:t>全自动糖化血红蛋白分析仪洗脱缓冲液1</w:t>
            </w:r>
          </w:p>
        </w:tc>
        <w:tc>
          <w:tcPr>
            <w:tcW w:w="1276" w:type="dxa"/>
            <w:tcBorders>
              <w:top w:val="nil"/>
              <w:left w:val="nil"/>
              <w:bottom w:val="single" w:color="auto" w:sz="4" w:space="0"/>
              <w:right w:val="single" w:color="auto" w:sz="4" w:space="0"/>
            </w:tcBorders>
            <w:shd w:val="clear" w:color="000000" w:fill="FFFFFF"/>
            <w:noWrap/>
            <w:vAlign w:val="center"/>
          </w:tcPr>
          <w:p w14:paraId="700F7E58">
            <w:pPr>
              <w:widowControl/>
              <w:jc w:val="center"/>
              <w:rPr>
                <w:rFonts w:hint="eastAsia" w:ascii="宋体" w:hAnsi="宋体" w:cs="宋体"/>
                <w:kern w:val="0"/>
                <w:sz w:val="24"/>
              </w:rPr>
            </w:pPr>
            <w:r>
              <w:rPr>
                <w:rFonts w:hint="eastAsia" w:ascii="宋体" w:hAnsi="宋体" w:cs="宋体"/>
                <w:kern w:val="0"/>
                <w:sz w:val="24"/>
              </w:rPr>
              <w:t>4.0625</w:t>
            </w:r>
          </w:p>
        </w:tc>
        <w:tc>
          <w:tcPr>
            <w:tcW w:w="992" w:type="dxa"/>
            <w:tcBorders>
              <w:top w:val="nil"/>
              <w:left w:val="nil"/>
              <w:bottom w:val="single" w:color="auto" w:sz="4" w:space="0"/>
              <w:right w:val="single" w:color="auto" w:sz="4" w:space="0"/>
            </w:tcBorders>
            <w:shd w:val="clear" w:color="000000" w:fill="FFFFFF"/>
            <w:vAlign w:val="center"/>
          </w:tcPr>
          <w:p w14:paraId="1D6EF8A5">
            <w:pPr>
              <w:widowControl/>
              <w:jc w:val="center"/>
              <w:rPr>
                <w:rFonts w:hint="eastAsia" w:ascii="宋体" w:hAnsi="宋体" w:cs="宋体"/>
                <w:kern w:val="0"/>
                <w:sz w:val="24"/>
              </w:rPr>
            </w:pPr>
            <w:r>
              <w:rPr>
                <w:rFonts w:hint="eastAsia" w:ascii="宋体" w:hAnsi="宋体" w:cs="宋体"/>
                <w:kern w:val="0"/>
                <w:sz w:val="24"/>
              </w:rPr>
              <w:t>ml</w:t>
            </w:r>
          </w:p>
        </w:tc>
        <w:tc>
          <w:tcPr>
            <w:tcW w:w="992" w:type="dxa"/>
            <w:tcBorders>
              <w:top w:val="nil"/>
              <w:left w:val="nil"/>
              <w:bottom w:val="single" w:color="auto" w:sz="4" w:space="0"/>
              <w:right w:val="single" w:color="auto" w:sz="4" w:space="0"/>
            </w:tcBorders>
            <w:shd w:val="clear" w:color="000000" w:fill="FFFFFF"/>
            <w:noWrap/>
            <w:vAlign w:val="center"/>
          </w:tcPr>
          <w:p w14:paraId="4545A363">
            <w:pPr>
              <w:widowControl/>
              <w:jc w:val="center"/>
              <w:rPr>
                <w:rFonts w:hint="eastAsia" w:ascii="宋体" w:hAnsi="宋体" w:cs="宋体"/>
                <w:kern w:val="0"/>
                <w:sz w:val="24"/>
              </w:rPr>
            </w:pPr>
            <w:r>
              <w:rPr>
                <w:rFonts w:hint="eastAsia" w:ascii="宋体" w:hAnsi="宋体" w:cs="宋体"/>
                <w:kern w:val="0"/>
                <w:sz w:val="24"/>
              </w:rPr>
              <w:t>24000</w:t>
            </w:r>
          </w:p>
        </w:tc>
        <w:tc>
          <w:tcPr>
            <w:tcW w:w="851" w:type="dxa"/>
            <w:tcBorders>
              <w:top w:val="nil"/>
              <w:left w:val="nil"/>
              <w:bottom w:val="single" w:color="auto" w:sz="4" w:space="0"/>
              <w:right w:val="single" w:color="auto" w:sz="4" w:space="0"/>
            </w:tcBorders>
            <w:shd w:val="clear" w:color="000000" w:fill="FFFFFF"/>
            <w:vAlign w:val="center"/>
          </w:tcPr>
          <w:p w14:paraId="1B99F7D1">
            <w:pPr>
              <w:widowControl/>
              <w:jc w:val="center"/>
              <w:rPr>
                <w:rFonts w:hint="eastAsia" w:ascii="宋体" w:hAnsi="宋体" w:cs="宋体"/>
                <w:color w:val="000000"/>
                <w:kern w:val="0"/>
                <w:sz w:val="24"/>
              </w:rPr>
            </w:pPr>
            <w:r>
              <w:rPr>
                <w:rFonts w:hint="eastAsia" w:ascii="宋体" w:hAnsi="宋体" w:cs="宋体"/>
                <w:color w:val="000000"/>
                <w:kern w:val="0"/>
                <w:sz w:val="24"/>
              </w:rPr>
              <w:t>是</w:t>
            </w:r>
          </w:p>
        </w:tc>
        <w:tc>
          <w:tcPr>
            <w:tcW w:w="952" w:type="dxa"/>
            <w:tcBorders>
              <w:top w:val="nil"/>
              <w:left w:val="nil"/>
              <w:bottom w:val="single" w:color="auto" w:sz="4" w:space="0"/>
              <w:right w:val="single" w:color="auto" w:sz="4" w:space="0"/>
            </w:tcBorders>
            <w:shd w:val="clear" w:color="000000" w:fill="FFFFFF"/>
            <w:vAlign w:val="center"/>
          </w:tcPr>
          <w:p w14:paraId="7CC4C126">
            <w:pPr>
              <w:widowControl/>
              <w:jc w:val="center"/>
              <w:rPr>
                <w:rFonts w:hint="eastAsia" w:ascii="宋体" w:hAnsi="宋体" w:cs="宋体"/>
                <w:color w:val="000000"/>
                <w:kern w:val="0"/>
                <w:sz w:val="24"/>
              </w:rPr>
            </w:pPr>
            <w:r>
              <w:rPr>
                <w:rFonts w:hint="eastAsia" w:ascii="宋体" w:hAnsi="宋体" w:cs="宋体"/>
                <w:color w:val="000000"/>
                <w:kern w:val="0"/>
                <w:sz w:val="24"/>
              </w:rPr>
              <w:t>否</w:t>
            </w:r>
          </w:p>
        </w:tc>
      </w:tr>
      <w:tr w14:paraId="647CF19C">
        <w:tblPrEx>
          <w:tblCellMar>
            <w:top w:w="0" w:type="dxa"/>
            <w:left w:w="108" w:type="dxa"/>
            <w:bottom w:w="0" w:type="dxa"/>
            <w:right w:w="108" w:type="dxa"/>
          </w:tblCellMar>
        </w:tblPrEx>
        <w:trPr>
          <w:trHeight w:val="864" w:hRule="atLeast"/>
        </w:trPr>
        <w:tc>
          <w:tcPr>
            <w:tcW w:w="704" w:type="dxa"/>
            <w:tcBorders>
              <w:top w:val="nil"/>
              <w:left w:val="single" w:color="auto" w:sz="4" w:space="0"/>
              <w:bottom w:val="single" w:color="auto" w:sz="4" w:space="0"/>
              <w:right w:val="single" w:color="auto" w:sz="4" w:space="0"/>
            </w:tcBorders>
            <w:shd w:val="clear" w:color="000000" w:fill="FFFFFF"/>
            <w:vAlign w:val="center"/>
          </w:tcPr>
          <w:p w14:paraId="6CF4CBA6">
            <w:pPr>
              <w:widowControl/>
              <w:jc w:val="center"/>
              <w:rPr>
                <w:rFonts w:hint="eastAsia" w:ascii="宋体" w:hAnsi="宋体" w:cs="宋体"/>
                <w:kern w:val="0"/>
                <w:sz w:val="24"/>
              </w:rPr>
            </w:pPr>
            <w:r>
              <w:rPr>
                <w:rFonts w:hint="eastAsia" w:ascii="宋体" w:hAnsi="宋体" w:cs="宋体"/>
                <w:kern w:val="0"/>
                <w:sz w:val="24"/>
              </w:rPr>
              <w:t>163</w:t>
            </w:r>
          </w:p>
        </w:tc>
        <w:tc>
          <w:tcPr>
            <w:tcW w:w="2851" w:type="dxa"/>
            <w:tcBorders>
              <w:top w:val="nil"/>
              <w:left w:val="nil"/>
              <w:bottom w:val="single" w:color="auto" w:sz="4" w:space="0"/>
              <w:right w:val="single" w:color="auto" w:sz="4" w:space="0"/>
            </w:tcBorders>
            <w:shd w:val="clear" w:color="000000" w:fill="FFFFFF"/>
            <w:vAlign w:val="center"/>
          </w:tcPr>
          <w:p w14:paraId="063597A5">
            <w:pPr>
              <w:jc w:val="center"/>
              <w:rPr>
                <w:rFonts w:hint="eastAsia" w:ascii="宋体" w:hAnsi="宋体" w:cs="宋体"/>
                <w:color w:val="000000"/>
                <w:sz w:val="24"/>
              </w:rPr>
            </w:pPr>
            <w:r>
              <w:rPr>
                <w:rFonts w:hint="eastAsia" w:ascii="宋体" w:hAnsi="宋体" w:cs="宋体"/>
                <w:color w:val="000000"/>
                <w:sz w:val="24"/>
              </w:rPr>
              <w:t>全自动糖化血红蛋白分析仪洗脱缓冲液2</w:t>
            </w:r>
          </w:p>
        </w:tc>
        <w:tc>
          <w:tcPr>
            <w:tcW w:w="1276" w:type="dxa"/>
            <w:tcBorders>
              <w:top w:val="nil"/>
              <w:left w:val="nil"/>
              <w:bottom w:val="single" w:color="auto" w:sz="4" w:space="0"/>
              <w:right w:val="single" w:color="auto" w:sz="4" w:space="0"/>
            </w:tcBorders>
            <w:shd w:val="clear" w:color="000000" w:fill="FFFFFF"/>
            <w:noWrap/>
            <w:vAlign w:val="center"/>
          </w:tcPr>
          <w:p w14:paraId="51073DA0">
            <w:pPr>
              <w:widowControl/>
              <w:jc w:val="center"/>
              <w:rPr>
                <w:rFonts w:hint="eastAsia" w:ascii="宋体" w:hAnsi="宋体" w:cs="宋体"/>
                <w:kern w:val="0"/>
                <w:sz w:val="24"/>
              </w:rPr>
            </w:pPr>
            <w:r>
              <w:rPr>
                <w:rFonts w:hint="eastAsia" w:ascii="宋体" w:hAnsi="宋体" w:cs="宋体"/>
                <w:kern w:val="0"/>
                <w:sz w:val="24"/>
              </w:rPr>
              <w:t>4.1</w:t>
            </w:r>
          </w:p>
        </w:tc>
        <w:tc>
          <w:tcPr>
            <w:tcW w:w="992" w:type="dxa"/>
            <w:tcBorders>
              <w:top w:val="nil"/>
              <w:left w:val="nil"/>
              <w:bottom w:val="single" w:color="auto" w:sz="4" w:space="0"/>
              <w:right w:val="single" w:color="auto" w:sz="4" w:space="0"/>
            </w:tcBorders>
            <w:shd w:val="clear" w:color="000000" w:fill="FFFFFF"/>
            <w:vAlign w:val="center"/>
          </w:tcPr>
          <w:p w14:paraId="1DD4152B">
            <w:pPr>
              <w:widowControl/>
              <w:jc w:val="center"/>
              <w:rPr>
                <w:rFonts w:hint="eastAsia" w:ascii="宋体" w:hAnsi="宋体" w:cs="宋体"/>
                <w:kern w:val="0"/>
                <w:sz w:val="24"/>
              </w:rPr>
            </w:pPr>
            <w:r>
              <w:rPr>
                <w:rFonts w:hint="eastAsia" w:ascii="宋体" w:hAnsi="宋体" w:cs="宋体"/>
                <w:kern w:val="0"/>
                <w:sz w:val="24"/>
              </w:rPr>
              <w:t>ml</w:t>
            </w:r>
          </w:p>
        </w:tc>
        <w:tc>
          <w:tcPr>
            <w:tcW w:w="992" w:type="dxa"/>
            <w:tcBorders>
              <w:top w:val="nil"/>
              <w:left w:val="nil"/>
              <w:bottom w:val="single" w:color="auto" w:sz="4" w:space="0"/>
              <w:right w:val="single" w:color="auto" w:sz="4" w:space="0"/>
            </w:tcBorders>
            <w:shd w:val="clear" w:color="000000" w:fill="FFFFFF"/>
            <w:noWrap/>
            <w:vAlign w:val="center"/>
          </w:tcPr>
          <w:p w14:paraId="6C3CD7A1">
            <w:pPr>
              <w:widowControl/>
              <w:jc w:val="center"/>
              <w:rPr>
                <w:rFonts w:hint="eastAsia" w:ascii="宋体" w:hAnsi="宋体" w:cs="宋体"/>
                <w:kern w:val="0"/>
                <w:sz w:val="24"/>
              </w:rPr>
            </w:pPr>
            <w:r>
              <w:rPr>
                <w:rFonts w:hint="eastAsia" w:ascii="宋体" w:hAnsi="宋体" w:cs="宋体"/>
                <w:kern w:val="0"/>
                <w:sz w:val="24"/>
              </w:rPr>
              <w:t>16000</w:t>
            </w:r>
          </w:p>
        </w:tc>
        <w:tc>
          <w:tcPr>
            <w:tcW w:w="851" w:type="dxa"/>
            <w:tcBorders>
              <w:top w:val="nil"/>
              <w:left w:val="nil"/>
              <w:bottom w:val="single" w:color="auto" w:sz="4" w:space="0"/>
              <w:right w:val="single" w:color="auto" w:sz="4" w:space="0"/>
            </w:tcBorders>
            <w:shd w:val="clear" w:color="000000" w:fill="FFFFFF"/>
            <w:vAlign w:val="center"/>
          </w:tcPr>
          <w:p w14:paraId="7529207D">
            <w:pPr>
              <w:widowControl/>
              <w:jc w:val="center"/>
              <w:rPr>
                <w:rFonts w:hint="eastAsia" w:ascii="宋体" w:hAnsi="宋体" w:cs="宋体"/>
                <w:color w:val="000000"/>
                <w:kern w:val="0"/>
                <w:sz w:val="24"/>
              </w:rPr>
            </w:pPr>
            <w:r>
              <w:rPr>
                <w:rFonts w:hint="eastAsia" w:ascii="宋体" w:hAnsi="宋体" w:cs="宋体"/>
                <w:color w:val="000000"/>
                <w:kern w:val="0"/>
                <w:sz w:val="24"/>
              </w:rPr>
              <w:t>是</w:t>
            </w:r>
          </w:p>
        </w:tc>
        <w:tc>
          <w:tcPr>
            <w:tcW w:w="952" w:type="dxa"/>
            <w:tcBorders>
              <w:top w:val="nil"/>
              <w:left w:val="nil"/>
              <w:bottom w:val="single" w:color="auto" w:sz="4" w:space="0"/>
              <w:right w:val="single" w:color="auto" w:sz="4" w:space="0"/>
            </w:tcBorders>
            <w:shd w:val="clear" w:color="000000" w:fill="FFFFFF"/>
            <w:vAlign w:val="center"/>
          </w:tcPr>
          <w:p w14:paraId="45D055EB">
            <w:pPr>
              <w:widowControl/>
              <w:jc w:val="center"/>
              <w:rPr>
                <w:rFonts w:hint="eastAsia" w:ascii="宋体" w:hAnsi="宋体" w:cs="宋体"/>
                <w:color w:val="000000"/>
                <w:kern w:val="0"/>
                <w:sz w:val="24"/>
              </w:rPr>
            </w:pPr>
            <w:r>
              <w:rPr>
                <w:rFonts w:hint="eastAsia" w:ascii="宋体" w:hAnsi="宋体" w:cs="宋体"/>
                <w:color w:val="000000"/>
                <w:kern w:val="0"/>
                <w:sz w:val="24"/>
              </w:rPr>
              <w:t>否</w:t>
            </w:r>
          </w:p>
        </w:tc>
      </w:tr>
      <w:tr w14:paraId="0C27CA35">
        <w:tblPrEx>
          <w:tblCellMar>
            <w:top w:w="0" w:type="dxa"/>
            <w:left w:w="108" w:type="dxa"/>
            <w:bottom w:w="0" w:type="dxa"/>
            <w:right w:w="108" w:type="dxa"/>
          </w:tblCellMar>
        </w:tblPrEx>
        <w:trPr>
          <w:trHeight w:val="864" w:hRule="atLeast"/>
        </w:trPr>
        <w:tc>
          <w:tcPr>
            <w:tcW w:w="704" w:type="dxa"/>
            <w:tcBorders>
              <w:top w:val="nil"/>
              <w:left w:val="single" w:color="auto" w:sz="4" w:space="0"/>
              <w:bottom w:val="single" w:color="auto" w:sz="4" w:space="0"/>
              <w:right w:val="single" w:color="auto" w:sz="4" w:space="0"/>
            </w:tcBorders>
            <w:shd w:val="clear" w:color="000000" w:fill="FFFFFF"/>
            <w:vAlign w:val="center"/>
          </w:tcPr>
          <w:p w14:paraId="284DD453">
            <w:pPr>
              <w:widowControl/>
              <w:jc w:val="center"/>
              <w:rPr>
                <w:rFonts w:hint="eastAsia" w:ascii="宋体" w:hAnsi="宋体" w:cs="宋体"/>
                <w:kern w:val="0"/>
                <w:sz w:val="24"/>
              </w:rPr>
            </w:pPr>
            <w:r>
              <w:rPr>
                <w:rFonts w:hint="eastAsia" w:ascii="宋体" w:hAnsi="宋体" w:cs="宋体"/>
                <w:kern w:val="0"/>
                <w:sz w:val="24"/>
              </w:rPr>
              <w:t>164</w:t>
            </w:r>
          </w:p>
        </w:tc>
        <w:tc>
          <w:tcPr>
            <w:tcW w:w="2851" w:type="dxa"/>
            <w:tcBorders>
              <w:top w:val="nil"/>
              <w:left w:val="nil"/>
              <w:bottom w:val="single" w:color="auto" w:sz="4" w:space="0"/>
              <w:right w:val="single" w:color="auto" w:sz="4" w:space="0"/>
            </w:tcBorders>
            <w:shd w:val="clear" w:color="000000" w:fill="FFFFFF"/>
            <w:vAlign w:val="center"/>
          </w:tcPr>
          <w:p w14:paraId="4CD74826">
            <w:pPr>
              <w:jc w:val="center"/>
              <w:rPr>
                <w:rFonts w:hint="eastAsia" w:ascii="宋体" w:hAnsi="宋体" w:cs="宋体"/>
                <w:color w:val="000000"/>
                <w:sz w:val="24"/>
              </w:rPr>
            </w:pPr>
            <w:r>
              <w:rPr>
                <w:rFonts w:hint="eastAsia" w:ascii="宋体" w:hAnsi="宋体" w:cs="宋体"/>
                <w:color w:val="000000"/>
                <w:sz w:val="24"/>
              </w:rPr>
              <w:t>全自动糖化血红蛋白分析仪洗脱缓冲液3</w:t>
            </w:r>
          </w:p>
        </w:tc>
        <w:tc>
          <w:tcPr>
            <w:tcW w:w="1276" w:type="dxa"/>
            <w:tcBorders>
              <w:top w:val="nil"/>
              <w:left w:val="nil"/>
              <w:bottom w:val="single" w:color="auto" w:sz="4" w:space="0"/>
              <w:right w:val="single" w:color="auto" w:sz="4" w:space="0"/>
            </w:tcBorders>
            <w:shd w:val="clear" w:color="000000" w:fill="FFFFFF"/>
            <w:noWrap/>
            <w:vAlign w:val="center"/>
          </w:tcPr>
          <w:p w14:paraId="79F7A508">
            <w:pPr>
              <w:widowControl/>
              <w:jc w:val="center"/>
              <w:rPr>
                <w:rFonts w:hint="eastAsia" w:ascii="宋体" w:hAnsi="宋体" w:cs="宋体"/>
                <w:kern w:val="0"/>
                <w:sz w:val="24"/>
              </w:rPr>
            </w:pPr>
            <w:r>
              <w:rPr>
                <w:rFonts w:hint="eastAsia" w:ascii="宋体" w:hAnsi="宋体" w:cs="宋体"/>
                <w:kern w:val="0"/>
                <w:sz w:val="24"/>
              </w:rPr>
              <w:t>4.1</w:t>
            </w:r>
          </w:p>
        </w:tc>
        <w:tc>
          <w:tcPr>
            <w:tcW w:w="992" w:type="dxa"/>
            <w:tcBorders>
              <w:top w:val="nil"/>
              <w:left w:val="nil"/>
              <w:bottom w:val="single" w:color="auto" w:sz="4" w:space="0"/>
              <w:right w:val="single" w:color="auto" w:sz="4" w:space="0"/>
            </w:tcBorders>
            <w:shd w:val="clear" w:color="000000" w:fill="FFFFFF"/>
            <w:vAlign w:val="center"/>
          </w:tcPr>
          <w:p w14:paraId="2C830BD5">
            <w:pPr>
              <w:widowControl/>
              <w:jc w:val="center"/>
              <w:rPr>
                <w:rFonts w:hint="eastAsia" w:ascii="宋体" w:hAnsi="宋体" w:cs="宋体"/>
                <w:kern w:val="0"/>
                <w:sz w:val="24"/>
              </w:rPr>
            </w:pPr>
            <w:r>
              <w:rPr>
                <w:rFonts w:hint="eastAsia" w:ascii="宋体" w:hAnsi="宋体" w:cs="宋体"/>
                <w:kern w:val="0"/>
                <w:sz w:val="24"/>
              </w:rPr>
              <w:t>ml</w:t>
            </w:r>
          </w:p>
        </w:tc>
        <w:tc>
          <w:tcPr>
            <w:tcW w:w="992" w:type="dxa"/>
            <w:tcBorders>
              <w:top w:val="nil"/>
              <w:left w:val="nil"/>
              <w:bottom w:val="single" w:color="auto" w:sz="4" w:space="0"/>
              <w:right w:val="single" w:color="auto" w:sz="4" w:space="0"/>
            </w:tcBorders>
            <w:shd w:val="clear" w:color="000000" w:fill="FFFFFF"/>
            <w:noWrap/>
            <w:vAlign w:val="center"/>
          </w:tcPr>
          <w:p w14:paraId="3A69C1D2">
            <w:pPr>
              <w:widowControl/>
              <w:jc w:val="center"/>
              <w:rPr>
                <w:rFonts w:hint="eastAsia" w:ascii="宋体" w:hAnsi="宋体" w:cs="宋体"/>
                <w:kern w:val="0"/>
                <w:sz w:val="24"/>
              </w:rPr>
            </w:pPr>
            <w:r>
              <w:rPr>
                <w:rFonts w:hint="eastAsia" w:ascii="宋体" w:hAnsi="宋体" w:cs="宋体"/>
                <w:kern w:val="0"/>
                <w:sz w:val="24"/>
              </w:rPr>
              <w:t>7200</w:t>
            </w:r>
          </w:p>
        </w:tc>
        <w:tc>
          <w:tcPr>
            <w:tcW w:w="851" w:type="dxa"/>
            <w:tcBorders>
              <w:top w:val="nil"/>
              <w:left w:val="nil"/>
              <w:bottom w:val="single" w:color="auto" w:sz="4" w:space="0"/>
              <w:right w:val="single" w:color="auto" w:sz="4" w:space="0"/>
            </w:tcBorders>
            <w:shd w:val="clear" w:color="000000" w:fill="FFFFFF"/>
            <w:vAlign w:val="center"/>
          </w:tcPr>
          <w:p w14:paraId="063D6E28">
            <w:pPr>
              <w:widowControl/>
              <w:jc w:val="center"/>
              <w:rPr>
                <w:rFonts w:hint="eastAsia" w:ascii="宋体" w:hAnsi="宋体" w:cs="宋体"/>
                <w:color w:val="000000"/>
                <w:kern w:val="0"/>
                <w:sz w:val="24"/>
              </w:rPr>
            </w:pPr>
            <w:r>
              <w:rPr>
                <w:rFonts w:hint="eastAsia" w:ascii="宋体" w:hAnsi="宋体" w:cs="宋体"/>
                <w:color w:val="000000"/>
                <w:kern w:val="0"/>
                <w:sz w:val="24"/>
              </w:rPr>
              <w:t>是</w:t>
            </w:r>
          </w:p>
        </w:tc>
        <w:tc>
          <w:tcPr>
            <w:tcW w:w="952" w:type="dxa"/>
            <w:tcBorders>
              <w:top w:val="nil"/>
              <w:left w:val="nil"/>
              <w:bottom w:val="single" w:color="auto" w:sz="4" w:space="0"/>
              <w:right w:val="single" w:color="auto" w:sz="4" w:space="0"/>
            </w:tcBorders>
            <w:shd w:val="clear" w:color="000000" w:fill="FFFFFF"/>
            <w:vAlign w:val="center"/>
          </w:tcPr>
          <w:p w14:paraId="7DB7B857">
            <w:pPr>
              <w:widowControl/>
              <w:jc w:val="center"/>
              <w:rPr>
                <w:rFonts w:hint="eastAsia" w:ascii="宋体" w:hAnsi="宋体" w:cs="宋体"/>
                <w:color w:val="000000"/>
                <w:kern w:val="0"/>
                <w:sz w:val="24"/>
              </w:rPr>
            </w:pPr>
            <w:r>
              <w:rPr>
                <w:rFonts w:hint="eastAsia" w:ascii="宋体" w:hAnsi="宋体" w:cs="宋体"/>
                <w:color w:val="000000"/>
                <w:kern w:val="0"/>
                <w:sz w:val="24"/>
              </w:rPr>
              <w:t>否</w:t>
            </w:r>
          </w:p>
        </w:tc>
      </w:tr>
      <w:tr w14:paraId="56FA3D66">
        <w:tblPrEx>
          <w:tblCellMar>
            <w:top w:w="0" w:type="dxa"/>
            <w:left w:w="108" w:type="dxa"/>
            <w:bottom w:w="0" w:type="dxa"/>
            <w:right w:w="108" w:type="dxa"/>
          </w:tblCellMar>
        </w:tblPrEx>
        <w:trPr>
          <w:trHeight w:val="576" w:hRule="atLeast"/>
        </w:trPr>
        <w:tc>
          <w:tcPr>
            <w:tcW w:w="704" w:type="dxa"/>
            <w:tcBorders>
              <w:top w:val="nil"/>
              <w:left w:val="single" w:color="auto" w:sz="4" w:space="0"/>
              <w:bottom w:val="single" w:color="auto" w:sz="4" w:space="0"/>
              <w:right w:val="single" w:color="auto" w:sz="4" w:space="0"/>
            </w:tcBorders>
            <w:shd w:val="clear" w:color="000000" w:fill="FFFFFF"/>
            <w:vAlign w:val="center"/>
          </w:tcPr>
          <w:p w14:paraId="6D851C9B">
            <w:pPr>
              <w:widowControl/>
              <w:jc w:val="center"/>
              <w:rPr>
                <w:rFonts w:hint="eastAsia" w:ascii="宋体" w:hAnsi="宋体" w:cs="宋体"/>
                <w:kern w:val="0"/>
                <w:sz w:val="24"/>
              </w:rPr>
            </w:pPr>
            <w:r>
              <w:rPr>
                <w:rFonts w:hint="eastAsia" w:ascii="宋体" w:hAnsi="宋体" w:cs="宋体"/>
                <w:kern w:val="0"/>
                <w:sz w:val="24"/>
              </w:rPr>
              <w:t>165</w:t>
            </w:r>
          </w:p>
        </w:tc>
        <w:tc>
          <w:tcPr>
            <w:tcW w:w="2851" w:type="dxa"/>
            <w:tcBorders>
              <w:top w:val="nil"/>
              <w:left w:val="nil"/>
              <w:bottom w:val="single" w:color="auto" w:sz="4" w:space="0"/>
              <w:right w:val="single" w:color="auto" w:sz="4" w:space="0"/>
            </w:tcBorders>
            <w:shd w:val="clear" w:color="000000" w:fill="FFFFFF"/>
            <w:vAlign w:val="center"/>
          </w:tcPr>
          <w:p w14:paraId="26A75FD8">
            <w:pPr>
              <w:jc w:val="center"/>
              <w:rPr>
                <w:rFonts w:hint="eastAsia" w:ascii="宋体" w:hAnsi="宋体" w:cs="宋体"/>
                <w:color w:val="000000"/>
                <w:sz w:val="24"/>
              </w:rPr>
            </w:pPr>
            <w:r>
              <w:rPr>
                <w:rFonts w:hint="eastAsia" w:ascii="宋体" w:hAnsi="宋体" w:cs="宋体"/>
                <w:color w:val="000000"/>
                <w:sz w:val="24"/>
              </w:rPr>
              <w:t>尿核基质蛋白22（NMP22)测定</w:t>
            </w:r>
          </w:p>
        </w:tc>
        <w:tc>
          <w:tcPr>
            <w:tcW w:w="1276" w:type="dxa"/>
            <w:tcBorders>
              <w:top w:val="nil"/>
              <w:left w:val="nil"/>
              <w:bottom w:val="single" w:color="auto" w:sz="4" w:space="0"/>
              <w:right w:val="single" w:color="auto" w:sz="4" w:space="0"/>
            </w:tcBorders>
            <w:shd w:val="clear" w:color="000000" w:fill="FFFFFF"/>
            <w:noWrap/>
            <w:vAlign w:val="center"/>
          </w:tcPr>
          <w:p w14:paraId="7E14ACEB">
            <w:pPr>
              <w:widowControl/>
              <w:jc w:val="center"/>
              <w:rPr>
                <w:rFonts w:hint="eastAsia" w:ascii="宋体" w:hAnsi="宋体" w:cs="宋体"/>
                <w:kern w:val="0"/>
                <w:sz w:val="24"/>
              </w:rPr>
            </w:pPr>
            <w:r>
              <w:rPr>
                <w:rFonts w:hint="eastAsia" w:ascii="宋体" w:hAnsi="宋体" w:cs="宋体"/>
                <w:kern w:val="0"/>
                <w:sz w:val="24"/>
              </w:rPr>
              <w:t>120</w:t>
            </w:r>
          </w:p>
        </w:tc>
        <w:tc>
          <w:tcPr>
            <w:tcW w:w="992" w:type="dxa"/>
            <w:tcBorders>
              <w:top w:val="nil"/>
              <w:left w:val="nil"/>
              <w:bottom w:val="single" w:color="auto" w:sz="4" w:space="0"/>
              <w:right w:val="single" w:color="auto" w:sz="4" w:space="0"/>
            </w:tcBorders>
            <w:shd w:val="clear" w:color="000000" w:fill="FFFFFF"/>
            <w:vAlign w:val="center"/>
          </w:tcPr>
          <w:p w14:paraId="7A3AB033">
            <w:pPr>
              <w:widowControl/>
              <w:jc w:val="center"/>
              <w:rPr>
                <w:rFonts w:hint="eastAsia" w:ascii="宋体" w:hAnsi="宋体" w:cs="宋体"/>
                <w:kern w:val="0"/>
                <w:sz w:val="24"/>
              </w:rPr>
            </w:pPr>
            <w:r>
              <w:rPr>
                <w:rFonts w:hint="eastAsia" w:ascii="宋体" w:hAnsi="宋体" w:cs="宋体"/>
                <w:kern w:val="0"/>
                <w:sz w:val="24"/>
              </w:rPr>
              <w:t>人份</w:t>
            </w:r>
          </w:p>
        </w:tc>
        <w:tc>
          <w:tcPr>
            <w:tcW w:w="992" w:type="dxa"/>
            <w:tcBorders>
              <w:top w:val="nil"/>
              <w:left w:val="nil"/>
              <w:bottom w:val="single" w:color="auto" w:sz="4" w:space="0"/>
              <w:right w:val="single" w:color="auto" w:sz="4" w:space="0"/>
            </w:tcBorders>
            <w:shd w:val="clear" w:color="000000" w:fill="FFFFFF"/>
            <w:noWrap/>
            <w:vAlign w:val="center"/>
          </w:tcPr>
          <w:p w14:paraId="3886860B">
            <w:pPr>
              <w:widowControl/>
              <w:jc w:val="center"/>
              <w:rPr>
                <w:rFonts w:hint="eastAsia" w:ascii="宋体" w:hAnsi="宋体" w:cs="宋体"/>
                <w:kern w:val="0"/>
                <w:sz w:val="24"/>
              </w:rPr>
            </w:pPr>
            <w:r>
              <w:rPr>
                <w:rFonts w:hint="eastAsia" w:ascii="宋体" w:hAnsi="宋体" w:cs="宋体"/>
                <w:kern w:val="0"/>
                <w:sz w:val="24"/>
              </w:rPr>
              <w:t>960</w:t>
            </w:r>
          </w:p>
        </w:tc>
        <w:tc>
          <w:tcPr>
            <w:tcW w:w="851" w:type="dxa"/>
            <w:tcBorders>
              <w:top w:val="nil"/>
              <w:left w:val="nil"/>
              <w:bottom w:val="single" w:color="auto" w:sz="4" w:space="0"/>
              <w:right w:val="single" w:color="auto" w:sz="4" w:space="0"/>
            </w:tcBorders>
            <w:shd w:val="clear" w:color="000000" w:fill="FFFFFF"/>
            <w:vAlign w:val="center"/>
          </w:tcPr>
          <w:p w14:paraId="1BD13508">
            <w:pPr>
              <w:widowControl/>
              <w:jc w:val="center"/>
              <w:rPr>
                <w:rFonts w:hint="eastAsia" w:ascii="宋体" w:hAnsi="宋体" w:cs="宋体"/>
                <w:color w:val="000000"/>
                <w:kern w:val="0"/>
                <w:sz w:val="24"/>
              </w:rPr>
            </w:pPr>
            <w:r>
              <w:rPr>
                <w:rFonts w:hint="eastAsia" w:ascii="宋体" w:hAnsi="宋体" w:cs="宋体"/>
                <w:color w:val="000000"/>
                <w:kern w:val="0"/>
                <w:sz w:val="24"/>
              </w:rPr>
              <w:t>是</w:t>
            </w:r>
          </w:p>
        </w:tc>
        <w:tc>
          <w:tcPr>
            <w:tcW w:w="952" w:type="dxa"/>
            <w:tcBorders>
              <w:top w:val="nil"/>
              <w:left w:val="nil"/>
              <w:bottom w:val="single" w:color="auto" w:sz="4" w:space="0"/>
              <w:right w:val="single" w:color="auto" w:sz="4" w:space="0"/>
            </w:tcBorders>
            <w:shd w:val="clear" w:color="000000" w:fill="FFFFFF"/>
            <w:vAlign w:val="center"/>
          </w:tcPr>
          <w:p w14:paraId="43EC3000">
            <w:pPr>
              <w:widowControl/>
              <w:jc w:val="center"/>
              <w:rPr>
                <w:rFonts w:hint="eastAsia" w:ascii="宋体" w:hAnsi="宋体" w:cs="宋体"/>
                <w:color w:val="000000"/>
                <w:kern w:val="0"/>
                <w:sz w:val="24"/>
              </w:rPr>
            </w:pPr>
            <w:r>
              <w:rPr>
                <w:rFonts w:hint="eastAsia" w:ascii="宋体" w:hAnsi="宋体" w:cs="宋体"/>
                <w:color w:val="000000"/>
                <w:kern w:val="0"/>
                <w:sz w:val="24"/>
              </w:rPr>
              <w:t>否</w:t>
            </w:r>
          </w:p>
        </w:tc>
      </w:tr>
      <w:tr w14:paraId="38429A33">
        <w:tblPrEx>
          <w:tblCellMar>
            <w:top w:w="0" w:type="dxa"/>
            <w:left w:w="108" w:type="dxa"/>
            <w:bottom w:w="0" w:type="dxa"/>
            <w:right w:w="108" w:type="dxa"/>
          </w:tblCellMar>
        </w:tblPrEx>
        <w:trPr>
          <w:trHeight w:val="864" w:hRule="atLeast"/>
        </w:trPr>
        <w:tc>
          <w:tcPr>
            <w:tcW w:w="704" w:type="dxa"/>
            <w:tcBorders>
              <w:top w:val="nil"/>
              <w:left w:val="single" w:color="auto" w:sz="4" w:space="0"/>
              <w:bottom w:val="single" w:color="auto" w:sz="4" w:space="0"/>
              <w:right w:val="single" w:color="auto" w:sz="4" w:space="0"/>
            </w:tcBorders>
            <w:shd w:val="clear" w:color="000000" w:fill="FFFFFF"/>
            <w:vAlign w:val="center"/>
          </w:tcPr>
          <w:p w14:paraId="5912643F">
            <w:pPr>
              <w:widowControl/>
              <w:jc w:val="center"/>
              <w:rPr>
                <w:rFonts w:hint="eastAsia" w:ascii="宋体" w:hAnsi="宋体" w:cs="宋体"/>
                <w:kern w:val="0"/>
                <w:sz w:val="24"/>
              </w:rPr>
            </w:pPr>
            <w:r>
              <w:rPr>
                <w:rFonts w:hint="eastAsia" w:ascii="宋体" w:hAnsi="宋体" w:cs="宋体"/>
                <w:kern w:val="0"/>
                <w:sz w:val="24"/>
              </w:rPr>
              <w:t>166</w:t>
            </w:r>
          </w:p>
        </w:tc>
        <w:tc>
          <w:tcPr>
            <w:tcW w:w="2851" w:type="dxa"/>
            <w:tcBorders>
              <w:top w:val="nil"/>
              <w:left w:val="nil"/>
              <w:bottom w:val="single" w:color="auto" w:sz="4" w:space="0"/>
              <w:right w:val="single" w:color="auto" w:sz="4" w:space="0"/>
            </w:tcBorders>
            <w:shd w:val="clear" w:color="000000" w:fill="FFFFFF"/>
            <w:vAlign w:val="center"/>
          </w:tcPr>
          <w:p w14:paraId="319C97D5">
            <w:pPr>
              <w:jc w:val="center"/>
              <w:rPr>
                <w:rFonts w:hint="eastAsia" w:ascii="宋体" w:hAnsi="宋体" w:cs="宋体"/>
                <w:color w:val="000000"/>
                <w:sz w:val="24"/>
              </w:rPr>
            </w:pPr>
            <w:r>
              <w:rPr>
                <w:rFonts w:hint="eastAsia" w:ascii="宋体" w:hAnsi="宋体" w:cs="宋体"/>
                <w:color w:val="000000"/>
                <w:sz w:val="24"/>
              </w:rPr>
              <w:t>人类免疫缺陷病毒抗体检测试剂盒（胶体金法）</w:t>
            </w:r>
          </w:p>
        </w:tc>
        <w:tc>
          <w:tcPr>
            <w:tcW w:w="1276" w:type="dxa"/>
            <w:tcBorders>
              <w:top w:val="nil"/>
              <w:left w:val="nil"/>
              <w:bottom w:val="single" w:color="auto" w:sz="4" w:space="0"/>
              <w:right w:val="single" w:color="auto" w:sz="4" w:space="0"/>
            </w:tcBorders>
            <w:shd w:val="clear" w:color="000000" w:fill="FFFFFF"/>
            <w:noWrap/>
            <w:vAlign w:val="center"/>
          </w:tcPr>
          <w:p w14:paraId="5F79A323">
            <w:pPr>
              <w:widowControl/>
              <w:jc w:val="center"/>
              <w:rPr>
                <w:rFonts w:hint="eastAsia" w:ascii="宋体" w:hAnsi="宋体" w:cs="宋体"/>
                <w:kern w:val="0"/>
                <w:sz w:val="24"/>
              </w:rPr>
            </w:pPr>
            <w:r>
              <w:rPr>
                <w:rFonts w:hint="eastAsia" w:ascii="宋体" w:hAnsi="宋体" w:cs="宋体"/>
                <w:kern w:val="0"/>
                <w:sz w:val="24"/>
              </w:rPr>
              <w:t>22.04</w:t>
            </w:r>
          </w:p>
        </w:tc>
        <w:tc>
          <w:tcPr>
            <w:tcW w:w="992" w:type="dxa"/>
            <w:tcBorders>
              <w:top w:val="nil"/>
              <w:left w:val="nil"/>
              <w:bottom w:val="single" w:color="auto" w:sz="4" w:space="0"/>
              <w:right w:val="single" w:color="auto" w:sz="4" w:space="0"/>
            </w:tcBorders>
            <w:shd w:val="clear" w:color="000000" w:fill="FFFFFF"/>
            <w:vAlign w:val="center"/>
          </w:tcPr>
          <w:p w14:paraId="587470F9">
            <w:pPr>
              <w:widowControl/>
              <w:jc w:val="center"/>
              <w:rPr>
                <w:rFonts w:hint="eastAsia" w:ascii="宋体" w:hAnsi="宋体" w:cs="宋体"/>
                <w:kern w:val="0"/>
                <w:sz w:val="24"/>
              </w:rPr>
            </w:pPr>
            <w:r>
              <w:rPr>
                <w:rFonts w:hint="eastAsia" w:ascii="宋体" w:hAnsi="宋体" w:cs="宋体"/>
                <w:kern w:val="0"/>
                <w:sz w:val="24"/>
              </w:rPr>
              <w:t>人份</w:t>
            </w:r>
          </w:p>
        </w:tc>
        <w:tc>
          <w:tcPr>
            <w:tcW w:w="992" w:type="dxa"/>
            <w:tcBorders>
              <w:top w:val="nil"/>
              <w:left w:val="nil"/>
              <w:bottom w:val="single" w:color="auto" w:sz="4" w:space="0"/>
              <w:right w:val="single" w:color="auto" w:sz="4" w:space="0"/>
            </w:tcBorders>
            <w:shd w:val="clear" w:color="000000" w:fill="FFFFFF"/>
            <w:noWrap/>
            <w:vAlign w:val="center"/>
          </w:tcPr>
          <w:p w14:paraId="061ED295">
            <w:pPr>
              <w:widowControl/>
              <w:jc w:val="center"/>
              <w:rPr>
                <w:rFonts w:hint="eastAsia" w:ascii="宋体" w:hAnsi="宋体" w:cs="宋体"/>
                <w:kern w:val="0"/>
                <w:sz w:val="24"/>
              </w:rPr>
            </w:pPr>
            <w:r>
              <w:rPr>
                <w:rFonts w:hint="eastAsia" w:ascii="宋体" w:hAnsi="宋体" w:cs="宋体"/>
                <w:kern w:val="0"/>
                <w:sz w:val="24"/>
              </w:rPr>
              <w:t>90</w:t>
            </w:r>
          </w:p>
        </w:tc>
        <w:tc>
          <w:tcPr>
            <w:tcW w:w="851" w:type="dxa"/>
            <w:tcBorders>
              <w:top w:val="nil"/>
              <w:left w:val="nil"/>
              <w:bottom w:val="single" w:color="auto" w:sz="4" w:space="0"/>
              <w:right w:val="single" w:color="auto" w:sz="4" w:space="0"/>
            </w:tcBorders>
            <w:shd w:val="clear" w:color="000000" w:fill="FFFFFF"/>
            <w:vAlign w:val="center"/>
          </w:tcPr>
          <w:p w14:paraId="6781549A">
            <w:pPr>
              <w:widowControl/>
              <w:jc w:val="center"/>
              <w:rPr>
                <w:rFonts w:hint="eastAsia" w:ascii="宋体" w:hAnsi="宋体" w:cs="宋体"/>
                <w:color w:val="000000"/>
                <w:kern w:val="0"/>
                <w:sz w:val="24"/>
              </w:rPr>
            </w:pPr>
            <w:r>
              <w:rPr>
                <w:rFonts w:hint="eastAsia" w:ascii="宋体" w:hAnsi="宋体" w:cs="宋体"/>
                <w:color w:val="000000"/>
                <w:kern w:val="0"/>
                <w:sz w:val="24"/>
              </w:rPr>
              <w:t>是</w:t>
            </w:r>
          </w:p>
        </w:tc>
        <w:tc>
          <w:tcPr>
            <w:tcW w:w="952" w:type="dxa"/>
            <w:tcBorders>
              <w:top w:val="nil"/>
              <w:left w:val="nil"/>
              <w:bottom w:val="single" w:color="auto" w:sz="4" w:space="0"/>
              <w:right w:val="single" w:color="auto" w:sz="4" w:space="0"/>
            </w:tcBorders>
            <w:shd w:val="clear" w:color="000000" w:fill="FFFFFF"/>
            <w:vAlign w:val="center"/>
          </w:tcPr>
          <w:p w14:paraId="679773CE">
            <w:pPr>
              <w:widowControl/>
              <w:jc w:val="center"/>
              <w:rPr>
                <w:rFonts w:hint="eastAsia" w:ascii="宋体" w:hAnsi="宋体" w:cs="宋体"/>
                <w:color w:val="000000"/>
                <w:kern w:val="0"/>
                <w:sz w:val="24"/>
              </w:rPr>
            </w:pPr>
            <w:r>
              <w:rPr>
                <w:rFonts w:hint="eastAsia" w:ascii="宋体" w:hAnsi="宋体" w:cs="宋体"/>
                <w:color w:val="000000"/>
                <w:kern w:val="0"/>
                <w:sz w:val="24"/>
              </w:rPr>
              <w:t>否</w:t>
            </w:r>
          </w:p>
        </w:tc>
      </w:tr>
      <w:tr w14:paraId="28DE7975">
        <w:tblPrEx>
          <w:tblCellMar>
            <w:top w:w="0" w:type="dxa"/>
            <w:left w:w="108" w:type="dxa"/>
            <w:bottom w:w="0" w:type="dxa"/>
            <w:right w:w="108" w:type="dxa"/>
          </w:tblCellMar>
        </w:tblPrEx>
        <w:trPr>
          <w:trHeight w:val="576" w:hRule="atLeast"/>
        </w:trPr>
        <w:tc>
          <w:tcPr>
            <w:tcW w:w="704" w:type="dxa"/>
            <w:tcBorders>
              <w:top w:val="nil"/>
              <w:left w:val="single" w:color="auto" w:sz="4" w:space="0"/>
              <w:bottom w:val="single" w:color="auto" w:sz="4" w:space="0"/>
              <w:right w:val="single" w:color="auto" w:sz="4" w:space="0"/>
            </w:tcBorders>
            <w:shd w:val="clear" w:color="000000" w:fill="FFFFFF"/>
            <w:vAlign w:val="center"/>
          </w:tcPr>
          <w:p w14:paraId="6E2273BC">
            <w:pPr>
              <w:widowControl/>
              <w:jc w:val="center"/>
              <w:rPr>
                <w:rFonts w:hint="eastAsia" w:ascii="宋体" w:hAnsi="宋体" w:cs="宋体"/>
                <w:kern w:val="0"/>
                <w:sz w:val="24"/>
              </w:rPr>
            </w:pPr>
            <w:r>
              <w:rPr>
                <w:rFonts w:hint="eastAsia" w:ascii="宋体" w:hAnsi="宋体" w:cs="宋体"/>
                <w:kern w:val="0"/>
                <w:sz w:val="24"/>
              </w:rPr>
              <w:t>167</w:t>
            </w:r>
          </w:p>
        </w:tc>
        <w:tc>
          <w:tcPr>
            <w:tcW w:w="2851" w:type="dxa"/>
            <w:tcBorders>
              <w:top w:val="nil"/>
              <w:left w:val="nil"/>
              <w:bottom w:val="single" w:color="auto" w:sz="4" w:space="0"/>
              <w:right w:val="single" w:color="auto" w:sz="4" w:space="0"/>
            </w:tcBorders>
            <w:shd w:val="clear" w:color="000000" w:fill="FFFFFF"/>
            <w:vAlign w:val="center"/>
          </w:tcPr>
          <w:p w14:paraId="3ABEF200">
            <w:pPr>
              <w:jc w:val="center"/>
              <w:rPr>
                <w:rFonts w:hint="eastAsia" w:ascii="宋体" w:hAnsi="宋体" w:cs="宋体"/>
                <w:color w:val="000000"/>
                <w:sz w:val="24"/>
              </w:rPr>
            </w:pPr>
            <w:r>
              <w:rPr>
                <w:rFonts w:hint="eastAsia" w:ascii="宋体" w:hAnsi="宋体" w:cs="宋体"/>
                <w:color w:val="000000"/>
                <w:sz w:val="24"/>
              </w:rPr>
              <w:t>抗D（lgM+lgG)血型定型试剂</w:t>
            </w:r>
          </w:p>
        </w:tc>
        <w:tc>
          <w:tcPr>
            <w:tcW w:w="1276" w:type="dxa"/>
            <w:tcBorders>
              <w:top w:val="nil"/>
              <w:left w:val="nil"/>
              <w:bottom w:val="single" w:color="auto" w:sz="4" w:space="0"/>
              <w:right w:val="single" w:color="auto" w:sz="4" w:space="0"/>
            </w:tcBorders>
            <w:shd w:val="clear" w:color="000000" w:fill="FFFFFF"/>
            <w:noWrap/>
            <w:vAlign w:val="center"/>
          </w:tcPr>
          <w:p w14:paraId="4A56C9D5">
            <w:pPr>
              <w:widowControl/>
              <w:jc w:val="center"/>
              <w:rPr>
                <w:rFonts w:hint="eastAsia" w:ascii="宋体" w:hAnsi="宋体" w:cs="宋体"/>
                <w:kern w:val="0"/>
                <w:sz w:val="24"/>
              </w:rPr>
            </w:pPr>
            <w:r>
              <w:rPr>
                <w:rFonts w:hint="eastAsia" w:ascii="宋体" w:hAnsi="宋体" w:cs="宋体"/>
                <w:kern w:val="0"/>
                <w:sz w:val="24"/>
              </w:rPr>
              <w:t>27.9</w:t>
            </w:r>
          </w:p>
        </w:tc>
        <w:tc>
          <w:tcPr>
            <w:tcW w:w="992" w:type="dxa"/>
            <w:tcBorders>
              <w:top w:val="nil"/>
              <w:left w:val="nil"/>
              <w:bottom w:val="single" w:color="auto" w:sz="4" w:space="0"/>
              <w:right w:val="single" w:color="auto" w:sz="4" w:space="0"/>
            </w:tcBorders>
            <w:shd w:val="clear" w:color="000000" w:fill="FFFFFF"/>
            <w:vAlign w:val="center"/>
          </w:tcPr>
          <w:p w14:paraId="7E89D66E">
            <w:pPr>
              <w:widowControl/>
              <w:jc w:val="center"/>
              <w:rPr>
                <w:rFonts w:hint="eastAsia" w:ascii="宋体" w:hAnsi="宋体" w:cs="宋体"/>
                <w:kern w:val="0"/>
                <w:sz w:val="24"/>
              </w:rPr>
            </w:pPr>
            <w:r>
              <w:rPr>
                <w:rFonts w:hint="eastAsia" w:ascii="宋体" w:hAnsi="宋体" w:cs="宋体"/>
                <w:kern w:val="0"/>
                <w:sz w:val="24"/>
              </w:rPr>
              <w:t>ml</w:t>
            </w:r>
          </w:p>
        </w:tc>
        <w:tc>
          <w:tcPr>
            <w:tcW w:w="992" w:type="dxa"/>
            <w:tcBorders>
              <w:top w:val="nil"/>
              <w:left w:val="nil"/>
              <w:bottom w:val="single" w:color="auto" w:sz="4" w:space="0"/>
              <w:right w:val="single" w:color="auto" w:sz="4" w:space="0"/>
            </w:tcBorders>
            <w:shd w:val="clear" w:color="000000" w:fill="FFFFFF"/>
            <w:noWrap/>
            <w:vAlign w:val="center"/>
          </w:tcPr>
          <w:p w14:paraId="08F422F0">
            <w:pPr>
              <w:widowControl/>
              <w:jc w:val="center"/>
              <w:rPr>
                <w:rFonts w:hint="eastAsia" w:ascii="宋体" w:hAnsi="宋体" w:cs="宋体"/>
                <w:kern w:val="0"/>
                <w:sz w:val="24"/>
              </w:rPr>
            </w:pPr>
            <w:r>
              <w:rPr>
                <w:rFonts w:hint="eastAsia" w:ascii="宋体" w:hAnsi="宋体" w:cs="宋体"/>
                <w:kern w:val="0"/>
                <w:sz w:val="24"/>
              </w:rPr>
              <w:t>200</w:t>
            </w:r>
          </w:p>
        </w:tc>
        <w:tc>
          <w:tcPr>
            <w:tcW w:w="851" w:type="dxa"/>
            <w:tcBorders>
              <w:top w:val="nil"/>
              <w:left w:val="nil"/>
              <w:bottom w:val="single" w:color="auto" w:sz="4" w:space="0"/>
              <w:right w:val="single" w:color="auto" w:sz="4" w:space="0"/>
            </w:tcBorders>
            <w:shd w:val="clear" w:color="000000" w:fill="FFFFFF"/>
            <w:vAlign w:val="center"/>
          </w:tcPr>
          <w:p w14:paraId="18ED1719">
            <w:pPr>
              <w:widowControl/>
              <w:jc w:val="center"/>
              <w:rPr>
                <w:rFonts w:hint="eastAsia" w:ascii="宋体" w:hAnsi="宋体" w:cs="宋体"/>
                <w:color w:val="000000"/>
                <w:kern w:val="0"/>
                <w:sz w:val="24"/>
              </w:rPr>
            </w:pPr>
            <w:r>
              <w:rPr>
                <w:rFonts w:hint="eastAsia" w:ascii="宋体" w:hAnsi="宋体" w:cs="宋体"/>
                <w:color w:val="000000"/>
                <w:kern w:val="0"/>
                <w:sz w:val="24"/>
              </w:rPr>
              <w:t>是</w:t>
            </w:r>
          </w:p>
        </w:tc>
        <w:tc>
          <w:tcPr>
            <w:tcW w:w="952" w:type="dxa"/>
            <w:tcBorders>
              <w:top w:val="nil"/>
              <w:left w:val="nil"/>
              <w:bottom w:val="single" w:color="auto" w:sz="4" w:space="0"/>
              <w:right w:val="single" w:color="auto" w:sz="4" w:space="0"/>
            </w:tcBorders>
            <w:shd w:val="clear" w:color="000000" w:fill="FFFFFF"/>
            <w:vAlign w:val="center"/>
          </w:tcPr>
          <w:p w14:paraId="5A9BDF9D">
            <w:pPr>
              <w:widowControl/>
              <w:jc w:val="center"/>
              <w:rPr>
                <w:rFonts w:hint="eastAsia" w:ascii="宋体" w:hAnsi="宋体" w:cs="宋体"/>
                <w:color w:val="000000"/>
                <w:kern w:val="0"/>
                <w:sz w:val="24"/>
              </w:rPr>
            </w:pPr>
            <w:r>
              <w:rPr>
                <w:rFonts w:hint="eastAsia" w:ascii="宋体" w:hAnsi="宋体" w:cs="宋体"/>
                <w:color w:val="000000"/>
                <w:kern w:val="0"/>
                <w:sz w:val="24"/>
              </w:rPr>
              <w:t>否</w:t>
            </w:r>
          </w:p>
        </w:tc>
      </w:tr>
      <w:tr w14:paraId="4FF55CFB">
        <w:tblPrEx>
          <w:tblCellMar>
            <w:top w:w="0" w:type="dxa"/>
            <w:left w:w="108" w:type="dxa"/>
            <w:bottom w:w="0" w:type="dxa"/>
            <w:right w:w="108" w:type="dxa"/>
          </w:tblCellMar>
        </w:tblPrEx>
        <w:trPr>
          <w:trHeight w:val="576" w:hRule="atLeast"/>
        </w:trPr>
        <w:tc>
          <w:tcPr>
            <w:tcW w:w="704" w:type="dxa"/>
            <w:tcBorders>
              <w:top w:val="nil"/>
              <w:left w:val="single" w:color="auto" w:sz="4" w:space="0"/>
              <w:bottom w:val="single" w:color="auto" w:sz="4" w:space="0"/>
              <w:right w:val="single" w:color="auto" w:sz="4" w:space="0"/>
            </w:tcBorders>
            <w:shd w:val="clear" w:color="000000" w:fill="FFFFFF"/>
            <w:vAlign w:val="center"/>
          </w:tcPr>
          <w:p w14:paraId="79E634CC">
            <w:pPr>
              <w:widowControl/>
              <w:jc w:val="center"/>
              <w:rPr>
                <w:rFonts w:hint="eastAsia" w:ascii="宋体" w:hAnsi="宋体" w:cs="宋体"/>
                <w:kern w:val="0"/>
                <w:sz w:val="24"/>
              </w:rPr>
            </w:pPr>
            <w:r>
              <w:rPr>
                <w:rFonts w:hint="eastAsia" w:ascii="宋体" w:hAnsi="宋体" w:cs="宋体"/>
                <w:kern w:val="0"/>
                <w:sz w:val="24"/>
              </w:rPr>
              <w:t>168</w:t>
            </w:r>
          </w:p>
        </w:tc>
        <w:tc>
          <w:tcPr>
            <w:tcW w:w="2851" w:type="dxa"/>
            <w:tcBorders>
              <w:top w:val="nil"/>
              <w:left w:val="nil"/>
              <w:bottom w:val="single" w:color="auto" w:sz="4" w:space="0"/>
              <w:right w:val="single" w:color="auto" w:sz="4" w:space="0"/>
            </w:tcBorders>
            <w:shd w:val="clear" w:color="000000" w:fill="FFFFFF"/>
            <w:vAlign w:val="center"/>
          </w:tcPr>
          <w:p w14:paraId="0F847843">
            <w:pPr>
              <w:jc w:val="center"/>
              <w:rPr>
                <w:rFonts w:hint="eastAsia" w:ascii="宋体" w:hAnsi="宋体" w:cs="宋体"/>
                <w:sz w:val="24"/>
              </w:rPr>
            </w:pPr>
            <w:r>
              <w:rPr>
                <w:rFonts w:hint="eastAsia" w:ascii="宋体" w:hAnsi="宋体" w:cs="宋体"/>
                <w:sz w:val="24"/>
              </w:rPr>
              <w:t>糖类抗原15-3测定试  剂盒</w:t>
            </w:r>
          </w:p>
        </w:tc>
        <w:tc>
          <w:tcPr>
            <w:tcW w:w="1276" w:type="dxa"/>
            <w:tcBorders>
              <w:top w:val="nil"/>
              <w:left w:val="nil"/>
              <w:bottom w:val="single" w:color="auto" w:sz="4" w:space="0"/>
              <w:right w:val="single" w:color="auto" w:sz="4" w:space="0"/>
            </w:tcBorders>
            <w:shd w:val="clear" w:color="000000" w:fill="FFFFFF"/>
            <w:noWrap/>
            <w:vAlign w:val="center"/>
          </w:tcPr>
          <w:p w14:paraId="68066972">
            <w:pPr>
              <w:widowControl/>
              <w:jc w:val="center"/>
              <w:rPr>
                <w:rFonts w:hint="eastAsia" w:ascii="宋体" w:hAnsi="宋体" w:cs="宋体"/>
                <w:kern w:val="0"/>
                <w:sz w:val="24"/>
              </w:rPr>
            </w:pPr>
            <w:r>
              <w:rPr>
                <w:rFonts w:hint="eastAsia" w:ascii="宋体" w:hAnsi="宋体" w:cs="宋体"/>
                <w:kern w:val="0"/>
                <w:sz w:val="24"/>
              </w:rPr>
              <w:t>20.4</w:t>
            </w:r>
          </w:p>
        </w:tc>
        <w:tc>
          <w:tcPr>
            <w:tcW w:w="992" w:type="dxa"/>
            <w:tcBorders>
              <w:top w:val="nil"/>
              <w:left w:val="nil"/>
              <w:bottom w:val="single" w:color="auto" w:sz="4" w:space="0"/>
              <w:right w:val="single" w:color="auto" w:sz="4" w:space="0"/>
            </w:tcBorders>
            <w:shd w:val="clear" w:color="000000" w:fill="FFFFFF"/>
            <w:noWrap/>
            <w:vAlign w:val="center"/>
          </w:tcPr>
          <w:p w14:paraId="590822B7">
            <w:pPr>
              <w:widowControl/>
              <w:jc w:val="center"/>
              <w:rPr>
                <w:rFonts w:hint="eastAsia" w:ascii="宋体" w:hAnsi="宋体" w:cs="宋体"/>
                <w:kern w:val="0"/>
                <w:sz w:val="24"/>
              </w:rPr>
            </w:pPr>
            <w:r>
              <w:rPr>
                <w:rFonts w:hint="eastAsia" w:ascii="宋体" w:hAnsi="宋体" w:cs="宋体"/>
                <w:kern w:val="0"/>
                <w:sz w:val="24"/>
              </w:rPr>
              <w:t>人份</w:t>
            </w:r>
          </w:p>
        </w:tc>
        <w:tc>
          <w:tcPr>
            <w:tcW w:w="992" w:type="dxa"/>
            <w:tcBorders>
              <w:top w:val="nil"/>
              <w:left w:val="nil"/>
              <w:bottom w:val="single" w:color="auto" w:sz="4" w:space="0"/>
              <w:right w:val="single" w:color="auto" w:sz="4" w:space="0"/>
            </w:tcBorders>
            <w:shd w:val="clear" w:color="000000" w:fill="FFFFFF"/>
            <w:noWrap/>
            <w:vAlign w:val="center"/>
          </w:tcPr>
          <w:p w14:paraId="28289A54">
            <w:pPr>
              <w:widowControl/>
              <w:jc w:val="center"/>
              <w:rPr>
                <w:rFonts w:hint="eastAsia" w:ascii="宋体" w:hAnsi="宋体" w:cs="宋体"/>
                <w:kern w:val="0"/>
                <w:sz w:val="24"/>
              </w:rPr>
            </w:pPr>
            <w:r>
              <w:rPr>
                <w:rFonts w:hint="eastAsia" w:ascii="宋体" w:hAnsi="宋体" w:cs="宋体"/>
                <w:kern w:val="0"/>
                <w:sz w:val="24"/>
              </w:rPr>
              <w:t>2000</w:t>
            </w:r>
          </w:p>
        </w:tc>
        <w:tc>
          <w:tcPr>
            <w:tcW w:w="851" w:type="dxa"/>
            <w:tcBorders>
              <w:top w:val="nil"/>
              <w:left w:val="nil"/>
              <w:bottom w:val="single" w:color="auto" w:sz="4" w:space="0"/>
              <w:right w:val="single" w:color="auto" w:sz="4" w:space="0"/>
            </w:tcBorders>
            <w:shd w:val="clear" w:color="000000" w:fill="FFFFFF"/>
            <w:vAlign w:val="center"/>
          </w:tcPr>
          <w:p w14:paraId="38B545CF">
            <w:pPr>
              <w:widowControl/>
              <w:jc w:val="center"/>
              <w:rPr>
                <w:rFonts w:hint="eastAsia" w:ascii="宋体" w:hAnsi="宋体" w:cs="宋体"/>
                <w:color w:val="000000"/>
                <w:kern w:val="0"/>
                <w:sz w:val="24"/>
              </w:rPr>
            </w:pPr>
            <w:r>
              <w:rPr>
                <w:rFonts w:hint="eastAsia" w:ascii="宋体" w:hAnsi="宋体" w:cs="宋体"/>
                <w:color w:val="000000"/>
                <w:kern w:val="0"/>
                <w:sz w:val="24"/>
              </w:rPr>
              <w:t>是</w:t>
            </w:r>
          </w:p>
        </w:tc>
        <w:tc>
          <w:tcPr>
            <w:tcW w:w="952" w:type="dxa"/>
            <w:tcBorders>
              <w:top w:val="nil"/>
              <w:left w:val="nil"/>
              <w:bottom w:val="single" w:color="auto" w:sz="4" w:space="0"/>
              <w:right w:val="single" w:color="auto" w:sz="4" w:space="0"/>
            </w:tcBorders>
            <w:shd w:val="clear" w:color="000000" w:fill="FFFFFF"/>
            <w:vAlign w:val="center"/>
          </w:tcPr>
          <w:p w14:paraId="1D43E002">
            <w:pPr>
              <w:widowControl/>
              <w:jc w:val="center"/>
              <w:rPr>
                <w:rFonts w:hint="eastAsia" w:ascii="宋体" w:hAnsi="宋体" w:cs="宋体"/>
                <w:color w:val="000000"/>
                <w:kern w:val="0"/>
                <w:sz w:val="24"/>
              </w:rPr>
            </w:pPr>
            <w:r>
              <w:rPr>
                <w:rFonts w:hint="eastAsia" w:ascii="宋体" w:hAnsi="宋体" w:cs="宋体"/>
                <w:color w:val="000000"/>
                <w:kern w:val="0"/>
                <w:sz w:val="24"/>
              </w:rPr>
              <w:t>否</w:t>
            </w:r>
          </w:p>
        </w:tc>
      </w:tr>
      <w:tr w14:paraId="67018BD2">
        <w:tblPrEx>
          <w:tblCellMar>
            <w:top w:w="0" w:type="dxa"/>
            <w:left w:w="108" w:type="dxa"/>
            <w:bottom w:w="0" w:type="dxa"/>
            <w:right w:w="108" w:type="dxa"/>
          </w:tblCellMar>
        </w:tblPrEx>
        <w:trPr>
          <w:trHeight w:val="288" w:hRule="atLeast"/>
        </w:trPr>
        <w:tc>
          <w:tcPr>
            <w:tcW w:w="704" w:type="dxa"/>
            <w:tcBorders>
              <w:top w:val="nil"/>
              <w:left w:val="single" w:color="auto" w:sz="4" w:space="0"/>
              <w:bottom w:val="single" w:color="auto" w:sz="4" w:space="0"/>
              <w:right w:val="single" w:color="auto" w:sz="4" w:space="0"/>
            </w:tcBorders>
            <w:shd w:val="clear" w:color="000000" w:fill="FFFFFF"/>
            <w:vAlign w:val="center"/>
          </w:tcPr>
          <w:p w14:paraId="12FCE220">
            <w:pPr>
              <w:widowControl/>
              <w:jc w:val="center"/>
              <w:rPr>
                <w:rFonts w:hint="eastAsia" w:ascii="宋体" w:hAnsi="宋体" w:cs="宋体"/>
                <w:kern w:val="0"/>
                <w:sz w:val="24"/>
              </w:rPr>
            </w:pPr>
            <w:r>
              <w:rPr>
                <w:rFonts w:hint="eastAsia" w:ascii="宋体" w:hAnsi="宋体" w:cs="宋体"/>
                <w:kern w:val="0"/>
                <w:sz w:val="24"/>
              </w:rPr>
              <w:t>169</w:t>
            </w:r>
          </w:p>
        </w:tc>
        <w:tc>
          <w:tcPr>
            <w:tcW w:w="2851" w:type="dxa"/>
            <w:tcBorders>
              <w:top w:val="nil"/>
              <w:left w:val="nil"/>
              <w:bottom w:val="single" w:color="auto" w:sz="4" w:space="0"/>
              <w:right w:val="single" w:color="auto" w:sz="4" w:space="0"/>
            </w:tcBorders>
            <w:shd w:val="clear" w:color="000000" w:fill="FFFFFF"/>
            <w:vAlign w:val="center"/>
          </w:tcPr>
          <w:p w14:paraId="0A7BB068">
            <w:pPr>
              <w:jc w:val="center"/>
              <w:rPr>
                <w:rFonts w:hint="eastAsia" w:ascii="宋体" w:hAnsi="宋体" w:cs="宋体"/>
                <w:sz w:val="24"/>
              </w:rPr>
            </w:pPr>
            <w:r>
              <w:rPr>
                <w:rFonts w:hint="eastAsia" w:ascii="宋体" w:hAnsi="宋体" w:cs="宋体"/>
                <w:sz w:val="24"/>
              </w:rPr>
              <w:t>糖类抗原125测定试剂盒</w:t>
            </w:r>
          </w:p>
        </w:tc>
        <w:tc>
          <w:tcPr>
            <w:tcW w:w="1276" w:type="dxa"/>
            <w:tcBorders>
              <w:top w:val="nil"/>
              <w:left w:val="nil"/>
              <w:bottom w:val="single" w:color="auto" w:sz="4" w:space="0"/>
              <w:right w:val="single" w:color="auto" w:sz="4" w:space="0"/>
            </w:tcBorders>
            <w:shd w:val="clear" w:color="000000" w:fill="FFFFFF"/>
            <w:noWrap/>
            <w:vAlign w:val="center"/>
          </w:tcPr>
          <w:p w14:paraId="462B43E6">
            <w:pPr>
              <w:widowControl/>
              <w:jc w:val="center"/>
              <w:rPr>
                <w:rFonts w:hint="eastAsia" w:ascii="宋体" w:hAnsi="宋体" w:cs="宋体"/>
                <w:kern w:val="0"/>
                <w:sz w:val="24"/>
              </w:rPr>
            </w:pPr>
            <w:r>
              <w:rPr>
                <w:rFonts w:hint="eastAsia" w:ascii="宋体" w:hAnsi="宋体" w:cs="宋体"/>
                <w:kern w:val="0"/>
                <w:sz w:val="24"/>
              </w:rPr>
              <w:t>24</w:t>
            </w:r>
          </w:p>
        </w:tc>
        <w:tc>
          <w:tcPr>
            <w:tcW w:w="992" w:type="dxa"/>
            <w:tcBorders>
              <w:top w:val="nil"/>
              <w:left w:val="nil"/>
              <w:bottom w:val="single" w:color="auto" w:sz="4" w:space="0"/>
              <w:right w:val="single" w:color="auto" w:sz="4" w:space="0"/>
            </w:tcBorders>
            <w:shd w:val="clear" w:color="000000" w:fill="FFFFFF"/>
            <w:noWrap/>
            <w:vAlign w:val="center"/>
          </w:tcPr>
          <w:p w14:paraId="04D8984A">
            <w:pPr>
              <w:widowControl/>
              <w:jc w:val="center"/>
              <w:rPr>
                <w:rFonts w:hint="eastAsia" w:ascii="宋体" w:hAnsi="宋体" w:cs="宋体"/>
                <w:kern w:val="0"/>
                <w:sz w:val="24"/>
              </w:rPr>
            </w:pPr>
            <w:r>
              <w:rPr>
                <w:rFonts w:hint="eastAsia" w:ascii="宋体" w:hAnsi="宋体" w:cs="宋体"/>
                <w:kern w:val="0"/>
                <w:sz w:val="24"/>
              </w:rPr>
              <w:t>人份</w:t>
            </w:r>
          </w:p>
        </w:tc>
        <w:tc>
          <w:tcPr>
            <w:tcW w:w="992" w:type="dxa"/>
            <w:tcBorders>
              <w:top w:val="nil"/>
              <w:left w:val="nil"/>
              <w:bottom w:val="single" w:color="auto" w:sz="4" w:space="0"/>
              <w:right w:val="single" w:color="auto" w:sz="4" w:space="0"/>
            </w:tcBorders>
            <w:shd w:val="clear" w:color="000000" w:fill="FFFFFF"/>
            <w:noWrap/>
            <w:vAlign w:val="center"/>
          </w:tcPr>
          <w:p w14:paraId="0456F82C">
            <w:pPr>
              <w:widowControl/>
              <w:jc w:val="center"/>
              <w:rPr>
                <w:rFonts w:hint="eastAsia" w:ascii="宋体" w:hAnsi="宋体" w:cs="宋体"/>
                <w:kern w:val="0"/>
                <w:sz w:val="24"/>
              </w:rPr>
            </w:pPr>
            <w:r>
              <w:rPr>
                <w:rFonts w:hint="eastAsia" w:ascii="宋体" w:hAnsi="宋体" w:cs="宋体"/>
                <w:kern w:val="0"/>
                <w:sz w:val="24"/>
              </w:rPr>
              <w:t>11500</w:t>
            </w:r>
          </w:p>
        </w:tc>
        <w:tc>
          <w:tcPr>
            <w:tcW w:w="851" w:type="dxa"/>
            <w:tcBorders>
              <w:top w:val="nil"/>
              <w:left w:val="nil"/>
              <w:bottom w:val="single" w:color="auto" w:sz="4" w:space="0"/>
              <w:right w:val="single" w:color="auto" w:sz="4" w:space="0"/>
            </w:tcBorders>
            <w:shd w:val="clear" w:color="000000" w:fill="FFFFFF"/>
            <w:vAlign w:val="center"/>
          </w:tcPr>
          <w:p w14:paraId="177B66AF">
            <w:pPr>
              <w:widowControl/>
              <w:jc w:val="center"/>
              <w:rPr>
                <w:rFonts w:hint="eastAsia" w:ascii="宋体" w:hAnsi="宋体" w:cs="宋体"/>
                <w:color w:val="000000"/>
                <w:kern w:val="0"/>
                <w:sz w:val="24"/>
              </w:rPr>
            </w:pPr>
            <w:r>
              <w:rPr>
                <w:rFonts w:hint="eastAsia" w:ascii="宋体" w:hAnsi="宋体" w:cs="宋体"/>
                <w:color w:val="000000"/>
                <w:kern w:val="0"/>
                <w:sz w:val="24"/>
              </w:rPr>
              <w:t>是</w:t>
            </w:r>
          </w:p>
        </w:tc>
        <w:tc>
          <w:tcPr>
            <w:tcW w:w="952" w:type="dxa"/>
            <w:tcBorders>
              <w:top w:val="nil"/>
              <w:left w:val="nil"/>
              <w:bottom w:val="single" w:color="auto" w:sz="4" w:space="0"/>
              <w:right w:val="single" w:color="auto" w:sz="4" w:space="0"/>
            </w:tcBorders>
            <w:shd w:val="clear" w:color="000000" w:fill="FFFFFF"/>
            <w:vAlign w:val="center"/>
          </w:tcPr>
          <w:p w14:paraId="741F11FA">
            <w:pPr>
              <w:widowControl/>
              <w:jc w:val="center"/>
              <w:rPr>
                <w:rFonts w:hint="eastAsia" w:ascii="宋体" w:hAnsi="宋体" w:cs="宋体"/>
                <w:color w:val="000000"/>
                <w:kern w:val="0"/>
                <w:sz w:val="24"/>
              </w:rPr>
            </w:pPr>
            <w:r>
              <w:rPr>
                <w:rFonts w:hint="eastAsia" w:ascii="宋体" w:hAnsi="宋体" w:cs="宋体"/>
                <w:color w:val="000000"/>
                <w:kern w:val="0"/>
                <w:sz w:val="24"/>
              </w:rPr>
              <w:t>否</w:t>
            </w:r>
          </w:p>
        </w:tc>
      </w:tr>
      <w:tr w14:paraId="1B580B80">
        <w:tblPrEx>
          <w:tblCellMar>
            <w:top w:w="0" w:type="dxa"/>
            <w:left w:w="108" w:type="dxa"/>
            <w:bottom w:w="0" w:type="dxa"/>
            <w:right w:w="108" w:type="dxa"/>
          </w:tblCellMar>
        </w:tblPrEx>
        <w:trPr>
          <w:trHeight w:val="576" w:hRule="atLeast"/>
        </w:trPr>
        <w:tc>
          <w:tcPr>
            <w:tcW w:w="704" w:type="dxa"/>
            <w:tcBorders>
              <w:top w:val="nil"/>
              <w:left w:val="single" w:color="auto" w:sz="4" w:space="0"/>
              <w:bottom w:val="single" w:color="auto" w:sz="4" w:space="0"/>
              <w:right w:val="single" w:color="auto" w:sz="4" w:space="0"/>
            </w:tcBorders>
            <w:shd w:val="clear" w:color="000000" w:fill="FFFFFF"/>
            <w:vAlign w:val="center"/>
          </w:tcPr>
          <w:p w14:paraId="415DD5A0">
            <w:pPr>
              <w:widowControl/>
              <w:jc w:val="center"/>
              <w:rPr>
                <w:rFonts w:hint="eastAsia" w:ascii="宋体" w:hAnsi="宋体" w:cs="宋体"/>
                <w:kern w:val="0"/>
                <w:sz w:val="24"/>
              </w:rPr>
            </w:pPr>
            <w:r>
              <w:rPr>
                <w:rFonts w:hint="eastAsia" w:ascii="宋体" w:hAnsi="宋体" w:cs="宋体"/>
                <w:kern w:val="0"/>
                <w:sz w:val="24"/>
              </w:rPr>
              <w:t>170</w:t>
            </w:r>
          </w:p>
        </w:tc>
        <w:tc>
          <w:tcPr>
            <w:tcW w:w="2851" w:type="dxa"/>
            <w:tcBorders>
              <w:top w:val="nil"/>
              <w:left w:val="nil"/>
              <w:bottom w:val="single" w:color="auto" w:sz="4" w:space="0"/>
              <w:right w:val="single" w:color="auto" w:sz="4" w:space="0"/>
            </w:tcBorders>
            <w:vAlign w:val="center"/>
          </w:tcPr>
          <w:p w14:paraId="47D928E7">
            <w:pPr>
              <w:jc w:val="center"/>
              <w:rPr>
                <w:rFonts w:hint="eastAsia" w:ascii="宋体" w:hAnsi="宋体" w:cs="宋体"/>
                <w:color w:val="000000"/>
                <w:sz w:val="24"/>
              </w:rPr>
            </w:pPr>
            <w:r>
              <w:rPr>
                <w:rFonts w:hint="eastAsia" w:ascii="宋体" w:hAnsi="宋体" w:cs="宋体"/>
                <w:color w:val="000000"/>
                <w:sz w:val="24"/>
              </w:rPr>
              <w:t>25-羟基维生素D检测试剂盒2</w:t>
            </w:r>
          </w:p>
        </w:tc>
        <w:tc>
          <w:tcPr>
            <w:tcW w:w="1276" w:type="dxa"/>
            <w:tcBorders>
              <w:top w:val="nil"/>
              <w:left w:val="nil"/>
              <w:bottom w:val="single" w:color="auto" w:sz="4" w:space="0"/>
              <w:right w:val="single" w:color="auto" w:sz="4" w:space="0"/>
            </w:tcBorders>
            <w:vAlign w:val="center"/>
          </w:tcPr>
          <w:p w14:paraId="7102EE39">
            <w:pPr>
              <w:widowControl/>
              <w:jc w:val="center"/>
              <w:rPr>
                <w:rFonts w:hint="eastAsia" w:ascii="宋体" w:hAnsi="宋体" w:cs="宋体"/>
                <w:color w:val="000000"/>
                <w:kern w:val="0"/>
                <w:sz w:val="24"/>
              </w:rPr>
            </w:pPr>
            <w:r>
              <w:rPr>
                <w:rFonts w:hint="eastAsia" w:ascii="宋体" w:hAnsi="宋体" w:cs="宋体"/>
                <w:color w:val="000000"/>
                <w:kern w:val="0"/>
                <w:sz w:val="24"/>
              </w:rPr>
              <w:t>40</w:t>
            </w:r>
          </w:p>
        </w:tc>
        <w:tc>
          <w:tcPr>
            <w:tcW w:w="992" w:type="dxa"/>
            <w:tcBorders>
              <w:top w:val="nil"/>
              <w:left w:val="nil"/>
              <w:bottom w:val="single" w:color="auto" w:sz="4" w:space="0"/>
              <w:right w:val="single" w:color="auto" w:sz="4" w:space="0"/>
            </w:tcBorders>
            <w:vAlign w:val="center"/>
          </w:tcPr>
          <w:p w14:paraId="1879E56A">
            <w:pPr>
              <w:widowControl/>
              <w:jc w:val="center"/>
              <w:rPr>
                <w:rFonts w:hint="eastAsia" w:ascii="宋体" w:hAnsi="宋体" w:cs="宋体"/>
                <w:color w:val="000000"/>
                <w:kern w:val="0"/>
                <w:sz w:val="24"/>
              </w:rPr>
            </w:pPr>
            <w:r>
              <w:rPr>
                <w:rFonts w:hint="eastAsia" w:ascii="宋体" w:hAnsi="宋体" w:cs="宋体"/>
                <w:color w:val="000000"/>
                <w:kern w:val="0"/>
                <w:sz w:val="24"/>
              </w:rPr>
              <w:t>人份</w:t>
            </w:r>
          </w:p>
        </w:tc>
        <w:tc>
          <w:tcPr>
            <w:tcW w:w="992" w:type="dxa"/>
            <w:tcBorders>
              <w:top w:val="nil"/>
              <w:left w:val="nil"/>
              <w:bottom w:val="single" w:color="auto" w:sz="4" w:space="0"/>
              <w:right w:val="single" w:color="auto" w:sz="4" w:space="0"/>
            </w:tcBorders>
            <w:shd w:val="clear" w:color="000000" w:fill="FFFFFF"/>
            <w:noWrap/>
            <w:vAlign w:val="center"/>
          </w:tcPr>
          <w:p w14:paraId="1762CBC8">
            <w:pPr>
              <w:widowControl/>
              <w:jc w:val="center"/>
              <w:rPr>
                <w:rFonts w:hint="eastAsia" w:ascii="宋体" w:hAnsi="宋体" w:cs="宋体"/>
                <w:kern w:val="0"/>
                <w:sz w:val="24"/>
              </w:rPr>
            </w:pPr>
            <w:r>
              <w:rPr>
                <w:rFonts w:hint="eastAsia" w:ascii="宋体" w:hAnsi="宋体" w:cs="宋体"/>
                <w:kern w:val="0"/>
                <w:sz w:val="24"/>
              </w:rPr>
              <w:t>300</w:t>
            </w:r>
          </w:p>
        </w:tc>
        <w:tc>
          <w:tcPr>
            <w:tcW w:w="851" w:type="dxa"/>
            <w:tcBorders>
              <w:top w:val="nil"/>
              <w:left w:val="nil"/>
              <w:bottom w:val="single" w:color="auto" w:sz="4" w:space="0"/>
              <w:right w:val="single" w:color="auto" w:sz="4" w:space="0"/>
            </w:tcBorders>
            <w:shd w:val="clear" w:color="000000" w:fill="FFFFFF"/>
            <w:vAlign w:val="center"/>
          </w:tcPr>
          <w:p w14:paraId="44307AF1">
            <w:pPr>
              <w:widowControl/>
              <w:jc w:val="center"/>
              <w:rPr>
                <w:rFonts w:hint="eastAsia" w:ascii="宋体" w:hAnsi="宋体" w:cs="宋体"/>
                <w:color w:val="000000"/>
                <w:kern w:val="0"/>
                <w:sz w:val="24"/>
              </w:rPr>
            </w:pPr>
            <w:r>
              <w:rPr>
                <w:rFonts w:hint="eastAsia" w:ascii="宋体" w:hAnsi="宋体" w:cs="宋体"/>
                <w:color w:val="000000"/>
                <w:kern w:val="0"/>
                <w:sz w:val="24"/>
              </w:rPr>
              <w:t>是</w:t>
            </w:r>
          </w:p>
        </w:tc>
        <w:tc>
          <w:tcPr>
            <w:tcW w:w="952" w:type="dxa"/>
            <w:tcBorders>
              <w:top w:val="nil"/>
              <w:left w:val="nil"/>
              <w:bottom w:val="single" w:color="auto" w:sz="4" w:space="0"/>
              <w:right w:val="single" w:color="auto" w:sz="4" w:space="0"/>
            </w:tcBorders>
            <w:shd w:val="clear" w:color="000000" w:fill="FFFFFF"/>
            <w:vAlign w:val="center"/>
          </w:tcPr>
          <w:p w14:paraId="12E94DBD">
            <w:pPr>
              <w:widowControl/>
              <w:jc w:val="center"/>
              <w:rPr>
                <w:rFonts w:hint="eastAsia" w:ascii="宋体" w:hAnsi="宋体" w:cs="宋体"/>
                <w:color w:val="000000"/>
                <w:kern w:val="0"/>
                <w:sz w:val="24"/>
              </w:rPr>
            </w:pPr>
            <w:r>
              <w:rPr>
                <w:rFonts w:hint="eastAsia" w:ascii="宋体" w:hAnsi="宋体" w:cs="宋体"/>
                <w:color w:val="000000"/>
                <w:kern w:val="0"/>
                <w:sz w:val="24"/>
              </w:rPr>
              <w:t>否</w:t>
            </w:r>
          </w:p>
        </w:tc>
      </w:tr>
    </w:tbl>
    <w:p w14:paraId="1BBDFE0D">
      <w:pPr>
        <w:spacing w:line="360" w:lineRule="auto"/>
        <w:ind w:firstLine="480" w:firstLineChars="200"/>
        <w:rPr>
          <w:rFonts w:hint="eastAsia" w:ascii="宋体" w:hAnsi="宋体" w:cs="宋体"/>
          <w:bCs/>
          <w:sz w:val="24"/>
        </w:rPr>
      </w:pPr>
      <w:r>
        <w:rPr>
          <w:rFonts w:hint="eastAsia" w:ascii="宋体" w:hAnsi="宋体"/>
          <w:sz w:val="24"/>
        </w:rPr>
        <w:t>（二）项目概况：供应商为北京市体检中心提供医用体外诊断试剂，包括其贮存、运输、配送及维护等，确保北京市体检中心丰台体检分院、航天桥门诊部、马甸体检分院医学检验科室准确、及时、保质保量获得采购人订单要求的试剂和耗材。</w:t>
      </w:r>
    </w:p>
    <w:p w14:paraId="62C7F650">
      <w:pPr>
        <w:pStyle w:val="4"/>
        <w:spacing w:line="360" w:lineRule="auto"/>
        <w:rPr>
          <w:rFonts w:hint="eastAsia" w:ascii="宋体" w:hAnsi="宋体" w:cs="宋体"/>
          <w:b/>
          <w:sz w:val="24"/>
        </w:rPr>
      </w:pPr>
      <w:r>
        <w:rPr>
          <w:rFonts w:hint="eastAsia" w:ascii="宋体" w:hAnsi="宋体" w:cs="宋体"/>
          <w:bCs/>
          <w:sz w:val="24"/>
        </w:rPr>
        <w:t>二、</w:t>
      </w:r>
      <w:r>
        <w:rPr>
          <w:rFonts w:hint="eastAsia" w:ascii="宋体" w:hAnsi="宋体" w:cs="宋体"/>
          <w:b/>
          <w:sz w:val="24"/>
        </w:rPr>
        <w:t>商务要求</w:t>
      </w:r>
    </w:p>
    <w:p w14:paraId="2C4140BE">
      <w:pPr>
        <w:spacing w:line="360" w:lineRule="auto"/>
        <w:ind w:firstLine="482" w:firstLineChars="200"/>
        <w:contextualSpacing/>
        <w:outlineLvl w:val="1"/>
        <w:rPr>
          <w:rFonts w:hint="eastAsia" w:ascii="宋体" w:hAnsi="宋体" w:cs="宋体"/>
          <w:b/>
          <w:bCs/>
          <w:sz w:val="24"/>
        </w:rPr>
      </w:pPr>
      <w:r>
        <w:rPr>
          <w:rFonts w:hint="eastAsia" w:ascii="宋体" w:hAnsi="宋体" w:cs="宋体"/>
          <w:b/>
          <w:bCs/>
          <w:sz w:val="24"/>
        </w:rPr>
        <w:t>（一）基本要求</w:t>
      </w:r>
    </w:p>
    <w:p w14:paraId="5E5D7F28">
      <w:pPr>
        <w:spacing w:line="360" w:lineRule="auto"/>
        <w:ind w:firstLine="482" w:firstLineChars="200"/>
        <w:contextualSpacing/>
        <w:rPr>
          <w:rFonts w:hint="eastAsia" w:ascii="宋体" w:hAnsi="宋体" w:cs="宋体"/>
          <w:b/>
          <w:bCs/>
          <w:sz w:val="24"/>
        </w:rPr>
      </w:pPr>
      <w:r>
        <w:rPr>
          <w:rFonts w:hint="eastAsia" w:ascii="宋体" w:hAnsi="宋体" w:cs="宋体"/>
          <w:b/>
          <w:bCs/>
          <w:sz w:val="24"/>
        </w:rPr>
        <w:t>1.采购标的需实现的功能或者目标</w:t>
      </w:r>
    </w:p>
    <w:p w14:paraId="43E3FBF8">
      <w:pPr>
        <w:spacing w:line="360" w:lineRule="auto"/>
        <w:ind w:firstLine="480" w:firstLineChars="200"/>
        <w:contextualSpacing/>
        <w:rPr>
          <w:rFonts w:hint="eastAsia" w:ascii="宋体" w:hAnsi="宋体" w:cs="宋体"/>
          <w:b/>
          <w:bCs/>
          <w:sz w:val="24"/>
        </w:rPr>
      </w:pPr>
      <w:r>
        <w:rPr>
          <w:rFonts w:hint="eastAsia" w:ascii="宋体" w:hAnsi="宋体"/>
          <w:sz w:val="24"/>
        </w:rPr>
        <w:t>本次采购是“北京市体检中心医用体外诊断试剂购置项目(二)”，供应商应根据招标文件所提出的设备技术规格和服务要求，以满足招标文件要求的产品、优良的货物和优惠的价格，充分显示自己的竞争实力。</w:t>
      </w:r>
    </w:p>
    <w:p w14:paraId="1C463C27">
      <w:pPr>
        <w:spacing w:line="360" w:lineRule="auto"/>
        <w:ind w:firstLine="482" w:firstLineChars="200"/>
        <w:contextualSpacing/>
        <w:rPr>
          <w:rFonts w:hint="eastAsia" w:ascii="宋体" w:hAnsi="宋体" w:cs="宋体"/>
          <w:b/>
          <w:bCs/>
          <w:sz w:val="24"/>
        </w:rPr>
      </w:pPr>
      <w:r>
        <w:rPr>
          <w:rFonts w:hint="eastAsia" w:ascii="宋体" w:hAnsi="宋体" w:cs="宋体"/>
          <w:b/>
          <w:bCs/>
          <w:sz w:val="24"/>
        </w:rPr>
        <w:t>2.需执行的国家相关标准、行业标准、地方标准或者其他标准、规范：</w:t>
      </w:r>
    </w:p>
    <w:p w14:paraId="4D7E5C97">
      <w:pPr>
        <w:spacing w:line="360" w:lineRule="auto"/>
        <w:ind w:firstLine="480" w:firstLineChars="200"/>
        <w:jc w:val="left"/>
        <w:rPr>
          <w:rFonts w:hint="eastAsia" w:ascii="宋体" w:hAnsi="宋体" w:cs="宋体"/>
          <w:kern w:val="0"/>
          <w:sz w:val="24"/>
        </w:rPr>
      </w:pPr>
      <w:bookmarkStart w:id="1" w:name="OLE_LINK1"/>
      <w:r>
        <w:rPr>
          <w:rFonts w:hint="eastAsia" w:ascii="宋体" w:hAnsi="宋体" w:cs="宋体"/>
          <w:kern w:val="0"/>
          <w:sz w:val="24"/>
        </w:rPr>
        <w:t>★2.1投标产品属于医疗器械的，应按原国家食品药品监督管理总局颁发的《医疗器械注册管理办法》，办理医疗器械注册证或者办理备案，投标人须提供医疗器械注册证复印件或备案凭证。</w:t>
      </w:r>
    </w:p>
    <w:p w14:paraId="03B2DE15">
      <w:pPr>
        <w:spacing w:line="360" w:lineRule="auto"/>
        <w:ind w:firstLine="480" w:firstLineChars="200"/>
        <w:jc w:val="left"/>
        <w:rPr>
          <w:rFonts w:hint="eastAsia" w:ascii="宋体" w:hAnsi="宋体" w:cs="宋体"/>
          <w:kern w:val="0"/>
          <w:sz w:val="24"/>
        </w:rPr>
      </w:pPr>
      <w:r>
        <w:rPr>
          <w:rFonts w:hint="eastAsia" w:ascii="宋体" w:hAnsi="宋体" w:cs="宋体"/>
          <w:kern w:val="0"/>
          <w:sz w:val="24"/>
        </w:rPr>
        <w:t>★2.2投标产品属于医疗器械的，中华人民共和国境内制造商应按原国家食品药品监督管理总局颁发的《医疗器械生产监督管理办法》，办理医疗器械生产许可证或者办理备案，投标人须提供医疗器械生产许可证复印件或备案凭证。</w:t>
      </w:r>
    </w:p>
    <w:bookmarkEnd w:id="1"/>
    <w:p w14:paraId="7FFE7B34">
      <w:pPr>
        <w:spacing w:line="360" w:lineRule="auto"/>
        <w:ind w:firstLine="480" w:firstLineChars="200"/>
        <w:contextualSpacing/>
        <w:rPr>
          <w:rFonts w:hint="eastAsia" w:ascii="宋体" w:hAnsi="宋体" w:cs="宋体"/>
          <w:kern w:val="0"/>
          <w:sz w:val="24"/>
        </w:rPr>
      </w:pPr>
      <w:r>
        <w:rPr>
          <w:rFonts w:hint="eastAsia" w:ascii="宋体" w:hAnsi="宋体" w:cs="宋体"/>
          <w:kern w:val="0"/>
          <w:sz w:val="24"/>
        </w:rPr>
        <w:t>2.3投标产品及制造商应符合国家有关部门规定的相应技术法规及标准，如国家有关部门对投标产品或其制造商有强制性规定或要求的，投标产品或其制造商必须符合相应规定或要求。</w:t>
      </w:r>
    </w:p>
    <w:p w14:paraId="60C98734">
      <w:pPr>
        <w:spacing w:line="360" w:lineRule="auto"/>
        <w:ind w:firstLine="482" w:firstLineChars="200"/>
        <w:contextualSpacing/>
        <w:rPr>
          <w:rFonts w:hint="eastAsia" w:ascii="宋体" w:hAnsi="宋体" w:cs="宋体"/>
          <w:b/>
          <w:bCs/>
          <w:sz w:val="24"/>
        </w:rPr>
      </w:pPr>
      <w:r>
        <w:rPr>
          <w:rFonts w:hint="eastAsia" w:ascii="宋体" w:hAnsi="宋体" w:cs="宋体"/>
          <w:b/>
          <w:bCs/>
          <w:sz w:val="24"/>
        </w:rPr>
        <w:t>3.为落实政府采购政策需满足的要求</w:t>
      </w:r>
    </w:p>
    <w:p w14:paraId="2E54C5E9">
      <w:pPr>
        <w:spacing w:line="360" w:lineRule="auto"/>
        <w:ind w:firstLine="480" w:firstLineChars="200"/>
        <w:jc w:val="left"/>
        <w:rPr>
          <w:rFonts w:hint="eastAsia" w:ascii="宋体" w:hAnsi="宋体" w:cs="宋体"/>
          <w:kern w:val="0"/>
          <w:sz w:val="24"/>
        </w:rPr>
      </w:pPr>
      <w:r>
        <w:rPr>
          <w:rFonts w:hint="eastAsia" w:ascii="宋体" w:hAnsi="宋体" w:cs="宋体"/>
          <w:kern w:val="0"/>
          <w:sz w:val="24"/>
        </w:rPr>
        <w:t>3.1促进中小企业发展政策：根据《政府采购促进中小企业发展管理办法》规定，本项目采购货物为小型或微型企业制造的，投标人应出具招标文件要求的《中小企业声明函》给予证明，否则评标时不予认可。投标人应对提交的中小企业声明函的真实性负责，提交的中小企业声明函不真实的，应承担相应的法律责任。（注：依据《政府采购促进中小企业发展管理办法》规定享受扶持政策获得政府采购合同的小微企业不得将合同分包给大中型企业，中型企业不得将合同分包给大型企业。）</w:t>
      </w:r>
    </w:p>
    <w:p w14:paraId="05394454">
      <w:pPr>
        <w:spacing w:line="360" w:lineRule="auto"/>
        <w:ind w:firstLine="480" w:firstLineChars="200"/>
        <w:jc w:val="left"/>
        <w:rPr>
          <w:rFonts w:hint="eastAsia" w:ascii="宋体" w:hAnsi="宋体" w:cs="宋体"/>
          <w:kern w:val="0"/>
          <w:sz w:val="24"/>
        </w:rPr>
      </w:pPr>
      <w:r>
        <w:rPr>
          <w:rFonts w:hint="eastAsia" w:ascii="宋体" w:hAnsi="宋体" w:cs="宋体"/>
          <w:kern w:val="0"/>
          <w:sz w:val="24"/>
        </w:rPr>
        <w:t>3.2监狱企业扶持政策：投标人如为监狱企业将视同为小型或微型企业，应提供由省级以上监狱管理局、戒毒管理局（含新疆生产建设兵团）出具的属于监狱企业的证明文件。投标人应对提交的属于监狱企业的证明文件的真实性负责，提交的监狱企业的证明文件不真实的，应承担相应的法律责任。</w:t>
      </w:r>
    </w:p>
    <w:p w14:paraId="00FF0557">
      <w:pPr>
        <w:spacing w:line="360" w:lineRule="auto"/>
        <w:ind w:firstLine="480" w:firstLineChars="200"/>
        <w:jc w:val="left"/>
        <w:rPr>
          <w:rFonts w:hint="eastAsia" w:ascii="宋体" w:hAnsi="宋体" w:cs="宋体"/>
          <w:kern w:val="0"/>
          <w:sz w:val="24"/>
        </w:rPr>
      </w:pPr>
      <w:r>
        <w:rPr>
          <w:rFonts w:hint="eastAsia" w:ascii="宋体" w:hAnsi="宋体" w:cs="宋体"/>
          <w:kern w:val="0"/>
          <w:sz w:val="24"/>
        </w:rPr>
        <w:t>3.3促进残疾人就业政府采购政策：根据《三部门联合发布关于促进残疾人就业政府采购政策的通知》（财库〔2017〕141 号）规定，符合条件的残疾人福利性单位在参加本项目政府采购活动时，投标人应出具招标文件要求的《残疾人福利性单位声明函》，并对声明的真实性承担法律责任。中标、成交供应商为残疾人福利性单位的，采购代理机构将随中标结果同时公告其《残疾人福利性单位声明函》，接受社会监督。残疾人福利性单位视同小型、微型企业。不重复享受政策。</w:t>
      </w:r>
    </w:p>
    <w:p w14:paraId="527C7E45">
      <w:pPr>
        <w:spacing w:line="360" w:lineRule="auto"/>
        <w:ind w:firstLine="480" w:firstLineChars="200"/>
        <w:jc w:val="left"/>
        <w:rPr>
          <w:rFonts w:hint="eastAsia" w:ascii="宋体" w:hAnsi="宋体" w:cs="宋体"/>
          <w:kern w:val="0"/>
          <w:sz w:val="24"/>
        </w:rPr>
      </w:pPr>
      <w:r>
        <w:rPr>
          <w:rFonts w:hint="eastAsia" w:ascii="宋体" w:hAnsi="宋体" w:cs="宋体"/>
          <w:kern w:val="0"/>
          <w:sz w:val="24"/>
        </w:rPr>
        <w:t>3.4鼓励节能政策：投标人的投标产品属于财政部、发展改革委公布的“节能产品政府采购品目清单”范围的，投标人需提供国家确定的认证机构出具的、处于有效期之内的节能产品认证证书。国家确定的认证机构和节能产品获证产品信息可从市场监管总局组建的节能产品、环境标志产品认证结果信息发布平台或中国政府采购网（www.ccgp.gov.cn）建立的认证结果信息发布平台链接中查询下载。</w:t>
      </w:r>
    </w:p>
    <w:p w14:paraId="0D050898">
      <w:pPr>
        <w:spacing w:line="360" w:lineRule="auto"/>
        <w:ind w:firstLine="480" w:firstLineChars="200"/>
        <w:jc w:val="left"/>
        <w:rPr>
          <w:rFonts w:hint="eastAsia" w:ascii="宋体" w:hAnsi="宋体" w:cs="宋体"/>
          <w:kern w:val="0"/>
          <w:sz w:val="24"/>
        </w:rPr>
      </w:pPr>
      <w:r>
        <w:rPr>
          <w:rFonts w:hint="eastAsia" w:ascii="宋体" w:hAnsi="宋体" w:cs="宋体"/>
          <w:kern w:val="0"/>
          <w:sz w:val="24"/>
        </w:rPr>
        <w:t>3.5鼓励环保政策：投标人的投标产品属于财政部、生态环境部公布的“环境标志产品政府采购品目清单”范围的，投标人需提供国家确定的认证机构出具的、处于有效期之内的环境标志产品认证证书。国家确定的认证机构和环境标志产品获证产品信息可从市场监管总局组建的节能产品、环境标志产品认证结果信息发布平台或中国政府采购网（www.ccgp.gov.cn）建立的认证结果信息发布平台链接中查询下载。</w:t>
      </w:r>
    </w:p>
    <w:p w14:paraId="152760E6">
      <w:pPr>
        <w:spacing w:line="360" w:lineRule="auto"/>
        <w:ind w:firstLine="480" w:firstLineChars="200"/>
        <w:jc w:val="left"/>
        <w:rPr>
          <w:rFonts w:hint="eastAsia" w:ascii="宋体" w:hAnsi="宋体" w:cs="宋体"/>
          <w:kern w:val="0"/>
          <w:sz w:val="24"/>
        </w:rPr>
      </w:pPr>
      <w:r>
        <w:rPr>
          <w:rFonts w:hint="eastAsia" w:ascii="宋体" w:hAnsi="宋体" w:cs="宋体"/>
          <w:kern w:val="0"/>
          <w:sz w:val="24"/>
        </w:rPr>
        <w:t>3.6实施本国产品标准及相关政策：依据《国务院办公厅关于在政府采购中实施本国产品标准及相关政策的通知》（国办发〔2025〕34号）规定，本项目</w:t>
      </w:r>
      <w:r>
        <w:rPr>
          <w:rFonts w:hint="eastAsia" w:ascii="宋体" w:hAnsi="宋体"/>
          <w:sz w:val="24"/>
        </w:rPr>
        <w:t>既有本国产品又有非本国产品参与竞争的，如</w:t>
      </w:r>
      <w:r>
        <w:rPr>
          <w:rFonts w:hint="eastAsia" w:ascii="宋体" w:hAnsi="宋体" w:cs="宋体"/>
          <w:kern w:val="0"/>
          <w:sz w:val="24"/>
        </w:rPr>
        <w:t>供应商所投产品在中国境内生产，即在中华人民共和国关境内实现从原材料、组件到产品的属性改变。且在中国境内生产的组件成本占比应当达到规定比例，依法对本国产品给予价格评审优惠，对本国产品的报价给予20%的价格扣除，用扣除后的价格参与评审。投标人应出具招标文件要求的证明材料给予证明，否则评标时不予认可。投标人应对提交的证明材料真实性负责，提交证明材料不真实的，应承担相应的法律责任。</w:t>
      </w:r>
    </w:p>
    <w:p w14:paraId="22BD1B71">
      <w:pPr>
        <w:spacing w:line="360" w:lineRule="auto"/>
        <w:ind w:firstLine="482" w:firstLineChars="200"/>
        <w:jc w:val="left"/>
        <w:outlineLvl w:val="1"/>
        <w:rPr>
          <w:rFonts w:hint="eastAsia" w:ascii="宋体" w:hAnsi="宋体" w:cs="宋体"/>
          <w:b/>
          <w:bCs/>
          <w:sz w:val="24"/>
        </w:rPr>
      </w:pPr>
      <w:r>
        <w:rPr>
          <w:rFonts w:hint="eastAsia" w:ascii="宋体" w:hAnsi="宋体" w:cs="宋体"/>
          <w:b/>
          <w:bCs/>
          <w:sz w:val="24"/>
        </w:rPr>
        <w:t>（二）具体要求</w:t>
      </w:r>
    </w:p>
    <w:p w14:paraId="4BD28741">
      <w:pPr>
        <w:spacing w:line="360" w:lineRule="auto"/>
        <w:ind w:firstLine="482" w:firstLineChars="200"/>
        <w:jc w:val="left"/>
        <w:outlineLvl w:val="1"/>
        <w:rPr>
          <w:rFonts w:hint="eastAsia" w:ascii="宋体" w:hAnsi="宋体" w:cs="宋体"/>
          <w:b/>
          <w:bCs/>
          <w:sz w:val="24"/>
        </w:rPr>
      </w:pPr>
      <w:r>
        <w:rPr>
          <w:rFonts w:hint="eastAsia" w:ascii="宋体" w:hAnsi="宋体" w:cs="宋体"/>
          <w:b/>
          <w:bCs/>
          <w:sz w:val="24"/>
        </w:rPr>
        <w:t>一）技术要求</w:t>
      </w:r>
    </w:p>
    <w:p w14:paraId="669BB435">
      <w:pPr>
        <w:spacing w:line="360" w:lineRule="auto"/>
        <w:ind w:firstLine="482" w:firstLineChars="200"/>
        <w:rPr>
          <w:rFonts w:hint="eastAsia" w:ascii="宋体" w:hAnsi="宋体" w:cs="宋体"/>
          <w:b/>
          <w:bCs/>
          <w:sz w:val="24"/>
        </w:rPr>
      </w:pPr>
      <w:r>
        <w:rPr>
          <w:rFonts w:hint="eastAsia" w:ascii="宋体" w:hAnsi="宋体" w:cs="宋体"/>
          <w:b/>
          <w:bCs/>
          <w:sz w:val="24"/>
        </w:rPr>
        <w:t>标的名称1：25-羟基维生素D定标液</w:t>
      </w:r>
    </w:p>
    <w:p w14:paraId="7E5D4F29">
      <w:pPr>
        <w:spacing w:line="360" w:lineRule="auto"/>
        <w:ind w:firstLine="480" w:firstLineChars="200"/>
        <w:rPr>
          <w:rFonts w:hint="eastAsia" w:ascii="宋体" w:hAnsi="宋体" w:cs="宋体"/>
          <w:sz w:val="24"/>
        </w:rPr>
      </w:pPr>
      <w:r>
        <w:rPr>
          <w:rFonts w:hint="eastAsia" w:ascii="宋体" w:hAnsi="宋体" w:cs="宋体"/>
          <w:sz w:val="24"/>
        </w:rPr>
        <w:t>1.主要用途：用于25-羟基维生素D定量检测项目的定标。该定标液适用于免疫分析仪。</w:t>
      </w:r>
    </w:p>
    <w:p w14:paraId="5CB2C60A">
      <w:pPr>
        <w:spacing w:line="360" w:lineRule="auto"/>
        <w:ind w:firstLine="480" w:firstLineChars="200"/>
        <w:rPr>
          <w:rFonts w:hint="eastAsia" w:ascii="宋体" w:hAnsi="宋体" w:cs="宋体"/>
          <w:sz w:val="24"/>
        </w:rPr>
      </w:pPr>
      <w:r>
        <w:rPr>
          <w:rFonts w:hint="eastAsia" w:ascii="宋体" w:hAnsi="宋体" w:cs="宋体"/>
          <w:sz w:val="24"/>
        </w:rPr>
        <w:t>2.试剂处理：准确添加1.0mL蒸馏水或去离子水小心溶解瓶内物质，垂直加盖静置15分钟待其复溶。</w:t>
      </w:r>
    </w:p>
    <w:p w14:paraId="51644812">
      <w:pPr>
        <w:spacing w:line="360" w:lineRule="auto"/>
        <w:ind w:firstLine="480" w:firstLineChars="200"/>
        <w:rPr>
          <w:rFonts w:hint="eastAsia" w:ascii="宋体" w:hAnsi="宋体" w:cs="宋体"/>
          <w:sz w:val="24"/>
        </w:rPr>
      </w:pPr>
      <w:r>
        <w:rPr>
          <w:rFonts w:hint="eastAsia" w:ascii="宋体" w:hAnsi="宋体" w:cs="宋体"/>
          <w:sz w:val="24"/>
        </w:rPr>
        <w:t>3.溯源性：该内部标准品可溯源至同位素稀释液相色谱-串联质谱法(ID-LC-MS/MS) 25-羟基维生素。</w:t>
      </w:r>
    </w:p>
    <w:p w14:paraId="0F2DBD99">
      <w:pPr>
        <w:spacing w:line="360" w:lineRule="auto"/>
        <w:ind w:firstLine="482" w:firstLineChars="200"/>
        <w:rPr>
          <w:rFonts w:hint="eastAsia" w:ascii="宋体" w:hAnsi="宋体" w:cs="宋体"/>
          <w:b/>
          <w:bCs/>
          <w:sz w:val="24"/>
        </w:rPr>
      </w:pPr>
      <w:r>
        <w:rPr>
          <w:rFonts w:hint="eastAsia" w:ascii="宋体" w:hAnsi="宋体" w:cs="宋体"/>
          <w:b/>
          <w:bCs/>
          <w:sz w:val="24"/>
        </w:rPr>
        <w:t>标的名称2：25-羟基维生素D检测试剂盒</w:t>
      </w:r>
    </w:p>
    <w:p w14:paraId="68CF4F00">
      <w:pPr>
        <w:spacing w:line="360" w:lineRule="auto"/>
        <w:ind w:firstLine="480" w:firstLineChars="200"/>
        <w:rPr>
          <w:rFonts w:hint="eastAsia" w:ascii="宋体" w:hAnsi="宋体" w:cs="宋体"/>
          <w:sz w:val="24"/>
        </w:rPr>
      </w:pPr>
      <w:r>
        <w:rPr>
          <w:rFonts w:hint="eastAsia" w:ascii="宋体" w:hAnsi="宋体" w:cs="宋体"/>
          <w:sz w:val="24"/>
        </w:rPr>
        <w:t>1.用途：用于体外定量测定人血清和血浆中的25‑羟基维生素D。</w:t>
      </w:r>
    </w:p>
    <w:p w14:paraId="7416AA95">
      <w:pPr>
        <w:spacing w:line="360" w:lineRule="auto"/>
        <w:ind w:firstLine="480" w:firstLineChars="200"/>
        <w:rPr>
          <w:rFonts w:hint="eastAsia" w:ascii="宋体" w:hAnsi="宋体" w:cs="宋体"/>
          <w:sz w:val="24"/>
        </w:rPr>
      </w:pPr>
      <w:r>
        <w:rPr>
          <w:rFonts w:hint="eastAsia" w:ascii="宋体" w:hAnsi="宋体" w:cs="宋体"/>
          <w:sz w:val="24"/>
        </w:rPr>
        <w:t>2.样本类型：血清/血浆。</w:t>
      </w:r>
    </w:p>
    <w:p w14:paraId="249B1270">
      <w:pPr>
        <w:spacing w:line="360" w:lineRule="auto"/>
        <w:ind w:firstLine="480" w:firstLineChars="200"/>
        <w:rPr>
          <w:rFonts w:hint="eastAsia" w:ascii="宋体" w:hAnsi="宋体" w:cs="宋体"/>
          <w:sz w:val="24"/>
        </w:rPr>
      </w:pPr>
      <w:r>
        <w:rPr>
          <w:rFonts w:hint="eastAsia" w:ascii="宋体" w:hAnsi="宋体" w:cs="宋体"/>
          <w:sz w:val="24"/>
        </w:rPr>
        <w:t>3.检测原理：竞争法原理。</w:t>
      </w:r>
    </w:p>
    <w:p w14:paraId="6C1F1359">
      <w:pPr>
        <w:spacing w:line="360" w:lineRule="auto"/>
        <w:ind w:firstLine="480" w:firstLineChars="200"/>
        <w:rPr>
          <w:rFonts w:hint="eastAsia" w:ascii="宋体" w:hAnsi="宋体" w:cs="宋体"/>
          <w:sz w:val="24"/>
        </w:rPr>
      </w:pPr>
      <w:r>
        <w:rPr>
          <w:rFonts w:hint="eastAsia" w:ascii="宋体" w:hAnsi="宋体" w:cs="宋体"/>
          <w:sz w:val="24"/>
        </w:rPr>
        <w:t>4.检测时间：≤30分钟。</w:t>
      </w:r>
    </w:p>
    <w:p w14:paraId="7F36342A">
      <w:pPr>
        <w:spacing w:line="360" w:lineRule="auto"/>
        <w:ind w:firstLine="482" w:firstLineChars="200"/>
        <w:rPr>
          <w:rFonts w:hint="eastAsia" w:ascii="宋体" w:hAnsi="宋体" w:cs="宋体"/>
          <w:b/>
          <w:bCs/>
          <w:sz w:val="24"/>
        </w:rPr>
      </w:pPr>
      <w:r>
        <w:rPr>
          <w:rFonts w:hint="eastAsia" w:ascii="宋体" w:hAnsi="宋体" w:cs="宋体"/>
          <w:b/>
          <w:bCs/>
          <w:sz w:val="24"/>
        </w:rPr>
        <w:t>标的名称3：C-肽定标液</w:t>
      </w:r>
    </w:p>
    <w:p w14:paraId="5D7C32C1">
      <w:pPr>
        <w:spacing w:line="360" w:lineRule="auto"/>
        <w:ind w:firstLine="480" w:firstLineChars="200"/>
        <w:rPr>
          <w:rFonts w:hint="eastAsia" w:ascii="宋体" w:hAnsi="宋体" w:cs="宋体"/>
          <w:sz w:val="24"/>
        </w:rPr>
      </w:pPr>
      <w:r>
        <w:rPr>
          <w:rFonts w:hint="eastAsia" w:ascii="宋体" w:hAnsi="宋体" w:cs="宋体"/>
          <w:sz w:val="24"/>
        </w:rPr>
        <w:t>1.主要用途：用于C-肽定量检测项目的定标。</w:t>
      </w:r>
    </w:p>
    <w:p w14:paraId="00B40DEE">
      <w:pPr>
        <w:spacing w:line="360" w:lineRule="auto"/>
        <w:ind w:firstLine="480" w:firstLineChars="200"/>
        <w:rPr>
          <w:rFonts w:hint="eastAsia" w:ascii="宋体" w:hAnsi="宋体" w:cs="宋体"/>
          <w:sz w:val="24"/>
        </w:rPr>
      </w:pPr>
      <w:r>
        <w:rPr>
          <w:rFonts w:hint="eastAsia" w:ascii="宋体" w:hAnsi="宋体" w:cs="宋体"/>
          <w:sz w:val="24"/>
        </w:rPr>
        <w:t>2.试剂处理：添加蒸馏水或去离子水复溶瓶内物质，垂直加盖静置15分钟。充分混匀并避免产生气泡。将新鲜复溶的定标液分装至带标签的有盖小空瓶中。粘贴标签，立即置于-20℃(±5℃)储存备用。</w:t>
      </w:r>
    </w:p>
    <w:p w14:paraId="16870196">
      <w:pPr>
        <w:spacing w:line="360" w:lineRule="auto"/>
        <w:ind w:firstLine="480" w:firstLineChars="200"/>
        <w:rPr>
          <w:rFonts w:hint="eastAsia" w:ascii="宋体" w:hAnsi="宋体" w:cs="宋体"/>
          <w:sz w:val="24"/>
        </w:rPr>
      </w:pPr>
      <w:r>
        <w:rPr>
          <w:rFonts w:hint="eastAsia" w:ascii="宋体" w:hAnsi="宋体" w:cs="宋体"/>
          <w:sz w:val="24"/>
        </w:rPr>
        <w:t>3.分装的定标液只限一次使用。</w:t>
      </w:r>
    </w:p>
    <w:p w14:paraId="54548BB8">
      <w:pPr>
        <w:spacing w:line="360" w:lineRule="auto"/>
        <w:ind w:firstLine="480" w:firstLineChars="200"/>
        <w:rPr>
          <w:rFonts w:hint="eastAsia" w:ascii="宋体" w:hAnsi="宋体" w:cs="宋体"/>
          <w:sz w:val="24"/>
        </w:rPr>
      </w:pPr>
      <w:r>
        <w:rPr>
          <w:rFonts w:hint="eastAsia" w:ascii="宋体" w:hAnsi="宋体" w:cs="宋体"/>
          <w:sz w:val="24"/>
        </w:rPr>
        <w:t>4.储存条件：2-8℃保存，必要时分装冷冻保存。</w:t>
      </w:r>
    </w:p>
    <w:p w14:paraId="4A80E7F9">
      <w:pPr>
        <w:spacing w:line="360" w:lineRule="auto"/>
        <w:ind w:firstLine="482" w:firstLineChars="200"/>
        <w:rPr>
          <w:rFonts w:hint="eastAsia" w:ascii="宋体" w:hAnsi="宋体" w:cs="宋体"/>
          <w:b/>
          <w:bCs/>
          <w:sz w:val="24"/>
        </w:rPr>
      </w:pPr>
      <w:r>
        <w:rPr>
          <w:rFonts w:hint="eastAsia" w:ascii="宋体" w:hAnsi="宋体" w:cs="宋体"/>
          <w:b/>
          <w:bCs/>
          <w:sz w:val="24"/>
        </w:rPr>
        <w:t>标的名称4：分析吸头/分析杯1</w:t>
      </w:r>
    </w:p>
    <w:p w14:paraId="4E50209C">
      <w:pPr>
        <w:spacing w:line="360" w:lineRule="auto"/>
        <w:ind w:firstLine="480" w:firstLineChars="200"/>
        <w:rPr>
          <w:rFonts w:hint="eastAsia" w:ascii="宋体" w:hAnsi="宋体" w:cs="宋体"/>
          <w:sz w:val="24"/>
        </w:rPr>
      </w:pPr>
      <w:r>
        <w:rPr>
          <w:rFonts w:hint="eastAsia" w:ascii="宋体" w:hAnsi="宋体" w:cs="宋体"/>
          <w:sz w:val="24"/>
        </w:rPr>
        <w:t>1.用途：盛放微量样本与相关测试试剂。</w:t>
      </w:r>
    </w:p>
    <w:p w14:paraId="72FFE2C0">
      <w:pPr>
        <w:spacing w:line="360" w:lineRule="auto"/>
        <w:ind w:firstLine="480" w:firstLineChars="200"/>
        <w:rPr>
          <w:rFonts w:hint="eastAsia" w:ascii="宋体" w:hAnsi="宋体" w:cs="宋体"/>
          <w:sz w:val="24"/>
        </w:rPr>
      </w:pPr>
      <w:r>
        <w:rPr>
          <w:rFonts w:hint="eastAsia" w:ascii="宋体" w:hAnsi="宋体" w:cs="宋体"/>
          <w:sz w:val="24"/>
        </w:rPr>
        <w:t>2.储存条件：2-30℃。</w:t>
      </w:r>
    </w:p>
    <w:p w14:paraId="5DAAD709">
      <w:pPr>
        <w:spacing w:line="360" w:lineRule="auto"/>
        <w:ind w:firstLine="480" w:firstLineChars="200"/>
        <w:rPr>
          <w:rFonts w:hint="eastAsia" w:ascii="宋体" w:hAnsi="宋体" w:cs="宋体"/>
          <w:sz w:val="24"/>
        </w:rPr>
      </w:pPr>
      <w:r>
        <w:rPr>
          <w:rFonts w:hint="eastAsia" w:ascii="宋体" w:hAnsi="宋体" w:cs="宋体"/>
          <w:sz w:val="24"/>
        </w:rPr>
        <w:t>3.材质：由塑料等材质制成。</w:t>
      </w:r>
    </w:p>
    <w:p w14:paraId="7E0854B3">
      <w:pPr>
        <w:spacing w:line="360" w:lineRule="auto"/>
        <w:ind w:firstLine="482" w:firstLineChars="200"/>
        <w:rPr>
          <w:rFonts w:hint="eastAsia" w:ascii="宋体" w:hAnsi="宋体" w:cs="宋体"/>
          <w:b/>
          <w:bCs/>
          <w:sz w:val="24"/>
        </w:rPr>
      </w:pPr>
      <w:r>
        <w:rPr>
          <w:rFonts w:hint="eastAsia" w:ascii="宋体" w:hAnsi="宋体" w:cs="宋体"/>
          <w:b/>
          <w:bCs/>
          <w:sz w:val="24"/>
        </w:rPr>
        <w:t>标的名称5：β-胶原特殊序列检测试剂盒</w:t>
      </w:r>
    </w:p>
    <w:p w14:paraId="20A64E77">
      <w:pPr>
        <w:spacing w:line="360" w:lineRule="auto"/>
        <w:ind w:firstLine="480" w:firstLineChars="200"/>
        <w:rPr>
          <w:rFonts w:hint="eastAsia" w:ascii="宋体" w:hAnsi="宋体" w:cs="宋体"/>
          <w:sz w:val="24"/>
        </w:rPr>
      </w:pPr>
      <w:r>
        <w:rPr>
          <w:rFonts w:hint="eastAsia" w:ascii="宋体" w:hAnsi="宋体" w:cs="宋体"/>
          <w:sz w:val="24"/>
        </w:rPr>
        <w:t>1.用途：用于体外定量测定人血清和血浆中I型胶原的分解产物。可作为辅助评估骨吸收的方法。可辅助监测绝经后妇女和诊断为骨质减少个体的抗吸收治疗(如二磷酸盐、激素代替疗法HRT)。</w:t>
      </w:r>
    </w:p>
    <w:p w14:paraId="271CF363">
      <w:pPr>
        <w:spacing w:line="360" w:lineRule="auto"/>
        <w:ind w:firstLine="480" w:firstLineChars="200"/>
        <w:rPr>
          <w:rFonts w:hint="eastAsia" w:ascii="宋体" w:hAnsi="宋体" w:cs="宋体"/>
          <w:sz w:val="24"/>
        </w:rPr>
      </w:pPr>
      <w:r>
        <w:rPr>
          <w:rFonts w:hint="eastAsia" w:ascii="宋体" w:hAnsi="宋体" w:cs="宋体"/>
          <w:sz w:val="24"/>
        </w:rPr>
        <w:t>2.样本类型：血清/血浆。</w:t>
      </w:r>
    </w:p>
    <w:p w14:paraId="1CB1F3BC">
      <w:pPr>
        <w:spacing w:line="360" w:lineRule="auto"/>
        <w:ind w:firstLine="480" w:firstLineChars="200"/>
        <w:rPr>
          <w:rFonts w:hint="eastAsia" w:ascii="宋体" w:hAnsi="宋体" w:cs="宋体"/>
          <w:sz w:val="24"/>
        </w:rPr>
      </w:pPr>
      <w:r>
        <w:rPr>
          <w:rFonts w:hint="eastAsia" w:ascii="宋体" w:hAnsi="宋体" w:cs="宋体"/>
          <w:sz w:val="24"/>
        </w:rPr>
        <w:t>3.检测原理：夹心法。</w:t>
      </w:r>
    </w:p>
    <w:p w14:paraId="71E033CF">
      <w:pPr>
        <w:spacing w:line="360" w:lineRule="auto"/>
        <w:ind w:firstLine="482" w:firstLineChars="200"/>
        <w:rPr>
          <w:rFonts w:hint="eastAsia" w:ascii="宋体" w:hAnsi="宋体" w:cs="宋体"/>
          <w:b/>
          <w:bCs/>
          <w:sz w:val="24"/>
        </w:rPr>
      </w:pPr>
      <w:r>
        <w:rPr>
          <w:rFonts w:hint="eastAsia" w:ascii="宋体" w:hAnsi="宋体" w:cs="宋体"/>
          <w:b/>
          <w:bCs/>
          <w:sz w:val="24"/>
        </w:rPr>
        <w:t>标的名称6：β-胶原特殊序列定标液</w:t>
      </w:r>
    </w:p>
    <w:p w14:paraId="41307519">
      <w:pPr>
        <w:spacing w:line="360" w:lineRule="auto"/>
        <w:ind w:firstLine="480" w:firstLineChars="200"/>
        <w:rPr>
          <w:rFonts w:hint="eastAsia" w:ascii="宋体" w:hAnsi="宋体" w:cs="宋体"/>
          <w:sz w:val="24"/>
        </w:rPr>
      </w:pPr>
      <w:r>
        <w:rPr>
          <w:rFonts w:hint="eastAsia" w:ascii="宋体" w:hAnsi="宋体" w:cs="宋体"/>
          <w:sz w:val="24"/>
        </w:rPr>
        <w:t>1.主要用途：适用于β-胶原特殊序列检测试剂盒定量检测项目的定标。</w:t>
      </w:r>
    </w:p>
    <w:p w14:paraId="7B09254F">
      <w:pPr>
        <w:spacing w:line="360" w:lineRule="auto"/>
        <w:ind w:firstLine="480" w:firstLineChars="200"/>
        <w:rPr>
          <w:rFonts w:hint="eastAsia" w:ascii="宋体" w:hAnsi="宋体" w:cs="宋体"/>
          <w:sz w:val="24"/>
        </w:rPr>
      </w:pPr>
      <w:r>
        <w:rPr>
          <w:rFonts w:hint="eastAsia" w:ascii="宋体" w:hAnsi="宋体" w:cs="宋体"/>
          <w:sz w:val="24"/>
        </w:rPr>
        <w:t>2.试剂处理：定标液为瓶装即用型。</w:t>
      </w:r>
    </w:p>
    <w:p w14:paraId="28E930C0">
      <w:pPr>
        <w:spacing w:line="360" w:lineRule="auto"/>
        <w:ind w:firstLine="480" w:firstLineChars="200"/>
        <w:rPr>
          <w:rFonts w:hint="eastAsia" w:ascii="宋体" w:hAnsi="宋体" w:cs="宋体"/>
          <w:sz w:val="24"/>
        </w:rPr>
      </w:pPr>
      <w:r>
        <w:rPr>
          <w:rFonts w:hint="eastAsia" w:ascii="宋体" w:hAnsi="宋体" w:cs="宋体"/>
          <w:sz w:val="24"/>
        </w:rPr>
        <w:t>3.储存条件：2-8℃保存，必要时分装冷冻保存。</w:t>
      </w:r>
    </w:p>
    <w:p w14:paraId="150002B4">
      <w:pPr>
        <w:spacing w:line="360" w:lineRule="auto"/>
        <w:ind w:firstLine="482" w:firstLineChars="200"/>
        <w:rPr>
          <w:rFonts w:hint="eastAsia" w:ascii="宋体" w:hAnsi="宋体" w:cs="宋体"/>
          <w:b/>
          <w:bCs/>
          <w:sz w:val="24"/>
        </w:rPr>
      </w:pPr>
      <w:r>
        <w:rPr>
          <w:rFonts w:hint="eastAsia" w:ascii="宋体" w:hAnsi="宋体" w:cs="宋体"/>
          <w:b/>
          <w:bCs/>
          <w:sz w:val="24"/>
        </w:rPr>
        <w:t>标的名称7：癌胚抗原定标液</w:t>
      </w:r>
    </w:p>
    <w:p w14:paraId="3C747BC6">
      <w:pPr>
        <w:spacing w:line="360" w:lineRule="auto"/>
        <w:ind w:firstLine="480" w:firstLineChars="200"/>
        <w:rPr>
          <w:rFonts w:hint="eastAsia" w:ascii="宋体" w:hAnsi="宋体" w:cs="宋体"/>
          <w:sz w:val="24"/>
        </w:rPr>
      </w:pPr>
      <w:r>
        <w:rPr>
          <w:rFonts w:hint="eastAsia" w:ascii="宋体" w:hAnsi="宋体" w:cs="宋体"/>
          <w:sz w:val="24"/>
        </w:rPr>
        <w:t>1.主要用途：癌胚抗原定标液用于癌胚抗原定量检测项目的定标。</w:t>
      </w:r>
    </w:p>
    <w:p w14:paraId="5BBD203D">
      <w:pPr>
        <w:spacing w:line="360" w:lineRule="auto"/>
        <w:ind w:firstLine="480" w:firstLineChars="200"/>
        <w:rPr>
          <w:rFonts w:hint="eastAsia" w:ascii="宋体" w:hAnsi="宋体" w:cs="宋体"/>
          <w:sz w:val="24"/>
        </w:rPr>
      </w:pPr>
      <w:r>
        <w:rPr>
          <w:rFonts w:hint="eastAsia" w:ascii="宋体" w:hAnsi="宋体" w:cs="宋体"/>
          <w:sz w:val="24"/>
        </w:rPr>
        <w:t>2.试剂处理：定标液为即用型，置于与系统兼容的试剂瓶中。</w:t>
      </w:r>
    </w:p>
    <w:p w14:paraId="018A9EAD">
      <w:pPr>
        <w:spacing w:line="360" w:lineRule="auto"/>
        <w:ind w:firstLine="480" w:firstLineChars="200"/>
        <w:rPr>
          <w:rFonts w:hint="eastAsia" w:ascii="宋体" w:hAnsi="宋体" w:cs="宋体"/>
          <w:sz w:val="24"/>
        </w:rPr>
      </w:pPr>
      <w:r>
        <w:rPr>
          <w:rFonts w:hint="eastAsia" w:ascii="宋体" w:hAnsi="宋体" w:cs="宋体"/>
          <w:sz w:val="24"/>
        </w:rPr>
        <w:t>3.储存条件：2-8℃保存，必要时分装冷冻保存。</w:t>
      </w:r>
    </w:p>
    <w:p w14:paraId="3DF61682">
      <w:pPr>
        <w:spacing w:line="360" w:lineRule="auto"/>
        <w:ind w:firstLine="482" w:firstLineChars="200"/>
        <w:rPr>
          <w:rFonts w:hint="eastAsia" w:ascii="宋体" w:hAnsi="宋体" w:cs="宋体"/>
          <w:b/>
          <w:bCs/>
          <w:sz w:val="24"/>
        </w:rPr>
      </w:pPr>
      <w:r>
        <w:rPr>
          <w:rFonts w:hint="eastAsia" w:ascii="宋体" w:hAnsi="宋体" w:cs="宋体"/>
          <w:b/>
          <w:bCs/>
          <w:sz w:val="24"/>
        </w:rPr>
        <w:t>标的名称8：丙型肝炎病毒抗体检测试剂盒</w:t>
      </w:r>
    </w:p>
    <w:p w14:paraId="24CA53E5">
      <w:pPr>
        <w:spacing w:line="360" w:lineRule="auto"/>
        <w:ind w:firstLine="480" w:firstLineChars="200"/>
        <w:rPr>
          <w:rFonts w:hint="eastAsia" w:ascii="宋体" w:hAnsi="宋体" w:cs="宋体"/>
          <w:sz w:val="24"/>
        </w:rPr>
      </w:pPr>
      <w:r>
        <w:rPr>
          <w:rFonts w:hint="eastAsia" w:ascii="宋体" w:hAnsi="宋体" w:cs="宋体"/>
          <w:sz w:val="24"/>
        </w:rPr>
        <w:t>1.用途：用于体外定性检测人体血清和血浆中丙型肝炎病毒(HCV)抗体。</w:t>
      </w:r>
    </w:p>
    <w:p w14:paraId="01012EE5">
      <w:pPr>
        <w:spacing w:line="360" w:lineRule="auto"/>
        <w:ind w:firstLine="480" w:firstLineChars="200"/>
        <w:rPr>
          <w:rFonts w:hint="eastAsia" w:ascii="宋体" w:hAnsi="宋体" w:cs="宋体"/>
          <w:sz w:val="24"/>
        </w:rPr>
      </w:pPr>
      <w:r>
        <w:rPr>
          <w:rFonts w:hint="eastAsia" w:ascii="宋体" w:hAnsi="宋体" w:cs="宋体"/>
          <w:sz w:val="24"/>
        </w:rPr>
        <w:t>2.样本类型：血清/血浆。</w:t>
      </w:r>
    </w:p>
    <w:p w14:paraId="2570AB3C">
      <w:pPr>
        <w:spacing w:line="360" w:lineRule="auto"/>
        <w:ind w:firstLine="480" w:firstLineChars="200"/>
        <w:rPr>
          <w:rFonts w:hint="eastAsia" w:ascii="宋体" w:hAnsi="宋体" w:cs="宋体"/>
          <w:sz w:val="24"/>
        </w:rPr>
      </w:pPr>
      <w:r>
        <w:rPr>
          <w:rFonts w:hint="eastAsia" w:ascii="宋体" w:hAnsi="宋体" w:cs="宋体"/>
          <w:sz w:val="24"/>
        </w:rPr>
        <w:t>3.检测原理：夹心法。</w:t>
      </w:r>
    </w:p>
    <w:p w14:paraId="6E65DE6F">
      <w:pPr>
        <w:spacing w:line="360" w:lineRule="auto"/>
        <w:ind w:firstLine="480" w:firstLineChars="200"/>
        <w:rPr>
          <w:rFonts w:hint="eastAsia" w:ascii="宋体" w:hAnsi="宋体" w:cs="宋体"/>
          <w:sz w:val="24"/>
        </w:rPr>
      </w:pPr>
      <w:r>
        <w:rPr>
          <w:rFonts w:hint="eastAsia" w:ascii="宋体" w:hAnsi="宋体" w:cs="宋体"/>
          <w:sz w:val="24"/>
        </w:rPr>
        <w:t>4.检测时间：18分钟。</w:t>
      </w:r>
    </w:p>
    <w:p w14:paraId="55133229">
      <w:pPr>
        <w:spacing w:line="360" w:lineRule="auto"/>
        <w:ind w:firstLine="480" w:firstLineChars="200"/>
        <w:rPr>
          <w:rFonts w:hint="eastAsia" w:ascii="宋体" w:hAnsi="宋体" w:cs="宋体"/>
          <w:sz w:val="24"/>
        </w:rPr>
      </w:pPr>
      <w:r>
        <w:rPr>
          <w:rFonts w:hint="eastAsia" w:ascii="宋体" w:hAnsi="宋体" w:cs="宋体"/>
          <w:sz w:val="24"/>
        </w:rPr>
        <w:t>5.储存条件及有效期：2～8℃保存，有效期≥1年。</w:t>
      </w:r>
    </w:p>
    <w:p w14:paraId="5C782B6E">
      <w:pPr>
        <w:spacing w:line="360" w:lineRule="auto"/>
        <w:ind w:firstLine="482" w:firstLineChars="200"/>
        <w:rPr>
          <w:rFonts w:hint="eastAsia" w:ascii="宋体" w:hAnsi="宋体" w:cs="宋体"/>
          <w:b/>
          <w:bCs/>
          <w:sz w:val="24"/>
        </w:rPr>
      </w:pPr>
      <w:r>
        <w:rPr>
          <w:rFonts w:hint="eastAsia" w:ascii="宋体" w:hAnsi="宋体" w:cs="宋体"/>
          <w:b/>
          <w:bCs/>
          <w:sz w:val="24"/>
        </w:rPr>
        <w:t>标的名称9：丙型肝炎病毒抗体质控品</w:t>
      </w:r>
    </w:p>
    <w:p w14:paraId="09270151">
      <w:pPr>
        <w:spacing w:line="360" w:lineRule="auto"/>
        <w:ind w:firstLine="480" w:firstLineChars="200"/>
        <w:rPr>
          <w:rFonts w:hint="eastAsia" w:ascii="宋体" w:hAnsi="宋体" w:cs="宋体"/>
          <w:sz w:val="24"/>
        </w:rPr>
      </w:pPr>
      <w:r>
        <w:rPr>
          <w:rFonts w:hint="eastAsia" w:ascii="宋体" w:hAnsi="宋体" w:cs="宋体"/>
          <w:sz w:val="24"/>
        </w:rPr>
        <w:t>1.主要用途：用于丙型肝炎病毒抗体检测项目的质量控制。</w:t>
      </w:r>
    </w:p>
    <w:p w14:paraId="386A388C">
      <w:pPr>
        <w:spacing w:line="360" w:lineRule="auto"/>
        <w:ind w:firstLine="480" w:firstLineChars="200"/>
        <w:rPr>
          <w:rFonts w:hint="eastAsia" w:ascii="宋体" w:hAnsi="宋体" w:cs="宋体"/>
          <w:sz w:val="24"/>
        </w:rPr>
      </w:pPr>
      <w:r>
        <w:rPr>
          <w:rFonts w:hint="eastAsia" w:ascii="宋体" w:hAnsi="宋体" w:cs="宋体"/>
          <w:sz w:val="24"/>
        </w:rPr>
        <w:t>2.试剂处理：瓶中的质控品为即用型，适合于各分析仪使用。</w:t>
      </w:r>
    </w:p>
    <w:p w14:paraId="5E082E92">
      <w:pPr>
        <w:spacing w:line="360" w:lineRule="auto"/>
        <w:ind w:firstLine="480" w:firstLineChars="200"/>
        <w:rPr>
          <w:rFonts w:hint="eastAsia" w:ascii="宋体" w:hAnsi="宋体" w:cs="宋体"/>
          <w:sz w:val="24"/>
        </w:rPr>
      </w:pPr>
      <w:r>
        <w:rPr>
          <w:rFonts w:hint="eastAsia" w:ascii="宋体" w:hAnsi="宋体" w:cs="宋体"/>
          <w:sz w:val="24"/>
        </w:rPr>
        <w:t>3.储存条件：2-8℃保存，必要时分装冷冻保存。</w:t>
      </w:r>
    </w:p>
    <w:p w14:paraId="7AEF7D76">
      <w:pPr>
        <w:spacing w:line="360" w:lineRule="auto"/>
        <w:ind w:firstLine="482" w:firstLineChars="200"/>
        <w:rPr>
          <w:rFonts w:hint="eastAsia" w:ascii="宋体" w:hAnsi="宋体" w:cs="宋体"/>
          <w:b/>
          <w:bCs/>
          <w:sz w:val="24"/>
        </w:rPr>
      </w:pPr>
      <w:r>
        <w:rPr>
          <w:rFonts w:hint="eastAsia" w:ascii="宋体" w:hAnsi="宋体" w:cs="宋体"/>
          <w:b/>
          <w:bCs/>
          <w:sz w:val="24"/>
        </w:rPr>
        <w:t>标的名称10：雌二醇定标液</w:t>
      </w:r>
    </w:p>
    <w:p w14:paraId="50AD23AF">
      <w:pPr>
        <w:spacing w:line="360" w:lineRule="auto"/>
        <w:ind w:firstLine="480" w:firstLineChars="200"/>
        <w:rPr>
          <w:rFonts w:hint="eastAsia" w:ascii="宋体" w:hAnsi="宋体" w:cs="宋体"/>
          <w:sz w:val="24"/>
        </w:rPr>
      </w:pPr>
      <w:r>
        <w:rPr>
          <w:rFonts w:hint="eastAsia" w:ascii="宋体" w:hAnsi="宋体" w:cs="宋体"/>
          <w:sz w:val="24"/>
        </w:rPr>
        <w:t>1.主要用途：雌二醇定标液用于对雌二醇定量测定进行定标，雌二醇定标液适用于在免疫分析仪。</w:t>
      </w:r>
    </w:p>
    <w:p w14:paraId="1D3EC851">
      <w:pPr>
        <w:spacing w:line="360" w:lineRule="auto"/>
        <w:ind w:firstLine="480" w:firstLineChars="200"/>
        <w:rPr>
          <w:rFonts w:hint="eastAsia" w:ascii="宋体" w:hAnsi="宋体" w:cs="宋体"/>
          <w:sz w:val="24"/>
        </w:rPr>
      </w:pPr>
      <w:r>
        <w:rPr>
          <w:rFonts w:hint="eastAsia" w:ascii="宋体" w:hAnsi="宋体" w:cs="宋体"/>
          <w:sz w:val="24"/>
        </w:rPr>
        <w:t>2.试剂处理：添加的蒸馏水或去离子水，小心溶解一个瓶中的内含物，盖紧盖子静置15分钟进行复溶。充分混匀，避免起泡。</w:t>
      </w:r>
    </w:p>
    <w:p w14:paraId="0C9799CE">
      <w:pPr>
        <w:spacing w:line="360" w:lineRule="auto"/>
        <w:ind w:firstLine="480" w:firstLineChars="200"/>
        <w:rPr>
          <w:rFonts w:hint="eastAsia" w:ascii="宋体" w:hAnsi="宋体" w:cs="宋体"/>
          <w:sz w:val="24"/>
        </w:rPr>
      </w:pPr>
      <w:r>
        <w:rPr>
          <w:rFonts w:hint="eastAsia" w:ascii="宋体" w:hAnsi="宋体" w:cs="宋体"/>
          <w:sz w:val="24"/>
        </w:rPr>
        <w:t>3.把复溶的定标液等分移入空的带标签的扭盖瓶中。把随附的标签贴到分装的瓶子上。</w:t>
      </w:r>
    </w:p>
    <w:p w14:paraId="2EF4272A">
      <w:pPr>
        <w:spacing w:line="360" w:lineRule="auto"/>
        <w:ind w:firstLine="482" w:firstLineChars="200"/>
        <w:rPr>
          <w:rFonts w:hint="eastAsia" w:ascii="宋体" w:hAnsi="宋体" w:cs="宋体"/>
          <w:b/>
          <w:bCs/>
          <w:sz w:val="24"/>
        </w:rPr>
      </w:pPr>
      <w:r>
        <w:rPr>
          <w:rFonts w:hint="eastAsia" w:ascii="宋体" w:hAnsi="宋体" w:cs="宋体"/>
          <w:b/>
          <w:bCs/>
          <w:sz w:val="24"/>
        </w:rPr>
        <w:t>标的名称11：雌二醇检测试剂盒</w:t>
      </w:r>
    </w:p>
    <w:p w14:paraId="678F39FE">
      <w:pPr>
        <w:spacing w:line="360" w:lineRule="auto"/>
        <w:ind w:firstLine="480" w:firstLineChars="200"/>
        <w:rPr>
          <w:rFonts w:hint="eastAsia" w:ascii="宋体" w:hAnsi="宋体" w:cs="宋体"/>
          <w:sz w:val="24"/>
        </w:rPr>
      </w:pPr>
      <w:r>
        <w:rPr>
          <w:rFonts w:hint="eastAsia" w:ascii="宋体" w:hAnsi="宋体" w:cs="宋体"/>
          <w:sz w:val="24"/>
        </w:rPr>
        <w:t>1.用途：用于体外定量检测人血清和血浆中的雌二醇。</w:t>
      </w:r>
    </w:p>
    <w:p w14:paraId="7CB0A6E7">
      <w:pPr>
        <w:spacing w:line="360" w:lineRule="auto"/>
        <w:ind w:firstLine="480" w:firstLineChars="200"/>
        <w:rPr>
          <w:rFonts w:hint="eastAsia" w:ascii="宋体" w:hAnsi="宋体" w:cs="宋体"/>
          <w:sz w:val="24"/>
        </w:rPr>
      </w:pPr>
      <w:r>
        <w:rPr>
          <w:rFonts w:hint="eastAsia" w:ascii="宋体" w:hAnsi="宋体" w:cs="宋体"/>
          <w:sz w:val="24"/>
        </w:rPr>
        <w:t>2.样本类型：血清/血浆。</w:t>
      </w:r>
    </w:p>
    <w:p w14:paraId="1FFFDFC2">
      <w:pPr>
        <w:spacing w:line="360" w:lineRule="auto"/>
        <w:ind w:firstLine="480" w:firstLineChars="200"/>
        <w:rPr>
          <w:rFonts w:hint="eastAsia" w:ascii="宋体" w:hAnsi="宋体" w:cs="宋体"/>
          <w:sz w:val="24"/>
        </w:rPr>
      </w:pPr>
      <w:r>
        <w:rPr>
          <w:rFonts w:hint="eastAsia" w:ascii="宋体" w:hAnsi="宋体" w:cs="宋体"/>
          <w:sz w:val="24"/>
        </w:rPr>
        <w:t>3.检测原理：竞争法原理。</w:t>
      </w:r>
    </w:p>
    <w:p w14:paraId="3637E86C">
      <w:pPr>
        <w:spacing w:line="360" w:lineRule="auto"/>
        <w:ind w:firstLine="482" w:firstLineChars="200"/>
        <w:rPr>
          <w:rFonts w:hint="eastAsia" w:ascii="宋体" w:hAnsi="宋体" w:cs="宋体"/>
          <w:b/>
          <w:bCs/>
          <w:sz w:val="24"/>
        </w:rPr>
      </w:pPr>
      <w:r>
        <w:rPr>
          <w:rFonts w:hint="eastAsia" w:ascii="宋体" w:hAnsi="宋体" w:cs="宋体"/>
          <w:b/>
          <w:bCs/>
          <w:sz w:val="24"/>
        </w:rPr>
        <w:t>标的名称12：促甲状腺激素检测试剂盒</w:t>
      </w:r>
    </w:p>
    <w:p w14:paraId="19DC5400">
      <w:pPr>
        <w:spacing w:line="360" w:lineRule="auto"/>
        <w:ind w:firstLine="480" w:firstLineChars="200"/>
        <w:rPr>
          <w:rFonts w:hint="eastAsia" w:ascii="宋体" w:hAnsi="宋体" w:cs="宋体"/>
          <w:sz w:val="24"/>
        </w:rPr>
      </w:pPr>
      <w:r>
        <w:rPr>
          <w:rFonts w:hint="eastAsia" w:ascii="宋体" w:hAnsi="宋体" w:cs="宋体"/>
          <w:sz w:val="24"/>
        </w:rPr>
        <w:t>1.用途：用于体外定量测定人血清和血浆中的促甲状腺激素含量。</w:t>
      </w:r>
    </w:p>
    <w:p w14:paraId="348F3288">
      <w:pPr>
        <w:spacing w:line="360" w:lineRule="auto"/>
        <w:ind w:firstLine="480" w:firstLineChars="200"/>
        <w:rPr>
          <w:rFonts w:hint="eastAsia" w:ascii="宋体" w:hAnsi="宋体" w:cs="宋体"/>
          <w:sz w:val="24"/>
        </w:rPr>
      </w:pPr>
      <w:r>
        <w:rPr>
          <w:rFonts w:hint="eastAsia" w:ascii="宋体" w:hAnsi="宋体" w:cs="宋体"/>
          <w:sz w:val="24"/>
        </w:rPr>
        <w:t>2.样本类型：血清/血浆。</w:t>
      </w:r>
    </w:p>
    <w:p w14:paraId="74925D86">
      <w:pPr>
        <w:spacing w:line="360" w:lineRule="auto"/>
        <w:ind w:firstLine="480" w:firstLineChars="200"/>
        <w:rPr>
          <w:rFonts w:hint="eastAsia" w:ascii="宋体" w:hAnsi="宋体" w:cs="宋体"/>
          <w:sz w:val="24"/>
        </w:rPr>
      </w:pPr>
      <w:r>
        <w:rPr>
          <w:rFonts w:hint="eastAsia" w:ascii="宋体" w:hAnsi="宋体" w:cs="宋体"/>
          <w:sz w:val="24"/>
        </w:rPr>
        <w:t>3.检测原理：双抗体夹心法。</w:t>
      </w:r>
    </w:p>
    <w:p w14:paraId="2E1AE0E1">
      <w:pPr>
        <w:spacing w:line="360" w:lineRule="auto"/>
        <w:ind w:firstLine="482" w:firstLineChars="200"/>
        <w:rPr>
          <w:rFonts w:hint="eastAsia" w:ascii="宋体" w:hAnsi="宋体" w:cs="宋体"/>
          <w:b/>
          <w:bCs/>
          <w:sz w:val="24"/>
        </w:rPr>
      </w:pPr>
      <w:r>
        <w:rPr>
          <w:rFonts w:hint="eastAsia" w:ascii="宋体" w:hAnsi="宋体" w:cs="宋体"/>
          <w:b/>
          <w:bCs/>
          <w:sz w:val="24"/>
        </w:rPr>
        <w:t>标的名称13：促甲状腺素定标液</w:t>
      </w:r>
    </w:p>
    <w:p w14:paraId="5831F3AD">
      <w:pPr>
        <w:spacing w:line="360" w:lineRule="auto"/>
        <w:ind w:firstLine="480" w:firstLineChars="200"/>
        <w:rPr>
          <w:rFonts w:hint="eastAsia" w:ascii="宋体" w:hAnsi="宋体" w:cs="宋体"/>
          <w:sz w:val="24"/>
        </w:rPr>
      </w:pPr>
      <w:r>
        <w:rPr>
          <w:rFonts w:hint="eastAsia" w:ascii="宋体" w:hAnsi="宋体" w:cs="宋体"/>
          <w:sz w:val="24"/>
        </w:rPr>
        <w:t>1.用途：用于促甲状腺素定量检测项目的定标。</w:t>
      </w:r>
    </w:p>
    <w:p w14:paraId="0F5E08D2">
      <w:pPr>
        <w:spacing w:line="360" w:lineRule="auto"/>
        <w:ind w:firstLine="480" w:firstLineChars="200"/>
        <w:rPr>
          <w:rFonts w:hint="eastAsia" w:ascii="宋体" w:hAnsi="宋体" w:cs="宋体"/>
          <w:sz w:val="24"/>
        </w:rPr>
      </w:pPr>
      <w:r>
        <w:rPr>
          <w:rFonts w:hint="eastAsia" w:ascii="宋体" w:hAnsi="宋体" w:cs="宋体"/>
          <w:sz w:val="24"/>
        </w:rPr>
        <w:t>2.试剂处理：定标液储存于系统配套的小瓶中可直接使用。</w:t>
      </w:r>
    </w:p>
    <w:p w14:paraId="25851304">
      <w:pPr>
        <w:spacing w:line="360" w:lineRule="auto"/>
        <w:ind w:firstLine="480" w:firstLineChars="200"/>
        <w:rPr>
          <w:rFonts w:hint="eastAsia" w:ascii="宋体" w:hAnsi="宋体" w:cs="宋体"/>
          <w:sz w:val="24"/>
        </w:rPr>
      </w:pPr>
      <w:r>
        <w:rPr>
          <w:rFonts w:hint="eastAsia" w:ascii="宋体" w:hAnsi="宋体" w:cs="宋体"/>
          <w:sz w:val="24"/>
        </w:rPr>
        <w:t>3.20~25℃下定标过程中，定标液只可留在分析仪上。每次吸样完毕后立即将定标液盖紧置2~8℃保存。考虑到挥发效应，每瓶定标液最多使用5次。</w:t>
      </w:r>
    </w:p>
    <w:p w14:paraId="7D37592A">
      <w:pPr>
        <w:spacing w:line="360" w:lineRule="auto"/>
        <w:ind w:firstLine="482" w:firstLineChars="200"/>
        <w:rPr>
          <w:rFonts w:hint="eastAsia" w:ascii="宋体" w:hAnsi="宋体" w:cs="宋体"/>
          <w:b/>
          <w:bCs/>
          <w:sz w:val="24"/>
        </w:rPr>
      </w:pPr>
      <w:r>
        <w:rPr>
          <w:rFonts w:hint="eastAsia" w:ascii="宋体" w:hAnsi="宋体" w:cs="宋体"/>
          <w:b/>
          <w:bCs/>
          <w:sz w:val="24"/>
        </w:rPr>
        <w:t>标的名称14：卵泡刺激素检测试剂盒</w:t>
      </w:r>
    </w:p>
    <w:p w14:paraId="4F64A2DB">
      <w:pPr>
        <w:spacing w:line="360" w:lineRule="auto"/>
        <w:ind w:firstLine="480" w:firstLineChars="200"/>
        <w:rPr>
          <w:rFonts w:hint="eastAsia" w:ascii="宋体" w:hAnsi="宋体" w:cs="宋体"/>
          <w:sz w:val="24"/>
        </w:rPr>
      </w:pPr>
      <w:r>
        <w:rPr>
          <w:rFonts w:hint="eastAsia" w:ascii="宋体" w:hAnsi="宋体" w:cs="宋体"/>
          <w:sz w:val="24"/>
        </w:rPr>
        <w:t>1.用途：用于体外定量测定人血清和血浆中的卵泡刺激素(FSH)含量。</w:t>
      </w:r>
    </w:p>
    <w:p w14:paraId="62C89C79">
      <w:pPr>
        <w:spacing w:line="360" w:lineRule="auto"/>
        <w:ind w:firstLine="480" w:firstLineChars="200"/>
        <w:rPr>
          <w:rFonts w:hint="eastAsia" w:ascii="宋体" w:hAnsi="宋体" w:cs="宋体"/>
          <w:sz w:val="24"/>
        </w:rPr>
      </w:pPr>
      <w:r>
        <w:rPr>
          <w:rFonts w:hint="eastAsia" w:ascii="宋体" w:hAnsi="宋体" w:cs="宋体"/>
          <w:sz w:val="24"/>
        </w:rPr>
        <w:t>2.样本类型：血清/血浆。</w:t>
      </w:r>
    </w:p>
    <w:p w14:paraId="4527C3E5">
      <w:pPr>
        <w:spacing w:line="360" w:lineRule="auto"/>
        <w:ind w:firstLine="480" w:firstLineChars="200"/>
        <w:rPr>
          <w:rFonts w:hint="eastAsia" w:ascii="宋体" w:hAnsi="宋体" w:cs="宋体"/>
          <w:sz w:val="24"/>
        </w:rPr>
      </w:pPr>
      <w:r>
        <w:rPr>
          <w:rFonts w:hint="eastAsia" w:ascii="宋体" w:hAnsi="宋体" w:cs="宋体"/>
          <w:sz w:val="24"/>
        </w:rPr>
        <w:t>3.检测原理：夹心法。</w:t>
      </w:r>
    </w:p>
    <w:p w14:paraId="2192FE49">
      <w:pPr>
        <w:spacing w:line="360" w:lineRule="auto"/>
        <w:ind w:firstLine="480" w:firstLineChars="200"/>
        <w:rPr>
          <w:rFonts w:hint="eastAsia" w:ascii="宋体" w:hAnsi="宋体" w:cs="宋体"/>
          <w:sz w:val="24"/>
        </w:rPr>
      </w:pPr>
      <w:r>
        <w:rPr>
          <w:rFonts w:hint="eastAsia" w:ascii="宋体" w:hAnsi="宋体" w:cs="宋体"/>
          <w:sz w:val="24"/>
        </w:rPr>
        <w:t>4.检测时间：≤30分钟。</w:t>
      </w:r>
    </w:p>
    <w:p w14:paraId="1F32050C">
      <w:pPr>
        <w:spacing w:line="360" w:lineRule="auto"/>
        <w:ind w:firstLine="482" w:firstLineChars="200"/>
        <w:rPr>
          <w:rFonts w:hint="eastAsia" w:ascii="宋体" w:hAnsi="宋体" w:cs="宋体"/>
          <w:b/>
          <w:bCs/>
          <w:sz w:val="24"/>
        </w:rPr>
      </w:pPr>
      <w:r>
        <w:rPr>
          <w:rFonts w:hint="eastAsia" w:ascii="宋体" w:hAnsi="宋体" w:cs="宋体"/>
          <w:b/>
          <w:bCs/>
          <w:sz w:val="24"/>
        </w:rPr>
        <w:t>标的名称15：催乳素定标液</w:t>
      </w:r>
    </w:p>
    <w:p w14:paraId="5CF85E9F">
      <w:pPr>
        <w:spacing w:line="360" w:lineRule="auto"/>
        <w:ind w:firstLine="480" w:firstLineChars="200"/>
        <w:rPr>
          <w:rFonts w:hint="eastAsia" w:ascii="宋体" w:hAnsi="宋体" w:cs="宋体"/>
          <w:sz w:val="24"/>
        </w:rPr>
      </w:pPr>
      <w:r>
        <w:rPr>
          <w:rFonts w:hint="eastAsia" w:ascii="宋体" w:hAnsi="宋体" w:cs="宋体"/>
          <w:sz w:val="24"/>
        </w:rPr>
        <w:t>1.主要用途：用于催乳素定量检测项目的定标。</w:t>
      </w:r>
    </w:p>
    <w:p w14:paraId="3F52DB9E">
      <w:pPr>
        <w:spacing w:line="360" w:lineRule="auto"/>
        <w:ind w:firstLine="480" w:firstLineChars="200"/>
        <w:rPr>
          <w:rFonts w:hint="eastAsia" w:ascii="宋体" w:hAnsi="宋体" w:cs="宋体"/>
          <w:sz w:val="24"/>
        </w:rPr>
      </w:pPr>
      <w:r>
        <w:rPr>
          <w:rFonts w:hint="eastAsia" w:ascii="宋体" w:hAnsi="宋体" w:cs="宋体"/>
          <w:sz w:val="24"/>
        </w:rPr>
        <w:t>2.试剂处理：添加蒸馏水或去离子水复溶瓶内物质，垂直加盖静置15分钟。充分混匀并避免产生气泡。将新鲜复溶的定标液分装至带标签的有盖小空瓶中。粘贴标签，立即置-20℃(±5℃)储存备用。分装的定标液只限一次使用。</w:t>
      </w:r>
    </w:p>
    <w:p w14:paraId="68C01EC7">
      <w:pPr>
        <w:spacing w:line="360" w:lineRule="auto"/>
        <w:ind w:firstLine="480" w:firstLineChars="200"/>
        <w:rPr>
          <w:rFonts w:hint="eastAsia" w:ascii="宋体" w:hAnsi="宋体" w:cs="宋体"/>
          <w:sz w:val="24"/>
        </w:rPr>
      </w:pPr>
      <w:r>
        <w:rPr>
          <w:rFonts w:hint="eastAsia" w:ascii="宋体" w:hAnsi="宋体" w:cs="宋体"/>
          <w:sz w:val="24"/>
        </w:rPr>
        <w:t>3.储存条件：2-8℃保存，必要时分装冷冻保存。</w:t>
      </w:r>
    </w:p>
    <w:p w14:paraId="2D69A517">
      <w:pPr>
        <w:spacing w:line="360" w:lineRule="auto"/>
        <w:ind w:firstLine="482" w:firstLineChars="200"/>
        <w:rPr>
          <w:rFonts w:hint="eastAsia" w:ascii="宋体" w:hAnsi="宋体" w:cs="宋体"/>
          <w:b/>
          <w:bCs/>
          <w:sz w:val="24"/>
        </w:rPr>
      </w:pPr>
      <w:r>
        <w:rPr>
          <w:rFonts w:hint="eastAsia" w:ascii="宋体" w:hAnsi="宋体" w:cs="宋体"/>
          <w:b/>
          <w:bCs/>
          <w:sz w:val="24"/>
        </w:rPr>
        <w:t>标的名称16：催乳素检测试剂盒</w:t>
      </w:r>
    </w:p>
    <w:p w14:paraId="48EF334E">
      <w:pPr>
        <w:spacing w:line="360" w:lineRule="auto"/>
        <w:ind w:firstLine="480" w:firstLineChars="200"/>
        <w:rPr>
          <w:rFonts w:hint="eastAsia" w:ascii="宋体" w:hAnsi="宋体" w:cs="宋体"/>
          <w:sz w:val="24"/>
        </w:rPr>
      </w:pPr>
      <w:r>
        <w:rPr>
          <w:rFonts w:hint="eastAsia" w:ascii="宋体" w:hAnsi="宋体" w:cs="宋体"/>
          <w:sz w:val="24"/>
        </w:rPr>
        <w:t>1.用途：用于体外定量测定人血清和血浆中催乳素浓度。</w:t>
      </w:r>
    </w:p>
    <w:p w14:paraId="1B9009E9">
      <w:pPr>
        <w:spacing w:line="360" w:lineRule="auto"/>
        <w:ind w:firstLine="480" w:firstLineChars="200"/>
        <w:rPr>
          <w:rFonts w:hint="eastAsia" w:ascii="宋体" w:hAnsi="宋体" w:cs="宋体"/>
          <w:sz w:val="24"/>
        </w:rPr>
      </w:pPr>
      <w:r>
        <w:rPr>
          <w:rFonts w:hint="eastAsia" w:ascii="宋体" w:hAnsi="宋体" w:cs="宋体"/>
          <w:sz w:val="24"/>
        </w:rPr>
        <w:t>2.样本类型：血清/血浆。</w:t>
      </w:r>
    </w:p>
    <w:p w14:paraId="7FD8E98F">
      <w:pPr>
        <w:spacing w:line="360" w:lineRule="auto"/>
        <w:ind w:firstLine="480" w:firstLineChars="200"/>
        <w:rPr>
          <w:rFonts w:hint="eastAsia" w:ascii="宋体" w:hAnsi="宋体" w:cs="宋体"/>
          <w:sz w:val="24"/>
        </w:rPr>
      </w:pPr>
      <w:r>
        <w:rPr>
          <w:rFonts w:hint="eastAsia" w:ascii="宋体" w:hAnsi="宋体" w:cs="宋体"/>
          <w:sz w:val="24"/>
        </w:rPr>
        <w:t>3.检测原理：夹心法。</w:t>
      </w:r>
    </w:p>
    <w:p w14:paraId="3F8522D0">
      <w:pPr>
        <w:spacing w:line="360" w:lineRule="auto"/>
        <w:ind w:firstLine="480" w:firstLineChars="200"/>
        <w:rPr>
          <w:rFonts w:hint="eastAsia" w:ascii="宋体" w:hAnsi="宋体" w:cs="宋体"/>
          <w:sz w:val="24"/>
        </w:rPr>
      </w:pPr>
      <w:r>
        <w:rPr>
          <w:rFonts w:hint="eastAsia" w:ascii="宋体" w:hAnsi="宋体" w:cs="宋体"/>
          <w:sz w:val="24"/>
        </w:rPr>
        <w:t>4.检测时间：≤30分钟。</w:t>
      </w:r>
    </w:p>
    <w:p w14:paraId="719555CF">
      <w:pPr>
        <w:spacing w:line="360" w:lineRule="auto"/>
        <w:ind w:firstLine="482" w:firstLineChars="200"/>
        <w:rPr>
          <w:rFonts w:hint="eastAsia" w:ascii="宋体" w:hAnsi="宋体" w:cs="宋体"/>
          <w:b/>
          <w:bCs/>
          <w:sz w:val="24"/>
        </w:rPr>
      </w:pPr>
      <w:r>
        <w:rPr>
          <w:rFonts w:hint="eastAsia" w:ascii="宋体" w:hAnsi="宋体" w:cs="宋体"/>
          <w:b/>
          <w:bCs/>
          <w:sz w:val="24"/>
        </w:rPr>
        <w:t>标的名称17：多标记物质控品</w:t>
      </w:r>
    </w:p>
    <w:p w14:paraId="0909D4A6">
      <w:pPr>
        <w:spacing w:line="360" w:lineRule="auto"/>
        <w:ind w:firstLine="480" w:firstLineChars="200"/>
        <w:rPr>
          <w:rFonts w:hint="eastAsia" w:ascii="宋体" w:hAnsi="宋体" w:cs="宋体"/>
          <w:sz w:val="24"/>
        </w:rPr>
      </w:pPr>
      <w:r>
        <w:rPr>
          <w:rFonts w:hint="eastAsia" w:ascii="宋体" w:hAnsi="宋体" w:cs="宋体"/>
          <w:sz w:val="24"/>
        </w:rPr>
        <w:t>1.主要用途：多标记物质控品用于促肾上腺皮质激素(ACTH)、C肽(C-Peptide)、人生长激素(hGH)、胰岛素(Insulin)、白介素6(IL-6)、胎盘生长因子(PlGF)和可溶性fms样酪氨酸激酶(sFlt)免疫测定项目的质量控制。</w:t>
      </w:r>
    </w:p>
    <w:p w14:paraId="592F8DE4">
      <w:pPr>
        <w:spacing w:line="360" w:lineRule="auto"/>
        <w:ind w:firstLine="480" w:firstLineChars="200"/>
        <w:rPr>
          <w:rFonts w:hint="eastAsia" w:ascii="宋体" w:hAnsi="宋体" w:cs="宋体"/>
          <w:sz w:val="24"/>
        </w:rPr>
      </w:pPr>
      <w:r>
        <w:rPr>
          <w:rFonts w:hint="eastAsia" w:ascii="宋体" w:hAnsi="宋体" w:cs="宋体"/>
          <w:sz w:val="24"/>
        </w:rPr>
        <w:t>2.试剂处理：在一瓶质控品中加入蒸馏水或去离子水，垂直静置30分钟以复溶。小心混匀，避免产生气泡。将复溶质控品转移至提供的贴有标签的压盖式小空瓶或其他的压盖式小空瓶内，将提供的标签贴在这些小瓶上。分装管应立即冷冻储存在-20℃(±5℃)下。每份分装质控液仅可使用一次。</w:t>
      </w:r>
    </w:p>
    <w:p w14:paraId="10633667">
      <w:pPr>
        <w:spacing w:line="360" w:lineRule="auto"/>
        <w:ind w:firstLine="480" w:firstLineChars="200"/>
        <w:rPr>
          <w:rFonts w:hint="eastAsia" w:ascii="宋体" w:hAnsi="宋体" w:cs="宋体"/>
          <w:sz w:val="24"/>
        </w:rPr>
      </w:pPr>
      <w:r>
        <w:rPr>
          <w:rFonts w:hint="eastAsia" w:ascii="宋体" w:hAnsi="宋体" w:cs="宋体"/>
          <w:sz w:val="24"/>
        </w:rPr>
        <w:t>3.储存条件：2～8℃保存，必要时分装冷冻保存。</w:t>
      </w:r>
    </w:p>
    <w:p w14:paraId="492AC756">
      <w:pPr>
        <w:spacing w:line="360" w:lineRule="auto"/>
        <w:ind w:firstLine="482" w:firstLineChars="200"/>
        <w:rPr>
          <w:rFonts w:hint="eastAsia" w:ascii="宋体" w:hAnsi="宋体" w:cs="宋体"/>
          <w:b/>
          <w:bCs/>
          <w:sz w:val="24"/>
        </w:rPr>
      </w:pPr>
      <w:r>
        <w:rPr>
          <w:rFonts w:hint="eastAsia" w:ascii="宋体" w:hAnsi="宋体" w:cs="宋体"/>
          <w:b/>
          <w:bCs/>
          <w:sz w:val="24"/>
        </w:rPr>
        <w:t>标的名称18：细胞角蛋白19片段检测定标液</w:t>
      </w:r>
    </w:p>
    <w:p w14:paraId="092E17BF">
      <w:pPr>
        <w:spacing w:line="360" w:lineRule="auto"/>
        <w:ind w:firstLine="480" w:firstLineChars="200"/>
        <w:rPr>
          <w:rFonts w:hint="eastAsia" w:ascii="宋体" w:hAnsi="宋体" w:cs="宋体"/>
          <w:sz w:val="24"/>
        </w:rPr>
      </w:pPr>
      <w:r>
        <w:rPr>
          <w:rFonts w:hint="eastAsia" w:ascii="宋体" w:hAnsi="宋体" w:cs="宋体"/>
          <w:sz w:val="24"/>
        </w:rPr>
        <w:t>1.主要用途：细胞角蛋白19片段定标液用于细胞角蛋白19片段检测项目的定标。</w:t>
      </w:r>
    </w:p>
    <w:p w14:paraId="4851A445">
      <w:pPr>
        <w:spacing w:line="360" w:lineRule="auto"/>
        <w:ind w:firstLine="480" w:firstLineChars="200"/>
        <w:rPr>
          <w:rFonts w:hint="eastAsia" w:ascii="宋体" w:hAnsi="宋体" w:cs="宋体"/>
          <w:sz w:val="24"/>
        </w:rPr>
      </w:pPr>
      <w:r>
        <w:rPr>
          <w:rFonts w:hint="eastAsia" w:ascii="宋体" w:hAnsi="宋体" w:cs="宋体"/>
          <w:sz w:val="24"/>
        </w:rPr>
        <w:t>2.试剂处理：准确添加蒸馏水复溶瓶内物质，垂直加盖静置15分钟。充分混匀并避免产生气泡。将新鲜复溶的定标液转移至带标签的有盖小空瓶中。</w:t>
      </w:r>
    </w:p>
    <w:p w14:paraId="7F17D982">
      <w:pPr>
        <w:spacing w:line="360" w:lineRule="auto"/>
        <w:ind w:firstLine="480" w:firstLineChars="200"/>
        <w:rPr>
          <w:rFonts w:hint="eastAsia" w:ascii="宋体" w:hAnsi="宋体" w:cs="宋体"/>
          <w:sz w:val="24"/>
        </w:rPr>
      </w:pPr>
      <w:r>
        <w:rPr>
          <w:rFonts w:hint="eastAsia" w:ascii="宋体" w:hAnsi="宋体" w:cs="宋体"/>
          <w:sz w:val="24"/>
        </w:rPr>
        <w:t>3.储存条件：2-8℃保存，必要时分装冷冻保存。</w:t>
      </w:r>
    </w:p>
    <w:p w14:paraId="51004663">
      <w:pPr>
        <w:spacing w:line="360" w:lineRule="auto"/>
        <w:ind w:firstLine="482" w:firstLineChars="200"/>
        <w:rPr>
          <w:rFonts w:hint="eastAsia" w:ascii="宋体" w:hAnsi="宋体" w:cs="宋体"/>
          <w:b/>
          <w:bCs/>
          <w:sz w:val="24"/>
        </w:rPr>
      </w:pPr>
      <w:r>
        <w:rPr>
          <w:rFonts w:hint="eastAsia" w:ascii="宋体" w:hAnsi="宋体" w:cs="宋体"/>
          <w:b/>
          <w:bCs/>
          <w:sz w:val="24"/>
        </w:rPr>
        <w:t>标的名称19：细胞角蛋白19片段检测试剂盒</w:t>
      </w:r>
    </w:p>
    <w:p w14:paraId="12992F0A">
      <w:pPr>
        <w:spacing w:line="360" w:lineRule="auto"/>
        <w:ind w:firstLine="480" w:firstLineChars="200"/>
        <w:rPr>
          <w:rFonts w:hint="eastAsia" w:ascii="宋体" w:hAnsi="宋体" w:cs="宋体"/>
          <w:sz w:val="24"/>
        </w:rPr>
      </w:pPr>
      <w:r>
        <w:rPr>
          <w:rFonts w:hint="eastAsia" w:ascii="宋体" w:hAnsi="宋体" w:cs="宋体"/>
          <w:sz w:val="24"/>
        </w:rPr>
        <w:t>1.用途：用于体外定量测定人血清和血浆中的细胞角蛋白19片段。</w:t>
      </w:r>
    </w:p>
    <w:p w14:paraId="19AE5BC4">
      <w:pPr>
        <w:spacing w:line="360" w:lineRule="auto"/>
        <w:ind w:firstLine="480" w:firstLineChars="200"/>
        <w:rPr>
          <w:rFonts w:hint="eastAsia" w:ascii="宋体" w:hAnsi="宋体" w:cs="宋体"/>
          <w:sz w:val="24"/>
        </w:rPr>
      </w:pPr>
      <w:r>
        <w:rPr>
          <w:rFonts w:hint="eastAsia" w:ascii="宋体" w:hAnsi="宋体" w:cs="宋体"/>
          <w:sz w:val="24"/>
        </w:rPr>
        <w:t>2.样本类型：血清/血浆。</w:t>
      </w:r>
    </w:p>
    <w:p w14:paraId="51032C78">
      <w:pPr>
        <w:spacing w:line="360" w:lineRule="auto"/>
        <w:ind w:firstLine="480" w:firstLineChars="200"/>
        <w:rPr>
          <w:rFonts w:hint="eastAsia" w:ascii="宋体" w:hAnsi="宋体" w:cs="宋体"/>
          <w:sz w:val="24"/>
        </w:rPr>
      </w:pPr>
      <w:r>
        <w:rPr>
          <w:rFonts w:hint="eastAsia" w:ascii="宋体" w:hAnsi="宋体" w:cs="宋体"/>
          <w:sz w:val="24"/>
        </w:rPr>
        <w:t>3.检测原理：夹心法。</w:t>
      </w:r>
    </w:p>
    <w:p w14:paraId="01CDCF44">
      <w:pPr>
        <w:spacing w:line="360" w:lineRule="auto"/>
        <w:ind w:firstLine="480" w:firstLineChars="200"/>
        <w:rPr>
          <w:rFonts w:hint="eastAsia" w:ascii="宋体" w:hAnsi="宋体" w:cs="宋体"/>
          <w:sz w:val="24"/>
        </w:rPr>
      </w:pPr>
      <w:r>
        <w:rPr>
          <w:rFonts w:hint="eastAsia" w:ascii="宋体" w:hAnsi="宋体" w:cs="宋体"/>
          <w:sz w:val="24"/>
        </w:rPr>
        <w:t>4.检测时间：≤30分钟。</w:t>
      </w:r>
    </w:p>
    <w:p w14:paraId="4F9504BF">
      <w:pPr>
        <w:spacing w:line="360" w:lineRule="auto"/>
        <w:ind w:firstLine="480" w:firstLineChars="200"/>
        <w:rPr>
          <w:rFonts w:hint="eastAsia" w:ascii="宋体" w:hAnsi="宋体" w:cs="宋体"/>
          <w:sz w:val="24"/>
        </w:rPr>
      </w:pPr>
      <w:r>
        <w:rPr>
          <w:rFonts w:hint="eastAsia" w:ascii="宋体" w:hAnsi="宋体" w:cs="宋体"/>
          <w:sz w:val="24"/>
        </w:rPr>
        <w:t>5.储存条件及有效期：2～8℃保存，禁止冷冻，有效期≥1年。</w:t>
      </w:r>
    </w:p>
    <w:p w14:paraId="22E3F134">
      <w:pPr>
        <w:spacing w:line="360" w:lineRule="auto"/>
        <w:ind w:firstLine="482" w:firstLineChars="200"/>
        <w:rPr>
          <w:rFonts w:hint="eastAsia" w:ascii="宋体" w:hAnsi="宋体" w:cs="宋体"/>
          <w:b/>
          <w:bCs/>
          <w:sz w:val="24"/>
        </w:rPr>
      </w:pPr>
      <w:r>
        <w:rPr>
          <w:rFonts w:hint="eastAsia" w:ascii="宋体" w:hAnsi="宋体" w:cs="宋体"/>
          <w:b/>
          <w:bCs/>
          <w:sz w:val="24"/>
        </w:rPr>
        <w:t>标的名称20：肺癌相关肿瘤标志物质控品</w:t>
      </w:r>
    </w:p>
    <w:p w14:paraId="1DA90BE5">
      <w:pPr>
        <w:spacing w:line="360" w:lineRule="auto"/>
        <w:ind w:firstLine="480" w:firstLineChars="200"/>
        <w:rPr>
          <w:rFonts w:hint="eastAsia" w:ascii="宋体" w:hAnsi="宋体" w:cs="宋体"/>
          <w:sz w:val="24"/>
        </w:rPr>
      </w:pPr>
      <w:r>
        <w:rPr>
          <w:rFonts w:hint="eastAsia" w:ascii="宋体" w:hAnsi="宋体" w:cs="宋体"/>
          <w:sz w:val="24"/>
        </w:rPr>
        <w:t>1.主要用途： 用于鳞状上皮细胞癌抗原(SCC)、胃泌素释放肽前体(ProGRP)、非小细胞肺癌相关抗原21-1(CYFRA 21-1)和神经元特异性烯醇化酶(NSE)免疫检测项目的质量控制</w:t>
      </w:r>
    </w:p>
    <w:p w14:paraId="793A05E9">
      <w:pPr>
        <w:spacing w:line="360" w:lineRule="auto"/>
        <w:ind w:firstLine="480" w:firstLineChars="200"/>
        <w:rPr>
          <w:rFonts w:hint="eastAsia" w:ascii="宋体" w:hAnsi="宋体" w:cs="宋体"/>
          <w:sz w:val="24"/>
        </w:rPr>
      </w:pPr>
      <w:r>
        <w:rPr>
          <w:rFonts w:hint="eastAsia" w:ascii="宋体" w:hAnsi="宋体" w:cs="宋体"/>
          <w:sz w:val="24"/>
        </w:rPr>
        <w:t>2.试剂处理：添加  蒸馏水或去离子水复溶瓶内物质，垂直加盖静置15分钟。混匀时应小心，避免形成泡沫。将复溶的质控品转移至所提供的贴有标签的压盖式小空瓶或将其它压盖式小空瓶内。</w:t>
      </w:r>
    </w:p>
    <w:p w14:paraId="4201C4EA">
      <w:pPr>
        <w:spacing w:line="360" w:lineRule="auto"/>
        <w:ind w:firstLine="480" w:firstLineChars="200"/>
        <w:rPr>
          <w:rFonts w:hint="eastAsia" w:ascii="宋体" w:hAnsi="宋体" w:cs="宋体"/>
          <w:sz w:val="24"/>
        </w:rPr>
      </w:pPr>
      <w:r>
        <w:rPr>
          <w:rFonts w:hint="eastAsia" w:ascii="宋体" w:hAnsi="宋体" w:cs="宋体"/>
          <w:sz w:val="24"/>
        </w:rPr>
        <w:t>3.将提供的标签贴在这些小瓶上。分装管应立即冷冻储存在-20℃(±5℃)温度下。每份分装质控品仅可使用一次。</w:t>
      </w:r>
    </w:p>
    <w:p w14:paraId="58EC15DB">
      <w:pPr>
        <w:spacing w:line="360" w:lineRule="auto"/>
        <w:ind w:firstLine="482" w:firstLineChars="200"/>
        <w:rPr>
          <w:rFonts w:hint="eastAsia" w:ascii="宋体" w:hAnsi="宋体" w:cs="宋体"/>
          <w:b/>
          <w:bCs/>
          <w:sz w:val="24"/>
        </w:rPr>
      </w:pPr>
      <w:r>
        <w:rPr>
          <w:rFonts w:hint="eastAsia" w:ascii="宋体" w:hAnsi="宋体" w:cs="宋体"/>
          <w:b/>
          <w:bCs/>
          <w:sz w:val="24"/>
        </w:rPr>
        <w:t>标的名称21：分析吸头/分析杯2</w:t>
      </w:r>
    </w:p>
    <w:p w14:paraId="740F4C05">
      <w:pPr>
        <w:spacing w:line="360" w:lineRule="auto"/>
        <w:ind w:firstLine="480" w:firstLineChars="200"/>
        <w:rPr>
          <w:rFonts w:hint="eastAsia" w:ascii="宋体" w:hAnsi="宋体" w:cs="宋体"/>
          <w:sz w:val="24"/>
        </w:rPr>
      </w:pPr>
      <w:r>
        <w:rPr>
          <w:rFonts w:hint="eastAsia" w:ascii="宋体" w:hAnsi="宋体" w:cs="宋体"/>
          <w:sz w:val="24"/>
        </w:rPr>
        <w:t>1.用途：盛放微量样本与相关测试试剂。</w:t>
      </w:r>
    </w:p>
    <w:p w14:paraId="09E45760">
      <w:pPr>
        <w:spacing w:line="360" w:lineRule="auto"/>
        <w:ind w:firstLine="480" w:firstLineChars="200"/>
        <w:rPr>
          <w:rFonts w:hint="eastAsia" w:ascii="宋体" w:hAnsi="宋体" w:cs="宋体"/>
          <w:sz w:val="24"/>
        </w:rPr>
      </w:pPr>
      <w:r>
        <w:rPr>
          <w:rFonts w:hint="eastAsia" w:ascii="宋体" w:hAnsi="宋体" w:cs="宋体"/>
          <w:sz w:val="24"/>
        </w:rPr>
        <w:t>2.储存条件：2-30℃。</w:t>
      </w:r>
    </w:p>
    <w:p w14:paraId="17F8C596">
      <w:pPr>
        <w:spacing w:line="360" w:lineRule="auto"/>
        <w:ind w:firstLine="480" w:firstLineChars="200"/>
        <w:rPr>
          <w:rFonts w:hint="eastAsia" w:ascii="宋体" w:hAnsi="宋体" w:cs="宋体"/>
          <w:sz w:val="24"/>
        </w:rPr>
      </w:pPr>
      <w:r>
        <w:rPr>
          <w:rFonts w:hint="eastAsia" w:ascii="宋体" w:hAnsi="宋体" w:cs="宋体"/>
          <w:sz w:val="24"/>
        </w:rPr>
        <w:t>3.材质：由塑料等材质制成。</w:t>
      </w:r>
    </w:p>
    <w:p w14:paraId="3DC0B873">
      <w:pPr>
        <w:spacing w:line="360" w:lineRule="auto"/>
        <w:ind w:firstLine="482" w:firstLineChars="200"/>
        <w:rPr>
          <w:rFonts w:hint="eastAsia" w:ascii="宋体" w:hAnsi="宋体" w:cs="宋体"/>
          <w:b/>
          <w:bCs/>
          <w:sz w:val="24"/>
        </w:rPr>
      </w:pPr>
      <w:r>
        <w:rPr>
          <w:rFonts w:hint="eastAsia" w:ascii="宋体" w:hAnsi="宋体" w:cs="宋体"/>
          <w:b/>
          <w:bCs/>
          <w:sz w:val="24"/>
        </w:rPr>
        <w:t>标的名称22：睾酮定标液</w:t>
      </w:r>
    </w:p>
    <w:p w14:paraId="2570ED05">
      <w:pPr>
        <w:spacing w:line="360" w:lineRule="auto"/>
        <w:ind w:firstLine="480" w:firstLineChars="200"/>
        <w:rPr>
          <w:rFonts w:hint="eastAsia" w:ascii="宋体" w:hAnsi="宋体" w:cs="宋体"/>
          <w:sz w:val="24"/>
        </w:rPr>
      </w:pPr>
      <w:r>
        <w:rPr>
          <w:rFonts w:hint="eastAsia" w:ascii="宋体" w:hAnsi="宋体" w:cs="宋体"/>
          <w:sz w:val="24"/>
        </w:rPr>
        <w:t>1.主要用途：用于睾酮定量检测项目的定标。</w:t>
      </w:r>
    </w:p>
    <w:p w14:paraId="7841991A">
      <w:pPr>
        <w:spacing w:line="360" w:lineRule="auto"/>
        <w:ind w:firstLine="480" w:firstLineChars="200"/>
        <w:rPr>
          <w:rFonts w:hint="eastAsia" w:ascii="宋体" w:hAnsi="宋体" w:cs="宋体"/>
          <w:sz w:val="24"/>
        </w:rPr>
      </w:pPr>
      <w:r>
        <w:rPr>
          <w:rFonts w:hint="eastAsia" w:ascii="宋体" w:hAnsi="宋体" w:cs="宋体"/>
          <w:sz w:val="24"/>
        </w:rPr>
        <w:t>2.试剂处理：添加蒸馏水或去离子水复溶瓶内物质，垂直加盖静置15分钟,充分混匀并避免产生气泡。将新鲜复溶的定标液转移至带标签的有盖小空瓶中,贴上标签，立即将分装管置-20℃(±5℃)保存。分装的定标液只限一次使用。</w:t>
      </w:r>
    </w:p>
    <w:p w14:paraId="079B74CF">
      <w:pPr>
        <w:spacing w:line="360" w:lineRule="auto"/>
        <w:ind w:firstLine="480" w:firstLineChars="200"/>
        <w:rPr>
          <w:rFonts w:hint="eastAsia" w:ascii="宋体" w:hAnsi="宋体" w:cs="宋体"/>
          <w:sz w:val="24"/>
        </w:rPr>
      </w:pPr>
      <w:r>
        <w:rPr>
          <w:rFonts w:hint="eastAsia" w:ascii="宋体" w:hAnsi="宋体" w:cs="宋体"/>
          <w:sz w:val="24"/>
        </w:rPr>
        <w:t>3.溯源性：Elecsys睾酮检测可溯源至ID-GC/MS(同位素稀释-气相色谱/质谱分析)。</w:t>
      </w:r>
    </w:p>
    <w:p w14:paraId="71DCCE23">
      <w:pPr>
        <w:spacing w:line="360" w:lineRule="auto"/>
        <w:ind w:firstLine="482" w:firstLineChars="200"/>
        <w:rPr>
          <w:rFonts w:hint="eastAsia" w:ascii="宋体" w:hAnsi="宋体" w:cs="宋体"/>
          <w:b/>
          <w:bCs/>
          <w:sz w:val="24"/>
        </w:rPr>
      </w:pPr>
      <w:r>
        <w:rPr>
          <w:rFonts w:hint="eastAsia" w:ascii="宋体" w:hAnsi="宋体" w:cs="宋体"/>
          <w:b/>
          <w:bCs/>
          <w:sz w:val="24"/>
        </w:rPr>
        <w:t>标的名称23：睾酮检测试剂盒</w:t>
      </w:r>
    </w:p>
    <w:p w14:paraId="3EDD039C">
      <w:pPr>
        <w:spacing w:line="360" w:lineRule="auto"/>
        <w:ind w:firstLine="480" w:firstLineChars="200"/>
        <w:rPr>
          <w:rFonts w:hint="eastAsia" w:ascii="宋体" w:hAnsi="宋体" w:cs="宋体"/>
          <w:sz w:val="24"/>
        </w:rPr>
      </w:pPr>
      <w:r>
        <w:rPr>
          <w:rFonts w:hint="eastAsia" w:ascii="宋体" w:hAnsi="宋体" w:cs="宋体"/>
          <w:sz w:val="24"/>
        </w:rPr>
        <w:t>1.用途：用于体外定量检测人血清和血浆中的睾酮。</w:t>
      </w:r>
    </w:p>
    <w:p w14:paraId="3FE04AEB">
      <w:pPr>
        <w:spacing w:line="360" w:lineRule="auto"/>
        <w:ind w:firstLine="480" w:firstLineChars="200"/>
        <w:rPr>
          <w:rFonts w:hint="eastAsia" w:ascii="宋体" w:hAnsi="宋体" w:cs="宋体"/>
          <w:sz w:val="24"/>
        </w:rPr>
      </w:pPr>
      <w:r>
        <w:rPr>
          <w:rFonts w:hint="eastAsia" w:ascii="宋体" w:hAnsi="宋体" w:cs="宋体"/>
          <w:sz w:val="24"/>
        </w:rPr>
        <w:t>2.样本类型：血清/血浆。</w:t>
      </w:r>
    </w:p>
    <w:p w14:paraId="1AA6EBA5">
      <w:pPr>
        <w:spacing w:line="360" w:lineRule="auto"/>
        <w:ind w:firstLine="480" w:firstLineChars="200"/>
        <w:rPr>
          <w:rFonts w:hint="eastAsia" w:ascii="宋体" w:hAnsi="宋体" w:cs="宋体"/>
          <w:sz w:val="24"/>
        </w:rPr>
      </w:pPr>
      <w:r>
        <w:rPr>
          <w:rFonts w:hint="eastAsia" w:ascii="宋体" w:hAnsi="宋体" w:cs="宋体"/>
          <w:sz w:val="24"/>
        </w:rPr>
        <w:t>3.检测原理：竞争法。</w:t>
      </w:r>
    </w:p>
    <w:p w14:paraId="10AADD5B">
      <w:pPr>
        <w:spacing w:line="360" w:lineRule="auto"/>
        <w:ind w:firstLine="480" w:firstLineChars="200"/>
        <w:rPr>
          <w:rFonts w:hint="eastAsia" w:ascii="宋体" w:hAnsi="宋体" w:cs="宋体"/>
          <w:sz w:val="24"/>
        </w:rPr>
      </w:pPr>
      <w:r>
        <w:rPr>
          <w:rFonts w:hint="eastAsia" w:ascii="宋体" w:hAnsi="宋体" w:cs="宋体"/>
          <w:sz w:val="24"/>
        </w:rPr>
        <w:t>4.检测时间：≤30分钟。</w:t>
      </w:r>
    </w:p>
    <w:p w14:paraId="05FA9952">
      <w:pPr>
        <w:spacing w:line="360" w:lineRule="auto"/>
        <w:ind w:firstLine="480" w:firstLineChars="200"/>
        <w:rPr>
          <w:rFonts w:hint="eastAsia" w:ascii="宋体" w:hAnsi="宋体" w:cs="宋体"/>
          <w:sz w:val="24"/>
        </w:rPr>
      </w:pPr>
      <w:r>
        <w:rPr>
          <w:rFonts w:hint="eastAsia" w:ascii="宋体" w:hAnsi="宋体" w:cs="宋体"/>
          <w:sz w:val="24"/>
        </w:rPr>
        <w:t>5.储存条件及有效期：2～8℃保存，禁止冷冻，有效期≥1年。</w:t>
      </w:r>
    </w:p>
    <w:p w14:paraId="79D8872C">
      <w:pPr>
        <w:spacing w:line="360" w:lineRule="auto"/>
        <w:ind w:firstLine="482" w:firstLineChars="200"/>
        <w:rPr>
          <w:rFonts w:hint="eastAsia" w:ascii="宋体" w:hAnsi="宋体" w:cs="宋体"/>
          <w:b/>
          <w:bCs/>
          <w:sz w:val="24"/>
        </w:rPr>
      </w:pPr>
      <w:r>
        <w:rPr>
          <w:rFonts w:hint="eastAsia" w:ascii="宋体" w:hAnsi="宋体" w:cs="宋体"/>
          <w:b/>
          <w:bCs/>
          <w:sz w:val="24"/>
        </w:rPr>
        <w:t>标的名称24：骨钙素定标液</w:t>
      </w:r>
    </w:p>
    <w:p w14:paraId="02C69F85">
      <w:pPr>
        <w:spacing w:line="360" w:lineRule="auto"/>
        <w:ind w:firstLine="480" w:firstLineChars="200"/>
        <w:rPr>
          <w:rFonts w:hint="eastAsia" w:ascii="宋体" w:hAnsi="宋体" w:cs="宋体"/>
          <w:sz w:val="24"/>
        </w:rPr>
      </w:pPr>
      <w:r>
        <w:rPr>
          <w:rFonts w:hint="eastAsia" w:ascii="宋体" w:hAnsi="宋体" w:cs="宋体"/>
          <w:sz w:val="24"/>
        </w:rPr>
        <w:t>1.主要用途：用于骨钙素定量检测项目的定标。用于免疫分析仪。</w:t>
      </w:r>
    </w:p>
    <w:p w14:paraId="18E26099">
      <w:pPr>
        <w:spacing w:line="360" w:lineRule="auto"/>
        <w:ind w:firstLine="480" w:firstLineChars="200"/>
        <w:rPr>
          <w:rFonts w:hint="eastAsia" w:ascii="宋体" w:hAnsi="宋体" w:cs="宋体"/>
          <w:sz w:val="24"/>
        </w:rPr>
      </w:pPr>
      <w:r>
        <w:rPr>
          <w:rFonts w:hint="eastAsia" w:ascii="宋体" w:hAnsi="宋体" w:cs="宋体"/>
          <w:sz w:val="24"/>
        </w:rPr>
        <w:t>2.试剂处理：添加蒸馏水或去离子水复溶瓶内物质，垂直加盖静置15分钟。充分混匀并避免产生气泡。</w:t>
      </w:r>
    </w:p>
    <w:p w14:paraId="3FA098AA">
      <w:pPr>
        <w:spacing w:line="360" w:lineRule="auto"/>
        <w:ind w:firstLine="480" w:firstLineChars="200"/>
        <w:rPr>
          <w:rFonts w:hint="eastAsia" w:ascii="宋体" w:hAnsi="宋体" w:cs="宋体"/>
          <w:sz w:val="24"/>
        </w:rPr>
      </w:pPr>
      <w:r>
        <w:rPr>
          <w:rFonts w:hint="eastAsia" w:ascii="宋体" w:hAnsi="宋体" w:cs="宋体"/>
          <w:sz w:val="24"/>
        </w:rPr>
        <w:t>3.储存条件：2-8℃保存，必要时分装冷冻保存。</w:t>
      </w:r>
    </w:p>
    <w:p w14:paraId="0F0D7C64">
      <w:pPr>
        <w:spacing w:line="360" w:lineRule="auto"/>
        <w:ind w:firstLine="482" w:firstLineChars="200"/>
        <w:rPr>
          <w:rFonts w:hint="eastAsia" w:ascii="宋体" w:hAnsi="宋体" w:cs="宋体"/>
          <w:b/>
          <w:bCs/>
          <w:sz w:val="24"/>
        </w:rPr>
      </w:pPr>
      <w:r>
        <w:rPr>
          <w:rFonts w:hint="eastAsia" w:ascii="宋体" w:hAnsi="宋体" w:cs="宋体"/>
          <w:b/>
          <w:bCs/>
          <w:sz w:val="24"/>
        </w:rPr>
        <w:t>标的名称25：骨钙素检测试剂盒</w:t>
      </w:r>
    </w:p>
    <w:p w14:paraId="1369B883">
      <w:pPr>
        <w:spacing w:line="360" w:lineRule="auto"/>
        <w:ind w:firstLine="480" w:firstLineChars="200"/>
        <w:rPr>
          <w:rFonts w:hint="eastAsia" w:ascii="宋体" w:hAnsi="宋体" w:cs="宋体"/>
          <w:sz w:val="24"/>
        </w:rPr>
      </w:pPr>
      <w:r>
        <w:rPr>
          <w:rFonts w:hint="eastAsia" w:ascii="宋体" w:hAnsi="宋体" w:cs="宋体"/>
          <w:sz w:val="24"/>
        </w:rPr>
        <w:t>1.用途：用于体外定量测定人血清和血浆中骨钙素的含量。</w:t>
      </w:r>
    </w:p>
    <w:p w14:paraId="59D82532">
      <w:pPr>
        <w:spacing w:line="360" w:lineRule="auto"/>
        <w:ind w:firstLine="480" w:firstLineChars="200"/>
        <w:rPr>
          <w:rFonts w:hint="eastAsia" w:ascii="宋体" w:hAnsi="宋体" w:cs="宋体"/>
          <w:sz w:val="24"/>
        </w:rPr>
      </w:pPr>
      <w:r>
        <w:rPr>
          <w:rFonts w:hint="eastAsia" w:ascii="宋体" w:hAnsi="宋体" w:cs="宋体"/>
          <w:sz w:val="24"/>
        </w:rPr>
        <w:t>2.样本类型：血清/血浆。</w:t>
      </w:r>
    </w:p>
    <w:p w14:paraId="5417E46D">
      <w:pPr>
        <w:spacing w:line="360" w:lineRule="auto"/>
        <w:ind w:firstLine="480" w:firstLineChars="200"/>
        <w:rPr>
          <w:rFonts w:hint="eastAsia" w:ascii="宋体" w:hAnsi="宋体" w:cs="宋体"/>
          <w:sz w:val="24"/>
        </w:rPr>
      </w:pPr>
      <w:r>
        <w:rPr>
          <w:rFonts w:hint="eastAsia" w:ascii="宋体" w:hAnsi="宋体" w:cs="宋体"/>
          <w:sz w:val="24"/>
        </w:rPr>
        <w:t>3.检测原理：夹心法。</w:t>
      </w:r>
    </w:p>
    <w:p w14:paraId="33A30DB4">
      <w:pPr>
        <w:spacing w:line="360" w:lineRule="auto"/>
        <w:ind w:firstLine="480" w:firstLineChars="200"/>
        <w:rPr>
          <w:rFonts w:hint="eastAsia" w:ascii="宋体" w:hAnsi="宋体" w:cs="宋体"/>
          <w:sz w:val="24"/>
        </w:rPr>
      </w:pPr>
      <w:r>
        <w:rPr>
          <w:rFonts w:hint="eastAsia" w:ascii="宋体" w:hAnsi="宋体" w:cs="宋体"/>
          <w:sz w:val="24"/>
        </w:rPr>
        <w:t>4.检测时间：≤30分钟。</w:t>
      </w:r>
    </w:p>
    <w:p w14:paraId="11517FA5">
      <w:pPr>
        <w:spacing w:line="360" w:lineRule="auto"/>
        <w:ind w:firstLine="480" w:firstLineChars="200"/>
        <w:rPr>
          <w:rFonts w:hint="eastAsia" w:ascii="宋体" w:hAnsi="宋体" w:cs="宋体"/>
          <w:sz w:val="24"/>
        </w:rPr>
      </w:pPr>
      <w:r>
        <w:rPr>
          <w:rFonts w:hint="eastAsia" w:ascii="宋体" w:hAnsi="宋体" w:cs="宋体"/>
          <w:sz w:val="24"/>
        </w:rPr>
        <w:t>5.储存条件及有效期：2～8℃保存，禁止冷冻，有效期≥1年。</w:t>
      </w:r>
    </w:p>
    <w:p w14:paraId="7E9A9AD4">
      <w:pPr>
        <w:spacing w:line="360" w:lineRule="auto"/>
        <w:ind w:firstLine="482" w:firstLineChars="200"/>
        <w:rPr>
          <w:rFonts w:hint="eastAsia" w:ascii="宋体" w:hAnsi="宋体" w:cs="宋体"/>
          <w:b/>
          <w:bCs/>
          <w:sz w:val="24"/>
        </w:rPr>
      </w:pPr>
      <w:r>
        <w:rPr>
          <w:rFonts w:hint="eastAsia" w:ascii="宋体" w:hAnsi="宋体" w:cs="宋体"/>
          <w:b/>
          <w:bCs/>
          <w:sz w:val="24"/>
        </w:rPr>
        <w:t>标的名称26：黄体生成激素检测试剂盒</w:t>
      </w:r>
    </w:p>
    <w:p w14:paraId="0C32B892">
      <w:pPr>
        <w:spacing w:line="360" w:lineRule="auto"/>
        <w:ind w:firstLine="480" w:firstLineChars="200"/>
        <w:rPr>
          <w:rFonts w:hint="eastAsia" w:ascii="宋体" w:hAnsi="宋体" w:cs="宋体"/>
          <w:sz w:val="24"/>
        </w:rPr>
      </w:pPr>
      <w:r>
        <w:rPr>
          <w:rFonts w:hint="eastAsia" w:ascii="宋体" w:hAnsi="宋体" w:cs="宋体"/>
          <w:sz w:val="24"/>
        </w:rPr>
        <w:t>1.用途：用于体外定量测定人血清和血浆中的黄体生成激素含量。</w:t>
      </w:r>
    </w:p>
    <w:p w14:paraId="10DF6EC4">
      <w:pPr>
        <w:spacing w:line="360" w:lineRule="auto"/>
        <w:ind w:firstLine="480" w:firstLineChars="200"/>
        <w:rPr>
          <w:rFonts w:hint="eastAsia" w:ascii="宋体" w:hAnsi="宋体" w:cs="宋体"/>
          <w:sz w:val="24"/>
        </w:rPr>
      </w:pPr>
      <w:r>
        <w:rPr>
          <w:rFonts w:hint="eastAsia" w:ascii="宋体" w:hAnsi="宋体" w:cs="宋体"/>
          <w:sz w:val="24"/>
        </w:rPr>
        <w:t>2.样本类型：血清/血浆。</w:t>
      </w:r>
    </w:p>
    <w:p w14:paraId="66A911BE">
      <w:pPr>
        <w:spacing w:line="360" w:lineRule="auto"/>
        <w:ind w:firstLine="480" w:firstLineChars="200"/>
        <w:rPr>
          <w:rFonts w:hint="eastAsia" w:ascii="宋体" w:hAnsi="宋体" w:cs="宋体"/>
          <w:sz w:val="24"/>
        </w:rPr>
      </w:pPr>
      <w:r>
        <w:rPr>
          <w:rFonts w:hint="eastAsia" w:ascii="宋体" w:hAnsi="宋体" w:cs="宋体"/>
          <w:sz w:val="24"/>
        </w:rPr>
        <w:t>3.检测原理：夹心法。</w:t>
      </w:r>
    </w:p>
    <w:p w14:paraId="7F1A9D3B">
      <w:pPr>
        <w:spacing w:line="360" w:lineRule="auto"/>
        <w:ind w:firstLine="480" w:firstLineChars="200"/>
        <w:rPr>
          <w:rFonts w:hint="eastAsia" w:ascii="宋体" w:hAnsi="宋体" w:cs="宋体"/>
          <w:sz w:val="24"/>
        </w:rPr>
      </w:pPr>
      <w:r>
        <w:rPr>
          <w:rFonts w:hint="eastAsia" w:ascii="宋体" w:hAnsi="宋体" w:cs="宋体"/>
          <w:sz w:val="24"/>
        </w:rPr>
        <w:t>4.检测时间：≤30分钟。</w:t>
      </w:r>
    </w:p>
    <w:p w14:paraId="3B0EE043">
      <w:pPr>
        <w:spacing w:line="360" w:lineRule="auto"/>
        <w:ind w:firstLine="480" w:firstLineChars="200"/>
        <w:rPr>
          <w:rFonts w:hint="eastAsia" w:ascii="宋体" w:hAnsi="宋体" w:cs="宋体"/>
          <w:sz w:val="24"/>
        </w:rPr>
      </w:pPr>
      <w:r>
        <w:rPr>
          <w:rFonts w:hint="eastAsia" w:ascii="宋体" w:hAnsi="宋体" w:cs="宋体"/>
          <w:sz w:val="24"/>
        </w:rPr>
        <w:t>5.储存条件及有效期：2～8℃保存，禁止冷冻，有效期≥1年。</w:t>
      </w:r>
    </w:p>
    <w:p w14:paraId="44BE3FAF">
      <w:pPr>
        <w:spacing w:line="360" w:lineRule="auto"/>
        <w:ind w:firstLine="482" w:firstLineChars="200"/>
        <w:rPr>
          <w:rFonts w:hint="eastAsia" w:ascii="宋体" w:hAnsi="宋体" w:cs="宋体"/>
          <w:b/>
          <w:bCs/>
          <w:sz w:val="24"/>
        </w:rPr>
      </w:pPr>
      <w:r>
        <w:rPr>
          <w:rFonts w:hint="eastAsia" w:ascii="宋体" w:hAnsi="宋体" w:cs="宋体"/>
          <w:b/>
          <w:bCs/>
          <w:sz w:val="24"/>
        </w:rPr>
        <w:t>标的名称27：黄体生成素定标液</w:t>
      </w:r>
    </w:p>
    <w:p w14:paraId="519DF224">
      <w:pPr>
        <w:spacing w:line="360" w:lineRule="auto"/>
        <w:ind w:firstLine="480" w:firstLineChars="200"/>
        <w:rPr>
          <w:rFonts w:hint="eastAsia" w:ascii="宋体" w:hAnsi="宋体" w:cs="宋体"/>
          <w:sz w:val="24"/>
        </w:rPr>
      </w:pPr>
      <w:r>
        <w:rPr>
          <w:rFonts w:hint="eastAsia" w:ascii="宋体" w:hAnsi="宋体" w:cs="宋体"/>
          <w:sz w:val="24"/>
        </w:rPr>
        <w:t>1.主要用途：用于黄体生成素(LH)定量检测项目的定标。用于免疫测定分析仪。</w:t>
      </w:r>
    </w:p>
    <w:p w14:paraId="335F398D">
      <w:pPr>
        <w:spacing w:line="360" w:lineRule="auto"/>
        <w:ind w:firstLine="480" w:firstLineChars="200"/>
        <w:rPr>
          <w:rFonts w:hint="eastAsia" w:ascii="宋体" w:hAnsi="宋体" w:cs="宋体"/>
          <w:sz w:val="24"/>
        </w:rPr>
      </w:pPr>
      <w:r>
        <w:rPr>
          <w:rFonts w:hint="eastAsia" w:ascii="宋体" w:hAnsi="宋体" w:cs="宋体"/>
          <w:sz w:val="24"/>
        </w:rPr>
        <w:t>2.试剂处理：添加蒸馏水或去离子水复溶瓶内物质，垂直加盖静置15分钟。充分混匀并避免产生气泡。将新鲜复溶的定标液分装至带标签的有盖小空瓶中。粘贴标签，立即置-20℃(±5℃)储存备用。分装的定标液只限一次使用。</w:t>
      </w:r>
    </w:p>
    <w:p w14:paraId="672FB455">
      <w:pPr>
        <w:spacing w:line="360" w:lineRule="auto"/>
        <w:ind w:firstLine="480" w:firstLineChars="200"/>
        <w:rPr>
          <w:rFonts w:hint="eastAsia" w:ascii="宋体" w:hAnsi="宋体" w:cs="宋体"/>
          <w:sz w:val="24"/>
        </w:rPr>
      </w:pPr>
      <w:r>
        <w:rPr>
          <w:rFonts w:hint="eastAsia" w:ascii="宋体" w:hAnsi="宋体" w:cs="宋体"/>
          <w:sz w:val="24"/>
        </w:rPr>
        <w:t>3.储存条件：2-8℃保存，必要时分装冷冻保存。</w:t>
      </w:r>
    </w:p>
    <w:p w14:paraId="2C26001D">
      <w:pPr>
        <w:spacing w:line="360" w:lineRule="auto"/>
        <w:ind w:firstLine="482" w:firstLineChars="200"/>
        <w:rPr>
          <w:rFonts w:hint="eastAsia" w:ascii="宋体" w:hAnsi="宋体" w:cs="宋体"/>
          <w:b/>
          <w:bCs/>
          <w:sz w:val="24"/>
        </w:rPr>
      </w:pPr>
      <w:r>
        <w:rPr>
          <w:rFonts w:hint="eastAsia" w:ascii="宋体" w:hAnsi="宋体" w:cs="宋体"/>
          <w:b/>
          <w:bCs/>
          <w:sz w:val="24"/>
        </w:rPr>
        <w:t>标的名称28：肌酸激酶-MB同功酶定标液</w:t>
      </w:r>
    </w:p>
    <w:p w14:paraId="48DF2D34">
      <w:pPr>
        <w:spacing w:line="360" w:lineRule="auto"/>
        <w:ind w:firstLine="480" w:firstLineChars="200"/>
        <w:rPr>
          <w:rFonts w:hint="eastAsia" w:ascii="宋体" w:hAnsi="宋体" w:cs="宋体"/>
          <w:sz w:val="24"/>
        </w:rPr>
      </w:pPr>
      <w:r>
        <w:rPr>
          <w:rFonts w:hint="eastAsia" w:ascii="宋体" w:hAnsi="宋体" w:cs="宋体"/>
          <w:sz w:val="24"/>
        </w:rPr>
        <w:t>1.主要用途：用于肌酸激酶-MB同工酶(CK-MB)定量检测项目的定标。</w:t>
      </w:r>
    </w:p>
    <w:p w14:paraId="34D60779">
      <w:pPr>
        <w:spacing w:line="360" w:lineRule="auto"/>
        <w:ind w:firstLine="480" w:firstLineChars="200"/>
        <w:rPr>
          <w:rFonts w:hint="eastAsia" w:ascii="宋体" w:hAnsi="宋体" w:cs="宋体"/>
          <w:sz w:val="24"/>
        </w:rPr>
      </w:pPr>
      <w:r>
        <w:rPr>
          <w:rFonts w:hint="eastAsia" w:ascii="宋体" w:hAnsi="宋体" w:cs="宋体"/>
          <w:sz w:val="24"/>
        </w:rPr>
        <w:t>2.试剂处理：添加蒸馏水或去离子水并垂直加盖静置15分钟以复溶瓶内物质。充分混匀并避免产生气泡。将新鲜复溶的定标液分装至带标签的有盖小空瓶中。复溶定标液必须在 20～25℃平衡后方能使用。</w:t>
      </w:r>
    </w:p>
    <w:p w14:paraId="11E96FCC">
      <w:pPr>
        <w:spacing w:line="360" w:lineRule="auto"/>
        <w:ind w:firstLine="480" w:firstLineChars="200"/>
        <w:rPr>
          <w:rFonts w:hint="eastAsia" w:ascii="宋体" w:hAnsi="宋体" w:cs="宋体"/>
          <w:sz w:val="24"/>
        </w:rPr>
      </w:pPr>
      <w:r>
        <w:rPr>
          <w:rFonts w:hint="eastAsia" w:ascii="宋体" w:hAnsi="宋体" w:cs="宋体"/>
          <w:sz w:val="24"/>
        </w:rPr>
        <w:t>3.每次吸样完毕后立即将定标液盖紧直立置2～8℃保存。考虑到可能的挥发效应，每瓶定标液最多使用5次。</w:t>
      </w:r>
    </w:p>
    <w:p w14:paraId="4372997C">
      <w:pPr>
        <w:spacing w:line="360" w:lineRule="auto"/>
        <w:ind w:firstLine="482" w:firstLineChars="200"/>
        <w:rPr>
          <w:rFonts w:hint="eastAsia" w:ascii="宋体" w:hAnsi="宋体" w:cs="宋体"/>
          <w:b/>
          <w:bCs/>
          <w:sz w:val="24"/>
        </w:rPr>
      </w:pPr>
      <w:r>
        <w:rPr>
          <w:rFonts w:hint="eastAsia" w:ascii="宋体" w:hAnsi="宋体" w:cs="宋体"/>
          <w:b/>
          <w:bCs/>
          <w:sz w:val="24"/>
        </w:rPr>
        <w:t>标的名称29：肌酸激酶同工酶检测试剂盒</w:t>
      </w:r>
    </w:p>
    <w:p w14:paraId="1E77029D">
      <w:pPr>
        <w:spacing w:line="360" w:lineRule="auto"/>
        <w:ind w:firstLine="480" w:firstLineChars="200"/>
        <w:rPr>
          <w:rFonts w:hint="eastAsia" w:ascii="宋体" w:hAnsi="宋体" w:cs="宋体"/>
          <w:sz w:val="24"/>
        </w:rPr>
      </w:pPr>
      <w:r>
        <w:rPr>
          <w:rFonts w:hint="eastAsia" w:ascii="宋体" w:hAnsi="宋体" w:cs="宋体"/>
          <w:sz w:val="24"/>
        </w:rPr>
        <w:t>1.用途：用于体外定量测定人血清和血浆中肌酸激酶同工酶(MB)的含量。</w:t>
      </w:r>
    </w:p>
    <w:p w14:paraId="56AC0F56">
      <w:pPr>
        <w:spacing w:line="360" w:lineRule="auto"/>
        <w:ind w:firstLine="480" w:firstLineChars="200"/>
        <w:rPr>
          <w:rFonts w:hint="eastAsia" w:ascii="宋体" w:hAnsi="宋体" w:cs="宋体"/>
          <w:sz w:val="24"/>
        </w:rPr>
      </w:pPr>
      <w:r>
        <w:rPr>
          <w:rFonts w:hint="eastAsia" w:ascii="宋体" w:hAnsi="宋体" w:cs="宋体"/>
          <w:sz w:val="24"/>
        </w:rPr>
        <w:t>2.样本类型：血清/血浆。</w:t>
      </w:r>
    </w:p>
    <w:p w14:paraId="21D528F7">
      <w:pPr>
        <w:spacing w:line="360" w:lineRule="auto"/>
        <w:ind w:firstLine="480" w:firstLineChars="200"/>
        <w:rPr>
          <w:rFonts w:hint="eastAsia" w:ascii="宋体" w:hAnsi="宋体" w:cs="宋体"/>
          <w:sz w:val="24"/>
        </w:rPr>
      </w:pPr>
      <w:r>
        <w:rPr>
          <w:rFonts w:hint="eastAsia" w:ascii="宋体" w:hAnsi="宋体" w:cs="宋体"/>
          <w:sz w:val="24"/>
        </w:rPr>
        <w:t>3.检测原理：夹心法。</w:t>
      </w:r>
    </w:p>
    <w:p w14:paraId="09915397">
      <w:pPr>
        <w:spacing w:line="360" w:lineRule="auto"/>
        <w:ind w:firstLine="480" w:firstLineChars="200"/>
        <w:rPr>
          <w:rFonts w:hint="eastAsia" w:ascii="宋体" w:hAnsi="宋体" w:cs="宋体"/>
          <w:sz w:val="24"/>
        </w:rPr>
      </w:pPr>
      <w:r>
        <w:rPr>
          <w:rFonts w:hint="eastAsia" w:ascii="宋体" w:hAnsi="宋体" w:cs="宋体"/>
          <w:sz w:val="24"/>
        </w:rPr>
        <w:t>4.检测时间：≤30分钟。</w:t>
      </w:r>
    </w:p>
    <w:p w14:paraId="274082C0">
      <w:pPr>
        <w:spacing w:line="360" w:lineRule="auto"/>
        <w:ind w:firstLine="480" w:firstLineChars="200"/>
        <w:rPr>
          <w:rFonts w:hint="eastAsia" w:ascii="宋体" w:hAnsi="宋体" w:cs="宋体"/>
          <w:sz w:val="24"/>
        </w:rPr>
      </w:pPr>
      <w:r>
        <w:rPr>
          <w:rFonts w:hint="eastAsia" w:ascii="宋体" w:hAnsi="宋体" w:cs="宋体"/>
          <w:sz w:val="24"/>
        </w:rPr>
        <w:t>5.储存条件及有效期：2～8℃保存，禁止冷冻，有效期≥1年。</w:t>
      </w:r>
    </w:p>
    <w:p w14:paraId="70E4D0BF">
      <w:pPr>
        <w:spacing w:line="360" w:lineRule="auto"/>
        <w:ind w:firstLine="482" w:firstLineChars="200"/>
        <w:rPr>
          <w:rFonts w:hint="eastAsia" w:ascii="宋体" w:hAnsi="宋体" w:cs="宋体"/>
          <w:b/>
          <w:bCs/>
          <w:sz w:val="24"/>
        </w:rPr>
      </w:pPr>
      <w:r>
        <w:rPr>
          <w:rFonts w:hint="eastAsia" w:ascii="宋体" w:hAnsi="宋体" w:cs="宋体"/>
          <w:b/>
          <w:bCs/>
          <w:sz w:val="24"/>
        </w:rPr>
        <w:t>标的名称30：甲胎蛋白定标液</w:t>
      </w:r>
    </w:p>
    <w:p w14:paraId="152916CA">
      <w:pPr>
        <w:spacing w:line="360" w:lineRule="auto"/>
        <w:ind w:firstLine="480" w:firstLineChars="200"/>
        <w:rPr>
          <w:rFonts w:hint="eastAsia" w:ascii="宋体" w:hAnsi="宋体" w:cs="宋体"/>
          <w:sz w:val="24"/>
        </w:rPr>
      </w:pPr>
      <w:r>
        <w:rPr>
          <w:rFonts w:hint="eastAsia" w:ascii="宋体" w:hAnsi="宋体" w:cs="宋体"/>
          <w:sz w:val="24"/>
        </w:rPr>
        <w:t>1.用途：用于甲胎蛋白定量检测项目的定标。</w:t>
      </w:r>
    </w:p>
    <w:p w14:paraId="645C1055">
      <w:pPr>
        <w:spacing w:line="360" w:lineRule="auto"/>
        <w:ind w:firstLine="480" w:firstLineChars="200"/>
        <w:rPr>
          <w:rFonts w:hint="eastAsia" w:ascii="宋体" w:hAnsi="宋体" w:cs="宋体"/>
          <w:sz w:val="24"/>
        </w:rPr>
      </w:pPr>
      <w:r>
        <w:rPr>
          <w:rFonts w:hint="eastAsia" w:ascii="宋体" w:hAnsi="宋体" w:cs="宋体"/>
          <w:sz w:val="24"/>
        </w:rPr>
        <w:t>2.试剂处理：添加蒸馏水或去离子水复溶瓶内物质，静置15分钟。充分混匀并避免产生气泡。将复溶定标液转移至提供的带标签的压盖式小空瓶中。立即把等分定标液存放于-20℃(±5℃)下。每个等份只能定标一次。</w:t>
      </w:r>
    </w:p>
    <w:p w14:paraId="3AEB7BA0">
      <w:pPr>
        <w:spacing w:line="360" w:lineRule="auto"/>
        <w:ind w:firstLine="480" w:firstLineChars="200"/>
        <w:rPr>
          <w:rFonts w:hint="eastAsia" w:ascii="宋体" w:hAnsi="宋体" w:cs="宋体"/>
          <w:sz w:val="24"/>
        </w:rPr>
      </w:pPr>
      <w:r>
        <w:rPr>
          <w:rFonts w:hint="eastAsia" w:ascii="宋体" w:hAnsi="宋体" w:cs="宋体"/>
          <w:sz w:val="24"/>
        </w:rPr>
        <w:t>3.储存条件：2-8℃保存，必要时分装冷冻保存。</w:t>
      </w:r>
    </w:p>
    <w:p w14:paraId="76F26E6E">
      <w:pPr>
        <w:spacing w:line="360" w:lineRule="auto"/>
        <w:ind w:firstLine="482" w:firstLineChars="200"/>
        <w:rPr>
          <w:rFonts w:hint="eastAsia" w:ascii="宋体" w:hAnsi="宋体" w:cs="宋体"/>
          <w:b/>
          <w:bCs/>
          <w:sz w:val="24"/>
        </w:rPr>
      </w:pPr>
      <w:r>
        <w:rPr>
          <w:rFonts w:hint="eastAsia" w:ascii="宋体" w:hAnsi="宋体" w:cs="宋体"/>
          <w:b/>
          <w:bCs/>
          <w:sz w:val="24"/>
        </w:rPr>
        <w:t>标的名称31：甲胎蛋白检测试剂盒</w:t>
      </w:r>
    </w:p>
    <w:p w14:paraId="4D8372D6">
      <w:pPr>
        <w:spacing w:line="360" w:lineRule="auto"/>
        <w:ind w:firstLine="480" w:firstLineChars="200"/>
        <w:rPr>
          <w:rFonts w:hint="eastAsia" w:ascii="宋体" w:hAnsi="宋体" w:cs="宋体"/>
          <w:sz w:val="24"/>
        </w:rPr>
      </w:pPr>
      <w:r>
        <w:rPr>
          <w:rFonts w:hint="eastAsia" w:ascii="宋体" w:hAnsi="宋体" w:cs="宋体"/>
          <w:sz w:val="24"/>
        </w:rPr>
        <w:t>1.用途：用于体外定量检测人体血清和血浆中的甲胎蛋白，主要用于对恶性肿瘤患者进行动态监测以辅助判断疾病进程或治疗效果</w:t>
      </w:r>
    </w:p>
    <w:p w14:paraId="46D965C4">
      <w:pPr>
        <w:spacing w:line="360" w:lineRule="auto"/>
        <w:ind w:firstLine="480" w:firstLineChars="200"/>
        <w:rPr>
          <w:rFonts w:hint="eastAsia" w:ascii="宋体" w:hAnsi="宋体" w:cs="宋体"/>
          <w:sz w:val="24"/>
        </w:rPr>
      </w:pPr>
      <w:r>
        <w:rPr>
          <w:rFonts w:hint="eastAsia" w:ascii="宋体" w:hAnsi="宋体" w:cs="宋体"/>
          <w:sz w:val="24"/>
        </w:rPr>
        <w:t>2.样本类型：血清/血浆。</w:t>
      </w:r>
    </w:p>
    <w:p w14:paraId="1D21EADE">
      <w:pPr>
        <w:spacing w:line="360" w:lineRule="auto"/>
        <w:ind w:firstLine="480" w:firstLineChars="200"/>
        <w:rPr>
          <w:rFonts w:hint="eastAsia" w:ascii="宋体" w:hAnsi="宋体" w:cs="宋体"/>
          <w:sz w:val="24"/>
        </w:rPr>
      </w:pPr>
      <w:r>
        <w:rPr>
          <w:rFonts w:hint="eastAsia" w:ascii="宋体" w:hAnsi="宋体" w:cs="宋体"/>
          <w:sz w:val="24"/>
        </w:rPr>
        <w:t>3.检测原理：夹心法。</w:t>
      </w:r>
    </w:p>
    <w:p w14:paraId="393C183F">
      <w:pPr>
        <w:spacing w:line="360" w:lineRule="auto"/>
        <w:ind w:firstLine="480" w:firstLineChars="200"/>
        <w:rPr>
          <w:rFonts w:hint="eastAsia" w:ascii="宋体" w:hAnsi="宋体" w:cs="宋体"/>
          <w:sz w:val="24"/>
        </w:rPr>
      </w:pPr>
      <w:r>
        <w:rPr>
          <w:rFonts w:hint="eastAsia" w:ascii="宋体" w:hAnsi="宋体" w:cs="宋体"/>
          <w:sz w:val="24"/>
        </w:rPr>
        <w:t>4.检测时间：≤30分钟。</w:t>
      </w:r>
    </w:p>
    <w:p w14:paraId="517AFB4F">
      <w:pPr>
        <w:spacing w:line="360" w:lineRule="auto"/>
        <w:ind w:firstLine="480" w:firstLineChars="200"/>
        <w:rPr>
          <w:rFonts w:hint="eastAsia" w:ascii="宋体" w:hAnsi="宋体" w:cs="宋体"/>
          <w:sz w:val="24"/>
        </w:rPr>
      </w:pPr>
      <w:r>
        <w:rPr>
          <w:rFonts w:hint="eastAsia" w:ascii="宋体" w:hAnsi="宋体" w:cs="宋体"/>
          <w:sz w:val="24"/>
        </w:rPr>
        <w:t>5.储存条件及有效期：2～8℃保存，禁止冷冻，有效期≥1年。</w:t>
      </w:r>
    </w:p>
    <w:p w14:paraId="7607D80B">
      <w:pPr>
        <w:spacing w:line="360" w:lineRule="auto"/>
        <w:ind w:firstLine="482" w:firstLineChars="200"/>
        <w:rPr>
          <w:rFonts w:hint="eastAsia" w:ascii="宋体" w:hAnsi="宋体" w:cs="宋体"/>
          <w:b/>
          <w:bCs/>
          <w:sz w:val="24"/>
        </w:rPr>
      </w:pPr>
      <w:r>
        <w:rPr>
          <w:rFonts w:hint="eastAsia" w:ascii="宋体" w:hAnsi="宋体" w:cs="宋体"/>
          <w:b/>
          <w:bCs/>
          <w:sz w:val="24"/>
        </w:rPr>
        <w:t>标的名称32：甲状腺球蛋白定标液</w:t>
      </w:r>
    </w:p>
    <w:p w14:paraId="25F80FBD">
      <w:pPr>
        <w:spacing w:line="360" w:lineRule="auto"/>
        <w:ind w:firstLine="480" w:firstLineChars="200"/>
        <w:rPr>
          <w:rFonts w:hint="eastAsia" w:ascii="宋体" w:hAnsi="宋体" w:cs="宋体"/>
          <w:sz w:val="24"/>
        </w:rPr>
      </w:pPr>
      <w:r>
        <w:rPr>
          <w:rFonts w:hint="eastAsia" w:ascii="宋体" w:hAnsi="宋体" w:cs="宋体"/>
          <w:sz w:val="24"/>
        </w:rPr>
        <w:t>1.主要用途：用于甲状腺球蛋白(Tg)定量检测项目的定标。</w:t>
      </w:r>
    </w:p>
    <w:p w14:paraId="3880954F">
      <w:pPr>
        <w:spacing w:line="360" w:lineRule="auto"/>
        <w:ind w:firstLine="480" w:firstLineChars="200"/>
        <w:rPr>
          <w:rFonts w:hint="eastAsia" w:ascii="宋体" w:hAnsi="宋体" w:cs="宋体"/>
          <w:sz w:val="24"/>
        </w:rPr>
      </w:pPr>
      <w:r>
        <w:rPr>
          <w:rFonts w:hint="eastAsia" w:ascii="宋体" w:hAnsi="宋体" w:cs="宋体"/>
          <w:sz w:val="24"/>
        </w:rPr>
        <w:t>2.试剂处理：使用蒸馏水或去离子水将内容物溶解在试剂瓶中并封闭直立存放15分钟复溶。小心混匀，避免起泡。将分装的复溶定标液转移至提供的带拉环盖的空标记试剂瓶(定标液小瓶)中。定标液必须20～25℃平衡后方能使用。每次吸样完毕后立即将定标液盖紧置2～8℃保存。分装定标液储存在-20℃(±5℃)条件下备用。每份分装定标液仅执行一个定标步骤。</w:t>
      </w:r>
    </w:p>
    <w:p w14:paraId="37ECD4C3">
      <w:pPr>
        <w:spacing w:line="360" w:lineRule="auto"/>
        <w:ind w:firstLine="480" w:firstLineChars="200"/>
        <w:rPr>
          <w:rFonts w:hint="eastAsia" w:ascii="宋体" w:hAnsi="宋体" w:cs="宋体"/>
          <w:sz w:val="24"/>
        </w:rPr>
      </w:pPr>
      <w:r>
        <w:rPr>
          <w:rFonts w:hint="eastAsia" w:ascii="宋体" w:hAnsi="宋体" w:cs="宋体"/>
          <w:sz w:val="24"/>
        </w:rPr>
        <w:t>3.储存条件：2-8℃保存，必要时分装冷冻保存。</w:t>
      </w:r>
    </w:p>
    <w:p w14:paraId="13AB073F">
      <w:pPr>
        <w:spacing w:line="360" w:lineRule="auto"/>
        <w:ind w:firstLine="482" w:firstLineChars="200"/>
        <w:rPr>
          <w:rFonts w:hint="eastAsia" w:ascii="宋体" w:hAnsi="宋体" w:cs="宋体"/>
          <w:b/>
          <w:bCs/>
          <w:sz w:val="24"/>
        </w:rPr>
      </w:pPr>
      <w:r>
        <w:rPr>
          <w:rFonts w:hint="eastAsia" w:ascii="宋体" w:hAnsi="宋体" w:cs="宋体"/>
          <w:b/>
          <w:bCs/>
          <w:sz w:val="24"/>
        </w:rPr>
        <w:t>标的名称33：甲状腺球蛋白检测试剂盒</w:t>
      </w:r>
    </w:p>
    <w:p w14:paraId="2341BD87">
      <w:pPr>
        <w:spacing w:line="360" w:lineRule="auto"/>
        <w:ind w:firstLine="480" w:firstLineChars="200"/>
        <w:rPr>
          <w:rFonts w:hint="eastAsia" w:ascii="宋体" w:hAnsi="宋体" w:cs="宋体"/>
          <w:sz w:val="24"/>
        </w:rPr>
      </w:pPr>
      <w:r>
        <w:rPr>
          <w:rFonts w:hint="eastAsia" w:ascii="宋体" w:hAnsi="宋体" w:cs="宋体"/>
          <w:sz w:val="24"/>
        </w:rPr>
        <w:t>1.用途：用于体外定量检测人血清和血浆的甲状腺球蛋白(Tg)。甲状腺球蛋白的测定能辅助监控甲状腺切除术后的情况。</w:t>
      </w:r>
    </w:p>
    <w:p w14:paraId="2C109C04">
      <w:pPr>
        <w:spacing w:line="360" w:lineRule="auto"/>
        <w:ind w:firstLine="480" w:firstLineChars="200"/>
        <w:rPr>
          <w:rFonts w:hint="eastAsia" w:ascii="宋体" w:hAnsi="宋体" w:cs="宋体"/>
          <w:sz w:val="24"/>
        </w:rPr>
      </w:pPr>
      <w:r>
        <w:rPr>
          <w:rFonts w:hint="eastAsia" w:ascii="宋体" w:hAnsi="宋体" w:cs="宋体"/>
          <w:sz w:val="24"/>
        </w:rPr>
        <w:t>2.样本类型：血清/血浆。</w:t>
      </w:r>
    </w:p>
    <w:p w14:paraId="143E133B">
      <w:pPr>
        <w:spacing w:line="360" w:lineRule="auto"/>
        <w:ind w:firstLine="480" w:firstLineChars="200"/>
        <w:rPr>
          <w:rFonts w:hint="eastAsia" w:ascii="宋体" w:hAnsi="宋体" w:cs="宋体"/>
          <w:sz w:val="24"/>
        </w:rPr>
      </w:pPr>
      <w:r>
        <w:rPr>
          <w:rFonts w:hint="eastAsia" w:ascii="宋体" w:hAnsi="宋体" w:cs="宋体"/>
          <w:sz w:val="24"/>
        </w:rPr>
        <w:t>3.检测原理：双抗体夹心法。</w:t>
      </w:r>
    </w:p>
    <w:p w14:paraId="2C7486BE">
      <w:pPr>
        <w:spacing w:line="360" w:lineRule="auto"/>
        <w:ind w:firstLine="480" w:firstLineChars="200"/>
        <w:rPr>
          <w:rFonts w:hint="eastAsia" w:ascii="宋体" w:hAnsi="宋体" w:cs="宋体"/>
          <w:sz w:val="24"/>
        </w:rPr>
      </w:pPr>
      <w:r>
        <w:rPr>
          <w:rFonts w:hint="eastAsia" w:ascii="宋体" w:hAnsi="宋体" w:cs="宋体"/>
          <w:sz w:val="24"/>
        </w:rPr>
        <w:t>4.检测时间：≤30分钟。</w:t>
      </w:r>
    </w:p>
    <w:p w14:paraId="0D61E55E">
      <w:pPr>
        <w:spacing w:line="360" w:lineRule="auto"/>
        <w:ind w:firstLine="480" w:firstLineChars="200"/>
        <w:rPr>
          <w:rFonts w:hint="eastAsia" w:ascii="宋体" w:hAnsi="宋体" w:cs="宋体"/>
          <w:sz w:val="24"/>
        </w:rPr>
      </w:pPr>
      <w:r>
        <w:rPr>
          <w:rFonts w:hint="eastAsia" w:ascii="宋体" w:hAnsi="宋体" w:cs="宋体"/>
          <w:sz w:val="24"/>
        </w:rPr>
        <w:t>5.储存条件及有效期：2～8℃保存，禁止冷冻，有效期≥1年。</w:t>
      </w:r>
    </w:p>
    <w:p w14:paraId="7FA8FF6B">
      <w:pPr>
        <w:spacing w:line="360" w:lineRule="auto"/>
        <w:ind w:firstLine="482" w:firstLineChars="200"/>
        <w:rPr>
          <w:rFonts w:hint="eastAsia" w:ascii="宋体" w:hAnsi="宋体" w:cs="宋体"/>
          <w:b/>
          <w:bCs/>
          <w:sz w:val="24"/>
        </w:rPr>
      </w:pPr>
      <w:r>
        <w:rPr>
          <w:rFonts w:hint="eastAsia" w:ascii="宋体" w:hAnsi="宋体" w:cs="宋体"/>
          <w:b/>
          <w:bCs/>
          <w:sz w:val="24"/>
        </w:rPr>
        <w:t>标的名称34：甲状腺球蛋白检测试剂盒</w:t>
      </w:r>
    </w:p>
    <w:p w14:paraId="115B9586">
      <w:pPr>
        <w:spacing w:line="360" w:lineRule="auto"/>
        <w:ind w:firstLine="480" w:firstLineChars="200"/>
        <w:rPr>
          <w:rFonts w:hint="eastAsia" w:ascii="宋体" w:hAnsi="宋体" w:cs="宋体"/>
          <w:sz w:val="24"/>
        </w:rPr>
      </w:pPr>
      <w:r>
        <w:rPr>
          <w:rFonts w:hint="eastAsia" w:ascii="宋体" w:hAnsi="宋体" w:cs="宋体"/>
          <w:sz w:val="24"/>
        </w:rPr>
        <w:t>1.用途：用于体外定量检测人血清和血浆的甲状腺球蛋白(Tg)。甲状腺球蛋白的测定能辅助监控甲状腺切除术后的情况。</w:t>
      </w:r>
    </w:p>
    <w:p w14:paraId="0183EDA8">
      <w:pPr>
        <w:spacing w:line="360" w:lineRule="auto"/>
        <w:ind w:firstLine="480" w:firstLineChars="200"/>
        <w:rPr>
          <w:rFonts w:hint="eastAsia" w:ascii="宋体" w:hAnsi="宋体" w:cs="宋体"/>
          <w:sz w:val="24"/>
        </w:rPr>
      </w:pPr>
      <w:r>
        <w:rPr>
          <w:rFonts w:hint="eastAsia" w:ascii="宋体" w:hAnsi="宋体" w:cs="宋体"/>
          <w:sz w:val="24"/>
        </w:rPr>
        <w:t>2.样本类型：血清/血浆。</w:t>
      </w:r>
    </w:p>
    <w:p w14:paraId="3D40ED72">
      <w:pPr>
        <w:spacing w:line="360" w:lineRule="auto"/>
        <w:ind w:firstLine="480" w:firstLineChars="200"/>
        <w:rPr>
          <w:rFonts w:hint="eastAsia" w:ascii="宋体" w:hAnsi="宋体" w:cs="宋体"/>
          <w:sz w:val="24"/>
        </w:rPr>
      </w:pPr>
      <w:r>
        <w:rPr>
          <w:rFonts w:hint="eastAsia" w:ascii="宋体" w:hAnsi="宋体" w:cs="宋体"/>
          <w:sz w:val="24"/>
        </w:rPr>
        <w:t>3.检测原理：双抗体夹心法。</w:t>
      </w:r>
    </w:p>
    <w:p w14:paraId="7EE1F6B8">
      <w:pPr>
        <w:spacing w:line="360" w:lineRule="auto"/>
        <w:ind w:firstLine="480" w:firstLineChars="200"/>
        <w:rPr>
          <w:rFonts w:hint="eastAsia" w:ascii="宋体" w:hAnsi="宋体" w:cs="宋体"/>
          <w:sz w:val="24"/>
        </w:rPr>
      </w:pPr>
      <w:r>
        <w:rPr>
          <w:rFonts w:hint="eastAsia" w:ascii="宋体" w:hAnsi="宋体" w:cs="宋体"/>
          <w:sz w:val="24"/>
        </w:rPr>
        <w:t>4.检测时间：≤30分钟。</w:t>
      </w:r>
    </w:p>
    <w:p w14:paraId="3DC2E103">
      <w:pPr>
        <w:spacing w:line="360" w:lineRule="auto"/>
        <w:ind w:firstLine="480" w:firstLineChars="200"/>
        <w:rPr>
          <w:rFonts w:hint="eastAsia" w:ascii="宋体" w:hAnsi="宋体" w:cs="宋体"/>
          <w:sz w:val="24"/>
        </w:rPr>
      </w:pPr>
      <w:r>
        <w:rPr>
          <w:rFonts w:hint="eastAsia" w:ascii="宋体" w:hAnsi="宋体" w:cs="宋体"/>
          <w:sz w:val="24"/>
        </w:rPr>
        <w:t>5.储存条件及有效期：2～8℃保存，禁止冷冻，有效期≥1年。</w:t>
      </w:r>
    </w:p>
    <w:p w14:paraId="783F06C7">
      <w:pPr>
        <w:spacing w:line="360" w:lineRule="auto"/>
        <w:ind w:firstLine="482" w:firstLineChars="200"/>
        <w:rPr>
          <w:rFonts w:hint="eastAsia" w:ascii="宋体" w:hAnsi="宋体" w:cs="宋体"/>
          <w:b/>
          <w:bCs/>
          <w:sz w:val="24"/>
        </w:rPr>
      </w:pPr>
      <w:r>
        <w:rPr>
          <w:rFonts w:hint="eastAsia" w:ascii="宋体" w:hAnsi="宋体" w:cs="宋体"/>
          <w:b/>
          <w:bCs/>
          <w:sz w:val="24"/>
        </w:rPr>
        <w:t>标的名称35：甲状腺球蛋白抗体定标液</w:t>
      </w:r>
    </w:p>
    <w:p w14:paraId="24F40691">
      <w:pPr>
        <w:spacing w:line="360" w:lineRule="auto"/>
        <w:ind w:firstLine="480" w:firstLineChars="200"/>
        <w:rPr>
          <w:rFonts w:hint="eastAsia" w:ascii="宋体" w:hAnsi="宋体" w:cs="宋体"/>
          <w:sz w:val="24"/>
        </w:rPr>
      </w:pPr>
      <w:r>
        <w:rPr>
          <w:rFonts w:hint="eastAsia" w:ascii="宋体" w:hAnsi="宋体" w:cs="宋体"/>
          <w:sz w:val="24"/>
        </w:rPr>
        <w:t>1.主要用途：用于对甲状腺球蛋白抗体定量测定进行定标。</w:t>
      </w:r>
    </w:p>
    <w:p w14:paraId="40ACAF55">
      <w:pPr>
        <w:spacing w:line="360" w:lineRule="auto"/>
        <w:ind w:firstLine="480" w:firstLineChars="200"/>
        <w:rPr>
          <w:rFonts w:hint="eastAsia" w:ascii="宋体" w:hAnsi="宋体" w:cs="宋体"/>
          <w:sz w:val="24"/>
        </w:rPr>
      </w:pPr>
      <w:r>
        <w:rPr>
          <w:rFonts w:hint="eastAsia" w:ascii="宋体" w:hAnsi="宋体" w:cs="宋体"/>
          <w:sz w:val="24"/>
        </w:rPr>
        <w:t>2.试剂处理：在一个瓶内加蒸馏水或去离子水，充分溶解内含物，盖紧直立 15分钟使之重组。小心混匀，避免起泡。把重组后的定标液移入带标签的空扭盖瓶中,除定标时需要在分析仪上加载整瓶容量的情况外，只把重组定标液的等分部分移入空扭盖瓶(定标液瓶)中。把随附的标签贴在倒入内含物的空瓶上。把之后使用的其他等分定标液置于 2~8℃下。</w:t>
      </w:r>
    </w:p>
    <w:p w14:paraId="3BCF34BC">
      <w:pPr>
        <w:spacing w:line="360" w:lineRule="auto"/>
        <w:ind w:firstLine="480" w:firstLineChars="200"/>
        <w:rPr>
          <w:rFonts w:hint="eastAsia" w:ascii="宋体" w:hAnsi="宋体" w:cs="宋体"/>
          <w:sz w:val="24"/>
        </w:rPr>
      </w:pPr>
      <w:r>
        <w:rPr>
          <w:rFonts w:hint="eastAsia" w:ascii="宋体" w:hAnsi="宋体" w:cs="宋体"/>
          <w:sz w:val="24"/>
        </w:rPr>
        <w:t>3.储存条件：2~8℃保存，必要时分装冷冻保存。</w:t>
      </w:r>
    </w:p>
    <w:p w14:paraId="1726D682">
      <w:pPr>
        <w:spacing w:line="360" w:lineRule="auto"/>
        <w:ind w:firstLine="482" w:firstLineChars="200"/>
        <w:rPr>
          <w:rFonts w:hint="eastAsia" w:ascii="宋体" w:hAnsi="宋体" w:cs="宋体"/>
          <w:b/>
          <w:bCs/>
          <w:sz w:val="24"/>
        </w:rPr>
      </w:pPr>
      <w:r>
        <w:rPr>
          <w:rFonts w:hint="eastAsia" w:ascii="宋体" w:hAnsi="宋体" w:cs="宋体"/>
          <w:b/>
          <w:bCs/>
          <w:sz w:val="24"/>
        </w:rPr>
        <w:t>标的名称36：甲状腺球蛋白抗体检测试剂盒</w:t>
      </w:r>
    </w:p>
    <w:p w14:paraId="47FFF445">
      <w:pPr>
        <w:spacing w:line="360" w:lineRule="auto"/>
        <w:ind w:firstLine="480" w:firstLineChars="200"/>
        <w:rPr>
          <w:rFonts w:hint="eastAsia" w:ascii="宋体" w:hAnsi="宋体" w:cs="宋体"/>
          <w:sz w:val="24"/>
        </w:rPr>
      </w:pPr>
      <w:r>
        <w:rPr>
          <w:rFonts w:hint="eastAsia" w:ascii="宋体" w:hAnsi="宋体" w:cs="宋体"/>
          <w:sz w:val="24"/>
        </w:rPr>
        <w:t>1.用途：用于体外定量检测人血清和血浆中的甲状腺球蛋白抗体。可应用于自身免疫性甲状腺疾病的辅助诊断。</w:t>
      </w:r>
    </w:p>
    <w:p w14:paraId="414ADA00">
      <w:pPr>
        <w:spacing w:line="360" w:lineRule="auto"/>
        <w:ind w:firstLine="480" w:firstLineChars="200"/>
        <w:rPr>
          <w:rFonts w:hint="eastAsia" w:ascii="宋体" w:hAnsi="宋体" w:cs="宋体"/>
          <w:sz w:val="24"/>
        </w:rPr>
      </w:pPr>
      <w:r>
        <w:rPr>
          <w:rFonts w:hint="eastAsia" w:ascii="宋体" w:hAnsi="宋体" w:cs="宋体"/>
          <w:sz w:val="24"/>
        </w:rPr>
        <w:t>2.样本类型：血清/血浆。</w:t>
      </w:r>
    </w:p>
    <w:p w14:paraId="6F9A1128">
      <w:pPr>
        <w:spacing w:line="360" w:lineRule="auto"/>
        <w:ind w:firstLine="480" w:firstLineChars="200"/>
        <w:rPr>
          <w:rFonts w:hint="eastAsia" w:ascii="宋体" w:hAnsi="宋体" w:cs="宋体"/>
          <w:sz w:val="24"/>
        </w:rPr>
      </w:pPr>
      <w:r>
        <w:rPr>
          <w:rFonts w:hint="eastAsia" w:ascii="宋体" w:hAnsi="宋体" w:cs="宋体"/>
          <w:sz w:val="24"/>
        </w:rPr>
        <w:t>3.检测原理：竞争法。</w:t>
      </w:r>
    </w:p>
    <w:p w14:paraId="04911F99">
      <w:pPr>
        <w:spacing w:line="360" w:lineRule="auto"/>
        <w:ind w:firstLine="480" w:firstLineChars="200"/>
        <w:rPr>
          <w:rFonts w:hint="eastAsia" w:ascii="宋体" w:hAnsi="宋体" w:cs="宋体"/>
          <w:sz w:val="24"/>
        </w:rPr>
      </w:pPr>
      <w:r>
        <w:rPr>
          <w:rFonts w:hint="eastAsia" w:ascii="宋体" w:hAnsi="宋体" w:cs="宋体"/>
          <w:sz w:val="24"/>
        </w:rPr>
        <w:t>4.检测时间：≤30分钟。</w:t>
      </w:r>
    </w:p>
    <w:p w14:paraId="4E75F1FE">
      <w:pPr>
        <w:spacing w:line="360" w:lineRule="auto"/>
        <w:ind w:firstLine="480" w:firstLineChars="200"/>
        <w:rPr>
          <w:rFonts w:hint="eastAsia" w:ascii="宋体" w:hAnsi="宋体" w:cs="宋体"/>
          <w:sz w:val="24"/>
        </w:rPr>
      </w:pPr>
      <w:r>
        <w:rPr>
          <w:rFonts w:hint="eastAsia" w:ascii="宋体" w:hAnsi="宋体" w:cs="宋体"/>
          <w:sz w:val="24"/>
        </w:rPr>
        <w:t>5.储存条件及有效期：2～8℃保存，禁止冷冻，有效期≥1年。</w:t>
      </w:r>
    </w:p>
    <w:p w14:paraId="1DD18D12">
      <w:pPr>
        <w:spacing w:line="360" w:lineRule="auto"/>
        <w:ind w:firstLine="482" w:firstLineChars="200"/>
        <w:rPr>
          <w:rFonts w:hint="eastAsia" w:ascii="宋体" w:hAnsi="宋体" w:cs="宋体"/>
          <w:b/>
          <w:bCs/>
          <w:sz w:val="24"/>
        </w:rPr>
      </w:pPr>
      <w:r>
        <w:rPr>
          <w:rFonts w:hint="eastAsia" w:ascii="宋体" w:hAnsi="宋体" w:cs="宋体"/>
          <w:b/>
          <w:bCs/>
          <w:sz w:val="24"/>
        </w:rPr>
        <w:t>标的名称37：甲状腺素定标液</w:t>
      </w:r>
    </w:p>
    <w:p w14:paraId="0B1D9F51">
      <w:pPr>
        <w:spacing w:line="360" w:lineRule="auto"/>
        <w:ind w:firstLine="480" w:firstLineChars="200"/>
        <w:rPr>
          <w:rFonts w:hint="eastAsia" w:ascii="宋体" w:hAnsi="宋体" w:cs="宋体"/>
          <w:sz w:val="24"/>
        </w:rPr>
      </w:pPr>
      <w:r>
        <w:rPr>
          <w:rFonts w:hint="eastAsia" w:ascii="宋体" w:hAnsi="宋体" w:cs="宋体"/>
          <w:sz w:val="24"/>
        </w:rPr>
        <w:t>1.主要用途：用于甲状腺素(T4)定量检测项目的定标。</w:t>
      </w:r>
    </w:p>
    <w:p w14:paraId="0A75AD9C">
      <w:pPr>
        <w:spacing w:line="360" w:lineRule="auto"/>
        <w:ind w:firstLine="480" w:firstLineChars="200"/>
        <w:rPr>
          <w:rFonts w:hint="eastAsia" w:ascii="宋体" w:hAnsi="宋体" w:cs="宋体"/>
          <w:sz w:val="24"/>
        </w:rPr>
      </w:pPr>
      <w:r>
        <w:rPr>
          <w:rFonts w:hint="eastAsia" w:ascii="宋体" w:hAnsi="宋体" w:cs="宋体"/>
          <w:sz w:val="24"/>
        </w:rPr>
        <w:t>2.试剂处理：定标液储存于系统配套的小瓶中可直接使用。</w:t>
      </w:r>
    </w:p>
    <w:p w14:paraId="5F920293">
      <w:pPr>
        <w:spacing w:line="360" w:lineRule="auto"/>
        <w:ind w:firstLine="480" w:firstLineChars="200"/>
        <w:rPr>
          <w:rFonts w:hint="eastAsia" w:ascii="宋体" w:hAnsi="宋体" w:cs="宋体"/>
          <w:sz w:val="24"/>
        </w:rPr>
      </w:pPr>
      <w:r>
        <w:rPr>
          <w:rFonts w:hint="eastAsia" w:ascii="宋体" w:hAnsi="宋体" w:cs="宋体"/>
          <w:sz w:val="24"/>
        </w:rPr>
        <w:t>3.储存条件：2-8℃保存，必要时分装冷冻保存。</w:t>
      </w:r>
    </w:p>
    <w:p w14:paraId="7F79B77C">
      <w:pPr>
        <w:spacing w:line="360" w:lineRule="auto"/>
        <w:ind w:firstLine="482" w:firstLineChars="200"/>
        <w:rPr>
          <w:rFonts w:hint="eastAsia" w:ascii="宋体" w:hAnsi="宋体" w:cs="宋体"/>
          <w:b/>
          <w:bCs/>
          <w:sz w:val="24"/>
        </w:rPr>
      </w:pPr>
      <w:r>
        <w:rPr>
          <w:rFonts w:hint="eastAsia" w:ascii="宋体" w:hAnsi="宋体" w:cs="宋体"/>
          <w:b/>
          <w:bCs/>
          <w:sz w:val="24"/>
        </w:rPr>
        <w:t>标的名称38：甲状腺素检测试剂盒</w:t>
      </w:r>
    </w:p>
    <w:p w14:paraId="7B811A70">
      <w:pPr>
        <w:spacing w:line="360" w:lineRule="auto"/>
        <w:ind w:firstLine="480" w:firstLineChars="200"/>
        <w:rPr>
          <w:rFonts w:hint="eastAsia" w:ascii="宋体" w:hAnsi="宋体" w:cs="宋体"/>
          <w:sz w:val="24"/>
        </w:rPr>
      </w:pPr>
      <w:r>
        <w:rPr>
          <w:rFonts w:hint="eastAsia" w:ascii="宋体" w:hAnsi="宋体" w:cs="宋体"/>
          <w:sz w:val="24"/>
        </w:rPr>
        <w:t>1.用途：用于体外定量测定人血清和血浆中的甲状腺素。</w:t>
      </w:r>
    </w:p>
    <w:p w14:paraId="22E02769">
      <w:pPr>
        <w:spacing w:line="360" w:lineRule="auto"/>
        <w:ind w:firstLine="480" w:firstLineChars="200"/>
        <w:rPr>
          <w:rFonts w:hint="eastAsia" w:ascii="宋体" w:hAnsi="宋体" w:cs="宋体"/>
          <w:sz w:val="24"/>
        </w:rPr>
      </w:pPr>
      <w:r>
        <w:rPr>
          <w:rFonts w:hint="eastAsia" w:ascii="宋体" w:hAnsi="宋体" w:cs="宋体"/>
          <w:sz w:val="24"/>
        </w:rPr>
        <w:t>2.样本类型：血清/血浆。</w:t>
      </w:r>
    </w:p>
    <w:p w14:paraId="0C54B034">
      <w:pPr>
        <w:spacing w:line="360" w:lineRule="auto"/>
        <w:ind w:firstLine="480" w:firstLineChars="200"/>
        <w:rPr>
          <w:rFonts w:hint="eastAsia" w:ascii="宋体" w:hAnsi="宋体" w:cs="宋体"/>
          <w:sz w:val="24"/>
        </w:rPr>
      </w:pPr>
      <w:r>
        <w:rPr>
          <w:rFonts w:hint="eastAsia" w:ascii="宋体" w:hAnsi="宋体" w:cs="宋体"/>
          <w:sz w:val="24"/>
        </w:rPr>
        <w:t>3.检测原理：竞争法原理。</w:t>
      </w:r>
    </w:p>
    <w:p w14:paraId="27F87231">
      <w:pPr>
        <w:spacing w:line="360" w:lineRule="auto"/>
        <w:ind w:firstLine="482" w:firstLineChars="200"/>
        <w:rPr>
          <w:rFonts w:hint="eastAsia" w:ascii="宋体" w:hAnsi="宋体" w:cs="宋体"/>
          <w:b/>
          <w:bCs/>
          <w:sz w:val="24"/>
        </w:rPr>
      </w:pPr>
      <w:r>
        <w:rPr>
          <w:rFonts w:hint="eastAsia" w:ascii="宋体" w:hAnsi="宋体" w:cs="宋体"/>
          <w:b/>
          <w:bCs/>
          <w:sz w:val="24"/>
        </w:rPr>
        <w:t>标的名称39：甲状腺素检测试剂盒</w:t>
      </w:r>
    </w:p>
    <w:p w14:paraId="0141773B">
      <w:pPr>
        <w:spacing w:line="360" w:lineRule="auto"/>
        <w:ind w:firstLine="480" w:firstLineChars="200"/>
        <w:rPr>
          <w:rFonts w:hint="eastAsia" w:ascii="宋体" w:hAnsi="宋体" w:cs="宋体"/>
          <w:sz w:val="24"/>
        </w:rPr>
      </w:pPr>
      <w:r>
        <w:rPr>
          <w:rFonts w:hint="eastAsia" w:ascii="宋体" w:hAnsi="宋体" w:cs="宋体"/>
          <w:sz w:val="24"/>
        </w:rPr>
        <w:t>1.用途：用于体外定量测定人血清和血浆中的甲状腺素。</w:t>
      </w:r>
    </w:p>
    <w:p w14:paraId="4787B31A">
      <w:pPr>
        <w:spacing w:line="360" w:lineRule="auto"/>
        <w:ind w:firstLine="480" w:firstLineChars="200"/>
        <w:rPr>
          <w:rFonts w:hint="eastAsia" w:ascii="宋体" w:hAnsi="宋体" w:cs="宋体"/>
          <w:sz w:val="24"/>
        </w:rPr>
      </w:pPr>
      <w:r>
        <w:rPr>
          <w:rFonts w:hint="eastAsia" w:ascii="宋体" w:hAnsi="宋体" w:cs="宋体"/>
          <w:sz w:val="24"/>
        </w:rPr>
        <w:t>2.样本类型：血清/血浆。</w:t>
      </w:r>
    </w:p>
    <w:p w14:paraId="3BEECDC7">
      <w:pPr>
        <w:spacing w:line="360" w:lineRule="auto"/>
        <w:ind w:firstLine="480" w:firstLineChars="200"/>
        <w:rPr>
          <w:rFonts w:hint="eastAsia" w:ascii="宋体" w:hAnsi="宋体" w:cs="宋体"/>
          <w:sz w:val="24"/>
        </w:rPr>
      </w:pPr>
      <w:r>
        <w:rPr>
          <w:rFonts w:hint="eastAsia" w:ascii="宋体" w:hAnsi="宋体" w:cs="宋体"/>
          <w:sz w:val="24"/>
        </w:rPr>
        <w:t>3.检测原理：竞争法原理。</w:t>
      </w:r>
    </w:p>
    <w:p w14:paraId="53592EB9">
      <w:pPr>
        <w:spacing w:line="360" w:lineRule="auto"/>
        <w:ind w:firstLine="480" w:firstLineChars="200"/>
        <w:rPr>
          <w:rFonts w:hint="eastAsia" w:ascii="宋体" w:hAnsi="宋体" w:cs="宋体"/>
          <w:sz w:val="24"/>
        </w:rPr>
      </w:pPr>
      <w:r>
        <w:rPr>
          <w:rFonts w:hint="eastAsia" w:ascii="宋体" w:hAnsi="宋体" w:cs="宋体"/>
          <w:sz w:val="24"/>
        </w:rPr>
        <w:t>4.检测时间：≤26分钟。</w:t>
      </w:r>
    </w:p>
    <w:p w14:paraId="1F624A79">
      <w:pPr>
        <w:spacing w:line="360" w:lineRule="auto"/>
        <w:ind w:firstLine="482" w:firstLineChars="200"/>
        <w:rPr>
          <w:rFonts w:hint="eastAsia" w:ascii="宋体" w:hAnsi="宋体" w:cs="宋体"/>
          <w:b/>
          <w:bCs/>
          <w:sz w:val="24"/>
        </w:rPr>
      </w:pPr>
      <w:r>
        <w:rPr>
          <w:rFonts w:hint="eastAsia" w:ascii="宋体" w:hAnsi="宋体" w:cs="宋体"/>
          <w:b/>
          <w:bCs/>
          <w:sz w:val="24"/>
        </w:rPr>
        <w:t>标的名称40：甲状腺相关自身抗体质控品</w:t>
      </w:r>
    </w:p>
    <w:p w14:paraId="18CFC094">
      <w:pPr>
        <w:spacing w:line="360" w:lineRule="auto"/>
        <w:ind w:firstLine="480" w:firstLineChars="200"/>
        <w:rPr>
          <w:rFonts w:hint="eastAsia" w:ascii="宋体" w:hAnsi="宋体" w:cs="宋体"/>
          <w:sz w:val="24"/>
        </w:rPr>
      </w:pPr>
      <w:r>
        <w:rPr>
          <w:rFonts w:hint="eastAsia" w:ascii="宋体" w:hAnsi="宋体" w:cs="宋体"/>
          <w:sz w:val="24"/>
        </w:rPr>
        <w:t>1.主要用途：用于促甲状腺素受体抗体、抗甲状腺过氧化物酶抗体和甲状腺球蛋白抗体免疫测定的质控。</w:t>
      </w:r>
    </w:p>
    <w:p w14:paraId="751B9F37">
      <w:pPr>
        <w:spacing w:line="360" w:lineRule="auto"/>
        <w:ind w:firstLine="480" w:firstLineChars="200"/>
        <w:rPr>
          <w:rFonts w:hint="eastAsia" w:ascii="宋体" w:hAnsi="宋体" w:cs="宋体"/>
          <w:sz w:val="24"/>
        </w:rPr>
      </w:pPr>
      <w:r>
        <w:rPr>
          <w:rFonts w:hint="eastAsia" w:ascii="宋体" w:hAnsi="宋体" w:cs="宋体"/>
          <w:sz w:val="24"/>
        </w:rPr>
        <w:t>2.试剂处理：每瓶加入蒸馏水或去离子水使其溶解，并放置30分钟，获得重新制备的质控品。小心混匀，避免产生泡沫。将重新制备的质控品移入空的有标记的卡口样品瓶或者备用的卡口样品瓶，并将标记粘贴在这些瓶上。立即保存于-20℃。每小瓶只能进行一次质控。</w:t>
      </w:r>
    </w:p>
    <w:p w14:paraId="3FB7FCB0">
      <w:pPr>
        <w:spacing w:line="360" w:lineRule="auto"/>
        <w:ind w:firstLine="480" w:firstLineChars="200"/>
        <w:rPr>
          <w:rFonts w:hint="eastAsia" w:ascii="宋体" w:hAnsi="宋体" w:cs="宋体"/>
          <w:sz w:val="24"/>
        </w:rPr>
      </w:pPr>
      <w:r>
        <w:rPr>
          <w:rFonts w:hint="eastAsia" w:ascii="宋体" w:hAnsi="宋体" w:cs="宋体"/>
          <w:sz w:val="24"/>
        </w:rPr>
        <w:t>3.储存条件：2~8℃保存，必要时分装冷冻保存。</w:t>
      </w:r>
    </w:p>
    <w:p w14:paraId="1065C195">
      <w:pPr>
        <w:spacing w:line="360" w:lineRule="auto"/>
        <w:ind w:firstLine="482" w:firstLineChars="200"/>
        <w:rPr>
          <w:rFonts w:hint="eastAsia" w:ascii="宋体" w:hAnsi="宋体" w:cs="宋体"/>
          <w:b/>
          <w:bCs/>
          <w:sz w:val="24"/>
        </w:rPr>
      </w:pPr>
      <w:r>
        <w:rPr>
          <w:rFonts w:hint="eastAsia" w:ascii="宋体" w:hAnsi="宋体" w:cs="宋体"/>
          <w:b/>
          <w:bCs/>
          <w:sz w:val="24"/>
        </w:rPr>
        <w:t>标的名称41：抗甲状腺过氧化物酶抗体定标液</w:t>
      </w:r>
    </w:p>
    <w:p w14:paraId="2AC03C35">
      <w:pPr>
        <w:spacing w:line="360" w:lineRule="auto"/>
        <w:ind w:firstLine="480" w:firstLineChars="200"/>
        <w:rPr>
          <w:rFonts w:hint="eastAsia" w:ascii="宋体" w:hAnsi="宋体" w:cs="宋体"/>
          <w:sz w:val="24"/>
        </w:rPr>
      </w:pPr>
      <w:r>
        <w:rPr>
          <w:rFonts w:hint="eastAsia" w:ascii="宋体" w:hAnsi="宋体" w:cs="宋体"/>
          <w:sz w:val="24"/>
        </w:rPr>
        <w:t>1.用途：抗甲状腺过氧化物酶抗体定标液用于对抗甲状腺过氧化物酶抗体检测试剂盒定量测定进行定标。</w:t>
      </w:r>
    </w:p>
    <w:p w14:paraId="2BD2973F">
      <w:pPr>
        <w:spacing w:line="360" w:lineRule="auto"/>
        <w:ind w:firstLine="480" w:firstLineChars="200"/>
        <w:rPr>
          <w:rFonts w:hint="eastAsia" w:ascii="宋体" w:hAnsi="宋体" w:cs="宋体"/>
          <w:sz w:val="24"/>
        </w:rPr>
      </w:pPr>
      <w:r>
        <w:rPr>
          <w:rFonts w:hint="eastAsia" w:ascii="宋体" w:hAnsi="宋体" w:cs="宋体"/>
          <w:sz w:val="24"/>
        </w:rPr>
        <w:t>2.试剂处理：移入蒸馏水/去离子水，使一个瓶内的内含物充分溶解，并密闭静置15分钟使其复溶。充分混合，避免起泡。把复溶定标液移入随附的带空白标签的压盖瓶中。每一等分只能执行一次定标程序。</w:t>
      </w:r>
    </w:p>
    <w:p w14:paraId="49010522">
      <w:pPr>
        <w:spacing w:line="360" w:lineRule="auto"/>
        <w:ind w:firstLine="480" w:firstLineChars="200"/>
        <w:rPr>
          <w:rFonts w:hint="eastAsia" w:ascii="宋体" w:hAnsi="宋体" w:cs="宋体"/>
          <w:sz w:val="24"/>
        </w:rPr>
      </w:pPr>
      <w:r>
        <w:rPr>
          <w:rFonts w:hint="eastAsia" w:ascii="宋体" w:hAnsi="宋体" w:cs="宋体"/>
          <w:sz w:val="24"/>
        </w:rPr>
        <w:t>3.储存条件：2~8℃保存，必要时分装冷冻保存。</w:t>
      </w:r>
    </w:p>
    <w:p w14:paraId="472EBA80">
      <w:pPr>
        <w:spacing w:line="360" w:lineRule="auto"/>
        <w:ind w:firstLine="482" w:firstLineChars="200"/>
        <w:rPr>
          <w:rFonts w:hint="eastAsia" w:ascii="宋体" w:hAnsi="宋体" w:cs="宋体"/>
          <w:b/>
          <w:bCs/>
          <w:sz w:val="24"/>
        </w:rPr>
      </w:pPr>
      <w:r>
        <w:rPr>
          <w:rFonts w:hint="eastAsia" w:ascii="宋体" w:hAnsi="宋体" w:cs="宋体"/>
          <w:b/>
          <w:bCs/>
          <w:sz w:val="24"/>
        </w:rPr>
        <w:t>标的名称42：抗甲状腺过氧化物酶抗体检测试剂盒</w:t>
      </w:r>
    </w:p>
    <w:p w14:paraId="66B58F79">
      <w:pPr>
        <w:spacing w:line="360" w:lineRule="auto"/>
        <w:ind w:firstLine="480" w:firstLineChars="200"/>
        <w:rPr>
          <w:rFonts w:hint="eastAsia" w:ascii="宋体" w:hAnsi="宋体" w:cs="宋体"/>
          <w:sz w:val="24"/>
        </w:rPr>
      </w:pPr>
      <w:r>
        <w:rPr>
          <w:rFonts w:hint="eastAsia" w:ascii="宋体" w:hAnsi="宋体" w:cs="宋体"/>
          <w:sz w:val="24"/>
        </w:rPr>
        <w:t>1.用途：用于体外定量检测人血清和血浆中的抗甲状腺过氧化物酶抗体的含量。可应用于自身免疫性甲状腺疾病的辅助诊断。</w:t>
      </w:r>
    </w:p>
    <w:p w14:paraId="5E4E0007">
      <w:pPr>
        <w:spacing w:line="360" w:lineRule="auto"/>
        <w:ind w:firstLine="480" w:firstLineChars="200"/>
        <w:rPr>
          <w:rFonts w:hint="eastAsia" w:ascii="宋体" w:hAnsi="宋体" w:cs="宋体"/>
          <w:sz w:val="24"/>
        </w:rPr>
      </w:pPr>
      <w:r>
        <w:rPr>
          <w:rFonts w:hint="eastAsia" w:ascii="宋体" w:hAnsi="宋体" w:cs="宋体"/>
          <w:sz w:val="24"/>
        </w:rPr>
        <w:t>2.样本类型：血清/血浆。</w:t>
      </w:r>
    </w:p>
    <w:p w14:paraId="7163FC09">
      <w:pPr>
        <w:spacing w:line="360" w:lineRule="auto"/>
        <w:ind w:firstLine="480" w:firstLineChars="200"/>
        <w:rPr>
          <w:rFonts w:hint="eastAsia" w:ascii="宋体" w:hAnsi="宋体" w:cs="宋体"/>
          <w:sz w:val="24"/>
        </w:rPr>
      </w:pPr>
      <w:r>
        <w:rPr>
          <w:rFonts w:hint="eastAsia" w:ascii="宋体" w:hAnsi="宋体" w:cs="宋体"/>
          <w:sz w:val="24"/>
        </w:rPr>
        <w:t>3.检测原理：竞争法原理。</w:t>
      </w:r>
    </w:p>
    <w:p w14:paraId="23C8C9E6">
      <w:pPr>
        <w:spacing w:line="360" w:lineRule="auto"/>
        <w:ind w:firstLine="482" w:firstLineChars="200"/>
        <w:rPr>
          <w:rFonts w:hint="eastAsia" w:ascii="宋体" w:hAnsi="宋体" w:cs="宋体"/>
          <w:b/>
          <w:bCs/>
          <w:sz w:val="24"/>
        </w:rPr>
      </w:pPr>
      <w:r>
        <w:rPr>
          <w:rFonts w:hint="eastAsia" w:ascii="宋体" w:hAnsi="宋体" w:cs="宋体"/>
          <w:b/>
          <w:bCs/>
          <w:sz w:val="24"/>
        </w:rPr>
        <w:t>标的名称43：鳞状上皮细胞癌抗原定标液</w:t>
      </w:r>
    </w:p>
    <w:p w14:paraId="68F6544B">
      <w:pPr>
        <w:spacing w:line="360" w:lineRule="auto"/>
        <w:ind w:firstLine="480" w:firstLineChars="200"/>
        <w:rPr>
          <w:rFonts w:hint="eastAsia" w:ascii="宋体" w:hAnsi="宋体" w:cs="宋体"/>
          <w:sz w:val="24"/>
        </w:rPr>
      </w:pPr>
      <w:r>
        <w:rPr>
          <w:rFonts w:hint="eastAsia" w:ascii="宋体" w:hAnsi="宋体" w:cs="宋体"/>
          <w:sz w:val="24"/>
        </w:rPr>
        <w:t>1.主要用途：用于鳞状上皮细胞癌抗原检测试剂盒定量检测项目的定标。</w:t>
      </w:r>
    </w:p>
    <w:p w14:paraId="4D0CB5FC">
      <w:pPr>
        <w:spacing w:line="360" w:lineRule="auto"/>
        <w:ind w:firstLine="480" w:firstLineChars="200"/>
        <w:rPr>
          <w:rFonts w:hint="eastAsia" w:ascii="宋体" w:hAnsi="宋体" w:cs="宋体"/>
          <w:sz w:val="24"/>
        </w:rPr>
      </w:pPr>
      <w:r>
        <w:rPr>
          <w:rFonts w:hint="eastAsia" w:ascii="宋体" w:hAnsi="宋体" w:cs="宋体"/>
          <w:sz w:val="24"/>
        </w:rPr>
        <w:t>2.试剂处理：添加蒸馏水或去离子水小心溶解瓶内物质，垂直加盖静置 15 分钟待其复溶。小心混匀，避免产生泡沫。将复溶的定标液转移至所提供的带有标签的压盖式小空瓶内。</w:t>
      </w:r>
    </w:p>
    <w:p w14:paraId="7BAE5E3C">
      <w:pPr>
        <w:spacing w:line="360" w:lineRule="auto"/>
        <w:ind w:firstLine="480" w:firstLineChars="200"/>
        <w:rPr>
          <w:rFonts w:hint="eastAsia" w:ascii="宋体" w:hAnsi="宋体" w:cs="宋体"/>
          <w:sz w:val="24"/>
        </w:rPr>
      </w:pPr>
      <w:r>
        <w:rPr>
          <w:rFonts w:hint="eastAsia" w:ascii="宋体" w:hAnsi="宋体" w:cs="宋体"/>
          <w:sz w:val="24"/>
        </w:rPr>
        <w:t>3.储存条件：2-8℃，必要时分装冷冻保存。</w:t>
      </w:r>
    </w:p>
    <w:p w14:paraId="6B620DE5">
      <w:pPr>
        <w:spacing w:line="360" w:lineRule="auto"/>
        <w:ind w:firstLine="482" w:firstLineChars="200"/>
        <w:rPr>
          <w:rFonts w:hint="eastAsia" w:ascii="宋体" w:hAnsi="宋体" w:cs="宋体"/>
          <w:b/>
          <w:bCs/>
          <w:sz w:val="24"/>
        </w:rPr>
      </w:pPr>
      <w:r>
        <w:rPr>
          <w:rFonts w:hint="eastAsia" w:ascii="宋体" w:hAnsi="宋体" w:cs="宋体"/>
          <w:b/>
          <w:bCs/>
          <w:sz w:val="24"/>
        </w:rPr>
        <w:t>标的名称44：鳞状上皮细胞癌抗原检测试剂盒</w:t>
      </w:r>
    </w:p>
    <w:p w14:paraId="2BBBEBD3">
      <w:pPr>
        <w:spacing w:line="360" w:lineRule="auto"/>
        <w:ind w:firstLine="480" w:firstLineChars="200"/>
        <w:rPr>
          <w:rFonts w:hint="eastAsia" w:ascii="宋体" w:hAnsi="宋体" w:cs="宋体"/>
          <w:sz w:val="24"/>
        </w:rPr>
      </w:pPr>
      <w:r>
        <w:rPr>
          <w:rFonts w:hint="eastAsia" w:ascii="宋体" w:hAnsi="宋体" w:cs="宋体"/>
          <w:sz w:val="24"/>
        </w:rPr>
        <w:t>1.用途：用于体外定量测定人血清和血浆中的鳞状上皮细胞癌(SCC)抗原。该测定用于辅助鳞状上皮细胞癌患者的管理。必须根据标准临床管理指南结合其他方法进行结果解释。</w:t>
      </w:r>
    </w:p>
    <w:p w14:paraId="6352CB34">
      <w:pPr>
        <w:spacing w:line="360" w:lineRule="auto"/>
        <w:ind w:firstLine="480" w:firstLineChars="200"/>
        <w:rPr>
          <w:rFonts w:hint="eastAsia" w:ascii="宋体" w:hAnsi="宋体" w:cs="宋体"/>
          <w:sz w:val="24"/>
        </w:rPr>
      </w:pPr>
      <w:r>
        <w:rPr>
          <w:rFonts w:hint="eastAsia" w:ascii="宋体" w:hAnsi="宋体" w:cs="宋体"/>
          <w:sz w:val="24"/>
        </w:rPr>
        <w:t>2.样本类型：血清/血浆。</w:t>
      </w:r>
    </w:p>
    <w:p w14:paraId="7A4A63A7">
      <w:pPr>
        <w:spacing w:line="360" w:lineRule="auto"/>
        <w:ind w:firstLine="480" w:firstLineChars="200"/>
        <w:rPr>
          <w:rFonts w:hint="eastAsia" w:ascii="宋体" w:hAnsi="宋体" w:cs="宋体"/>
          <w:sz w:val="24"/>
        </w:rPr>
      </w:pPr>
      <w:r>
        <w:rPr>
          <w:rFonts w:hint="eastAsia" w:ascii="宋体" w:hAnsi="宋体" w:cs="宋体"/>
          <w:sz w:val="24"/>
        </w:rPr>
        <w:t>3.检测原理：夹心法。</w:t>
      </w:r>
    </w:p>
    <w:p w14:paraId="12DDEEBD">
      <w:pPr>
        <w:spacing w:line="360" w:lineRule="auto"/>
        <w:ind w:firstLine="482" w:firstLineChars="200"/>
        <w:rPr>
          <w:rFonts w:hint="eastAsia" w:ascii="宋体" w:hAnsi="宋体" w:cs="宋体"/>
          <w:b/>
          <w:bCs/>
          <w:sz w:val="24"/>
        </w:rPr>
      </w:pPr>
      <w:r>
        <w:rPr>
          <w:rFonts w:hint="eastAsia" w:ascii="宋体" w:hAnsi="宋体" w:cs="宋体"/>
          <w:b/>
          <w:bCs/>
          <w:sz w:val="24"/>
        </w:rPr>
        <w:t>标的名称45：卵泡刺激素定标液</w:t>
      </w:r>
    </w:p>
    <w:p w14:paraId="671C7FE1">
      <w:pPr>
        <w:spacing w:line="360" w:lineRule="auto"/>
        <w:ind w:firstLine="480" w:firstLineChars="200"/>
        <w:rPr>
          <w:rFonts w:hint="eastAsia" w:ascii="宋体" w:hAnsi="宋体" w:cs="宋体"/>
          <w:sz w:val="24"/>
        </w:rPr>
      </w:pPr>
      <w:r>
        <w:rPr>
          <w:rFonts w:hint="eastAsia" w:ascii="宋体" w:hAnsi="宋体" w:cs="宋体"/>
          <w:sz w:val="24"/>
        </w:rPr>
        <w:t>1.用途：用于卵泡刺激素定量检测项目的定标。</w:t>
      </w:r>
    </w:p>
    <w:p w14:paraId="4B62D5EC">
      <w:pPr>
        <w:spacing w:line="360" w:lineRule="auto"/>
        <w:ind w:firstLine="480" w:firstLineChars="200"/>
        <w:rPr>
          <w:rFonts w:hint="eastAsia" w:ascii="宋体" w:hAnsi="宋体" w:cs="宋体"/>
          <w:sz w:val="24"/>
        </w:rPr>
      </w:pPr>
      <w:r>
        <w:rPr>
          <w:rFonts w:hint="eastAsia" w:ascii="宋体" w:hAnsi="宋体" w:cs="宋体"/>
          <w:sz w:val="24"/>
        </w:rPr>
        <w:t>2.试剂处理：添加蒸馏水或去离子水复溶瓶内物质，垂直加盖静置15分钟。小心混匀并避免产生气泡。将新鲜复溶的定标液分装至带标签的有盖小空瓶中。粘贴标签，立即置-20℃(±5℃)储存备用。分装的定标液只限一次使用。</w:t>
      </w:r>
    </w:p>
    <w:p w14:paraId="29B589E4">
      <w:pPr>
        <w:spacing w:line="360" w:lineRule="auto"/>
        <w:ind w:firstLine="480" w:firstLineChars="200"/>
        <w:rPr>
          <w:rFonts w:hint="eastAsia" w:ascii="宋体" w:hAnsi="宋体" w:cs="宋体"/>
          <w:sz w:val="24"/>
        </w:rPr>
      </w:pPr>
      <w:r>
        <w:rPr>
          <w:rFonts w:hint="eastAsia" w:ascii="宋体" w:hAnsi="宋体" w:cs="宋体"/>
          <w:sz w:val="24"/>
        </w:rPr>
        <w:t>3.储存条件：2-8℃保存，必要时分装冷冻保存。</w:t>
      </w:r>
    </w:p>
    <w:p w14:paraId="3477AA6C">
      <w:pPr>
        <w:spacing w:line="360" w:lineRule="auto"/>
        <w:ind w:firstLine="482" w:firstLineChars="200"/>
        <w:rPr>
          <w:rFonts w:hint="eastAsia" w:ascii="宋体" w:hAnsi="宋体" w:cs="宋体"/>
          <w:b/>
          <w:bCs/>
          <w:sz w:val="24"/>
        </w:rPr>
      </w:pPr>
      <w:r>
        <w:rPr>
          <w:rFonts w:hint="eastAsia" w:ascii="宋体" w:hAnsi="宋体" w:cs="宋体"/>
          <w:b/>
          <w:bCs/>
          <w:sz w:val="24"/>
        </w:rPr>
        <w:t>标的名称46：梅毒螺旋体抗体检测试剂盒</w:t>
      </w:r>
    </w:p>
    <w:p w14:paraId="6DD1CCB8">
      <w:pPr>
        <w:spacing w:line="360" w:lineRule="auto"/>
        <w:ind w:firstLine="480" w:firstLineChars="200"/>
        <w:rPr>
          <w:rFonts w:hint="eastAsia" w:ascii="宋体" w:hAnsi="宋体" w:cs="宋体"/>
          <w:sz w:val="24"/>
        </w:rPr>
      </w:pPr>
      <w:r>
        <w:rPr>
          <w:rFonts w:hint="eastAsia" w:ascii="宋体" w:hAnsi="宋体" w:cs="宋体"/>
          <w:sz w:val="24"/>
        </w:rPr>
        <w:t>1.用途：用于体外定性测定人血清和血浆中的梅毒螺旋体总抗体。可用于辅助诊断梅毒感染。</w:t>
      </w:r>
    </w:p>
    <w:p w14:paraId="24A7A6BB">
      <w:pPr>
        <w:spacing w:line="360" w:lineRule="auto"/>
        <w:ind w:firstLine="480" w:firstLineChars="200"/>
        <w:rPr>
          <w:rFonts w:hint="eastAsia" w:ascii="宋体" w:hAnsi="宋体" w:cs="宋体"/>
          <w:sz w:val="24"/>
        </w:rPr>
      </w:pPr>
      <w:r>
        <w:rPr>
          <w:rFonts w:hint="eastAsia" w:ascii="宋体" w:hAnsi="宋体" w:cs="宋体"/>
          <w:sz w:val="24"/>
        </w:rPr>
        <w:t>2.样本类型：血清/血浆。</w:t>
      </w:r>
    </w:p>
    <w:p w14:paraId="4EB41F63">
      <w:pPr>
        <w:spacing w:line="360" w:lineRule="auto"/>
        <w:ind w:firstLine="480" w:firstLineChars="200"/>
        <w:rPr>
          <w:rFonts w:hint="eastAsia" w:ascii="宋体" w:hAnsi="宋体" w:cs="宋体"/>
          <w:sz w:val="24"/>
        </w:rPr>
      </w:pPr>
      <w:r>
        <w:rPr>
          <w:rFonts w:hint="eastAsia" w:ascii="宋体" w:hAnsi="宋体" w:cs="宋体"/>
          <w:sz w:val="24"/>
        </w:rPr>
        <w:t>3.检测原理：夹心法。</w:t>
      </w:r>
    </w:p>
    <w:p w14:paraId="6F24EF6E">
      <w:pPr>
        <w:spacing w:line="360" w:lineRule="auto"/>
        <w:ind w:firstLine="480" w:firstLineChars="200"/>
        <w:rPr>
          <w:rFonts w:hint="eastAsia" w:ascii="宋体" w:hAnsi="宋体" w:cs="宋体"/>
          <w:sz w:val="24"/>
        </w:rPr>
      </w:pPr>
      <w:r>
        <w:rPr>
          <w:rFonts w:hint="eastAsia" w:ascii="宋体" w:hAnsi="宋体" w:cs="宋体"/>
          <w:sz w:val="24"/>
        </w:rPr>
        <w:t>5.储存条件及有效期：2～8℃保存，禁止冷冻，有效期≥1年。</w:t>
      </w:r>
    </w:p>
    <w:p w14:paraId="77024053">
      <w:pPr>
        <w:spacing w:line="360" w:lineRule="auto"/>
        <w:ind w:firstLine="482" w:firstLineChars="200"/>
        <w:rPr>
          <w:rFonts w:hint="eastAsia" w:ascii="宋体" w:hAnsi="宋体" w:cs="宋体"/>
          <w:b/>
          <w:bCs/>
          <w:sz w:val="24"/>
        </w:rPr>
      </w:pPr>
      <w:r>
        <w:rPr>
          <w:rFonts w:hint="eastAsia" w:ascii="宋体" w:hAnsi="宋体" w:cs="宋体"/>
          <w:b/>
          <w:bCs/>
          <w:sz w:val="24"/>
        </w:rPr>
        <w:t>标的名称47：梅毒螺旋体抗体质控品</w:t>
      </w:r>
    </w:p>
    <w:p w14:paraId="2C6AA99D">
      <w:pPr>
        <w:spacing w:line="360" w:lineRule="auto"/>
        <w:ind w:firstLine="480" w:firstLineChars="200"/>
        <w:rPr>
          <w:rFonts w:hint="eastAsia" w:ascii="宋体" w:hAnsi="宋体" w:cs="宋体"/>
          <w:sz w:val="24"/>
        </w:rPr>
      </w:pPr>
      <w:r>
        <w:rPr>
          <w:rFonts w:hint="eastAsia" w:ascii="宋体" w:hAnsi="宋体" w:cs="宋体"/>
          <w:sz w:val="24"/>
        </w:rPr>
        <w:t>1.主要用途：用于梅毒螺旋体抗体测定的质量控制。</w:t>
      </w:r>
    </w:p>
    <w:p w14:paraId="12F9B073">
      <w:pPr>
        <w:spacing w:line="360" w:lineRule="auto"/>
        <w:ind w:firstLine="480" w:firstLineChars="200"/>
        <w:rPr>
          <w:rFonts w:hint="eastAsia" w:ascii="宋体" w:hAnsi="宋体" w:cs="宋体"/>
          <w:sz w:val="24"/>
        </w:rPr>
      </w:pPr>
      <w:r>
        <w:rPr>
          <w:rFonts w:hint="eastAsia" w:ascii="宋体" w:hAnsi="宋体" w:cs="宋体"/>
          <w:sz w:val="24"/>
        </w:rPr>
        <w:t>2.试剂处理：添加蒸馏水或去离子水复溶瓶内物质，垂直加盖静置15分钟。小心混匀，避免产生泡沫。检量无条形码的质控品时，只可使用推荐的样本试管、试管杯或架上样本杯。可将复溶后的质控品等分转移到适用的试管，并立即使用。每份分装质控品仅可使用一次。</w:t>
      </w:r>
    </w:p>
    <w:p w14:paraId="0FF2D90A">
      <w:pPr>
        <w:spacing w:line="360" w:lineRule="auto"/>
        <w:ind w:firstLine="480" w:firstLineChars="200"/>
        <w:rPr>
          <w:rFonts w:hint="eastAsia" w:ascii="宋体" w:hAnsi="宋体" w:cs="宋体"/>
          <w:sz w:val="24"/>
        </w:rPr>
      </w:pPr>
      <w:r>
        <w:rPr>
          <w:rFonts w:hint="eastAsia" w:ascii="宋体" w:hAnsi="宋体" w:cs="宋体"/>
          <w:sz w:val="24"/>
        </w:rPr>
        <w:t>3.储存条件：2~8℃ 保存，必要时分装冷冻保存。</w:t>
      </w:r>
    </w:p>
    <w:p w14:paraId="727CFD04">
      <w:pPr>
        <w:spacing w:line="360" w:lineRule="auto"/>
        <w:ind w:firstLine="482" w:firstLineChars="200"/>
        <w:rPr>
          <w:rFonts w:hint="eastAsia" w:ascii="宋体" w:hAnsi="宋体" w:cs="宋体"/>
          <w:b/>
          <w:bCs/>
          <w:sz w:val="24"/>
        </w:rPr>
      </w:pPr>
      <w:r>
        <w:rPr>
          <w:rFonts w:hint="eastAsia" w:ascii="宋体" w:hAnsi="宋体" w:cs="宋体"/>
          <w:b/>
          <w:bCs/>
          <w:sz w:val="24"/>
        </w:rPr>
        <w:t>标的名称48：免疫多项质控品</w:t>
      </w:r>
    </w:p>
    <w:p w14:paraId="40037EFC">
      <w:pPr>
        <w:spacing w:line="360" w:lineRule="auto"/>
        <w:ind w:firstLine="480" w:firstLineChars="200"/>
        <w:rPr>
          <w:rFonts w:hint="eastAsia" w:ascii="宋体" w:hAnsi="宋体" w:cs="宋体"/>
          <w:sz w:val="24"/>
        </w:rPr>
      </w:pPr>
      <w:r>
        <w:rPr>
          <w:rFonts w:hint="eastAsia" w:ascii="宋体" w:hAnsi="宋体" w:cs="宋体"/>
          <w:sz w:val="24"/>
        </w:rPr>
        <w:t>1.用途：免疫多项质控品用于维生素B12，铁蛋白，叶酸，β-胶原特殊序列(血清)，骨钙素，甲状旁腺素，甲状旁腺素(1-84)，总I型胶原氨基端延长肽，25-羟基维生素D，降钙素检测项目的质量控制。</w:t>
      </w:r>
    </w:p>
    <w:p w14:paraId="612B5F30">
      <w:pPr>
        <w:spacing w:line="360" w:lineRule="auto"/>
        <w:ind w:firstLine="480" w:firstLineChars="200"/>
        <w:rPr>
          <w:rFonts w:hint="eastAsia" w:ascii="宋体" w:hAnsi="宋体" w:cs="宋体"/>
          <w:sz w:val="24"/>
        </w:rPr>
      </w:pPr>
      <w:r>
        <w:rPr>
          <w:rFonts w:hint="eastAsia" w:ascii="宋体" w:hAnsi="宋体" w:cs="宋体"/>
          <w:sz w:val="24"/>
        </w:rPr>
        <w:t>2.试剂处理：添加蒸馏水或去离子水复溶瓶内物质,垂直加盖静置30分钟。小心混匀，避免产生气泡。将复溶质控品转移至提供的压盖式空瓶内，或转移至其它压盖式空试剂瓶中。将提供的标签贴在这些小瓶上。立即将分装的质控液置于-20℃(±5℃)保存。在测量无条码的质控品时，只可使用推荐的样本管、管上样本杯或架上样本杯。每份分装质控品仅可使用一次。</w:t>
      </w:r>
    </w:p>
    <w:p w14:paraId="57EFA5E1">
      <w:pPr>
        <w:spacing w:line="360" w:lineRule="auto"/>
        <w:ind w:firstLine="480" w:firstLineChars="200"/>
        <w:rPr>
          <w:rFonts w:hint="eastAsia" w:ascii="宋体" w:hAnsi="宋体" w:cs="宋体"/>
          <w:sz w:val="24"/>
        </w:rPr>
      </w:pPr>
      <w:r>
        <w:rPr>
          <w:rFonts w:hint="eastAsia" w:ascii="宋体" w:hAnsi="宋体" w:cs="宋体"/>
          <w:sz w:val="24"/>
        </w:rPr>
        <w:t>3.储存条件：2~8℃ 保存，必要时分装冷冻保存。</w:t>
      </w:r>
    </w:p>
    <w:p w14:paraId="1FBB82BB">
      <w:pPr>
        <w:spacing w:line="360" w:lineRule="auto"/>
        <w:ind w:firstLine="482" w:firstLineChars="200"/>
        <w:rPr>
          <w:rFonts w:hint="eastAsia" w:ascii="宋体" w:hAnsi="宋体" w:cs="宋体"/>
          <w:b/>
          <w:bCs/>
          <w:sz w:val="24"/>
        </w:rPr>
      </w:pPr>
      <w:r>
        <w:rPr>
          <w:rFonts w:hint="eastAsia" w:ascii="宋体" w:hAnsi="宋体" w:cs="宋体"/>
          <w:b/>
          <w:bCs/>
          <w:sz w:val="24"/>
        </w:rPr>
        <w:t>标的名称49：免疫通用质控品</w:t>
      </w:r>
    </w:p>
    <w:p w14:paraId="7792F92D">
      <w:pPr>
        <w:spacing w:line="360" w:lineRule="auto"/>
        <w:ind w:firstLine="480" w:firstLineChars="200"/>
        <w:rPr>
          <w:rFonts w:hint="eastAsia" w:ascii="宋体" w:hAnsi="宋体" w:cs="宋体"/>
          <w:sz w:val="24"/>
        </w:rPr>
      </w:pPr>
      <w:r>
        <w:rPr>
          <w:rFonts w:hint="eastAsia" w:ascii="宋体" w:hAnsi="宋体" w:cs="宋体"/>
          <w:sz w:val="24"/>
        </w:rPr>
        <w:t>1.用途：用于甲胎蛋白、癌胚抗原、皮质醇、硫酸脱氢表雄甾酮、雌二醇、促卵泡成熟激素、游离三碘甲状腺原氨酸、游离甲状腺素、绒毛膜促性腺激素、绒毛膜促性腺激素及β亚单位、免疫球蛋白E、胰岛素、黄体生成激素、孕酮、催乳素、总前列腺特异性抗原、S100、性激素结合球蛋白、三碘甲状腺原氨酸、甲状腺素、睾酮、甲状腺球蛋白、促甲状腺激素、甲状腺素结合力检测项目的质量控制。</w:t>
      </w:r>
    </w:p>
    <w:p w14:paraId="5C6E2ADB">
      <w:pPr>
        <w:spacing w:line="360" w:lineRule="auto"/>
        <w:ind w:firstLine="480" w:firstLineChars="200"/>
        <w:rPr>
          <w:rFonts w:hint="eastAsia" w:ascii="宋体" w:hAnsi="宋体" w:cs="宋体"/>
          <w:sz w:val="24"/>
        </w:rPr>
      </w:pPr>
      <w:r>
        <w:rPr>
          <w:rFonts w:hint="eastAsia" w:ascii="宋体" w:hAnsi="宋体" w:cs="宋体"/>
          <w:sz w:val="24"/>
        </w:rPr>
        <w:t>2.试剂处理：往试剂瓶内加入蒸馏水或去离子水，垂直放置30分钟使之完全溶解。小心混匀，避免产生泡沫。将复溶质控品分装至提供的带标签的压盖式空瓶或额外的压盖式空瓶内。将提供的标签粘贴于这些额外的瓶上。分装瓶应立即至于-20℃ (±5℃)保存备用。每瓶分装的质控品只能完成一次质控。</w:t>
      </w:r>
    </w:p>
    <w:p w14:paraId="096F08FA">
      <w:pPr>
        <w:spacing w:line="360" w:lineRule="auto"/>
        <w:ind w:firstLine="480" w:firstLineChars="200"/>
        <w:rPr>
          <w:rFonts w:hint="eastAsia" w:ascii="宋体" w:hAnsi="宋体" w:cs="宋体"/>
          <w:sz w:val="24"/>
        </w:rPr>
      </w:pPr>
      <w:r>
        <w:rPr>
          <w:rFonts w:hint="eastAsia" w:ascii="宋体" w:hAnsi="宋体" w:cs="宋体"/>
          <w:sz w:val="24"/>
        </w:rPr>
        <w:t>3.储存条件：2~8℃ 保存，必要时分装冷冻保存。</w:t>
      </w:r>
    </w:p>
    <w:p w14:paraId="03B80423">
      <w:pPr>
        <w:spacing w:line="360" w:lineRule="auto"/>
        <w:ind w:firstLine="482" w:firstLineChars="200"/>
        <w:rPr>
          <w:rFonts w:hint="eastAsia" w:ascii="宋体" w:hAnsi="宋体" w:cs="宋体"/>
          <w:b/>
          <w:bCs/>
          <w:sz w:val="24"/>
        </w:rPr>
      </w:pPr>
      <w:r>
        <w:rPr>
          <w:rFonts w:hint="eastAsia" w:ascii="宋体" w:hAnsi="宋体" w:cs="宋体"/>
          <w:b/>
          <w:bCs/>
          <w:sz w:val="24"/>
        </w:rPr>
        <w:t>标的名称50：清洗液 ISE</w:t>
      </w:r>
    </w:p>
    <w:p w14:paraId="458377B9">
      <w:pPr>
        <w:spacing w:line="360" w:lineRule="auto"/>
        <w:ind w:firstLine="480" w:firstLineChars="200"/>
        <w:rPr>
          <w:rFonts w:hint="eastAsia" w:ascii="宋体" w:hAnsi="宋体" w:cs="宋体"/>
          <w:sz w:val="24"/>
        </w:rPr>
      </w:pPr>
      <w:r>
        <w:rPr>
          <w:rFonts w:hint="eastAsia" w:ascii="宋体" w:hAnsi="宋体" w:cs="宋体"/>
          <w:sz w:val="24"/>
        </w:rPr>
        <w:t>1.用途：用于检测过程中反应体系的清洗，以便于对待测物质进行体外检测，不包含单独用于仪器清洗的清洗液。</w:t>
      </w:r>
    </w:p>
    <w:p w14:paraId="5F94D935">
      <w:pPr>
        <w:spacing w:line="360" w:lineRule="auto"/>
        <w:ind w:firstLine="480" w:firstLineChars="200"/>
        <w:rPr>
          <w:rFonts w:hint="eastAsia" w:ascii="宋体" w:hAnsi="宋体" w:cs="宋体"/>
          <w:sz w:val="24"/>
        </w:rPr>
      </w:pPr>
      <w:r>
        <w:rPr>
          <w:rFonts w:hint="eastAsia" w:ascii="宋体" w:hAnsi="宋体" w:cs="宋体"/>
          <w:sz w:val="24"/>
        </w:rPr>
        <w:t>2.试剂使用：即用型，避免产生泡沫。</w:t>
      </w:r>
    </w:p>
    <w:p w14:paraId="6C5DC0C2">
      <w:pPr>
        <w:spacing w:line="360" w:lineRule="auto"/>
        <w:ind w:firstLine="480" w:firstLineChars="200"/>
        <w:rPr>
          <w:rFonts w:hint="eastAsia" w:ascii="宋体" w:hAnsi="宋体" w:cs="宋体"/>
          <w:sz w:val="24"/>
        </w:rPr>
      </w:pPr>
      <w:r>
        <w:rPr>
          <w:rFonts w:hint="eastAsia" w:ascii="宋体" w:hAnsi="宋体" w:cs="宋体"/>
          <w:sz w:val="24"/>
        </w:rPr>
        <w:t>3.储存条件：15～25℃。</w:t>
      </w:r>
    </w:p>
    <w:p w14:paraId="63B8D201">
      <w:pPr>
        <w:spacing w:line="360" w:lineRule="auto"/>
        <w:ind w:firstLine="482" w:firstLineChars="200"/>
        <w:rPr>
          <w:rFonts w:hint="eastAsia" w:ascii="宋体" w:hAnsi="宋体" w:cs="宋体"/>
          <w:b/>
          <w:bCs/>
          <w:sz w:val="24"/>
        </w:rPr>
      </w:pPr>
      <w:r>
        <w:rPr>
          <w:rFonts w:hint="eastAsia" w:ascii="宋体" w:hAnsi="宋体" w:cs="宋体"/>
          <w:b/>
          <w:bCs/>
          <w:sz w:val="24"/>
        </w:rPr>
        <w:t xml:space="preserve">标的名称51：预清洗液 </w:t>
      </w:r>
    </w:p>
    <w:p w14:paraId="445D5032">
      <w:pPr>
        <w:spacing w:line="360" w:lineRule="auto"/>
        <w:ind w:firstLine="480" w:firstLineChars="200"/>
        <w:rPr>
          <w:rFonts w:hint="eastAsia" w:ascii="宋体" w:hAnsi="宋体" w:cs="宋体"/>
          <w:sz w:val="24"/>
        </w:rPr>
      </w:pPr>
      <w:r>
        <w:rPr>
          <w:rFonts w:hint="eastAsia" w:ascii="宋体" w:hAnsi="宋体" w:cs="宋体"/>
          <w:sz w:val="24"/>
        </w:rPr>
        <w:t>1.用途：用于检测过程中反应体系的清洗，以便于对待测物质进行体外检测，不包含单独用于仪器清洗的清洗液。</w:t>
      </w:r>
    </w:p>
    <w:p w14:paraId="4ADA7437">
      <w:pPr>
        <w:spacing w:line="360" w:lineRule="auto"/>
        <w:ind w:firstLine="480" w:firstLineChars="200"/>
        <w:rPr>
          <w:rFonts w:hint="eastAsia" w:ascii="宋体" w:hAnsi="宋体" w:cs="宋体"/>
          <w:sz w:val="24"/>
        </w:rPr>
      </w:pPr>
      <w:r>
        <w:rPr>
          <w:rFonts w:hint="eastAsia" w:ascii="宋体" w:hAnsi="宋体" w:cs="宋体"/>
          <w:sz w:val="24"/>
        </w:rPr>
        <w:t>2.可用于清除可能干扰信号检测的物质。</w:t>
      </w:r>
    </w:p>
    <w:p w14:paraId="39A94AF5">
      <w:pPr>
        <w:spacing w:line="360" w:lineRule="auto"/>
        <w:ind w:firstLine="480" w:firstLineChars="200"/>
        <w:rPr>
          <w:rFonts w:hint="eastAsia" w:ascii="宋体" w:hAnsi="宋体" w:cs="宋体"/>
          <w:sz w:val="24"/>
        </w:rPr>
      </w:pPr>
      <w:r>
        <w:rPr>
          <w:rFonts w:hint="eastAsia" w:ascii="宋体" w:hAnsi="宋体" w:cs="宋体"/>
          <w:sz w:val="24"/>
        </w:rPr>
        <w:t>3.试剂使用：即用型，避免产生泡沫。</w:t>
      </w:r>
    </w:p>
    <w:p w14:paraId="2EAD5ED7">
      <w:pPr>
        <w:spacing w:line="360" w:lineRule="auto"/>
        <w:ind w:firstLine="480" w:firstLineChars="200"/>
        <w:rPr>
          <w:rFonts w:hint="eastAsia" w:ascii="宋体" w:hAnsi="宋体" w:cs="宋体"/>
          <w:sz w:val="24"/>
        </w:rPr>
      </w:pPr>
      <w:r>
        <w:rPr>
          <w:rFonts w:hint="eastAsia" w:ascii="宋体" w:hAnsi="宋体" w:cs="宋体"/>
          <w:sz w:val="24"/>
        </w:rPr>
        <w:t>4.储存条件：15～25℃。</w:t>
      </w:r>
    </w:p>
    <w:p w14:paraId="4C1C1CAC">
      <w:pPr>
        <w:spacing w:line="360" w:lineRule="auto"/>
        <w:ind w:firstLine="482" w:firstLineChars="200"/>
        <w:rPr>
          <w:rFonts w:hint="eastAsia" w:ascii="宋体" w:hAnsi="宋体" w:cs="宋体"/>
          <w:b/>
          <w:bCs/>
          <w:sz w:val="24"/>
        </w:rPr>
      </w:pPr>
      <w:r>
        <w:rPr>
          <w:rFonts w:hint="eastAsia" w:ascii="宋体" w:hAnsi="宋体" w:cs="宋体"/>
          <w:b/>
          <w:bCs/>
          <w:sz w:val="24"/>
        </w:rPr>
        <w:t>标的名称52：洗针液</w:t>
      </w:r>
    </w:p>
    <w:p w14:paraId="6D84BFA8">
      <w:pPr>
        <w:spacing w:line="360" w:lineRule="auto"/>
        <w:ind w:firstLine="480" w:firstLineChars="200"/>
        <w:rPr>
          <w:rFonts w:hint="eastAsia" w:ascii="宋体" w:hAnsi="宋体" w:cs="宋体"/>
          <w:sz w:val="24"/>
        </w:rPr>
      </w:pPr>
      <w:r>
        <w:rPr>
          <w:rFonts w:hint="eastAsia" w:ascii="宋体" w:hAnsi="宋体" w:cs="宋体"/>
          <w:sz w:val="24"/>
        </w:rPr>
        <w:t>1.用途：用于检测过程中反应体系的清洗，以便于对待测物质进行体外检测，不包含单独用于仪器清洗的清洗液。</w:t>
      </w:r>
    </w:p>
    <w:p w14:paraId="18B993AF">
      <w:pPr>
        <w:spacing w:line="360" w:lineRule="auto"/>
        <w:ind w:firstLine="480" w:firstLineChars="200"/>
        <w:rPr>
          <w:rFonts w:hint="eastAsia" w:ascii="宋体" w:hAnsi="宋体" w:cs="宋体"/>
          <w:sz w:val="24"/>
        </w:rPr>
      </w:pPr>
      <w:r>
        <w:rPr>
          <w:rFonts w:hint="eastAsia" w:ascii="宋体" w:hAnsi="宋体" w:cs="宋体"/>
          <w:sz w:val="24"/>
        </w:rPr>
        <w:t>2.试剂使用：即用型，避免产生泡沫。</w:t>
      </w:r>
    </w:p>
    <w:p w14:paraId="22635999">
      <w:pPr>
        <w:spacing w:line="360" w:lineRule="auto"/>
        <w:ind w:firstLine="480" w:firstLineChars="200"/>
        <w:rPr>
          <w:rFonts w:hint="eastAsia" w:ascii="宋体" w:hAnsi="宋体" w:cs="宋体"/>
          <w:sz w:val="24"/>
        </w:rPr>
      </w:pPr>
      <w:r>
        <w:rPr>
          <w:rFonts w:hint="eastAsia" w:ascii="宋体" w:hAnsi="宋体" w:cs="宋体"/>
          <w:sz w:val="24"/>
        </w:rPr>
        <w:t>3.储存条件：15～25℃。</w:t>
      </w:r>
    </w:p>
    <w:p w14:paraId="5870FED3">
      <w:pPr>
        <w:spacing w:line="360" w:lineRule="auto"/>
        <w:ind w:firstLine="482" w:firstLineChars="200"/>
        <w:rPr>
          <w:rFonts w:hint="eastAsia" w:ascii="宋体" w:hAnsi="宋体" w:cs="宋体"/>
          <w:b/>
          <w:bCs/>
          <w:sz w:val="24"/>
        </w:rPr>
      </w:pPr>
      <w:r>
        <w:rPr>
          <w:rFonts w:hint="eastAsia" w:ascii="宋体" w:hAnsi="宋体" w:cs="宋体"/>
          <w:b/>
          <w:bCs/>
          <w:sz w:val="24"/>
        </w:rPr>
        <w:t>标的名称53：人类免疫缺陷病毒抗体和抗原(P24)检测试剂盒</w:t>
      </w:r>
    </w:p>
    <w:p w14:paraId="01ECBFFE">
      <w:pPr>
        <w:spacing w:line="360" w:lineRule="auto"/>
        <w:ind w:firstLine="480" w:firstLineChars="200"/>
        <w:rPr>
          <w:rFonts w:hint="eastAsia" w:ascii="宋体" w:hAnsi="宋体" w:cs="宋体"/>
          <w:sz w:val="24"/>
        </w:rPr>
      </w:pPr>
      <w:r>
        <w:rPr>
          <w:rFonts w:hint="eastAsia" w:ascii="宋体" w:hAnsi="宋体" w:cs="宋体"/>
          <w:sz w:val="24"/>
        </w:rPr>
        <w:t>1.用途：用于体外定性测定人血清和血浆中的 HIV-1 p24抗原以及 HIV-1(包括O组)和HIV-2抗体。人类免疫缺陷病毒抗体和抗原(P24)检测试剂盒用于帮助诊断HIV感染。</w:t>
      </w:r>
    </w:p>
    <w:p w14:paraId="728E36DB">
      <w:pPr>
        <w:spacing w:line="360" w:lineRule="auto"/>
        <w:ind w:firstLine="480" w:firstLineChars="200"/>
        <w:rPr>
          <w:rFonts w:hint="eastAsia" w:ascii="宋体" w:hAnsi="宋体" w:cs="宋体"/>
          <w:sz w:val="24"/>
        </w:rPr>
      </w:pPr>
      <w:r>
        <w:rPr>
          <w:rFonts w:hint="eastAsia" w:ascii="宋体" w:hAnsi="宋体" w:cs="宋体"/>
          <w:sz w:val="24"/>
        </w:rPr>
        <w:t>2.样本类型：血清/血浆。</w:t>
      </w:r>
    </w:p>
    <w:p w14:paraId="54DB699E">
      <w:pPr>
        <w:spacing w:line="360" w:lineRule="auto"/>
        <w:ind w:firstLine="480" w:firstLineChars="200"/>
        <w:rPr>
          <w:rFonts w:hint="eastAsia" w:ascii="宋体" w:hAnsi="宋体" w:cs="宋体"/>
          <w:sz w:val="24"/>
        </w:rPr>
      </w:pPr>
      <w:r>
        <w:rPr>
          <w:rFonts w:hint="eastAsia" w:ascii="宋体" w:hAnsi="宋体" w:cs="宋体"/>
          <w:sz w:val="24"/>
        </w:rPr>
        <w:t>3.检测原理：夹心法。</w:t>
      </w:r>
    </w:p>
    <w:p w14:paraId="006FBF20">
      <w:pPr>
        <w:spacing w:line="360" w:lineRule="auto"/>
        <w:ind w:firstLine="482" w:firstLineChars="200"/>
        <w:rPr>
          <w:rFonts w:hint="eastAsia" w:ascii="宋体" w:hAnsi="宋体" w:cs="宋体"/>
          <w:b/>
          <w:bCs/>
          <w:sz w:val="24"/>
        </w:rPr>
      </w:pPr>
      <w:r>
        <w:rPr>
          <w:rFonts w:hint="eastAsia" w:ascii="宋体" w:hAnsi="宋体" w:cs="宋体"/>
          <w:b/>
          <w:bCs/>
          <w:sz w:val="24"/>
        </w:rPr>
        <w:t>标的名称54：人类免疫缺陷病毒质控品</w:t>
      </w:r>
    </w:p>
    <w:p w14:paraId="5A03D13E">
      <w:pPr>
        <w:spacing w:line="360" w:lineRule="auto"/>
        <w:ind w:firstLine="480" w:firstLineChars="200"/>
        <w:rPr>
          <w:rFonts w:hint="eastAsia" w:ascii="宋体" w:hAnsi="宋体" w:cs="宋体"/>
          <w:sz w:val="24"/>
        </w:rPr>
      </w:pPr>
      <w:r>
        <w:rPr>
          <w:rFonts w:hint="eastAsia" w:ascii="宋体" w:hAnsi="宋体" w:cs="宋体"/>
          <w:sz w:val="24"/>
        </w:rPr>
        <w:t>1.主要用途：用于人类免疫缺陷病毒抗原和抗体检测项目的质量控制。</w:t>
      </w:r>
    </w:p>
    <w:p w14:paraId="5F7F0E37">
      <w:pPr>
        <w:spacing w:line="360" w:lineRule="auto"/>
        <w:ind w:firstLine="480" w:firstLineChars="200"/>
        <w:rPr>
          <w:rFonts w:hint="eastAsia" w:ascii="宋体" w:hAnsi="宋体" w:cs="宋体"/>
          <w:sz w:val="24"/>
        </w:rPr>
      </w:pPr>
      <w:r>
        <w:rPr>
          <w:rFonts w:hint="eastAsia" w:ascii="宋体" w:hAnsi="宋体" w:cs="宋体"/>
          <w:sz w:val="24"/>
        </w:rPr>
        <w:t>2.试剂处理：添加蒸馏水或去离子水复溶瓶内物质，垂直加盖静置15分钟。充分混匀并避免产生气泡。使用移液器将新鲜复溶的质控品转移至空的贴有条码的压盖式小空瓶中。如果需要可以进行分装并-20℃ (±5℃)冰冻保存。</w:t>
      </w:r>
    </w:p>
    <w:p w14:paraId="28513F5B">
      <w:pPr>
        <w:spacing w:line="360" w:lineRule="auto"/>
        <w:ind w:firstLine="480" w:firstLineChars="200"/>
        <w:rPr>
          <w:rFonts w:hint="eastAsia" w:ascii="宋体" w:hAnsi="宋体" w:cs="宋体"/>
          <w:sz w:val="24"/>
        </w:rPr>
      </w:pPr>
      <w:r>
        <w:rPr>
          <w:rFonts w:hint="eastAsia" w:ascii="宋体" w:hAnsi="宋体" w:cs="宋体"/>
          <w:sz w:val="24"/>
        </w:rPr>
        <w:t>3.储存条件：2~8℃保存，必要时分装冷冻保存。</w:t>
      </w:r>
    </w:p>
    <w:p w14:paraId="4FF844B3">
      <w:pPr>
        <w:spacing w:line="360" w:lineRule="auto"/>
        <w:ind w:firstLine="482" w:firstLineChars="200"/>
        <w:rPr>
          <w:rFonts w:hint="eastAsia" w:ascii="宋体" w:hAnsi="宋体" w:cs="宋体"/>
          <w:b/>
          <w:bCs/>
          <w:sz w:val="24"/>
        </w:rPr>
      </w:pPr>
      <w:r>
        <w:rPr>
          <w:rFonts w:hint="eastAsia" w:ascii="宋体" w:hAnsi="宋体" w:cs="宋体"/>
          <w:b/>
          <w:bCs/>
          <w:sz w:val="24"/>
        </w:rPr>
        <w:t>标的名称55：三丙胺缓冲液</w:t>
      </w:r>
    </w:p>
    <w:p w14:paraId="02705B2D">
      <w:pPr>
        <w:spacing w:line="360" w:lineRule="auto"/>
        <w:ind w:firstLine="480" w:firstLineChars="200"/>
        <w:rPr>
          <w:rFonts w:hint="eastAsia" w:ascii="宋体" w:hAnsi="宋体" w:cs="宋体"/>
          <w:sz w:val="24"/>
        </w:rPr>
      </w:pPr>
      <w:r>
        <w:rPr>
          <w:rFonts w:hint="eastAsia" w:ascii="宋体" w:hAnsi="宋体" w:cs="宋体"/>
          <w:sz w:val="24"/>
        </w:rPr>
        <w:t>1.主要用途：三丙胺缓冲液用于在免疫分析系统中产生电化学信号。</w:t>
      </w:r>
    </w:p>
    <w:p w14:paraId="2B668027">
      <w:pPr>
        <w:spacing w:line="360" w:lineRule="auto"/>
        <w:ind w:firstLine="480" w:firstLineChars="200"/>
        <w:rPr>
          <w:rFonts w:hint="eastAsia" w:ascii="宋体" w:hAnsi="宋体" w:cs="宋体"/>
          <w:sz w:val="24"/>
        </w:rPr>
      </w:pPr>
      <w:r>
        <w:rPr>
          <w:rFonts w:hint="eastAsia" w:ascii="宋体" w:hAnsi="宋体" w:cs="宋体"/>
          <w:sz w:val="24"/>
        </w:rPr>
        <w:t>2.试剂使用：即用型，避免产生泡沫。</w:t>
      </w:r>
    </w:p>
    <w:p w14:paraId="164F117E">
      <w:pPr>
        <w:spacing w:line="360" w:lineRule="auto"/>
        <w:ind w:firstLine="480" w:firstLineChars="200"/>
        <w:rPr>
          <w:rFonts w:hint="eastAsia" w:ascii="宋体" w:hAnsi="宋体" w:cs="宋体"/>
          <w:sz w:val="24"/>
        </w:rPr>
      </w:pPr>
      <w:r>
        <w:rPr>
          <w:rFonts w:hint="eastAsia" w:ascii="宋体" w:hAnsi="宋体" w:cs="宋体"/>
          <w:sz w:val="24"/>
        </w:rPr>
        <w:t>3.储存条件：15～25℃。</w:t>
      </w:r>
    </w:p>
    <w:p w14:paraId="725ED787">
      <w:pPr>
        <w:spacing w:line="360" w:lineRule="auto"/>
        <w:ind w:firstLine="482" w:firstLineChars="200"/>
        <w:rPr>
          <w:rFonts w:hint="eastAsia" w:ascii="宋体" w:hAnsi="宋体" w:cs="宋体"/>
          <w:b/>
          <w:bCs/>
          <w:sz w:val="24"/>
        </w:rPr>
      </w:pPr>
      <w:r>
        <w:rPr>
          <w:rFonts w:hint="eastAsia" w:ascii="宋体" w:hAnsi="宋体" w:cs="宋体"/>
          <w:b/>
          <w:bCs/>
          <w:sz w:val="24"/>
        </w:rPr>
        <w:t>标的名称56：三碘甲状腺原氨酸定标液</w:t>
      </w:r>
    </w:p>
    <w:p w14:paraId="3B7F3E32">
      <w:pPr>
        <w:spacing w:line="360" w:lineRule="auto"/>
        <w:ind w:firstLine="480" w:firstLineChars="200"/>
        <w:rPr>
          <w:rFonts w:hint="eastAsia" w:ascii="宋体" w:hAnsi="宋体" w:cs="宋体"/>
          <w:sz w:val="24"/>
        </w:rPr>
      </w:pPr>
      <w:r>
        <w:rPr>
          <w:rFonts w:hint="eastAsia" w:ascii="宋体" w:hAnsi="宋体" w:cs="宋体"/>
          <w:sz w:val="24"/>
        </w:rPr>
        <w:t>1.用途：用于三碘甲状腺原氨酸(T3)定量检测项目的定标。</w:t>
      </w:r>
    </w:p>
    <w:p w14:paraId="1B81CA39">
      <w:pPr>
        <w:spacing w:line="360" w:lineRule="auto"/>
        <w:ind w:firstLine="480" w:firstLineChars="200"/>
        <w:rPr>
          <w:rFonts w:hint="eastAsia" w:ascii="宋体" w:hAnsi="宋体" w:cs="宋体"/>
          <w:sz w:val="24"/>
        </w:rPr>
      </w:pPr>
      <w:r>
        <w:rPr>
          <w:rFonts w:hint="eastAsia" w:ascii="宋体" w:hAnsi="宋体" w:cs="宋体"/>
          <w:sz w:val="24"/>
        </w:rPr>
        <w:t>2.试剂处理：添加蒸馏水或去离子水复溶瓶内物质，垂直加盖静置15分钟。充分混匀并避免产生气泡。将新鲜复溶的定标液分装至带标签的有盖小空瓶中。</w:t>
      </w:r>
    </w:p>
    <w:p w14:paraId="5D37C02D">
      <w:pPr>
        <w:spacing w:line="360" w:lineRule="auto"/>
        <w:ind w:firstLine="480" w:firstLineChars="200"/>
        <w:rPr>
          <w:rFonts w:hint="eastAsia" w:ascii="宋体" w:hAnsi="宋体" w:cs="宋体"/>
          <w:sz w:val="24"/>
        </w:rPr>
      </w:pPr>
      <w:r>
        <w:rPr>
          <w:rFonts w:hint="eastAsia" w:ascii="宋体" w:hAnsi="宋体" w:cs="宋体"/>
          <w:sz w:val="24"/>
        </w:rPr>
        <w:t>3.溯源性：三碘甲状腺原氨酸检测可溯源至通过称量无分析物人血清基质中三碘甲状腺原氨酸而确定的参考标准品。</w:t>
      </w:r>
    </w:p>
    <w:p w14:paraId="3ED46586">
      <w:pPr>
        <w:spacing w:line="360" w:lineRule="auto"/>
        <w:ind w:firstLine="482" w:firstLineChars="200"/>
        <w:rPr>
          <w:rFonts w:hint="eastAsia" w:ascii="宋体" w:hAnsi="宋体" w:cs="宋体"/>
          <w:b/>
          <w:bCs/>
          <w:sz w:val="24"/>
        </w:rPr>
      </w:pPr>
      <w:r>
        <w:rPr>
          <w:rFonts w:hint="eastAsia" w:ascii="宋体" w:hAnsi="宋体" w:cs="宋体"/>
          <w:b/>
          <w:bCs/>
          <w:sz w:val="24"/>
        </w:rPr>
        <w:t>标的名称57：三碘甲状腺原氨酸检测试剂盒</w:t>
      </w:r>
    </w:p>
    <w:p w14:paraId="7547A416">
      <w:pPr>
        <w:spacing w:line="360" w:lineRule="auto"/>
        <w:ind w:firstLine="480" w:firstLineChars="200"/>
        <w:rPr>
          <w:rFonts w:hint="eastAsia" w:ascii="宋体" w:hAnsi="宋体" w:cs="宋体"/>
          <w:sz w:val="24"/>
        </w:rPr>
      </w:pPr>
      <w:r>
        <w:rPr>
          <w:rFonts w:hint="eastAsia" w:ascii="宋体" w:hAnsi="宋体" w:cs="宋体"/>
          <w:sz w:val="24"/>
        </w:rPr>
        <w:t>1.用途：用于体外定量测定人血清和血浆中总三碘甲状腺原氨酸的含量。</w:t>
      </w:r>
    </w:p>
    <w:p w14:paraId="586EDB19">
      <w:pPr>
        <w:spacing w:line="360" w:lineRule="auto"/>
        <w:ind w:firstLine="480" w:firstLineChars="200"/>
        <w:rPr>
          <w:rFonts w:hint="eastAsia" w:ascii="宋体" w:hAnsi="宋体" w:cs="宋体"/>
          <w:sz w:val="24"/>
        </w:rPr>
      </w:pPr>
      <w:r>
        <w:rPr>
          <w:rFonts w:hint="eastAsia" w:ascii="宋体" w:hAnsi="宋体" w:cs="宋体"/>
          <w:sz w:val="24"/>
        </w:rPr>
        <w:t>2.样本类型：血清/血浆。</w:t>
      </w:r>
    </w:p>
    <w:p w14:paraId="2FD838B5">
      <w:pPr>
        <w:spacing w:line="360" w:lineRule="auto"/>
        <w:ind w:firstLine="480" w:firstLineChars="200"/>
        <w:rPr>
          <w:rFonts w:hint="eastAsia" w:ascii="宋体" w:hAnsi="宋体" w:cs="宋体"/>
          <w:sz w:val="24"/>
        </w:rPr>
      </w:pPr>
      <w:r>
        <w:rPr>
          <w:rFonts w:hint="eastAsia" w:ascii="宋体" w:hAnsi="宋体" w:cs="宋体"/>
          <w:sz w:val="24"/>
        </w:rPr>
        <w:t>3.检测原理：竞争法原理。</w:t>
      </w:r>
    </w:p>
    <w:p w14:paraId="15043D71">
      <w:pPr>
        <w:spacing w:line="360" w:lineRule="auto"/>
        <w:ind w:firstLine="482" w:firstLineChars="200"/>
        <w:rPr>
          <w:rFonts w:hint="eastAsia" w:ascii="宋体" w:hAnsi="宋体" w:cs="宋体"/>
          <w:b/>
          <w:bCs/>
          <w:sz w:val="24"/>
        </w:rPr>
      </w:pPr>
      <w:r>
        <w:rPr>
          <w:rFonts w:hint="eastAsia" w:ascii="宋体" w:hAnsi="宋体" w:cs="宋体"/>
          <w:b/>
          <w:bCs/>
          <w:sz w:val="24"/>
        </w:rPr>
        <w:t>标的名称58：三碘甲状腺原氨酸测定试剂盒</w:t>
      </w:r>
    </w:p>
    <w:p w14:paraId="5EB5C8AD">
      <w:pPr>
        <w:spacing w:line="360" w:lineRule="auto"/>
        <w:ind w:firstLine="480" w:firstLineChars="200"/>
        <w:rPr>
          <w:rFonts w:hint="eastAsia" w:ascii="宋体" w:hAnsi="宋体" w:cs="宋体"/>
          <w:sz w:val="24"/>
        </w:rPr>
      </w:pPr>
      <w:r>
        <w:rPr>
          <w:rFonts w:hint="eastAsia" w:ascii="宋体" w:hAnsi="宋体" w:cs="宋体"/>
          <w:sz w:val="24"/>
        </w:rPr>
        <w:t>1.用途：用于体外定量测定人血清和血浆中总三碘甲状腺原氨酸的含量。</w:t>
      </w:r>
    </w:p>
    <w:p w14:paraId="7EE090A0">
      <w:pPr>
        <w:spacing w:line="360" w:lineRule="auto"/>
        <w:ind w:firstLine="480" w:firstLineChars="200"/>
        <w:rPr>
          <w:rFonts w:hint="eastAsia" w:ascii="宋体" w:hAnsi="宋体" w:cs="宋体"/>
          <w:sz w:val="24"/>
        </w:rPr>
      </w:pPr>
      <w:r>
        <w:rPr>
          <w:rFonts w:hint="eastAsia" w:ascii="宋体" w:hAnsi="宋体" w:cs="宋体"/>
          <w:sz w:val="24"/>
        </w:rPr>
        <w:t>2.样本类型：血清/血浆。</w:t>
      </w:r>
    </w:p>
    <w:p w14:paraId="08194D07">
      <w:pPr>
        <w:spacing w:line="360" w:lineRule="auto"/>
        <w:ind w:firstLine="480" w:firstLineChars="200"/>
        <w:rPr>
          <w:rFonts w:hint="eastAsia" w:ascii="宋体" w:hAnsi="宋体" w:cs="宋体"/>
          <w:sz w:val="24"/>
        </w:rPr>
      </w:pPr>
      <w:r>
        <w:rPr>
          <w:rFonts w:hint="eastAsia" w:ascii="宋体" w:hAnsi="宋体" w:cs="宋体"/>
          <w:sz w:val="24"/>
        </w:rPr>
        <w:t>3.检测原理：竞争法原理。</w:t>
      </w:r>
    </w:p>
    <w:p w14:paraId="4DACC59B">
      <w:pPr>
        <w:spacing w:line="360" w:lineRule="auto"/>
        <w:ind w:firstLine="482" w:firstLineChars="200"/>
        <w:rPr>
          <w:rFonts w:hint="eastAsia" w:ascii="宋体" w:hAnsi="宋体" w:cs="宋体"/>
          <w:b/>
          <w:bCs/>
          <w:sz w:val="24"/>
        </w:rPr>
      </w:pPr>
      <w:r>
        <w:rPr>
          <w:rFonts w:hint="eastAsia" w:ascii="宋体" w:hAnsi="宋体" w:cs="宋体"/>
          <w:b/>
          <w:bCs/>
          <w:sz w:val="24"/>
        </w:rPr>
        <w:t>标的名称59：神经元特异性烯醇化酶测定试剂盒</w:t>
      </w:r>
    </w:p>
    <w:p w14:paraId="7825B0C2">
      <w:pPr>
        <w:spacing w:line="360" w:lineRule="auto"/>
        <w:ind w:firstLine="480" w:firstLineChars="200"/>
        <w:rPr>
          <w:rFonts w:hint="eastAsia" w:ascii="宋体" w:hAnsi="宋体" w:cs="宋体"/>
          <w:sz w:val="24"/>
        </w:rPr>
      </w:pPr>
      <w:r>
        <w:rPr>
          <w:rFonts w:hint="eastAsia" w:ascii="宋体" w:hAnsi="宋体" w:cs="宋体"/>
          <w:sz w:val="24"/>
        </w:rPr>
        <w:t>1.用途：用于体外定量测定人血清中神经元异性烯醇化酶（NSE）。</w:t>
      </w:r>
    </w:p>
    <w:p w14:paraId="58FB006E">
      <w:pPr>
        <w:spacing w:line="360" w:lineRule="auto"/>
        <w:ind w:firstLine="480" w:firstLineChars="200"/>
        <w:rPr>
          <w:rFonts w:hint="eastAsia" w:ascii="宋体" w:hAnsi="宋体" w:cs="宋体"/>
          <w:sz w:val="24"/>
        </w:rPr>
      </w:pPr>
      <w:r>
        <w:rPr>
          <w:rFonts w:hint="eastAsia" w:ascii="宋体" w:hAnsi="宋体" w:cs="宋体"/>
          <w:sz w:val="24"/>
        </w:rPr>
        <w:t>2.样本类型：血清。</w:t>
      </w:r>
    </w:p>
    <w:p w14:paraId="304C62D7">
      <w:pPr>
        <w:spacing w:line="360" w:lineRule="auto"/>
        <w:ind w:firstLine="480" w:firstLineChars="200"/>
        <w:rPr>
          <w:rFonts w:hint="eastAsia" w:ascii="宋体" w:hAnsi="宋体" w:cs="宋体"/>
          <w:sz w:val="24"/>
        </w:rPr>
      </w:pPr>
      <w:r>
        <w:rPr>
          <w:rFonts w:hint="eastAsia" w:ascii="宋体" w:hAnsi="宋体" w:cs="宋体"/>
          <w:sz w:val="24"/>
        </w:rPr>
        <w:t>3.检测原理：竞争法原理。</w:t>
      </w:r>
    </w:p>
    <w:p w14:paraId="7D7894A3">
      <w:pPr>
        <w:spacing w:line="360" w:lineRule="auto"/>
        <w:ind w:firstLine="482" w:firstLineChars="200"/>
        <w:rPr>
          <w:rFonts w:hint="eastAsia" w:ascii="宋体" w:hAnsi="宋体" w:cs="宋体"/>
          <w:b/>
          <w:bCs/>
          <w:sz w:val="24"/>
        </w:rPr>
      </w:pPr>
      <w:r>
        <w:rPr>
          <w:rFonts w:hint="eastAsia" w:ascii="宋体" w:hAnsi="宋体" w:cs="宋体"/>
          <w:b/>
          <w:bCs/>
          <w:sz w:val="24"/>
        </w:rPr>
        <w:t>标的名称60：糖类抗原125定标液</w:t>
      </w:r>
    </w:p>
    <w:p w14:paraId="15EB3CCF">
      <w:pPr>
        <w:spacing w:line="360" w:lineRule="auto"/>
        <w:ind w:firstLine="480" w:firstLineChars="200"/>
        <w:rPr>
          <w:rFonts w:hint="eastAsia" w:ascii="宋体" w:hAnsi="宋体" w:cs="宋体"/>
          <w:sz w:val="24"/>
        </w:rPr>
      </w:pPr>
      <w:r>
        <w:rPr>
          <w:rFonts w:hint="eastAsia" w:ascii="宋体" w:hAnsi="宋体" w:cs="宋体"/>
          <w:sz w:val="24"/>
        </w:rPr>
        <w:t>1.主要用途：用于糖类抗原125检测项目的定标。</w:t>
      </w:r>
    </w:p>
    <w:p w14:paraId="7C8893F5">
      <w:pPr>
        <w:spacing w:line="360" w:lineRule="auto"/>
        <w:ind w:firstLine="480" w:firstLineChars="200"/>
        <w:rPr>
          <w:rFonts w:hint="eastAsia" w:ascii="宋体" w:hAnsi="宋体" w:cs="宋体"/>
          <w:sz w:val="24"/>
        </w:rPr>
      </w:pPr>
      <w:r>
        <w:rPr>
          <w:rFonts w:hint="eastAsia" w:ascii="宋体" w:hAnsi="宋体" w:cs="宋体"/>
          <w:sz w:val="24"/>
        </w:rPr>
        <w:t>2.试剂处理：添加蒸馏水或去离子水小心溶解瓶内物质，垂直加盖静置 15 分钟待其复溶。小心混匀，避免产生泡沫;</w:t>
      </w:r>
    </w:p>
    <w:p w14:paraId="1EA11824">
      <w:pPr>
        <w:spacing w:line="360" w:lineRule="auto"/>
        <w:ind w:firstLine="480" w:firstLineChars="200"/>
        <w:rPr>
          <w:rFonts w:hint="eastAsia" w:ascii="宋体" w:hAnsi="宋体" w:cs="宋体"/>
          <w:sz w:val="24"/>
        </w:rPr>
      </w:pPr>
      <w:r>
        <w:rPr>
          <w:rFonts w:hint="eastAsia" w:ascii="宋体" w:hAnsi="宋体" w:cs="宋体"/>
          <w:sz w:val="24"/>
        </w:rPr>
        <w:t>3.溯源性：该检测方法可溯源至酶法CA 125 11方法。</w:t>
      </w:r>
    </w:p>
    <w:p w14:paraId="2527D38E">
      <w:pPr>
        <w:spacing w:line="360" w:lineRule="auto"/>
        <w:ind w:firstLine="482" w:firstLineChars="200"/>
        <w:rPr>
          <w:rFonts w:hint="eastAsia" w:ascii="宋体" w:hAnsi="宋体" w:cs="宋体"/>
          <w:b/>
          <w:bCs/>
          <w:sz w:val="24"/>
        </w:rPr>
      </w:pPr>
      <w:r>
        <w:rPr>
          <w:rFonts w:hint="eastAsia" w:ascii="宋体" w:hAnsi="宋体" w:cs="宋体"/>
          <w:b/>
          <w:bCs/>
          <w:sz w:val="24"/>
        </w:rPr>
        <w:t>标的名称61：糖类抗原15-3定标液</w:t>
      </w:r>
    </w:p>
    <w:p w14:paraId="03EBA417">
      <w:pPr>
        <w:spacing w:line="360" w:lineRule="auto"/>
        <w:ind w:firstLine="480" w:firstLineChars="200"/>
        <w:rPr>
          <w:rFonts w:hint="eastAsia" w:ascii="宋体" w:hAnsi="宋体" w:cs="宋体"/>
          <w:sz w:val="24"/>
        </w:rPr>
      </w:pPr>
      <w:r>
        <w:rPr>
          <w:rFonts w:hint="eastAsia" w:ascii="宋体" w:hAnsi="宋体" w:cs="宋体"/>
          <w:sz w:val="24"/>
        </w:rPr>
        <w:t>1.用途：用于糖类抗原15-3定量检测项目的定标。</w:t>
      </w:r>
    </w:p>
    <w:p w14:paraId="0202ADFF">
      <w:pPr>
        <w:spacing w:line="360" w:lineRule="auto"/>
        <w:ind w:firstLine="480" w:firstLineChars="200"/>
        <w:rPr>
          <w:rFonts w:hint="eastAsia" w:ascii="宋体" w:hAnsi="宋体" w:cs="宋体"/>
          <w:sz w:val="24"/>
        </w:rPr>
      </w:pPr>
      <w:r>
        <w:rPr>
          <w:rFonts w:hint="eastAsia" w:ascii="宋体" w:hAnsi="宋体" w:cs="宋体"/>
          <w:sz w:val="24"/>
        </w:rPr>
        <w:t>2.试剂处理：校准品进行校准操作时应放置于分析仪上20~25℃。使用后，应尽快盖盖并竖直存放于2~8℃。由于可能的挥发效应，每套瓶装校准品的使用不应超过5次。</w:t>
      </w:r>
    </w:p>
    <w:p w14:paraId="3BD9C67C">
      <w:pPr>
        <w:spacing w:line="360" w:lineRule="auto"/>
        <w:ind w:firstLine="480" w:firstLineChars="200"/>
        <w:rPr>
          <w:rFonts w:hint="eastAsia" w:ascii="宋体" w:hAnsi="宋体" w:cs="宋体"/>
          <w:sz w:val="24"/>
        </w:rPr>
      </w:pPr>
      <w:r>
        <w:rPr>
          <w:rFonts w:hint="eastAsia" w:ascii="宋体" w:hAnsi="宋体" w:cs="宋体"/>
          <w:sz w:val="24"/>
        </w:rPr>
        <w:t>3.储存条件：2-8℃，必要时分装冷冻保存。</w:t>
      </w:r>
    </w:p>
    <w:p w14:paraId="2CA05B64">
      <w:pPr>
        <w:spacing w:line="360" w:lineRule="auto"/>
        <w:ind w:firstLine="482" w:firstLineChars="200"/>
        <w:rPr>
          <w:rFonts w:hint="eastAsia" w:ascii="宋体" w:hAnsi="宋体" w:cs="宋体"/>
          <w:b/>
          <w:bCs/>
          <w:sz w:val="24"/>
        </w:rPr>
      </w:pPr>
      <w:r>
        <w:rPr>
          <w:rFonts w:hint="eastAsia" w:ascii="宋体" w:hAnsi="宋体" w:cs="宋体"/>
          <w:b/>
          <w:bCs/>
          <w:sz w:val="24"/>
        </w:rPr>
        <w:t>标的名称62：糖类抗原19-9测定试剂盒1</w:t>
      </w:r>
    </w:p>
    <w:p w14:paraId="1EDEDBBB">
      <w:pPr>
        <w:spacing w:line="360" w:lineRule="auto"/>
        <w:ind w:firstLine="480" w:firstLineChars="200"/>
        <w:rPr>
          <w:rFonts w:hint="eastAsia" w:ascii="宋体" w:hAnsi="宋体" w:cs="宋体"/>
          <w:sz w:val="24"/>
        </w:rPr>
      </w:pPr>
      <w:r>
        <w:rPr>
          <w:rFonts w:hint="eastAsia" w:ascii="宋体" w:hAnsi="宋体" w:cs="宋体"/>
          <w:sz w:val="24"/>
        </w:rPr>
        <w:t>1.用途：主要用于胰腺癌、结直肠癌等的辅助诊断和监测。</w:t>
      </w:r>
    </w:p>
    <w:p w14:paraId="66A04496">
      <w:pPr>
        <w:spacing w:line="360" w:lineRule="auto"/>
        <w:ind w:firstLine="480" w:firstLineChars="200"/>
        <w:rPr>
          <w:rFonts w:hint="eastAsia" w:ascii="宋体" w:hAnsi="宋体" w:cs="宋体"/>
          <w:sz w:val="24"/>
        </w:rPr>
      </w:pPr>
      <w:r>
        <w:rPr>
          <w:rFonts w:hint="eastAsia" w:ascii="宋体" w:hAnsi="宋体" w:cs="宋体"/>
          <w:sz w:val="24"/>
        </w:rPr>
        <w:t>2.样本处理：避免溶血、脂血或反复冻融，离心后取上清检测。</w:t>
      </w:r>
    </w:p>
    <w:p w14:paraId="2D741C6A">
      <w:pPr>
        <w:spacing w:line="360" w:lineRule="auto"/>
        <w:ind w:firstLine="480" w:firstLineChars="200"/>
        <w:rPr>
          <w:rFonts w:hint="eastAsia" w:ascii="宋体" w:hAnsi="宋体" w:cs="宋体"/>
          <w:sz w:val="24"/>
        </w:rPr>
      </w:pPr>
      <w:r>
        <w:rPr>
          <w:rFonts w:hint="eastAsia" w:ascii="宋体" w:hAnsi="宋体" w:cs="宋体"/>
          <w:sz w:val="24"/>
        </w:rPr>
        <w:t>3.检测时间：≤30分钟。</w:t>
      </w:r>
    </w:p>
    <w:p w14:paraId="5A72D3E4">
      <w:pPr>
        <w:spacing w:line="360" w:lineRule="auto"/>
        <w:ind w:firstLine="480" w:firstLineChars="200"/>
        <w:rPr>
          <w:rFonts w:hint="eastAsia" w:ascii="宋体" w:hAnsi="宋体" w:cs="宋体"/>
          <w:sz w:val="24"/>
        </w:rPr>
      </w:pPr>
      <w:r>
        <w:rPr>
          <w:rFonts w:hint="eastAsia" w:ascii="宋体" w:hAnsi="宋体" w:cs="宋体"/>
          <w:sz w:val="24"/>
        </w:rPr>
        <w:t>4.储存条件：2-8℃，必要时分装冷冻保存。</w:t>
      </w:r>
    </w:p>
    <w:p w14:paraId="0237B350">
      <w:pPr>
        <w:spacing w:line="360" w:lineRule="auto"/>
        <w:ind w:firstLine="482" w:firstLineChars="200"/>
        <w:rPr>
          <w:rFonts w:hint="eastAsia" w:ascii="宋体" w:hAnsi="宋体" w:cs="宋体"/>
          <w:b/>
          <w:bCs/>
          <w:sz w:val="24"/>
        </w:rPr>
      </w:pPr>
      <w:r>
        <w:rPr>
          <w:rFonts w:hint="eastAsia" w:ascii="宋体" w:hAnsi="宋体" w:cs="宋体"/>
          <w:b/>
          <w:bCs/>
          <w:sz w:val="24"/>
        </w:rPr>
        <w:t>标的名称63：糖类抗原19-9测定试剂盒2</w:t>
      </w:r>
    </w:p>
    <w:p w14:paraId="2DE6C39A">
      <w:pPr>
        <w:spacing w:line="360" w:lineRule="auto"/>
        <w:ind w:firstLine="480" w:firstLineChars="200"/>
        <w:rPr>
          <w:rFonts w:hint="eastAsia" w:ascii="宋体" w:hAnsi="宋体" w:cs="宋体"/>
          <w:sz w:val="24"/>
        </w:rPr>
      </w:pPr>
      <w:r>
        <w:rPr>
          <w:rFonts w:hint="eastAsia" w:ascii="宋体" w:hAnsi="宋体" w:cs="宋体"/>
          <w:sz w:val="24"/>
        </w:rPr>
        <w:t>1.用途：用于体外定量检测人血清或血浆中CA19-9含量的诊断试剂，主要用于胰腺癌、结直肠癌等消化道肿瘤的辅助诊断和疗效监测。</w:t>
      </w:r>
    </w:p>
    <w:p w14:paraId="08EAC5FD">
      <w:pPr>
        <w:spacing w:line="360" w:lineRule="auto"/>
        <w:ind w:firstLine="480" w:firstLineChars="200"/>
        <w:rPr>
          <w:rFonts w:hint="eastAsia" w:ascii="宋体" w:hAnsi="宋体" w:cs="宋体"/>
          <w:sz w:val="24"/>
        </w:rPr>
      </w:pPr>
      <w:r>
        <w:rPr>
          <w:rFonts w:hint="eastAsia" w:ascii="宋体" w:hAnsi="宋体" w:cs="宋体"/>
          <w:sz w:val="24"/>
        </w:rPr>
        <w:t>2.适用样本：人血清、血浆（肝素或EDTA抗凝）。</w:t>
      </w:r>
    </w:p>
    <w:p w14:paraId="31BA39A0">
      <w:pPr>
        <w:spacing w:line="360" w:lineRule="auto"/>
        <w:ind w:firstLine="480" w:firstLineChars="200"/>
        <w:rPr>
          <w:rFonts w:hint="eastAsia" w:ascii="宋体" w:hAnsi="宋体" w:cs="宋体"/>
          <w:sz w:val="24"/>
        </w:rPr>
      </w:pPr>
      <w:r>
        <w:rPr>
          <w:rFonts w:hint="eastAsia" w:ascii="宋体" w:hAnsi="宋体" w:cs="宋体"/>
          <w:sz w:val="24"/>
        </w:rPr>
        <w:t>3.检测时间：≤30分钟。</w:t>
      </w:r>
    </w:p>
    <w:p w14:paraId="50418A3D">
      <w:pPr>
        <w:spacing w:line="360" w:lineRule="auto"/>
        <w:ind w:firstLine="482" w:firstLineChars="200"/>
        <w:rPr>
          <w:rFonts w:hint="eastAsia" w:ascii="宋体" w:hAnsi="宋体" w:cs="宋体"/>
          <w:b/>
          <w:bCs/>
          <w:sz w:val="24"/>
        </w:rPr>
      </w:pPr>
      <w:r>
        <w:rPr>
          <w:rFonts w:hint="eastAsia" w:ascii="宋体" w:hAnsi="宋体" w:cs="宋体"/>
          <w:b/>
          <w:bCs/>
          <w:sz w:val="24"/>
        </w:rPr>
        <w:t>标的名称64：糖类抗原19-9定标液</w:t>
      </w:r>
    </w:p>
    <w:p w14:paraId="7D611B33">
      <w:pPr>
        <w:spacing w:line="360" w:lineRule="auto"/>
        <w:ind w:firstLine="480" w:firstLineChars="200"/>
        <w:rPr>
          <w:rFonts w:hint="eastAsia" w:ascii="宋体" w:hAnsi="宋体" w:cs="宋体"/>
          <w:sz w:val="24"/>
        </w:rPr>
      </w:pPr>
      <w:r>
        <w:rPr>
          <w:rFonts w:hint="eastAsia" w:ascii="宋体" w:hAnsi="宋体" w:cs="宋体"/>
          <w:sz w:val="24"/>
        </w:rPr>
        <w:t>1.用途：用于糖类抗原19-9定量检测项目的定标。</w:t>
      </w:r>
    </w:p>
    <w:p w14:paraId="115D79F4">
      <w:pPr>
        <w:spacing w:line="360" w:lineRule="auto"/>
        <w:ind w:firstLine="480" w:firstLineChars="200"/>
        <w:rPr>
          <w:rFonts w:hint="eastAsia" w:ascii="宋体" w:hAnsi="宋体" w:cs="宋体"/>
          <w:sz w:val="24"/>
        </w:rPr>
      </w:pPr>
      <w:r>
        <w:rPr>
          <w:rFonts w:hint="eastAsia" w:ascii="宋体" w:hAnsi="宋体" w:cs="宋体"/>
          <w:sz w:val="24"/>
        </w:rPr>
        <w:t>2.试剂处理：添加蒸馏水或去离子水小心溶解瓶内物质，垂直加盖静置15分钟待其复溶。</w:t>
      </w:r>
    </w:p>
    <w:p w14:paraId="4A1C3405">
      <w:pPr>
        <w:spacing w:line="360" w:lineRule="auto"/>
        <w:ind w:firstLine="480" w:firstLineChars="200"/>
        <w:rPr>
          <w:rFonts w:hint="eastAsia" w:ascii="宋体" w:hAnsi="宋体" w:cs="宋体"/>
          <w:sz w:val="24"/>
        </w:rPr>
      </w:pPr>
      <w:r>
        <w:rPr>
          <w:rFonts w:hint="eastAsia" w:ascii="宋体" w:hAnsi="宋体" w:cs="宋体"/>
          <w:sz w:val="24"/>
        </w:rPr>
        <w:t>3.储存条件：2-8℃，必要时分装冷冻保存。</w:t>
      </w:r>
    </w:p>
    <w:p w14:paraId="37048E5E">
      <w:pPr>
        <w:spacing w:line="360" w:lineRule="auto"/>
        <w:ind w:firstLine="482" w:firstLineChars="200"/>
        <w:rPr>
          <w:rFonts w:hint="eastAsia" w:ascii="宋体" w:hAnsi="宋体" w:cs="宋体"/>
          <w:b/>
          <w:bCs/>
          <w:sz w:val="24"/>
        </w:rPr>
      </w:pPr>
      <w:r>
        <w:rPr>
          <w:rFonts w:hint="eastAsia" w:ascii="宋体" w:hAnsi="宋体" w:cs="宋体"/>
          <w:b/>
          <w:bCs/>
          <w:sz w:val="24"/>
        </w:rPr>
        <w:t>标的名称65：糖类抗原72-4测定试剂盒</w:t>
      </w:r>
    </w:p>
    <w:p w14:paraId="44D66ADD">
      <w:pPr>
        <w:spacing w:line="360" w:lineRule="auto"/>
        <w:ind w:firstLine="480" w:firstLineChars="200"/>
        <w:rPr>
          <w:rFonts w:hint="eastAsia" w:ascii="宋体" w:hAnsi="宋体" w:cs="宋体"/>
          <w:sz w:val="24"/>
        </w:rPr>
      </w:pPr>
      <w:r>
        <w:rPr>
          <w:rFonts w:hint="eastAsia" w:ascii="宋体" w:hAnsi="宋体" w:cs="宋体"/>
          <w:sz w:val="24"/>
        </w:rPr>
        <w:t>1.用途：用于体外定量检测人体血清和血浆中的糖类抗原72-4 (CA 72-4）。</w:t>
      </w:r>
    </w:p>
    <w:p w14:paraId="70CE7B65">
      <w:pPr>
        <w:spacing w:line="360" w:lineRule="auto"/>
        <w:ind w:firstLine="480" w:firstLineChars="200"/>
        <w:rPr>
          <w:rFonts w:hint="eastAsia" w:ascii="宋体" w:hAnsi="宋体" w:cs="宋体"/>
          <w:sz w:val="24"/>
        </w:rPr>
      </w:pPr>
      <w:r>
        <w:rPr>
          <w:rFonts w:hint="eastAsia" w:ascii="宋体" w:hAnsi="宋体" w:cs="宋体"/>
          <w:sz w:val="24"/>
        </w:rPr>
        <w:t>2.样本类型：血清/血浆。</w:t>
      </w:r>
    </w:p>
    <w:p w14:paraId="3C60CD19">
      <w:pPr>
        <w:spacing w:line="360" w:lineRule="auto"/>
        <w:ind w:firstLine="480" w:firstLineChars="200"/>
        <w:rPr>
          <w:rFonts w:hint="eastAsia" w:ascii="宋体" w:hAnsi="宋体" w:cs="宋体"/>
          <w:sz w:val="24"/>
        </w:rPr>
      </w:pPr>
      <w:r>
        <w:rPr>
          <w:rFonts w:hint="eastAsia" w:ascii="宋体" w:hAnsi="宋体" w:cs="宋体"/>
          <w:sz w:val="24"/>
        </w:rPr>
        <w:t>3.检测原理：夹心法原理。</w:t>
      </w:r>
    </w:p>
    <w:p w14:paraId="68A91836">
      <w:pPr>
        <w:spacing w:line="360" w:lineRule="auto"/>
        <w:ind w:firstLine="482" w:firstLineChars="200"/>
        <w:rPr>
          <w:rFonts w:hint="eastAsia" w:ascii="宋体" w:hAnsi="宋体" w:cs="宋体"/>
          <w:b/>
          <w:bCs/>
          <w:sz w:val="24"/>
        </w:rPr>
      </w:pPr>
      <w:r>
        <w:rPr>
          <w:rFonts w:hint="eastAsia" w:ascii="宋体" w:hAnsi="宋体" w:cs="宋体"/>
          <w:b/>
          <w:bCs/>
          <w:sz w:val="24"/>
        </w:rPr>
        <w:t>标的名称66：糖类抗原72-4定标液</w:t>
      </w:r>
    </w:p>
    <w:p w14:paraId="3A12D18B">
      <w:pPr>
        <w:spacing w:line="360" w:lineRule="auto"/>
        <w:ind w:firstLine="480" w:firstLineChars="200"/>
        <w:rPr>
          <w:rFonts w:hint="eastAsia" w:ascii="宋体" w:hAnsi="宋体" w:cs="宋体"/>
          <w:sz w:val="24"/>
        </w:rPr>
      </w:pPr>
      <w:r>
        <w:rPr>
          <w:rFonts w:hint="eastAsia" w:ascii="宋体" w:hAnsi="宋体" w:cs="宋体"/>
          <w:sz w:val="24"/>
        </w:rPr>
        <w:t>1.主要用途：用于糖类抗原72-4定量检测项目的定标。</w:t>
      </w:r>
    </w:p>
    <w:p w14:paraId="7EFD99FC">
      <w:pPr>
        <w:spacing w:line="360" w:lineRule="auto"/>
        <w:ind w:firstLine="480" w:firstLineChars="200"/>
        <w:rPr>
          <w:rFonts w:hint="eastAsia" w:ascii="宋体" w:hAnsi="宋体" w:cs="宋体"/>
          <w:sz w:val="24"/>
        </w:rPr>
      </w:pPr>
      <w:r>
        <w:rPr>
          <w:rFonts w:hint="eastAsia" w:ascii="宋体" w:hAnsi="宋体" w:cs="宋体"/>
          <w:sz w:val="24"/>
        </w:rPr>
        <w:t xml:space="preserve">2.试剂处理：添加蒸馏水或去离子水小心溶解瓶内物质，垂直加盖静置15分钟待其复溶。 小心混匀，避免产生气泡。 </w:t>
      </w:r>
    </w:p>
    <w:p w14:paraId="6209463D">
      <w:pPr>
        <w:spacing w:line="360" w:lineRule="auto"/>
        <w:ind w:firstLine="480" w:firstLineChars="200"/>
        <w:rPr>
          <w:rFonts w:hint="eastAsia" w:ascii="宋体" w:hAnsi="宋体" w:cs="宋体"/>
          <w:sz w:val="24"/>
        </w:rPr>
      </w:pPr>
      <w:r>
        <w:rPr>
          <w:rFonts w:hint="eastAsia" w:ascii="宋体" w:hAnsi="宋体" w:cs="宋体"/>
          <w:sz w:val="24"/>
        </w:rPr>
        <w:t>3.溯源性：该检测可溯源至酶法糖类抗原72-4检测法。</w:t>
      </w:r>
    </w:p>
    <w:p w14:paraId="18D88F5E">
      <w:pPr>
        <w:spacing w:line="360" w:lineRule="auto"/>
        <w:ind w:firstLine="482" w:firstLineChars="200"/>
        <w:rPr>
          <w:rFonts w:hint="eastAsia" w:ascii="宋体" w:hAnsi="宋体" w:cs="宋体"/>
          <w:b/>
          <w:bCs/>
          <w:sz w:val="24"/>
        </w:rPr>
      </w:pPr>
      <w:r>
        <w:rPr>
          <w:rFonts w:hint="eastAsia" w:ascii="宋体" w:hAnsi="宋体" w:cs="宋体"/>
          <w:b/>
          <w:bCs/>
          <w:sz w:val="24"/>
        </w:rPr>
        <w:t>标的名称67：维生素B12检测试剂盒</w:t>
      </w:r>
    </w:p>
    <w:p w14:paraId="4700D0A1">
      <w:pPr>
        <w:spacing w:line="360" w:lineRule="auto"/>
        <w:ind w:firstLine="480" w:firstLineChars="200"/>
        <w:rPr>
          <w:rFonts w:hint="eastAsia" w:ascii="宋体" w:hAnsi="宋体" w:cs="宋体"/>
          <w:sz w:val="24"/>
        </w:rPr>
      </w:pPr>
      <w:r>
        <w:rPr>
          <w:rFonts w:hint="eastAsia" w:ascii="宋体" w:hAnsi="宋体" w:cs="宋体"/>
          <w:sz w:val="24"/>
        </w:rPr>
        <w:t>1.用途：用于体外定量检测人体血清和血浆中的维生素B12。</w:t>
      </w:r>
    </w:p>
    <w:p w14:paraId="05509545">
      <w:pPr>
        <w:spacing w:line="360" w:lineRule="auto"/>
        <w:ind w:firstLine="480" w:firstLineChars="200"/>
        <w:rPr>
          <w:rFonts w:hint="eastAsia" w:ascii="宋体" w:hAnsi="宋体" w:cs="宋体"/>
          <w:sz w:val="24"/>
        </w:rPr>
      </w:pPr>
      <w:r>
        <w:rPr>
          <w:rFonts w:hint="eastAsia" w:ascii="宋体" w:hAnsi="宋体" w:cs="宋体"/>
          <w:sz w:val="24"/>
        </w:rPr>
        <w:t>2.样本类型：血清/血浆。</w:t>
      </w:r>
    </w:p>
    <w:p w14:paraId="7F7B374D">
      <w:pPr>
        <w:spacing w:line="360" w:lineRule="auto"/>
        <w:ind w:firstLine="480" w:firstLineChars="200"/>
        <w:rPr>
          <w:rFonts w:hint="eastAsia" w:ascii="宋体" w:hAnsi="宋体" w:cs="宋体"/>
          <w:sz w:val="24"/>
        </w:rPr>
      </w:pPr>
      <w:r>
        <w:rPr>
          <w:rFonts w:hint="eastAsia" w:ascii="宋体" w:hAnsi="宋体" w:cs="宋体"/>
          <w:sz w:val="24"/>
        </w:rPr>
        <w:t>3.检测原理：竞争法原理。</w:t>
      </w:r>
    </w:p>
    <w:p w14:paraId="350590DD">
      <w:pPr>
        <w:spacing w:line="360" w:lineRule="auto"/>
        <w:ind w:firstLine="482" w:firstLineChars="200"/>
        <w:rPr>
          <w:rFonts w:hint="eastAsia" w:ascii="宋体" w:hAnsi="宋体" w:cs="宋体"/>
          <w:b/>
          <w:bCs/>
          <w:sz w:val="24"/>
        </w:rPr>
      </w:pPr>
      <w:r>
        <w:rPr>
          <w:rFonts w:hint="eastAsia" w:ascii="宋体" w:hAnsi="宋体" w:cs="宋体"/>
          <w:b/>
          <w:bCs/>
          <w:sz w:val="24"/>
        </w:rPr>
        <w:t>标的名称68：维生素B12定标液</w:t>
      </w:r>
    </w:p>
    <w:p w14:paraId="31934CEC">
      <w:pPr>
        <w:spacing w:line="360" w:lineRule="auto"/>
        <w:ind w:firstLine="480" w:firstLineChars="200"/>
        <w:rPr>
          <w:rFonts w:hint="eastAsia" w:ascii="宋体" w:hAnsi="宋体" w:cs="宋体"/>
          <w:sz w:val="24"/>
        </w:rPr>
      </w:pPr>
      <w:r>
        <w:rPr>
          <w:rFonts w:hint="eastAsia" w:ascii="宋体" w:hAnsi="宋体" w:cs="宋体"/>
          <w:sz w:val="24"/>
        </w:rPr>
        <w:t>1.用途：用于维生素B12定量测定的定标。</w:t>
      </w:r>
    </w:p>
    <w:p w14:paraId="7AFABD04">
      <w:pPr>
        <w:spacing w:line="360" w:lineRule="auto"/>
        <w:ind w:firstLine="480" w:firstLineChars="200"/>
        <w:rPr>
          <w:rFonts w:hint="eastAsia" w:ascii="宋体" w:hAnsi="宋体" w:cs="宋体"/>
          <w:sz w:val="24"/>
        </w:rPr>
      </w:pPr>
      <w:r>
        <w:rPr>
          <w:rFonts w:hint="eastAsia" w:ascii="宋体" w:hAnsi="宋体" w:cs="宋体"/>
          <w:sz w:val="24"/>
        </w:rPr>
        <w:t>2.试剂处理：加入蒸馏水或去离子水溶解其中1瓶定标液，并放置15分钟，获得重新制备的定标液。小心混匀，避免产生泡沫。将复溶定标液分装至带标签的压盖式小空瓶中，并将标签粘贴在这些瓶上。将定标液立即保存在-20℃(±5℃)温度下。每份定标液只能完成一次定标过程。</w:t>
      </w:r>
    </w:p>
    <w:p w14:paraId="00324701">
      <w:pPr>
        <w:spacing w:line="360" w:lineRule="auto"/>
        <w:ind w:firstLine="480" w:firstLineChars="200"/>
        <w:rPr>
          <w:rFonts w:hint="eastAsia" w:ascii="宋体" w:hAnsi="宋体" w:cs="宋体"/>
          <w:sz w:val="24"/>
        </w:rPr>
      </w:pPr>
      <w:r>
        <w:rPr>
          <w:rFonts w:hint="eastAsia" w:ascii="宋体" w:hAnsi="宋体" w:cs="宋体"/>
          <w:sz w:val="24"/>
        </w:rPr>
        <w:t>3.储存条件：2-8℃，必要时分装冷冻保存</w:t>
      </w:r>
    </w:p>
    <w:p w14:paraId="23DAB147">
      <w:pPr>
        <w:spacing w:line="360" w:lineRule="auto"/>
        <w:ind w:firstLine="482" w:firstLineChars="200"/>
        <w:rPr>
          <w:rFonts w:hint="eastAsia" w:ascii="宋体" w:hAnsi="宋体" w:cs="宋体"/>
          <w:b/>
          <w:bCs/>
          <w:sz w:val="24"/>
        </w:rPr>
      </w:pPr>
      <w:r>
        <w:rPr>
          <w:rFonts w:hint="eastAsia" w:ascii="宋体" w:hAnsi="宋体" w:cs="宋体"/>
          <w:b/>
          <w:bCs/>
          <w:sz w:val="24"/>
        </w:rPr>
        <w:t>标的名称69：胃泌素释放肽前体定标液</w:t>
      </w:r>
    </w:p>
    <w:p w14:paraId="17CFC850">
      <w:pPr>
        <w:spacing w:line="360" w:lineRule="auto"/>
        <w:ind w:firstLine="480" w:firstLineChars="200"/>
        <w:rPr>
          <w:rFonts w:hint="eastAsia" w:ascii="宋体" w:hAnsi="宋体" w:cs="宋体"/>
          <w:sz w:val="24"/>
        </w:rPr>
      </w:pPr>
      <w:r>
        <w:rPr>
          <w:rFonts w:hint="eastAsia" w:ascii="宋体" w:hAnsi="宋体" w:cs="宋体"/>
          <w:sz w:val="24"/>
        </w:rPr>
        <w:t>1.用途：用于胃泌素释放肽前体定量测定的定标。</w:t>
      </w:r>
    </w:p>
    <w:p w14:paraId="19446CEC">
      <w:pPr>
        <w:spacing w:line="360" w:lineRule="auto"/>
        <w:ind w:firstLine="480" w:firstLineChars="200"/>
        <w:rPr>
          <w:rFonts w:hint="eastAsia" w:ascii="宋体" w:hAnsi="宋体" w:cs="宋体"/>
          <w:sz w:val="24"/>
        </w:rPr>
      </w:pPr>
      <w:r>
        <w:rPr>
          <w:rFonts w:hint="eastAsia" w:ascii="宋体" w:hAnsi="宋体" w:cs="宋体"/>
          <w:sz w:val="24"/>
        </w:rPr>
        <w:t xml:space="preserve">2.试剂处理：添加蒸馏水或去离子水将内容物溶解在试剂瓶中并封闭直立存放 15 分钟复溶。小心混匀，避免起泡。将分装的复溶定标液转移至提供的带标签的压盖式空瓶中。将提供的标签粘贴在这些额外的试剂瓶上。每份分装定标液应立即使用并且仅执行一个定标步骤。盖好玻璃小瓶，将剩下的复溶定标液立即储存在-20℃ (±5℃)条件下备用。请勿将分装溶液在压盖式小瓶中冷冻。 </w:t>
      </w:r>
    </w:p>
    <w:p w14:paraId="711354A0">
      <w:pPr>
        <w:spacing w:line="360" w:lineRule="auto"/>
        <w:ind w:firstLine="480" w:firstLineChars="200"/>
        <w:rPr>
          <w:rFonts w:hint="eastAsia" w:ascii="宋体" w:hAnsi="宋体" w:cs="宋体"/>
          <w:sz w:val="24"/>
        </w:rPr>
      </w:pPr>
      <w:r>
        <w:rPr>
          <w:rFonts w:hint="eastAsia" w:ascii="宋体" w:hAnsi="宋体" w:cs="宋体"/>
          <w:sz w:val="24"/>
        </w:rPr>
        <w:t>3.储存条件：2-8℃，必要时分装冷冻保存。</w:t>
      </w:r>
    </w:p>
    <w:p w14:paraId="0DA2757D">
      <w:pPr>
        <w:spacing w:line="360" w:lineRule="auto"/>
        <w:ind w:firstLine="482" w:firstLineChars="200"/>
        <w:rPr>
          <w:rFonts w:hint="eastAsia" w:ascii="宋体" w:hAnsi="宋体" w:cs="宋体"/>
          <w:b/>
          <w:bCs/>
          <w:sz w:val="24"/>
        </w:rPr>
      </w:pPr>
      <w:r>
        <w:rPr>
          <w:rFonts w:hint="eastAsia" w:ascii="宋体" w:hAnsi="宋体" w:cs="宋体"/>
          <w:b/>
          <w:bCs/>
          <w:sz w:val="24"/>
        </w:rPr>
        <w:t>标的名称70：胃泌素释放肽前体检测试剂盒</w:t>
      </w:r>
    </w:p>
    <w:p w14:paraId="2C81FD86">
      <w:pPr>
        <w:spacing w:line="360" w:lineRule="auto"/>
        <w:ind w:firstLine="480" w:firstLineChars="200"/>
        <w:rPr>
          <w:rFonts w:hint="eastAsia" w:ascii="宋体" w:hAnsi="宋体" w:cs="宋体"/>
          <w:sz w:val="24"/>
        </w:rPr>
      </w:pPr>
      <w:r>
        <w:rPr>
          <w:rFonts w:hint="eastAsia" w:ascii="宋体" w:hAnsi="宋体" w:cs="宋体"/>
          <w:sz w:val="24"/>
        </w:rPr>
        <w:t>1.用途：用于体外定量检测人体血清和血浆中的胃泌素释放肽前体。</w:t>
      </w:r>
    </w:p>
    <w:p w14:paraId="11E7D19A">
      <w:pPr>
        <w:spacing w:line="360" w:lineRule="auto"/>
        <w:ind w:firstLine="480" w:firstLineChars="200"/>
        <w:rPr>
          <w:rFonts w:hint="eastAsia" w:ascii="宋体" w:hAnsi="宋体" w:cs="宋体"/>
          <w:sz w:val="24"/>
        </w:rPr>
      </w:pPr>
      <w:r>
        <w:rPr>
          <w:rFonts w:hint="eastAsia" w:ascii="宋体" w:hAnsi="宋体" w:cs="宋体"/>
          <w:sz w:val="24"/>
        </w:rPr>
        <w:t>2.样本类型：血清/血浆。</w:t>
      </w:r>
    </w:p>
    <w:p w14:paraId="0560C535">
      <w:pPr>
        <w:spacing w:line="360" w:lineRule="auto"/>
        <w:ind w:firstLine="480" w:firstLineChars="200"/>
        <w:rPr>
          <w:rFonts w:hint="eastAsia" w:ascii="宋体" w:hAnsi="宋体" w:cs="宋体"/>
          <w:sz w:val="24"/>
        </w:rPr>
      </w:pPr>
      <w:r>
        <w:rPr>
          <w:rFonts w:hint="eastAsia" w:ascii="宋体" w:hAnsi="宋体" w:cs="宋体"/>
          <w:sz w:val="24"/>
        </w:rPr>
        <w:t>3.检测原理：双抗体夹心法原理。</w:t>
      </w:r>
    </w:p>
    <w:p w14:paraId="6C7A47EF">
      <w:pPr>
        <w:spacing w:line="360" w:lineRule="auto"/>
        <w:ind w:firstLine="482" w:firstLineChars="200"/>
        <w:rPr>
          <w:rFonts w:hint="eastAsia" w:ascii="宋体" w:hAnsi="宋体" w:cs="宋体"/>
          <w:b/>
          <w:bCs/>
          <w:sz w:val="24"/>
        </w:rPr>
      </w:pPr>
      <w:r>
        <w:rPr>
          <w:rFonts w:hint="eastAsia" w:ascii="宋体" w:hAnsi="宋体" w:cs="宋体"/>
          <w:b/>
          <w:bCs/>
          <w:sz w:val="24"/>
        </w:rPr>
        <w:t>标的名称71：心肌质控品</w:t>
      </w:r>
    </w:p>
    <w:p w14:paraId="2A26992E">
      <w:pPr>
        <w:spacing w:line="360" w:lineRule="auto"/>
        <w:ind w:firstLine="480" w:firstLineChars="200"/>
        <w:rPr>
          <w:rFonts w:hint="eastAsia" w:ascii="宋体" w:hAnsi="宋体" w:cs="宋体"/>
          <w:sz w:val="24"/>
        </w:rPr>
      </w:pPr>
      <w:r>
        <w:rPr>
          <w:rFonts w:hint="eastAsia" w:ascii="宋体" w:hAnsi="宋体" w:cs="宋体"/>
          <w:sz w:val="24"/>
        </w:rPr>
        <w:t>1.用途：用于肌酸激酶同工酶、肌红蛋白、脑利钠肽前体检测项目的质量控制。</w:t>
      </w:r>
    </w:p>
    <w:p w14:paraId="25CF4F35">
      <w:pPr>
        <w:spacing w:line="360" w:lineRule="auto"/>
        <w:ind w:firstLine="480" w:firstLineChars="200"/>
        <w:rPr>
          <w:rFonts w:hint="eastAsia" w:ascii="宋体" w:hAnsi="宋体" w:cs="宋体"/>
          <w:sz w:val="24"/>
        </w:rPr>
      </w:pPr>
      <w:r>
        <w:rPr>
          <w:rFonts w:hint="eastAsia" w:ascii="宋体" w:hAnsi="宋体" w:cs="宋体"/>
          <w:sz w:val="24"/>
        </w:rPr>
        <w:t>2.试剂处理：往试剂瓶内加入蒸馏水，密闭放置15分钟使之完全溶解，生成溶液。小心混匀，避免产生泡沫。</w:t>
      </w:r>
    </w:p>
    <w:p w14:paraId="1D1E6166">
      <w:pPr>
        <w:spacing w:line="360" w:lineRule="auto"/>
        <w:ind w:firstLine="480" w:firstLineChars="200"/>
        <w:rPr>
          <w:rFonts w:hint="eastAsia" w:ascii="宋体" w:hAnsi="宋体" w:cs="宋体"/>
          <w:sz w:val="24"/>
        </w:rPr>
      </w:pPr>
      <w:r>
        <w:rPr>
          <w:rFonts w:hint="eastAsia" w:ascii="宋体" w:hAnsi="宋体" w:cs="宋体"/>
          <w:sz w:val="24"/>
        </w:rPr>
        <w:t>3.储存条件：2-8℃。</w:t>
      </w:r>
    </w:p>
    <w:p w14:paraId="318B41EC">
      <w:pPr>
        <w:spacing w:line="360" w:lineRule="auto"/>
        <w:ind w:firstLine="482" w:firstLineChars="200"/>
        <w:rPr>
          <w:rFonts w:hint="eastAsia" w:ascii="宋体" w:hAnsi="宋体" w:cs="宋体"/>
          <w:b/>
          <w:bCs/>
          <w:sz w:val="24"/>
        </w:rPr>
      </w:pPr>
      <w:r>
        <w:rPr>
          <w:rFonts w:hint="eastAsia" w:ascii="宋体" w:hAnsi="宋体" w:cs="宋体"/>
          <w:b/>
          <w:bCs/>
          <w:sz w:val="24"/>
        </w:rPr>
        <w:t>标的名称72：样本稀释液</w:t>
      </w:r>
    </w:p>
    <w:p w14:paraId="466CD998">
      <w:pPr>
        <w:spacing w:line="360" w:lineRule="auto"/>
        <w:ind w:firstLine="480" w:firstLineChars="200"/>
        <w:rPr>
          <w:rFonts w:hint="eastAsia" w:ascii="宋体" w:hAnsi="宋体" w:cs="宋体"/>
          <w:sz w:val="24"/>
        </w:rPr>
      </w:pPr>
      <w:r>
        <w:rPr>
          <w:rFonts w:hint="eastAsia" w:ascii="宋体" w:hAnsi="宋体" w:cs="宋体"/>
          <w:sz w:val="24"/>
        </w:rPr>
        <w:t>1.用途：用于样本的稀释。</w:t>
      </w:r>
    </w:p>
    <w:p w14:paraId="58E47468">
      <w:pPr>
        <w:spacing w:line="360" w:lineRule="auto"/>
        <w:ind w:firstLine="480" w:firstLineChars="200"/>
        <w:rPr>
          <w:rFonts w:hint="eastAsia" w:ascii="宋体" w:hAnsi="宋体" w:cs="宋体"/>
          <w:sz w:val="24"/>
        </w:rPr>
      </w:pPr>
      <w:r>
        <w:rPr>
          <w:rFonts w:hint="eastAsia" w:ascii="宋体" w:hAnsi="宋体" w:cs="宋体"/>
          <w:sz w:val="24"/>
        </w:rPr>
        <w:t xml:space="preserve">2.试剂处理：添加蒸馏水或去离子水小心溶解瓶内物质，垂直加盖静置 15 分钟待其复溶。小心混匀，避免产生气泡。 </w:t>
      </w:r>
    </w:p>
    <w:p w14:paraId="4F52B1F7">
      <w:pPr>
        <w:spacing w:line="360" w:lineRule="auto"/>
        <w:ind w:firstLine="480" w:firstLineChars="200"/>
        <w:rPr>
          <w:rFonts w:hint="eastAsia" w:ascii="宋体" w:hAnsi="宋体" w:cs="宋体"/>
          <w:sz w:val="24"/>
        </w:rPr>
      </w:pPr>
      <w:r>
        <w:rPr>
          <w:rFonts w:hint="eastAsia" w:ascii="宋体" w:hAnsi="宋体" w:cs="宋体"/>
          <w:sz w:val="24"/>
        </w:rPr>
        <w:t>3.储存条件：2-8℃。</w:t>
      </w:r>
    </w:p>
    <w:p w14:paraId="3282380F">
      <w:pPr>
        <w:spacing w:line="360" w:lineRule="auto"/>
        <w:ind w:firstLine="482" w:firstLineChars="200"/>
        <w:rPr>
          <w:rFonts w:hint="eastAsia" w:ascii="宋体" w:hAnsi="宋体" w:cs="宋体"/>
          <w:b/>
          <w:bCs/>
          <w:sz w:val="24"/>
        </w:rPr>
      </w:pPr>
      <w:r>
        <w:rPr>
          <w:rFonts w:hint="eastAsia" w:ascii="宋体" w:hAnsi="宋体" w:cs="宋体"/>
          <w:b/>
          <w:bCs/>
          <w:sz w:val="24"/>
        </w:rPr>
        <w:t>标的名称73：叶酸定标液</w:t>
      </w:r>
    </w:p>
    <w:p w14:paraId="48AD5D6F">
      <w:pPr>
        <w:spacing w:line="360" w:lineRule="auto"/>
        <w:ind w:firstLine="480" w:firstLineChars="200"/>
        <w:rPr>
          <w:rFonts w:hint="eastAsia" w:ascii="宋体" w:hAnsi="宋体" w:cs="宋体"/>
          <w:sz w:val="24"/>
        </w:rPr>
      </w:pPr>
      <w:r>
        <w:rPr>
          <w:rFonts w:hint="eastAsia" w:ascii="宋体" w:hAnsi="宋体" w:cs="宋体"/>
          <w:sz w:val="24"/>
        </w:rPr>
        <w:t>1.用途：用于叶酸定量检测项目的定标。</w:t>
      </w:r>
    </w:p>
    <w:p w14:paraId="3DE637D4">
      <w:pPr>
        <w:spacing w:line="360" w:lineRule="auto"/>
        <w:ind w:firstLine="480" w:firstLineChars="200"/>
        <w:rPr>
          <w:rFonts w:hint="eastAsia" w:ascii="宋体" w:hAnsi="宋体" w:cs="宋体"/>
          <w:sz w:val="24"/>
        </w:rPr>
      </w:pPr>
      <w:r>
        <w:rPr>
          <w:rFonts w:hint="eastAsia" w:ascii="宋体" w:hAnsi="宋体" w:cs="宋体"/>
          <w:sz w:val="24"/>
        </w:rPr>
        <w:t>2.试剂处理：添加的蒸馏水或去离子水，小心溶解一个瓶中的内含物，盖紧盖子静置30分钟进行重悬。充分混匀，避免起泡。把复溶的定标液分装至带标签的压盖式小空瓶中。把随附的标签贴到分装瓶上。分装后立即储存于-20℃。分装的定标液只限一次使用。</w:t>
      </w:r>
    </w:p>
    <w:p w14:paraId="43F884F3">
      <w:pPr>
        <w:spacing w:line="360" w:lineRule="auto"/>
        <w:ind w:firstLine="480" w:firstLineChars="200"/>
        <w:rPr>
          <w:rFonts w:hint="eastAsia" w:ascii="宋体" w:hAnsi="宋体" w:cs="宋体"/>
          <w:sz w:val="24"/>
        </w:rPr>
      </w:pPr>
      <w:r>
        <w:rPr>
          <w:rFonts w:hint="eastAsia" w:ascii="宋体" w:hAnsi="宋体" w:cs="宋体"/>
          <w:sz w:val="24"/>
        </w:rPr>
        <w:t>3.储存条件：2-8℃，必要时分装冷冻保存。</w:t>
      </w:r>
    </w:p>
    <w:p w14:paraId="30113C50">
      <w:pPr>
        <w:spacing w:line="360" w:lineRule="auto"/>
        <w:ind w:firstLine="482" w:firstLineChars="200"/>
        <w:rPr>
          <w:rFonts w:hint="eastAsia" w:ascii="宋体" w:hAnsi="宋体" w:cs="宋体"/>
          <w:b/>
          <w:bCs/>
          <w:sz w:val="24"/>
        </w:rPr>
      </w:pPr>
      <w:r>
        <w:rPr>
          <w:rFonts w:hint="eastAsia" w:ascii="宋体" w:hAnsi="宋体" w:cs="宋体"/>
          <w:b/>
          <w:bCs/>
          <w:sz w:val="24"/>
        </w:rPr>
        <w:t>标的名称74：叶酸检测试剂盒</w:t>
      </w:r>
    </w:p>
    <w:p w14:paraId="2043A155">
      <w:pPr>
        <w:spacing w:line="360" w:lineRule="auto"/>
        <w:ind w:firstLine="480" w:firstLineChars="200"/>
        <w:rPr>
          <w:rFonts w:hint="eastAsia" w:ascii="宋体" w:hAnsi="宋体" w:cs="宋体"/>
          <w:sz w:val="24"/>
        </w:rPr>
      </w:pPr>
      <w:r>
        <w:rPr>
          <w:rFonts w:hint="eastAsia" w:ascii="宋体" w:hAnsi="宋体" w:cs="宋体"/>
          <w:sz w:val="24"/>
        </w:rPr>
        <w:t>1.用途：用于体外定量检测人体血清和血浆中的叶酸含量。</w:t>
      </w:r>
    </w:p>
    <w:p w14:paraId="5D90EC4E">
      <w:pPr>
        <w:spacing w:line="360" w:lineRule="auto"/>
        <w:ind w:firstLine="480" w:firstLineChars="200"/>
        <w:rPr>
          <w:rFonts w:hint="eastAsia" w:ascii="宋体" w:hAnsi="宋体" w:cs="宋体"/>
          <w:sz w:val="24"/>
        </w:rPr>
      </w:pPr>
      <w:r>
        <w:rPr>
          <w:rFonts w:hint="eastAsia" w:ascii="宋体" w:hAnsi="宋体" w:cs="宋体"/>
          <w:sz w:val="24"/>
        </w:rPr>
        <w:t>2.样本类型：血清/血浆。</w:t>
      </w:r>
    </w:p>
    <w:p w14:paraId="1BC64F8B">
      <w:pPr>
        <w:spacing w:line="360" w:lineRule="auto"/>
        <w:ind w:firstLine="480" w:firstLineChars="200"/>
        <w:rPr>
          <w:rFonts w:hint="eastAsia" w:ascii="宋体" w:hAnsi="宋体" w:cs="宋体"/>
          <w:sz w:val="24"/>
        </w:rPr>
      </w:pPr>
      <w:r>
        <w:rPr>
          <w:rFonts w:hint="eastAsia" w:ascii="宋体" w:hAnsi="宋体" w:cs="宋体"/>
          <w:sz w:val="24"/>
        </w:rPr>
        <w:t>3.检测原理：竞争法原理。</w:t>
      </w:r>
    </w:p>
    <w:p w14:paraId="21E64DDB">
      <w:pPr>
        <w:spacing w:line="360" w:lineRule="auto"/>
        <w:ind w:firstLine="482" w:firstLineChars="200"/>
        <w:rPr>
          <w:rFonts w:hint="eastAsia" w:ascii="宋体" w:hAnsi="宋体" w:cs="宋体"/>
          <w:b/>
          <w:bCs/>
          <w:sz w:val="24"/>
        </w:rPr>
      </w:pPr>
      <w:r>
        <w:rPr>
          <w:rFonts w:hint="eastAsia" w:ascii="宋体" w:hAnsi="宋体" w:cs="宋体"/>
          <w:b/>
          <w:bCs/>
          <w:sz w:val="24"/>
        </w:rPr>
        <w:t>标的名称75：胰岛素定标液</w:t>
      </w:r>
    </w:p>
    <w:p w14:paraId="1B45938B">
      <w:pPr>
        <w:spacing w:line="360" w:lineRule="auto"/>
        <w:ind w:firstLine="480" w:firstLineChars="200"/>
        <w:rPr>
          <w:rFonts w:hint="eastAsia" w:ascii="宋体" w:hAnsi="宋体" w:cs="宋体"/>
          <w:sz w:val="24"/>
        </w:rPr>
      </w:pPr>
      <w:r>
        <w:rPr>
          <w:rFonts w:hint="eastAsia" w:ascii="宋体" w:hAnsi="宋体" w:cs="宋体"/>
          <w:sz w:val="24"/>
        </w:rPr>
        <w:t>1.用途：用于胰岛素定量检测项目的定标。</w:t>
      </w:r>
    </w:p>
    <w:p w14:paraId="5739EBD3">
      <w:pPr>
        <w:spacing w:line="360" w:lineRule="auto"/>
        <w:ind w:firstLine="480" w:firstLineChars="200"/>
        <w:rPr>
          <w:rFonts w:hint="eastAsia" w:ascii="宋体" w:hAnsi="宋体" w:cs="宋体"/>
          <w:sz w:val="24"/>
        </w:rPr>
      </w:pPr>
      <w:r>
        <w:rPr>
          <w:rFonts w:hint="eastAsia" w:ascii="宋体" w:hAnsi="宋体" w:cs="宋体"/>
          <w:sz w:val="24"/>
        </w:rPr>
        <w:t xml:space="preserve">2.试剂处理：添加蒸馏水或去离子水小心溶解瓶内物质，垂直加盖静置15分钟待其复溶。小心混匀，避免产生气泡。 </w:t>
      </w:r>
    </w:p>
    <w:p w14:paraId="6418DD8F">
      <w:pPr>
        <w:spacing w:line="360" w:lineRule="auto"/>
        <w:ind w:firstLine="480" w:firstLineChars="200"/>
        <w:rPr>
          <w:rFonts w:hint="eastAsia" w:ascii="宋体" w:hAnsi="宋体" w:cs="宋体"/>
          <w:sz w:val="24"/>
        </w:rPr>
      </w:pPr>
      <w:r>
        <w:rPr>
          <w:rFonts w:hint="eastAsia" w:ascii="宋体" w:hAnsi="宋体" w:cs="宋体"/>
          <w:sz w:val="24"/>
        </w:rPr>
        <w:t>3.储存条件：2-8℃，必要时分装冷冻保存。</w:t>
      </w:r>
    </w:p>
    <w:p w14:paraId="28F8A3F9">
      <w:pPr>
        <w:spacing w:line="360" w:lineRule="auto"/>
        <w:ind w:firstLine="482" w:firstLineChars="200"/>
        <w:rPr>
          <w:rFonts w:hint="eastAsia" w:ascii="宋体" w:hAnsi="宋体" w:cs="宋体"/>
          <w:b/>
          <w:bCs/>
          <w:sz w:val="24"/>
        </w:rPr>
      </w:pPr>
      <w:r>
        <w:rPr>
          <w:rFonts w:hint="eastAsia" w:ascii="宋体" w:hAnsi="宋体" w:cs="宋体"/>
          <w:b/>
          <w:bCs/>
          <w:sz w:val="24"/>
        </w:rPr>
        <w:t>标的名称76：乙型肝炎病毒e抗体检测试剂盒</w:t>
      </w:r>
    </w:p>
    <w:p w14:paraId="65B745F2">
      <w:pPr>
        <w:spacing w:line="360" w:lineRule="auto"/>
        <w:ind w:firstLine="480" w:firstLineChars="200"/>
        <w:rPr>
          <w:rFonts w:hint="eastAsia" w:ascii="宋体" w:hAnsi="宋体" w:cs="宋体"/>
          <w:sz w:val="24"/>
        </w:rPr>
      </w:pPr>
      <w:r>
        <w:rPr>
          <w:rFonts w:hint="eastAsia" w:ascii="宋体" w:hAnsi="宋体" w:cs="宋体"/>
          <w:sz w:val="24"/>
        </w:rPr>
        <w:t>1.用途：用于体外定性检测人体血清和血浆中的乙型肝炎病毒e抗原的抗体。</w:t>
      </w:r>
    </w:p>
    <w:p w14:paraId="4303417C">
      <w:pPr>
        <w:spacing w:line="360" w:lineRule="auto"/>
        <w:ind w:firstLine="480" w:firstLineChars="200"/>
        <w:rPr>
          <w:rFonts w:hint="eastAsia" w:ascii="宋体" w:hAnsi="宋体" w:cs="宋体"/>
          <w:sz w:val="24"/>
        </w:rPr>
      </w:pPr>
      <w:r>
        <w:rPr>
          <w:rFonts w:hint="eastAsia" w:ascii="宋体" w:hAnsi="宋体" w:cs="宋体"/>
          <w:sz w:val="24"/>
        </w:rPr>
        <w:t>2.样本类型：血清/血浆。</w:t>
      </w:r>
    </w:p>
    <w:p w14:paraId="6EF41373">
      <w:pPr>
        <w:spacing w:line="360" w:lineRule="auto"/>
        <w:ind w:firstLine="480" w:firstLineChars="200"/>
        <w:rPr>
          <w:rFonts w:hint="eastAsia" w:ascii="宋体" w:hAnsi="宋体" w:cs="宋体"/>
          <w:sz w:val="24"/>
        </w:rPr>
      </w:pPr>
      <w:r>
        <w:rPr>
          <w:rFonts w:hint="eastAsia" w:ascii="宋体" w:hAnsi="宋体" w:cs="宋体"/>
          <w:sz w:val="24"/>
        </w:rPr>
        <w:t>3.检测原理：竞争法原理。</w:t>
      </w:r>
    </w:p>
    <w:p w14:paraId="249B2814">
      <w:pPr>
        <w:spacing w:line="360" w:lineRule="auto"/>
        <w:ind w:firstLine="482" w:firstLineChars="200"/>
        <w:rPr>
          <w:rFonts w:hint="eastAsia" w:ascii="宋体" w:hAnsi="宋体" w:cs="宋体"/>
          <w:b/>
          <w:bCs/>
          <w:sz w:val="24"/>
        </w:rPr>
      </w:pPr>
      <w:r>
        <w:rPr>
          <w:rFonts w:hint="eastAsia" w:ascii="宋体" w:hAnsi="宋体" w:cs="宋体"/>
          <w:b/>
          <w:bCs/>
          <w:sz w:val="24"/>
        </w:rPr>
        <w:t>标的名称77：乙型肝炎病毒e抗体质控液</w:t>
      </w:r>
    </w:p>
    <w:p w14:paraId="6F5D4022">
      <w:pPr>
        <w:spacing w:line="360" w:lineRule="auto"/>
        <w:ind w:firstLine="480" w:firstLineChars="200"/>
        <w:rPr>
          <w:rFonts w:hint="eastAsia" w:ascii="宋体" w:hAnsi="宋体" w:cs="宋体"/>
          <w:sz w:val="24"/>
        </w:rPr>
      </w:pPr>
      <w:r>
        <w:rPr>
          <w:rFonts w:hint="eastAsia" w:ascii="宋体" w:hAnsi="宋体" w:cs="宋体"/>
          <w:sz w:val="24"/>
        </w:rPr>
        <w:t>1.用途：用于乙型肝炎病毒e抗体免疫测定的质量控制。</w:t>
      </w:r>
    </w:p>
    <w:p w14:paraId="67725362">
      <w:pPr>
        <w:spacing w:line="360" w:lineRule="auto"/>
        <w:ind w:firstLine="480" w:firstLineChars="200"/>
        <w:rPr>
          <w:rFonts w:hint="eastAsia" w:ascii="宋体" w:hAnsi="宋体" w:cs="宋体"/>
          <w:sz w:val="24"/>
        </w:rPr>
      </w:pPr>
      <w:r>
        <w:rPr>
          <w:rFonts w:hint="eastAsia" w:ascii="宋体" w:hAnsi="宋体" w:cs="宋体"/>
          <w:sz w:val="24"/>
        </w:rPr>
        <w:t>2.试剂处理：质控品都可以直接上机，并已盛装在适用于系统的瓶子中。应该只有在进行质控时放在分析仪内，使用之后，尽快关上瓶子并保存在2-8℃。因为可能会有蒸发的情形，所以每瓶质控液的使用不能超过7次。</w:t>
      </w:r>
    </w:p>
    <w:p w14:paraId="27F5BA55">
      <w:pPr>
        <w:spacing w:line="360" w:lineRule="auto"/>
        <w:ind w:firstLine="480" w:firstLineChars="200"/>
        <w:rPr>
          <w:rFonts w:hint="eastAsia" w:ascii="宋体" w:hAnsi="宋体" w:cs="宋体"/>
          <w:sz w:val="24"/>
        </w:rPr>
      </w:pPr>
      <w:r>
        <w:rPr>
          <w:rFonts w:hint="eastAsia" w:ascii="宋体" w:hAnsi="宋体" w:cs="宋体"/>
          <w:sz w:val="24"/>
        </w:rPr>
        <w:t>3.储存条件：2-8℃。</w:t>
      </w:r>
    </w:p>
    <w:p w14:paraId="18FA1FA8">
      <w:pPr>
        <w:spacing w:line="360" w:lineRule="auto"/>
        <w:ind w:firstLine="482" w:firstLineChars="200"/>
        <w:rPr>
          <w:rFonts w:hint="eastAsia" w:ascii="宋体" w:hAnsi="宋体" w:cs="宋体"/>
          <w:b/>
          <w:bCs/>
          <w:sz w:val="24"/>
        </w:rPr>
      </w:pPr>
      <w:r>
        <w:rPr>
          <w:rFonts w:hint="eastAsia" w:ascii="宋体" w:hAnsi="宋体" w:cs="宋体"/>
          <w:b/>
          <w:bCs/>
          <w:sz w:val="24"/>
        </w:rPr>
        <w:t>标的名称78：游离甲状腺素测定试剂盒</w:t>
      </w:r>
    </w:p>
    <w:p w14:paraId="4E9D1C2A">
      <w:pPr>
        <w:spacing w:line="360" w:lineRule="auto"/>
        <w:ind w:firstLine="480" w:firstLineChars="200"/>
        <w:rPr>
          <w:rFonts w:hint="eastAsia" w:ascii="宋体" w:hAnsi="宋体" w:cs="宋体"/>
          <w:sz w:val="24"/>
        </w:rPr>
      </w:pPr>
      <w:r>
        <w:rPr>
          <w:rFonts w:hint="eastAsia" w:ascii="宋体" w:hAnsi="宋体" w:cs="宋体"/>
          <w:sz w:val="24"/>
        </w:rPr>
        <w:t>1.用途：用于体外定量检测人体血清和血浆中的游离甲状腺素（FT4）。</w:t>
      </w:r>
    </w:p>
    <w:p w14:paraId="7C4E5092">
      <w:pPr>
        <w:spacing w:line="360" w:lineRule="auto"/>
        <w:ind w:firstLine="480" w:firstLineChars="200"/>
        <w:rPr>
          <w:rFonts w:hint="eastAsia" w:ascii="宋体" w:hAnsi="宋体" w:cs="宋体"/>
          <w:sz w:val="24"/>
        </w:rPr>
      </w:pPr>
      <w:r>
        <w:rPr>
          <w:rFonts w:hint="eastAsia" w:ascii="宋体" w:hAnsi="宋体" w:cs="宋体"/>
          <w:sz w:val="24"/>
        </w:rPr>
        <w:t>2.样本类型：血清/血浆。</w:t>
      </w:r>
    </w:p>
    <w:p w14:paraId="6375DEA8">
      <w:pPr>
        <w:spacing w:line="360" w:lineRule="auto"/>
        <w:ind w:firstLine="480" w:firstLineChars="200"/>
        <w:rPr>
          <w:rFonts w:hint="eastAsia" w:ascii="宋体" w:hAnsi="宋体" w:cs="宋体"/>
          <w:sz w:val="24"/>
        </w:rPr>
      </w:pPr>
      <w:r>
        <w:rPr>
          <w:rFonts w:hint="eastAsia" w:ascii="宋体" w:hAnsi="宋体" w:cs="宋体"/>
          <w:sz w:val="24"/>
        </w:rPr>
        <w:t>3.检测原理：竞争法原理。</w:t>
      </w:r>
    </w:p>
    <w:p w14:paraId="3BEBC958">
      <w:pPr>
        <w:spacing w:line="360" w:lineRule="auto"/>
        <w:ind w:firstLine="482" w:firstLineChars="200"/>
        <w:rPr>
          <w:rFonts w:hint="eastAsia" w:ascii="宋体" w:hAnsi="宋体" w:cs="宋体"/>
          <w:b/>
          <w:bCs/>
          <w:sz w:val="24"/>
        </w:rPr>
      </w:pPr>
      <w:r>
        <w:rPr>
          <w:rFonts w:hint="eastAsia" w:ascii="宋体" w:hAnsi="宋体" w:cs="宋体"/>
          <w:b/>
          <w:bCs/>
          <w:sz w:val="24"/>
        </w:rPr>
        <w:t>标的名称79：乙型肝炎病毒e抗原检测试剂盒</w:t>
      </w:r>
    </w:p>
    <w:p w14:paraId="5F98078A">
      <w:pPr>
        <w:spacing w:line="360" w:lineRule="auto"/>
        <w:ind w:firstLine="480" w:firstLineChars="200"/>
        <w:rPr>
          <w:rFonts w:hint="eastAsia" w:ascii="宋体" w:hAnsi="宋体" w:cs="宋体"/>
          <w:sz w:val="24"/>
        </w:rPr>
      </w:pPr>
      <w:r>
        <w:rPr>
          <w:rFonts w:hint="eastAsia" w:ascii="宋体" w:hAnsi="宋体" w:cs="宋体"/>
          <w:sz w:val="24"/>
        </w:rPr>
        <w:t>1.用途：用于体外定性检测人体血清和血浆中的乙型肝炎病毒e抗原。</w:t>
      </w:r>
    </w:p>
    <w:p w14:paraId="6666196A">
      <w:pPr>
        <w:spacing w:line="360" w:lineRule="auto"/>
        <w:ind w:firstLine="480" w:firstLineChars="200"/>
        <w:rPr>
          <w:rFonts w:hint="eastAsia" w:ascii="宋体" w:hAnsi="宋体" w:cs="宋体"/>
          <w:sz w:val="24"/>
        </w:rPr>
      </w:pPr>
      <w:r>
        <w:rPr>
          <w:rFonts w:hint="eastAsia" w:ascii="宋体" w:hAnsi="宋体" w:cs="宋体"/>
          <w:sz w:val="24"/>
        </w:rPr>
        <w:t>2.样本类型：血清/血浆。</w:t>
      </w:r>
    </w:p>
    <w:p w14:paraId="75E9E101">
      <w:pPr>
        <w:spacing w:line="360" w:lineRule="auto"/>
        <w:ind w:firstLine="480" w:firstLineChars="200"/>
        <w:rPr>
          <w:rFonts w:hint="eastAsia" w:ascii="宋体" w:hAnsi="宋体" w:cs="宋体"/>
          <w:sz w:val="24"/>
        </w:rPr>
      </w:pPr>
      <w:r>
        <w:rPr>
          <w:rFonts w:hint="eastAsia" w:ascii="宋体" w:hAnsi="宋体" w:cs="宋体"/>
          <w:sz w:val="24"/>
        </w:rPr>
        <w:t>3.检测原理：夹心法原理。</w:t>
      </w:r>
    </w:p>
    <w:p w14:paraId="2869D9FA">
      <w:pPr>
        <w:spacing w:line="360" w:lineRule="auto"/>
        <w:ind w:firstLine="482" w:firstLineChars="200"/>
        <w:rPr>
          <w:rFonts w:hint="eastAsia" w:ascii="宋体" w:hAnsi="宋体" w:cs="宋体"/>
          <w:b/>
          <w:bCs/>
          <w:sz w:val="24"/>
        </w:rPr>
      </w:pPr>
      <w:r>
        <w:rPr>
          <w:rFonts w:hint="eastAsia" w:ascii="宋体" w:hAnsi="宋体" w:cs="宋体"/>
          <w:b/>
          <w:bCs/>
          <w:sz w:val="24"/>
        </w:rPr>
        <w:t>标的名称80：乙型肝炎病毒e抗原质控液</w:t>
      </w:r>
    </w:p>
    <w:p w14:paraId="7FDC13F9">
      <w:pPr>
        <w:spacing w:line="360" w:lineRule="auto"/>
        <w:ind w:firstLine="480" w:firstLineChars="200"/>
        <w:rPr>
          <w:rFonts w:hint="eastAsia" w:ascii="宋体" w:hAnsi="宋体" w:cs="宋体"/>
          <w:sz w:val="24"/>
        </w:rPr>
      </w:pPr>
      <w:r>
        <w:rPr>
          <w:rFonts w:hint="eastAsia" w:ascii="宋体" w:hAnsi="宋体" w:cs="宋体"/>
          <w:sz w:val="24"/>
        </w:rPr>
        <w:t xml:space="preserve">1.用途：用于乙型肝炎病毒e抗原免疫测定的质量控制。 </w:t>
      </w:r>
    </w:p>
    <w:p w14:paraId="38F73497">
      <w:pPr>
        <w:spacing w:line="360" w:lineRule="auto"/>
        <w:ind w:firstLine="480" w:firstLineChars="200"/>
        <w:rPr>
          <w:rFonts w:hint="eastAsia" w:ascii="宋体" w:hAnsi="宋体" w:cs="宋体"/>
          <w:sz w:val="24"/>
        </w:rPr>
      </w:pPr>
      <w:r>
        <w:rPr>
          <w:rFonts w:hint="eastAsia" w:ascii="宋体" w:hAnsi="宋体" w:cs="宋体"/>
          <w:sz w:val="24"/>
        </w:rPr>
        <w:t xml:space="preserve">2.试剂处理：质控品都可以直接上机，并已盛装在适用于系统的瓶子中。应该只有在进行质控时放在分析仪内，使用之后，尽快关上瓶子并保存在2-8℃。因为可能会有蒸发的情形，所以每瓶质控液的使用不能超过7次。 </w:t>
      </w:r>
    </w:p>
    <w:p w14:paraId="7EA94584">
      <w:pPr>
        <w:spacing w:line="360" w:lineRule="auto"/>
        <w:ind w:firstLine="480" w:firstLineChars="200"/>
        <w:rPr>
          <w:rFonts w:hint="eastAsia" w:ascii="宋体" w:hAnsi="宋体" w:cs="宋体"/>
          <w:sz w:val="24"/>
        </w:rPr>
      </w:pPr>
      <w:r>
        <w:rPr>
          <w:rFonts w:hint="eastAsia" w:ascii="宋体" w:hAnsi="宋体" w:cs="宋体"/>
          <w:sz w:val="24"/>
        </w:rPr>
        <w:t>3.储存条件：2-8℃。</w:t>
      </w:r>
    </w:p>
    <w:p w14:paraId="3EDCCFCA">
      <w:pPr>
        <w:spacing w:line="360" w:lineRule="auto"/>
        <w:ind w:firstLine="482" w:firstLineChars="200"/>
        <w:rPr>
          <w:rFonts w:hint="eastAsia" w:ascii="宋体" w:hAnsi="宋体" w:cs="宋体"/>
          <w:b/>
          <w:bCs/>
          <w:sz w:val="24"/>
        </w:rPr>
      </w:pPr>
      <w:r>
        <w:rPr>
          <w:rFonts w:hint="eastAsia" w:ascii="宋体" w:hAnsi="宋体" w:cs="宋体"/>
          <w:b/>
          <w:bCs/>
          <w:sz w:val="24"/>
        </w:rPr>
        <w:t>标的名称81：乙型肝炎病毒表面抗体检测试剂盒</w:t>
      </w:r>
    </w:p>
    <w:p w14:paraId="381C5585">
      <w:pPr>
        <w:spacing w:line="360" w:lineRule="auto"/>
        <w:ind w:firstLine="480" w:firstLineChars="200"/>
        <w:rPr>
          <w:rFonts w:hint="eastAsia" w:ascii="宋体" w:hAnsi="宋体" w:cs="宋体"/>
          <w:sz w:val="24"/>
        </w:rPr>
      </w:pPr>
      <w:r>
        <w:rPr>
          <w:rFonts w:hint="eastAsia" w:ascii="宋体" w:hAnsi="宋体" w:cs="宋体"/>
          <w:sz w:val="24"/>
        </w:rPr>
        <w:t>1.用途：用于体外定性检测人体血清和血浆中的乙型肝炎病毒表面抗原的抗体。</w:t>
      </w:r>
    </w:p>
    <w:p w14:paraId="3209A0B1">
      <w:pPr>
        <w:spacing w:line="360" w:lineRule="auto"/>
        <w:ind w:firstLine="480" w:firstLineChars="200"/>
        <w:rPr>
          <w:rFonts w:hint="eastAsia" w:ascii="宋体" w:hAnsi="宋体" w:cs="宋体"/>
          <w:sz w:val="24"/>
        </w:rPr>
      </w:pPr>
      <w:r>
        <w:rPr>
          <w:rFonts w:hint="eastAsia" w:ascii="宋体" w:hAnsi="宋体" w:cs="宋体"/>
          <w:sz w:val="24"/>
        </w:rPr>
        <w:t>2.样本类型：血清/血浆。</w:t>
      </w:r>
    </w:p>
    <w:p w14:paraId="366663D1">
      <w:pPr>
        <w:spacing w:line="360" w:lineRule="auto"/>
        <w:ind w:firstLine="480" w:firstLineChars="200"/>
        <w:rPr>
          <w:rFonts w:hint="eastAsia" w:ascii="宋体" w:hAnsi="宋体" w:cs="宋体"/>
          <w:sz w:val="24"/>
        </w:rPr>
      </w:pPr>
      <w:r>
        <w:rPr>
          <w:rFonts w:hint="eastAsia" w:ascii="宋体" w:hAnsi="宋体" w:cs="宋体"/>
          <w:sz w:val="24"/>
        </w:rPr>
        <w:t>3.检测原理：双抗夹心法原理。</w:t>
      </w:r>
    </w:p>
    <w:p w14:paraId="111027A3">
      <w:pPr>
        <w:spacing w:line="360" w:lineRule="auto"/>
        <w:ind w:firstLine="482" w:firstLineChars="200"/>
        <w:rPr>
          <w:rFonts w:hint="eastAsia" w:ascii="宋体" w:hAnsi="宋体" w:cs="宋体"/>
          <w:b/>
          <w:bCs/>
          <w:sz w:val="24"/>
        </w:rPr>
      </w:pPr>
      <w:r>
        <w:rPr>
          <w:rFonts w:hint="eastAsia" w:ascii="宋体" w:hAnsi="宋体" w:cs="宋体"/>
          <w:b/>
          <w:bCs/>
          <w:sz w:val="24"/>
        </w:rPr>
        <w:t>标的名称82：乙型肝炎病毒表面抗体质控液</w:t>
      </w:r>
    </w:p>
    <w:p w14:paraId="33CD6278">
      <w:pPr>
        <w:spacing w:line="360" w:lineRule="auto"/>
        <w:ind w:firstLine="480" w:firstLineChars="200"/>
        <w:rPr>
          <w:rFonts w:hint="eastAsia" w:ascii="宋体" w:hAnsi="宋体" w:cs="宋体"/>
          <w:sz w:val="24"/>
        </w:rPr>
      </w:pPr>
      <w:r>
        <w:rPr>
          <w:rFonts w:hint="eastAsia" w:ascii="宋体" w:hAnsi="宋体" w:cs="宋体"/>
          <w:sz w:val="24"/>
        </w:rPr>
        <w:t>1.主要用途：用于乙型肝炎病毒表面抗体免疫测定的质量控制。</w:t>
      </w:r>
    </w:p>
    <w:p w14:paraId="69476FA8">
      <w:pPr>
        <w:spacing w:line="360" w:lineRule="auto"/>
        <w:ind w:firstLine="480" w:firstLineChars="200"/>
        <w:rPr>
          <w:rFonts w:hint="eastAsia" w:ascii="宋体" w:hAnsi="宋体" w:cs="宋体"/>
          <w:sz w:val="24"/>
        </w:rPr>
      </w:pPr>
      <w:r>
        <w:rPr>
          <w:rFonts w:hint="eastAsia" w:ascii="宋体" w:hAnsi="宋体" w:cs="宋体"/>
          <w:sz w:val="24"/>
        </w:rPr>
        <w:t xml:space="preserve">2.试剂处理：质控品都可以直接上机，并已盛装在适用于系统的瓶子中。应该只有在进行质控时放在分析仪内，使用之后，尽快关上瓶子并保存在2-8℃。因为可能会有蒸发的情形，所以每瓶质控液的使用不能超过7次。 </w:t>
      </w:r>
    </w:p>
    <w:p w14:paraId="7493669B">
      <w:pPr>
        <w:spacing w:line="360" w:lineRule="auto"/>
        <w:ind w:firstLine="480" w:firstLineChars="200"/>
        <w:rPr>
          <w:rFonts w:hint="eastAsia" w:ascii="宋体" w:hAnsi="宋体" w:cs="宋体"/>
          <w:sz w:val="24"/>
        </w:rPr>
      </w:pPr>
      <w:r>
        <w:rPr>
          <w:rFonts w:hint="eastAsia" w:ascii="宋体" w:hAnsi="宋体" w:cs="宋体"/>
          <w:sz w:val="24"/>
        </w:rPr>
        <w:t>3.储存条件：2-8℃。</w:t>
      </w:r>
    </w:p>
    <w:p w14:paraId="55D43BB2">
      <w:pPr>
        <w:spacing w:line="360" w:lineRule="auto"/>
        <w:ind w:firstLine="482" w:firstLineChars="200"/>
        <w:rPr>
          <w:rFonts w:hint="eastAsia" w:ascii="宋体" w:hAnsi="宋体" w:cs="宋体"/>
          <w:b/>
          <w:bCs/>
          <w:sz w:val="24"/>
        </w:rPr>
      </w:pPr>
      <w:r>
        <w:rPr>
          <w:rFonts w:hint="eastAsia" w:ascii="宋体" w:hAnsi="宋体" w:cs="宋体"/>
          <w:b/>
          <w:bCs/>
          <w:sz w:val="24"/>
        </w:rPr>
        <w:t>标的名称83：乙型肝炎病毒表面抗原测定试剂盒</w:t>
      </w:r>
    </w:p>
    <w:p w14:paraId="4A031160">
      <w:pPr>
        <w:spacing w:line="360" w:lineRule="auto"/>
        <w:ind w:firstLine="480" w:firstLineChars="200"/>
        <w:rPr>
          <w:rFonts w:hint="eastAsia" w:ascii="宋体" w:hAnsi="宋体" w:cs="宋体"/>
          <w:sz w:val="24"/>
        </w:rPr>
      </w:pPr>
      <w:r>
        <w:rPr>
          <w:rFonts w:hint="eastAsia" w:ascii="宋体" w:hAnsi="宋体" w:cs="宋体"/>
          <w:sz w:val="24"/>
        </w:rPr>
        <w:t>1.用途：用于体外定性检测人体血清和血浆中的乙型肝炎病毒表面抗原。</w:t>
      </w:r>
    </w:p>
    <w:p w14:paraId="72BE776C">
      <w:pPr>
        <w:spacing w:line="360" w:lineRule="auto"/>
        <w:ind w:firstLine="480" w:firstLineChars="200"/>
        <w:rPr>
          <w:rFonts w:hint="eastAsia" w:ascii="宋体" w:hAnsi="宋体" w:cs="宋体"/>
          <w:sz w:val="24"/>
        </w:rPr>
      </w:pPr>
      <w:r>
        <w:rPr>
          <w:rFonts w:hint="eastAsia" w:ascii="宋体" w:hAnsi="宋体" w:cs="宋体"/>
          <w:sz w:val="24"/>
        </w:rPr>
        <w:t>2.样本类型：血清/血浆。</w:t>
      </w:r>
    </w:p>
    <w:p w14:paraId="0FF86B7D">
      <w:pPr>
        <w:spacing w:line="360" w:lineRule="auto"/>
        <w:ind w:firstLine="480" w:firstLineChars="200"/>
        <w:rPr>
          <w:rFonts w:hint="eastAsia" w:ascii="宋体" w:hAnsi="宋体" w:cs="宋体"/>
          <w:sz w:val="24"/>
        </w:rPr>
      </w:pPr>
      <w:r>
        <w:rPr>
          <w:rFonts w:hint="eastAsia" w:ascii="宋体" w:hAnsi="宋体" w:cs="宋体"/>
          <w:sz w:val="24"/>
        </w:rPr>
        <w:t>3.检测原理：竞争法原理。</w:t>
      </w:r>
    </w:p>
    <w:p w14:paraId="48405AA0">
      <w:pPr>
        <w:spacing w:line="360" w:lineRule="auto"/>
        <w:ind w:firstLine="482" w:firstLineChars="200"/>
        <w:rPr>
          <w:rFonts w:hint="eastAsia" w:ascii="宋体" w:hAnsi="宋体" w:cs="宋体"/>
          <w:b/>
          <w:bCs/>
          <w:sz w:val="24"/>
        </w:rPr>
      </w:pPr>
      <w:r>
        <w:rPr>
          <w:rFonts w:hint="eastAsia" w:ascii="宋体" w:hAnsi="宋体" w:cs="宋体"/>
          <w:b/>
          <w:bCs/>
          <w:sz w:val="24"/>
        </w:rPr>
        <w:t>标的名称84：乙型肝炎病毒表面抗原质控品</w:t>
      </w:r>
    </w:p>
    <w:p w14:paraId="67E17926">
      <w:pPr>
        <w:spacing w:line="360" w:lineRule="auto"/>
        <w:ind w:firstLine="480" w:firstLineChars="200"/>
        <w:rPr>
          <w:rFonts w:hint="eastAsia" w:ascii="宋体" w:hAnsi="宋体" w:cs="宋体"/>
          <w:sz w:val="24"/>
        </w:rPr>
      </w:pPr>
      <w:r>
        <w:rPr>
          <w:rFonts w:hint="eastAsia" w:ascii="宋体" w:hAnsi="宋体" w:cs="宋体"/>
          <w:sz w:val="24"/>
        </w:rPr>
        <w:t>1.用途：用于乙型肝炎病毒表面抗原免疫测定的质量控制。</w:t>
      </w:r>
    </w:p>
    <w:p w14:paraId="4FF19C84">
      <w:pPr>
        <w:spacing w:line="360" w:lineRule="auto"/>
        <w:ind w:firstLine="480" w:firstLineChars="200"/>
        <w:rPr>
          <w:rFonts w:hint="eastAsia" w:ascii="宋体" w:hAnsi="宋体" w:cs="宋体"/>
          <w:sz w:val="24"/>
        </w:rPr>
      </w:pPr>
      <w:r>
        <w:rPr>
          <w:rFonts w:hint="eastAsia" w:ascii="宋体" w:hAnsi="宋体" w:cs="宋体"/>
          <w:sz w:val="24"/>
        </w:rPr>
        <w:t xml:space="preserve">2.试剂处理：质控品都可以直接上机，并已盛装在适用于系统的瓶子中。应该只有在进行质控时放在分析仪内，使用之后，尽快关上瓶子并保存在2-8℃。因为可能会有蒸发的情形，所以每瓶质控液的使用不能超过7次。 </w:t>
      </w:r>
    </w:p>
    <w:p w14:paraId="030E5B82">
      <w:pPr>
        <w:spacing w:line="360" w:lineRule="auto"/>
        <w:ind w:firstLine="480" w:firstLineChars="200"/>
        <w:rPr>
          <w:rFonts w:hint="eastAsia" w:ascii="宋体" w:hAnsi="宋体" w:cs="宋体"/>
          <w:sz w:val="24"/>
        </w:rPr>
      </w:pPr>
      <w:r>
        <w:rPr>
          <w:rFonts w:hint="eastAsia" w:ascii="宋体" w:hAnsi="宋体" w:cs="宋体"/>
          <w:sz w:val="24"/>
        </w:rPr>
        <w:t>3.储存条件：2-8℃。</w:t>
      </w:r>
    </w:p>
    <w:p w14:paraId="58D93EC0">
      <w:pPr>
        <w:spacing w:line="360" w:lineRule="auto"/>
        <w:ind w:firstLine="482" w:firstLineChars="200"/>
        <w:rPr>
          <w:rFonts w:hint="eastAsia" w:ascii="宋体" w:hAnsi="宋体" w:cs="宋体"/>
          <w:b/>
          <w:bCs/>
          <w:sz w:val="24"/>
        </w:rPr>
      </w:pPr>
      <w:r>
        <w:rPr>
          <w:rFonts w:hint="eastAsia" w:ascii="宋体" w:hAnsi="宋体" w:cs="宋体"/>
          <w:b/>
          <w:bCs/>
          <w:sz w:val="24"/>
        </w:rPr>
        <w:t>标的名称85：乙型肝炎病毒核心抗体检测试剂盒</w:t>
      </w:r>
    </w:p>
    <w:p w14:paraId="21493242">
      <w:pPr>
        <w:spacing w:line="360" w:lineRule="auto"/>
        <w:ind w:firstLine="480" w:firstLineChars="200"/>
        <w:rPr>
          <w:rFonts w:hint="eastAsia" w:ascii="宋体" w:hAnsi="宋体" w:cs="宋体"/>
          <w:sz w:val="24"/>
        </w:rPr>
      </w:pPr>
      <w:r>
        <w:rPr>
          <w:rFonts w:hint="eastAsia" w:ascii="宋体" w:hAnsi="宋体" w:cs="宋体"/>
          <w:sz w:val="24"/>
        </w:rPr>
        <w:t>1.用途：用于体外定性检测人体血清和血浆中的乙型肝炎病毒核心抗原IgG和IgM抗体。</w:t>
      </w:r>
    </w:p>
    <w:p w14:paraId="1019C4AD">
      <w:pPr>
        <w:spacing w:line="360" w:lineRule="auto"/>
        <w:ind w:firstLine="480" w:firstLineChars="200"/>
        <w:rPr>
          <w:rFonts w:hint="eastAsia" w:ascii="宋体" w:hAnsi="宋体" w:cs="宋体"/>
          <w:sz w:val="24"/>
        </w:rPr>
      </w:pPr>
      <w:r>
        <w:rPr>
          <w:rFonts w:hint="eastAsia" w:ascii="宋体" w:hAnsi="宋体" w:cs="宋体"/>
          <w:sz w:val="24"/>
        </w:rPr>
        <w:t>2.样本类型：血清/血浆。</w:t>
      </w:r>
    </w:p>
    <w:p w14:paraId="479AEB40">
      <w:pPr>
        <w:spacing w:line="360" w:lineRule="auto"/>
        <w:ind w:firstLine="480" w:firstLineChars="200"/>
        <w:rPr>
          <w:rFonts w:hint="eastAsia" w:ascii="宋体" w:hAnsi="宋体" w:cs="宋体"/>
          <w:sz w:val="24"/>
        </w:rPr>
      </w:pPr>
      <w:r>
        <w:rPr>
          <w:rFonts w:hint="eastAsia" w:ascii="宋体" w:hAnsi="宋体" w:cs="宋体"/>
          <w:sz w:val="24"/>
        </w:rPr>
        <w:t>3.检测原理：夹心法原理。</w:t>
      </w:r>
    </w:p>
    <w:p w14:paraId="1D3FDE41">
      <w:pPr>
        <w:spacing w:line="360" w:lineRule="auto"/>
        <w:ind w:firstLine="482" w:firstLineChars="200"/>
        <w:rPr>
          <w:rFonts w:hint="eastAsia" w:ascii="宋体" w:hAnsi="宋体" w:cs="宋体"/>
          <w:b/>
          <w:bCs/>
          <w:sz w:val="24"/>
        </w:rPr>
      </w:pPr>
      <w:r>
        <w:rPr>
          <w:rFonts w:hint="eastAsia" w:ascii="宋体" w:hAnsi="宋体" w:cs="宋体"/>
          <w:b/>
          <w:bCs/>
          <w:sz w:val="24"/>
        </w:rPr>
        <w:t>标的名称86：乙型肝炎病毒核心抗体质控品</w:t>
      </w:r>
    </w:p>
    <w:p w14:paraId="363E1B96">
      <w:pPr>
        <w:spacing w:line="360" w:lineRule="auto"/>
        <w:ind w:firstLine="480" w:firstLineChars="200"/>
        <w:rPr>
          <w:rFonts w:hint="eastAsia" w:ascii="宋体" w:hAnsi="宋体" w:cs="宋体"/>
          <w:sz w:val="24"/>
        </w:rPr>
      </w:pPr>
      <w:r>
        <w:rPr>
          <w:rFonts w:hint="eastAsia" w:ascii="宋体" w:hAnsi="宋体" w:cs="宋体"/>
          <w:sz w:val="24"/>
        </w:rPr>
        <w:t xml:space="preserve">1.用途：用于乙型肝炎病毒核心抗体免疫测定的质量控制。            </w:t>
      </w:r>
    </w:p>
    <w:p w14:paraId="07B51746">
      <w:pPr>
        <w:spacing w:line="360" w:lineRule="auto"/>
        <w:ind w:firstLine="480" w:firstLineChars="200"/>
        <w:rPr>
          <w:rFonts w:hint="eastAsia" w:ascii="宋体" w:hAnsi="宋体" w:cs="宋体"/>
          <w:sz w:val="24"/>
        </w:rPr>
      </w:pPr>
      <w:r>
        <w:rPr>
          <w:rFonts w:hint="eastAsia" w:ascii="宋体" w:hAnsi="宋体" w:cs="宋体"/>
          <w:sz w:val="24"/>
        </w:rPr>
        <w:t>2.试剂处理：质控品都可以直接上机，并已盛装在适用于系统的瓶子中。应该只有在进行质控时放在分析仪内，使用之后，尽快关上瓶子并保存在2-8℃。因为可能会有蒸发的情形，所以每瓶质控液的使用不能超过7次。</w:t>
      </w:r>
    </w:p>
    <w:p w14:paraId="494A7A5F">
      <w:pPr>
        <w:spacing w:line="360" w:lineRule="auto"/>
        <w:ind w:firstLine="480" w:firstLineChars="200"/>
        <w:rPr>
          <w:rFonts w:hint="eastAsia" w:ascii="宋体" w:hAnsi="宋体" w:cs="宋体"/>
          <w:sz w:val="24"/>
        </w:rPr>
      </w:pPr>
      <w:r>
        <w:rPr>
          <w:rFonts w:hint="eastAsia" w:ascii="宋体" w:hAnsi="宋体" w:cs="宋体"/>
          <w:sz w:val="24"/>
        </w:rPr>
        <w:t>3.储存条件：2-8℃。</w:t>
      </w:r>
    </w:p>
    <w:p w14:paraId="49457337">
      <w:pPr>
        <w:spacing w:line="360" w:lineRule="auto"/>
        <w:ind w:firstLine="482" w:firstLineChars="200"/>
        <w:rPr>
          <w:rFonts w:hint="eastAsia" w:ascii="宋体" w:hAnsi="宋体" w:cs="宋体"/>
          <w:b/>
          <w:bCs/>
          <w:sz w:val="24"/>
        </w:rPr>
      </w:pPr>
      <w:r>
        <w:rPr>
          <w:rFonts w:hint="eastAsia" w:ascii="宋体" w:hAnsi="宋体" w:cs="宋体"/>
          <w:b/>
          <w:bCs/>
          <w:sz w:val="24"/>
        </w:rPr>
        <w:t>标的名称87：游离甲状腺素定标液</w:t>
      </w:r>
    </w:p>
    <w:p w14:paraId="0861E39E">
      <w:pPr>
        <w:spacing w:line="360" w:lineRule="auto"/>
        <w:ind w:firstLine="480" w:firstLineChars="200"/>
        <w:rPr>
          <w:rFonts w:hint="eastAsia" w:ascii="宋体" w:hAnsi="宋体" w:cs="宋体"/>
          <w:sz w:val="24"/>
        </w:rPr>
      </w:pPr>
      <w:r>
        <w:rPr>
          <w:rFonts w:hint="eastAsia" w:ascii="宋体" w:hAnsi="宋体" w:cs="宋体"/>
          <w:sz w:val="24"/>
        </w:rPr>
        <w:t>1.用途：用于FT4检测项目的定标。</w:t>
      </w:r>
    </w:p>
    <w:p w14:paraId="2E65E7AF">
      <w:pPr>
        <w:spacing w:line="360" w:lineRule="auto"/>
        <w:ind w:firstLine="480" w:firstLineChars="200"/>
        <w:rPr>
          <w:rFonts w:hint="eastAsia" w:ascii="宋体" w:hAnsi="宋体" w:cs="宋体"/>
          <w:sz w:val="24"/>
        </w:rPr>
      </w:pPr>
      <w:r>
        <w:rPr>
          <w:rFonts w:hint="eastAsia" w:ascii="宋体" w:hAnsi="宋体" w:cs="宋体"/>
          <w:sz w:val="24"/>
        </w:rPr>
        <w:t xml:space="preserve">2.试剂处理：校准品进行校准操作时应放置于分析仪上20~25℃。使用后，应尽快盖盖并竖直存放于2~8℃。由于可能的挥发效应，每套瓶装校准品的使用不应超过5次。 </w:t>
      </w:r>
    </w:p>
    <w:p w14:paraId="167602C3">
      <w:pPr>
        <w:spacing w:line="360" w:lineRule="auto"/>
        <w:ind w:firstLine="480" w:firstLineChars="200"/>
        <w:rPr>
          <w:rFonts w:hint="eastAsia" w:ascii="宋体" w:hAnsi="宋体" w:cs="宋体"/>
          <w:sz w:val="24"/>
        </w:rPr>
      </w:pPr>
      <w:r>
        <w:rPr>
          <w:rFonts w:hint="eastAsia" w:ascii="宋体" w:hAnsi="宋体" w:cs="宋体"/>
          <w:sz w:val="24"/>
        </w:rPr>
        <w:t>3.溯源性：该检测可溯源至酶法（溯源至平衡透析法）。</w:t>
      </w:r>
    </w:p>
    <w:p w14:paraId="4854B2AE">
      <w:pPr>
        <w:spacing w:line="360" w:lineRule="auto"/>
        <w:ind w:firstLine="482" w:firstLineChars="200"/>
        <w:rPr>
          <w:rFonts w:hint="eastAsia" w:ascii="宋体" w:hAnsi="宋体" w:cs="宋体"/>
          <w:b/>
          <w:bCs/>
          <w:sz w:val="24"/>
        </w:rPr>
      </w:pPr>
      <w:r>
        <w:rPr>
          <w:rFonts w:hint="eastAsia" w:ascii="宋体" w:hAnsi="宋体" w:cs="宋体"/>
          <w:b/>
          <w:bCs/>
          <w:sz w:val="24"/>
        </w:rPr>
        <w:t>标的名称88：游离甲状腺素检测试剂盒</w:t>
      </w:r>
    </w:p>
    <w:p w14:paraId="74578DC2">
      <w:pPr>
        <w:spacing w:line="360" w:lineRule="auto"/>
        <w:ind w:firstLine="480" w:firstLineChars="200"/>
        <w:rPr>
          <w:rFonts w:hint="eastAsia" w:ascii="宋体" w:hAnsi="宋体" w:cs="宋体"/>
          <w:sz w:val="24"/>
        </w:rPr>
      </w:pPr>
      <w:r>
        <w:rPr>
          <w:rFonts w:hint="eastAsia" w:ascii="宋体" w:hAnsi="宋体" w:cs="宋体"/>
          <w:sz w:val="24"/>
        </w:rPr>
        <w:t>1.用途：用于体外定量检测人体血清和血浆中的游离甲状腺素（FT4）。</w:t>
      </w:r>
    </w:p>
    <w:p w14:paraId="5DE62F6E">
      <w:pPr>
        <w:spacing w:line="360" w:lineRule="auto"/>
        <w:ind w:firstLine="480" w:firstLineChars="200"/>
        <w:rPr>
          <w:rFonts w:hint="eastAsia" w:ascii="宋体" w:hAnsi="宋体" w:cs="宋体"/>
          <w:sz w:val="24"/>
        </w:rPr>
      </w:pPr>
      <w:r>
        <w:rPr>
          <w:rFonts w:hint="eastAsia" w:ascii="宋体" w:hAnsi="宋体" w:cs="宋体"/>
          <w:sz w:val="24"/>
        </w:rPr>
        <w:t>2.样本类型：血清/血浆。</w:t>
      </w:r>
    </w:p>
    <w:p w14:paraId="62B674C9">
      <w:pPr>
        <w:spacing w:line="360" w:lineRule="auto"/>
        <w:ind w:firstLine="480" w:firstLineChars="200"/>
        <w:rPr>
          <w:rFonts w:hint="eastAsia" w:ascii="宋体" w:hAnsi="宋体" w:cs="宋体"/>
          <w:sz w:val="24"/>
        </w:rPr>
      </w:pPr>
      <w:r>
        <w:rPr>
          <w:rFonts w:hint="eastAsia" w:ascii="宋体" w:hAnsi="宋体" w:cs="宋体"/>
          <w:sz w:val="24"/>
        </w:rPr>
        <w:t>3.检测原理：竞争法原理。</w:t>
      </w:r>
    </w:p>
    <w:p w14:paraId="0CAB3D75">
      <w:pPr>
        <w:spacing w:line="360" w:lineRule="auto"/>
        <w:ind w:firstLine="482" w:firstLineChars="200"/>
        <w:rPr>
          <w:rFonts w:hint="eastAsia" w:ascii="宋体" w:hAnsi="宋体" w:cs="宋体"/>
          <w:b/>
          <w:bCs/>
          <w:sz w:val="24"/>
        </w:rPr>
      </w:pPr>
      <w:r>
        <w:rPr>
          <w:rFonts w:hint="eastAsia" w:ascii="宋体" w:hAnsi="宋体" w:cs="宋体"/>
          <w:b/>
          <w:bCs/>
          <w:sz w:val="24"/>
        </w:rPr>
        <w:t>标的名称89：游离前列腺特异性抗原测定试剂盒</w:t>
      </w:r>
    </w:p>
    <w:p w14:paraId="20615D57">
      <w:pPr>
        <w:spacing w:line="360" w:lineRule="auto"/>
        <w:ind w:firstLine="480" w:firstLineChars="200"/>
        <w:rPr>
          <w:rFonts w:hint="eastAsia" w:ascii="宋体" w:hAnsi="宋体" w:cs="宋体"/>
          <w:sz w:val="24"/>
        </w:rPr>
      </w:pPr>
      <w:r>
        <w:rPr>
          <w:rFonts w:hint="eastAsia" w:ascii="宋体" w:hAnsi="宋体" w:cs="宋体"/>
          <w:sz w:val="24"/>
        </w:rPr>
        <w:t>1.用途：用于体外定量检测人体血清和血浆中的游离前列腺特异性抗原浓度。</w:t>
      </w:r>
    </w:p>
    <w:p w14:paraId="5246900C">
      <w:pPr>
        <w:spacing w:line="360" w:lineRule="auto"/>
        <w:ind w:firstLine="480" w:firstLineChars="200"/>
        <w:rPr>
          <w:rFonts w:hint="eastAsia" w:ascii="宋体" w:hAnsi="宋体" w:cs="宋体"/>
          <w:sz w:val="24"/>
        </w:rPr>
      </w:pPr>
      <w:r>
        <w:rPr>
          <w:rFonts w:hint="eastAsia" w:ascii="宋体" w:hAnsi="宋体" w:cs="宋体"/>
          <w:sz w:val="24"/>
        </w:rPr>
        <w:t>2.样本类型：血清/血浆。</w:t>
      </w:r>
    </w:p>
    <w:p w14:paraId="7810F419">
      <w:pPr>
        <w:spacing w:line="360" w:lineRule="auto"/>
        <w:ind w:firstLine="480" w:firstLineChars="200"/>
        <w:rPr>
          <w:rFonts w:hint="eastAsia" w:ascii="宋体" w:hAnsi="宋体" w:cs="宋体"/>
          <w:sz w:val="24"/>
        </w:rPr>
      </w:pPr>
      <w:r>
        <w:rPr>
          <w:rFonts w:hint="eastAsia" w:ascii="宋体" w:hAnsi="宋体" w:cs="宋体"/>
          <w:sz w:val="24"/>
        </w:rPr>
        <w:t>3.检测原理：“三明治”法原理。</w:t>
      </w:r>
    </w:p>
    <w:p w14:paraId="3D7157D2">
      <w:pPr>
        <w:spacing w:line="360" w:lineRule="auto"/>
        <w:ind w:firstLine="482" w:firstLineChars="200"/>
        <w:rPr>
          <w:rFonts w:hint="eastAsia" w:ascii="宋体" w:hAnsi="宋体" w:cs="宋体"/>
          <w:b/>
          <w:bCs/>
          <w:sz w:val="24"/>
        </w:rPr>
      </w:pPr>
      <w:r>
        <w:rPr>
          <w:rFonts w:hint="eastAsia" w:ascii="宋体" w:hAnsi="宋体" w:cs="宋体"/>
          <w:b/>
          <w:bCs/>
          <w:sz w:val="24"/>
        </w:rPr>
        <w:t>标的名称90：游离前列腺特异性抗原定标液</w:t>
      </w:r>
    </w:p>
    <w:p w14:paraId="4042ED21">
      <w:pPr>
        <w:spacing w:line="360" w:lineRule="auto"/>
        <w:ind w:firstLine="480" w:firstLineChars="200"/>
        <w:rPr>
          <w:rFonts w:hint="eastAsia" w:ascii="宋体" w:hAnsi="宋体" w:cs="宋体"/>
          <w:sz w:val="24"/>
        </w:rPr>
      </w:pPr>
      <w:r>
        <w:rPr>
          <w:rFonts w:hint="eastAsia" w:ascii="宋体" w:hAnsi="宋体" w:cs="宋体"/>
          <w:sz w:val="24"/>
        </w:rPr>
        <w:t>1.用途：用于游离前列腺特异性抗原（free PSA）检测项目的定标。</w:t>
      </w:r>
    </w:p>
    <w:p w14:paraId="628FDCA9">
      <w:pPr>
        <w:spacing w:line="360" w:lineRule="auto"/>
        <w:ind w:firstLine="480" w:firstLineChars="200"/>
        <w:rPr>
          <w:rFonts w:hint="eastAsia" w:ascii="宋体" w:hAnsi="宋体" w:cs="宋体"/>
          <w:sz w:val="24"/>
        </w:rPr>
      </w:pPr>
      <w:r>
        <w:rPr>
          <w:rFonts w:hint="eastAsia" w:ascii="宋体" w:hAnsi="宋体" w:cs="宋体"/>
          <w:sz w:val="24"/>
        </w:rPr>
        <w:t xml:space="preserve">2.试剂处理：校准品进行校准操作时应放置于分析仪上20~25℃。使用后，应尽快盖盖并竖直存放于2~8℃。由于可能的挥发效应，每套瓶装校准品的使用不应超过5次。 </w:t>
      </w:r>
    </w:p>
    <w:p w14:paraId="441118C9">
      <w:pPr>
        <w:spacing w:line="360" w:lineRule="auto"/>
        <w:ind w:firstLine="480" w:firstLineChars="200"/>
        <w:rPr>
          <w:rFonts w:hint="eastAsia" w:ascii="宋体" w:hAnsi="宋体" w:cs="宋体"/>
          <w:sz w:val="24"/>
        </w:rPr>
      </w:pPr>
      <w:r>
        <w:rPr>
          <w:rFonts w:hint="eastAsia" w:ascii="宋体" w:hAnsi="宋体" w:cs="宋体"/>
          <w:sz w:val="24"/>
        </w:rPr>
        <w:t>3.储存条件：2-8℃，必要时分装冷冻保存。</w:t>
      </w:r>
    </w:p>
    <w:p w14:paraId="5EF0A53E">
      <w:pPr>
        <w:spacing w:line="360" w:lineRule="auto"/>
        <w:ind w:firstLine="482" w:firstLineChars="200"/>
        <w:rPr>
          <w:rFonts w:hint="eastAsia" w:ascii="宋体" w:hAnsi="宋体" w:cs="宋体"/>
          <w:b/>
          <w:bCs/>
          <w:sz w:val="24"/>
        </w:rPr>
      </w:pPr>
      <w:r>
        <w:rPr>
          <w:rFonts w:hint="eastAsia" w:ascii="宋体" w:hAnsi="宋体" w:cs="宋体"/>
          <w:b/>
          <w:bCs/>
          <w:sz w:val="24"/>
        </w:rPr>
        <w:t>标的名称91：游离三碘甲状腺原氨酸定标液</w:t>
      </w:r>
    </w:p>
    <w:p w14:paraId="51002DA3">
      <w:pPr>
        <w:spacing w:line="360" w:lineRule="auto"/>
        <w:ind w:firstLine="480" w:firstLineChars="200"/>
        <w:rPr>
          <w:rFonts w:hint="eastAsia" w:ascii="宋体" w:hAnsi="宋体" w:cs="宋体"/>
          <w:sz w:val="24"/>
        </w:rPr>
      </w:pPr>
      <w:r>
        <w:rPr>
          <w:rFonts w:hint="eastAsia" w:ascii="宋体" w:hAnsi="宋体" w:cs="宋体"/>
          <w:sz w:val="24"/>
        </w:rPr>
        <w:t>1.用途：用于FT3定量检测项目的定标。</w:t>
      </w:r>
    </w:p>
    <w:p w14:paraId="0EE3B88F">
      <w:pPr>
        <w:spacing w:line="360" w:lineRule="auto"/>
        <w:ind w:firstLine="480" w:firstLineChars="200"/>
        <w:rPr>
          <w:rFonts w:hint="eastAsia" w:ascii="宋体" w:hAnsi="宋体" w:cs="宋体"/>
          <w:sz w:val="24"/>
        </w:rPr>
      </w:pPr>
      <w:r>
        <w:rPr>
          <w:rFonts w:hint="eastAsia" w:ascii="宋体" w:hAnsi="宋体" w:cs="宋体"/>
          <w:sz w:val="24"/>
        </w:rPr>
        <w:t xml:space="preserve">2.试剂处理：添加蒸馏水或去离子水小心溶解瓶内物质，垂直加盖静置15分钟待其复溶。小心混匀，避免产生气泡。 </w:t>
      </w:r>
    </w:p>
    <w:p w14:paraId="512C0078">
      <w:pPr>
        <w:spacing w:line="360" w:lineRule="auto"/>
        <w:ind w:firstLine="480" w:firstLineChars="200"/>
        <w:rPr>
          <w:rFonts w:hint="eastAsia" w:ascii="宋体" w:hAnsi="宋体" w:cs="宋体"/>
          <w:sz w:val="24"/>
        </w:rPr>
      </w:pPr>
      <w:r>
        <w:rPr>
          <w:rFonts w:hint="eastAsia" w:ascii="宋体" w:hAnsi="宋体" w:cs="宋体"/>
          <w:sz w:val="24"/>
        </w:rPr>
        <w:t xml:space="preserve">3.溯源性：该检测可溯源至酶法（溯源至平衡透析法）。  </w:t>
      </w:r>
    </w:p>
    <w:p w14:paraId="201AD01D">
      <w:pPr>
        <w:spacing w:line="360" w:lineRule="auto"/>
        <w:ind w:firstLine="482" w:firstLineChars="200"/>
        <w:rPr>
          <w:rFonts w:hint="eastAsia" w:ascii="宋体" w:hAnsi="宋体" w:cs="宋体"/>
          <w:b/>
          <w:bCs/>
          <w:sz w:val="24"/>
        </w:rPr>
      </w:pPr>
      <w:r>
        <w:rPr>
          <w:rFonts w:hint="eastAsia" w:ascii="宋体" w:hAnsi="宋体" w:cs="宋体"/>
          <w:b/>
          <w:bCs/>
          <w:sz w:val="24"/>
        </w:rPr>
        <w:t>标的名称92：游离三碘甲状腺原氨酸检测试剂盒</w:t>
      </w:r>
    </w:p>
    <w:p w14:paraId="3FAEBE2E">
      <w:pPr>
        <w:spacing w:line="360" w:lineRule="auto"/>
        <w:ind w:firstLine="480" w:firstLineChars="200"/>
        <w:rPr>
          <w:rFonts w:hint="eastAsia" w:ascii="宋体" w:hAnsi="宋体" w:cs="宋体"/>
          <w:sz w:val="24"/>
        </w:rPr>
      </w:pPr>
      <w:r>
        <w:rPr>
          <w:rFonts w:hint="eastAsia" w:ascii="宋体" w:hAnsi="宋体" w:cs="宋体"/>
          <w:sz w:val="24"/>
        </w:rPr>
        <w:t>1.用途：用于体外定量检测人体血清和血浆中的游离三碘甲状腺原氨酸。</w:t>
      </w:r>
    </w:p>
    <w:p w14:paraId="2DC2B5CA">
      <w:pPr>
        <w:spacing w:line="360" w:lineRule="auto"/>
        <w:ind w:firstLine="480" w:firstLineChars="200"/>
        <w:rPr>
          <w:rFonts w:hint="eastAsia" w:ascii="宋体" w:hAnsi="宋体" w:cs="宋体"/>
          <w:sz w:val="24"/>
        </w:rPr>
      </w:pPr>
      <w:r>
        <w:rPr>
          <w:rFonts w:hint="eastAsia" w:ascii="宋体" w:hAnsi="宋体" w:cs="宋体"/>
          <w:sz w:val="24"/>
        </w:rPr>
        <w:t>2.样本类型：血清/血浆。</w:t>
      </w:r>
    </w:p>
    <w:p w14:paraId="21C4E060">
      <w:pPr>
        <w:spacing w:line="360" w:lineRule="auto"/>
        <w:ind w:firstLine="480" w:firstLineChars="200"/>
        <w:rPr>
          <w:rFonts w:hint="eastAsia" w:ascii="宋体" w:hAnsi="宋体" w:cs="宋体"/>
          <w:sz w:val="24"/>
        </w:rPr>
      </w:pPr>
      <w:r>
        <w:rPr>
          <w:rFonts w:hint="eastAsia" w:ascii="宋体" w:hAnsi="宋体" w:cs="宋体"/>
          <w:sz w:val="24"/>
        </w:rPr>
        <w:t>3.检测原理：竞争法原理。</w:t>
      </w:r>
    </w:p>
    <w:p w14:paraId="18E07C1F">
      <w:pPr>
        <w:spacing w:line="360" w:lineRule="auto"/>
        <w:ind w:firstLine="482" w:firstLineChars="200"/>
        <w:rPr>
          <w:rFonts w:hint="eastAsia" w:ascii="宋体" w:hAnsi="宋体" w:cs="宋体"/>
          <w:b/>
          <w:bCs/>
          <w:sz w:val="24"/>
        </w:rPr>
      </w:pPr>
      <w:r>
        <w:rPr>
          <w:rFonts w:hint="eastAsia" w:ascii="宋体" w:hAnsi="宋体" w:cs="宋体"/>
          <w:b/>
          <w:bCs/>
          <w:sz w:val="24"/>
        </w:rPr>
        <w:t>标的名称93：游离三碘甲状腺原氨酸测定试剂盒</w:t>
      </w:r>
    </w:p>
    <w:p w14:paraId="77068268">
      <w:pPr>
        <w:spacing w:line="360" w:lineRule="auto"/>
        <w:ind w:firstLine="480" w:firstLineChars="200"/>
        <w:rPr>
          <w:rFonts w:hint="eastAsia" w:ascii="宋体" w:hAnsi="宋体" w:cs="宋体"/>
          <w:sz w:val="24"/>
        </w:rPr>
      </w:pPr>
      <w:r>
        <w:rPr>
          <w:rFonts w:hint="eastAsia" w:ascii="宋体" w:hAnsi="宋体" w:cs="宋体"/>
          <w:sz w:val="24"/>
        </w:rPr>
        <w:t>1.用途：用于体外定量检测人体血清和血浆中的游离三碘甲状腺原氨酸。</w:t>
      </w:r>
    </w:p>
    <w:p w14:paraId="4FC5C51E">
      <w:pPr>
        <w:spacing w:line="360" w:lineRule="auto"/>
        <w:ind w:firstLine="480" w:firstLineChars="200"/>
        <w:rPr>
          <w:rFonts w:hint="eastAsia" w:ascii="宋体" w:hAnsi="宋体" w:cs="宋体"/>
          <w:sz w:val="24"/>
        </w:rPr>
      </w:pPr>
      <w:r>
        <w:rPr>
          <w:rFonts w:hint="eastAsia" w:ascii="宋体" w:hAnsi="宋体" w:cs="宋体"/>
          <w:sz w:val="24"/>
        </w:rPr>
        <w:t>2.样本类型：血清/血浆。</w:t>
      </w:r>
    </w:p>
    <w:p w14:paraId="7127FB1E">
      <w:pPr>
        <w:spacing w:line="360" w:lineRule="auto"/>
        <w:ind w:firstLine="480" w:firstLineChars="200"/>
        <w:rPr>
          <w:rFonts w:hint="eastAsia" w:ascii="宋体" w:hAnsi="宋体" w:cs="宋体"/>
          <w:sz w:val="24"/>
        </w:rPr>
      </w:pPr>
      <w:r>
        <w:rPr>
          <w:rFonts w:hint="eastAsia" w:ascii="宋体" w:hAnsi="宋体" w:cs="宋体"/>
          <w:sz w:val="24"/>
        </w:rPr>
        <w:t>3.检测原理：竞争法原理。</w:t>
      </w:r>
    </w:p>
    <w:p w14:paraId="25D9AB55">
      <w:pPr>
        <w:spacing w:line="360" w:lineRule="auto"/>
        <w:ind w:firstLine="482" w:firstLineChars="200"/>
        <w:rPr>
          <w:rFonts w:hint="eastAsia" w:ascii="宋体" w:hAnsi="宋体" w:cs="宋体"/>
          <w:b/>
          <w:bCs/>
          <w:sz w:val="24"/>
        </w:rPr>
      </w:pPr>
      <w:r>
        <w:rPr>
          <w:rFonts w:hint="eastAsia" w:ascii="宋体" w:hAnsi="宋体" w:cs="宋体"/>
          <w:b/>
          <w:bCs/>
          <w:sz w:val="24"/>
        </w:rPr>
        <w:t>标的名称94：孕酮定标液</w:t>
      </w:r>
    </w:p>
    <w:p w14:paraId="2A8E920E">
      <w:pPr>
        <w:spacing w:line="360" w:lineRule="auto"/>
        <w:ind w:firstLine="480" w:firstLineChars="200"/>
        <w:rPr>
          <w:rFonts w:hint="eastAsia" w:ascii="宋体" w:hAnsi="宋体" w:cs="宋体"/>
          <w:sz w:val="24"/>
        </w:rPr>
      </w:pPr>
      <w:r>
        <w:rPr>
          <w:rFonts w:hint="eastAsia" w:ascii="宋体" w:hAnsi="宋体" w:cs="宋体"/>
          <w:sz w:val="24"/>
        </w:rPr>
        <w:t>1.用途：用于孕酮检测项目的定标。</w:t>
      </w:r>
    </w:p>
    <w:p w14:paraId="3A85E313">
      <w:pPr>
        <w:spacing w:line="360" w:lineRule="auto"/>
        <w:ind w:firstLine="480" w:firstLineChars="200"/>
        <w:rPr>
          <w:rFonts w:hint="eastAsia" w:ascii="宋体" w:hAnsi="宋体" w:cs="宋体"/>
          <w:sz w:val="24"/>
        </w:rPr>
      </w:pPr>
      <w:r>
        <w:rPr>
          <w:rFonts w:hint="eastAsia" w:ascii="宋体" w:hAnsi="宋体" w:cs="宋体"/>
          <w:sz w:val="24"/>
        </w:rPr>
        <w:t>2.试剂处理：添加蒸馏水或去离子水小心溶解瓶内物质，垂直加盖静置15分钟待其复溶。 小心混匀，避免产生泡沫。</w:t>
      </w:r>
    </w:p>
    <w:p w14:paraId="3D652E63">
      <w:pPr>
        <w:spacing w:line="360" w:lineRule="auto"/>
        <w:ind w:firstLine="480" w:firstLineChars="200"/>
        <w:rPr>
          <w:rFonts w:hint="eastAsia" w:ascii="宋体" w:hAnsi="宋体" w:cs="宋体"/>
          <w:sz w:val="24"/>
        </w:rPr>
      </w:pPr>
      <w:r>
        <w:rPr>
          <w:rFonts w:hint="eastAsia" w:ascii="宋体" w:hAnsi="宋体" w:cs="宋体"/>
          <w:sz w:val="24"/>
        </w:rPr>
        <w:t>3.溯源性：该检测可溯源至同位素稀释-气相色谱/质谱法（ID-GC/MS）。</w:t>
      </w:r>
    </w:p>
    <w:p w14:paraId="6DB167AD">
      <w:pPr>
        <w:spacing w:line="360" w:lineRule="auto"/>
        <w:ind w:firstLine="482" w:firstLineChars="200"/>
        <w:rPr>
          <w:rFonts w:hint="eastAsia" w:ascii="宋体" w:hAnsi="宋体" w:cs="宋体"/>
          <w:b/>
          <w:bCs/>
          <w:sz w:val="24"/>
        </w:rPr>
      </w:pPr>
      <w:r>
        <w:rPr>
          <w:rFonts w:hint="eastAsia" w:ascii="宋体" w:hAnsi="宋体" w:cs="宋体"/>
          <w:b/>
          <w:bCs/>
          <w:sz w:val="24"/>
        </w:rPr>
        <w:t>标的名称95：孕酮检测试剂盒</w:t>
      </w:r>
    </w:p>
    <w:p w14:paraId="49E33E46">
      <w:pPr>
        <w:spacing w:line="360" w:lineRule="auto"/>
        <w:ind w:firstLine="480" w:firstLineChars="200"/>
        <w:rPr>
          <w:rFonts w:hint="eastAsia" w:ascii="宋体" w:hAnsi="宋体" w:cs="宋体"/>
          <w:sz w:val="24"/>
        </w:rPr>
      </w:pPr>
      <w:r>
        <w:rPr>
          <w:rFonts w:hint="eastAsia" w:ascii="宋体" w:hAnsi="宋体" w:cs="宋体"/>
          <w:sz w:val="24"/>
        </w:rPr>
        <w:t>1.用途：用于体外定量检测人体血清和血浆中的孕酮。</w:t>
      </w:r>
    </w:p>
    <w:p w14:paraId="2DD8E8F5">
      <w:pPr>
        <w:spacing w:line="360" w:lineRule="auto"/>
        <w:ind w:firstLine="480" w:firstLineChars="200"/>
        <w:rPr>
          <w:rFonts w:hint="eastAsia" w:ascii="宋体" w:hAnsi="宋体" w:cs="宋体"/>
          <w:sz w:val="24"/>
        </w:rPr>
      </w:pPr>
      <w:r>
        <w:rPr>
          <w:rFonts w:hint="eastAsia" w:ascii="宋体" w:hAnsi="宋体" w:cs="宋体"/>
          <w:sz w:val="24"/>
        </w:rPr>
        <w:t>2.样本类型：血清/血浆。</w:t>
      </w:r>
    </w:p>
    <w:p w14:paraId="756DDD8F">
      <w:pPr>
        <w:spacing w:line="360" w:lineRule="auto"/>
        <w:ind w:firstLine="480" w:firstLineChars="200"/>
        <w:rPr>
          <w:rFonts w:hint="eastAsia" w:ascii="宋体" w:hAnsi="宋体" w:cs="宋体"/>
          <w:sz w:val="24"/>
        </w:rPr>
      </w:pPr>
      <w:r>
        <w:rPr>
          <w:rFonts w:hint="eastAsia" w:ascii="宋体" w:hAnsi="宋体" w:cs="宋体"/>
          <w:sz w:val="24"/>
        </w:rPr>
        <w:t>3.检测原理：竞争法原理。</w:t>
      </w:r>
    </w:p>
    <w:p w14:paraId="12D9BFFF">
      <w:pPr>
        <w:spacing w:line="360" w:lineRule="auto"/>
        <w:ind w:firstLine="482" w:firstLineChars="200"/>
        <w:rPr>
          <w:rFonts w:hint="eastAsia" w:ascii="宋体" w:hAnsi="宋体" w:cs="宋体"/>
          <w:b/>
          <w:bCs/>
          <w:sz w:val="24"/>
        </w:rPr>
      </w:pPr>
      <w:r>
        <w:rPr>
          <w:rFonts w:hint="eastAsia" w:ascii="宋体" w:hAnsi="宋体" w:cs="宋体"/>
          <w:b/>
          <w:bCs/>
          <w:sz w:val="24"/>
        </w:rPr>
        <w:t>标的名称96：肿瘤标志物质控品</w:t>
      </w:r>
    </w:p>
    <w:p w14:paraId="46A755A7">
      <w:pPr>
        <w:spacing w:line="360" w:lineRule="auto"/>
        <w:ind w:firstLine="480" w:firstLineChars="200"/>
        <w:rPr>
          <w:rFonts w:hint="eastAsia" w:ascii="宋体" w:hAnsi="宋体" w:cs="宋体"/>
          <w:sz w:val="24"/>
        </w:rPr>
      </w:pPr>
      <w:r>
        <w:rPr>
          <w:rFonts w:hint="eastAsia" w:ascii="宋体" w:hAnsi="宋体" w:cs="宋体"/>
          <w:sz w:val="24"/>
        </w:rPr>
        <w:t>1.用途：用于肿瘤标志物检测项目的质量控制。</w:t>
      </w:r>
    </w:p>
    <w:p w14:paraId="1C8DD477">
      <w:pPr>
        <w:spacing w:line="360" w:lineRule="auto"/>
        <w:ind w:firstLine="480" w:firstLineChars="200"/>
        <w:rPr>
          <w:rFonts w:hint="eastAsia" w:ascii="宋体" w:hAnsi="宋体" w:cs="宋体"/>
          <w:sz w:val="24"/>
        </w:rPr>
      </w:pPr>
      <w:r>
        <w:rPr>
          <w:rFonts w:hint="eastAsia" w:ascii="宋体" w:hAnsi="宋体" w:cs="宋体"/>
          <w:sz w:val="24"/>
        </w:rPr>
        <w:t>2.试剂处理：往试剂瓶内加入蒸馏水或去离子水，垂直加盖静置30分钟使之完全溶解，生成溶液。充分混匀，避免产生泡沫。</w:t>
      </w:r>
    </w:p>
    <w:p w14:paraId="081CA92F">
      <w:pPr>
        <w:spacing w:line="360" w:lineRule="auto"/>
        <w:ind w:firstLine="480" w:firstLineChars="200"/>
        <w:rPr>
          <w:rFonts w:hint="eastAsia" w:ascii="宋体" w:hAnsi="宋体" w:cs="宋体"/>
          <w:sz w:val="24"/>
        </w:rPr>
      </w:pPr>
      <w:r>
        <w:rPr>
          <w:rFonts w:hint="eastAsia" w:ascii="宋体" w:hAnsi="宋体" w:cs="宋体"/>
          <w:sz w:val="24"/>
        </w:rPr>
        <w:t>3.储存条件：2-8℃。</w:t>
      </w:r>
    </w:p>
    <w:p w14:paraId="4E931C48">
      <w:pPr>
        <w:spacing w:line="360" w:lineRule="auto"/>
        <w:ind w:firstLine="482" w:firstLineChars="200"/>
        <w:rPr>
          <w:rFonts w:hint="eastAsia" w:ascii="宋体" w:hAnsi="宋体" w:cs="宋体"/>
          <w:b/>
          <w:bCs/>
          <w:sz w:val="24"/>
        </w:rPr>
      </w:pPr>
      <w:r>
        <w:rPr>
          <w:rFonts w:hint="eastAsia" w:ascii="宋体" w:hAnsi="宋体" w:cs="宋体"/>
          <w:b/>
          <w:bCs/>
          <w:sz w:val="24"/>
        </w:rPr>
        <w:t>标的名称97：总I型胶原氨基端延长肽定标液</w:t>
      </w:r>
    </w:p>
    <w:p w14:paraId="7CB0D670">
      <w:pPr>
        <w:spacing w:line="360" w:lineRule="auto"/>
        <w:ind w:firstLine="480" w:firstLineChars="200"/>
        <w:rPr>
          <w:rFonts w:hint="eastAsia" w:ascii="宋体" w:hAnsi="宋体" w:cs="宋体"/>
          <w:sz w:val="24"/>
        </w:rPr>
      </w:pPr>
      <w:r>
        <w:rPr>
          <w:rFonts w:hint="eastAsia" w:ascii="宋体" w:hAnsi="宋体" w:cs="宋体"/>
          <w:sz w:val="24"/>
        </w:rPr>
        <w:t>1.用途：用于总I型胶原氨基端延长肽定量检测项目的定标。</w:t>
      </w:r>
    </w:p>
    <w:p w14:paraId="271F7030">
      <w:pPr>
        <w:spacing w:line="360" w:lineRule="auto"/>
        <w:ind w:firstLine="480" w:firstLineChars="200"/>
        <w:rPr>
          <w:rFonts w:hint="eastAsia" w:ascii="宋体" w:hAnsi="宋体" w:cs="宋体"/>
          <w:sz w:val="24"/>
        </w:rPr>
      </w:pPr>
      <w:r>
        <w:rPr>
          <w:rFonts w:hint="eastAsia" w:ascii="宋体" w:hAnsi="宋体" w:cs="宋体"/>
          <w:sz w:val="24"/>
        </w:rPr>
        <w:t>2.试剂处理：添加蒸馏水或去离子水小心溶解瓶内物质，垂直加盖静置15 分钟待其复溶。小心混匀，避免产生泡沫。</w:t>
      </w:r>
    </w:p>
    <w:p w14:paraId="7C1FB1AF">
      <w:pPr>
        <w:spacing w:line="360" w:lineRule="auto"/>
        <w:ind w:firstLine="480" w:firstLineChars="200"/>
        <w:rPr>
          <w:rFonts w:hint="eastAsia" w:ascii="宋体" w:hAnsi="宋体" w:cs="宋体"/>
          <w:sz w:val="24"/>
        </w:rPr>
      </w:pPr>
      <w:r>
        <w:rPr>
          <w:rFonts w:hint="eastAsia" w:ascii="宋体" w:hAnsi="宋体" w:cs="宋体"/>
          <w:sz w:val="24"/>
        </w:rPr>
        <w:t>3.储存条件：2-8℃，必要时分装冷冻保存。</w:t>
      </w:r>
    </w:p>
    <w:p w14:paraId="66F07504">
      <w:pPr>
        <w:spacing w:line="360" w:lineRule="auto"/>
        <w:ind w:firstLine="482" w:firstLineChars="200"/>
        <w:rPr>
          <w:rFonts w:hint="eastAsia" w:ascii="宋体" w:hAnsi="宋体" w:cs="宋体"/>
          <w:b/>
          <w:bCs/>
          <w:sz w:val="24"/>
        </w:rPr>
      </w:pPr>
      <w:r>
        <w:rPr>
          <w:rFonts w:hint="eastAsia" w:ascii="宋体" w:hAnsi="宋体" w:cs="宋体"/>
          <w:b/>
          <w:bCs/>
          <w:sz w:val="24"/>
        </w:rPr>
        <w:t>标的名称98：总I型胶原氨基端延长肽检测试剂盒</w:t>
      </w:r>
    </w:p>
    <w:p w14:paraId="31C610C4">
      <w:pPr>
        <w:spacing w:line="360" w:lineRule="auto"/>
        <w:ind w:firstLine="480" w:firstLineChars="200"/>
        <w:rPr>
          <w:rFonts w:hint="eastAsia" w:ascii="宋体" w:hAnsi="宋体" w:cs="宋体"/>
          <w:sz w:val="24"/>
        </w:rPr>
      </w:pPr>
      <w:r>
        <w:rPr>
          <w:rFonts w:hint="eastAsia" w:ascii="宋体" w:hAnsi="宋体" w:cs="宋体"/>
          <w:sz w:val="24"/>
        </w:rPr>
        <w:t>1.用途：用于体外定量检测人体血清和血浆中的总I型胶原氨基端延长肽。</w:t>
      </w:r>
    </w:p>
    <w:p w14:paraId="167E01C7">
      <w:pPr>
        <w:spacing w:line="360" w:lineRule="auto"/>
        <w:ind w:firstLine="480" w:firstLineChars="200"/>
        <w:rPr>
          <w:rFonts w:hint="eastAsia" w:ascii="宋体" w:hAnsi="宋体" w:cs="宋体"/>
          <w:sz w:val="24"/>
        </w:rPr>
      </w:pPr>
      <w:r>
        <w:rPr>
          <w:rFonts w:hint="eastAsia" w:ascii="宋体" w:hAnsi="宋体" w:cs="宋体"/>
          <w:sz w:val="24"/>
        </w:rPr>
        <w:t>2.样本类型：血清/血浆。</w:t>
      </w:r>
    </w:p>
    <w:p w14:paraId="7B16E936">
      <w:pPr>
        <w:spacing w:line="360" w:lineRule="auto"/>
        <w:ind w:firstLine="480" w:firstLineChars="200"/>
        <w:rPr>
          <w:rFonts w:hint="eastAsia" w:ascii="宋体" w:hAnsi="宋体" w:cs="宋体"/>
          <w:sz w:val="24"/>
        </w:rPr>
      </w:pPr>
      <w:r>
        <w:rPr>
          <w:rFonts w:hint="eastAsia" w:ascii="宋体" w:hAnsi="宋体" w:cs="宋体"/>
          <w:sz w:val="24"/>
        </w:rPr>
        <w:t>3.检测原理：夹心法原理。</w:t>
      </w:r>
    </w:p>
    <w:p w14:paraId="38FDA61E">
      <w:pPr>
        <w:spacing w:line="360" w:lineRule="auto"/>
        <w:ind w:firstLine="482" w:firstLineChars="200"/>
        <w:rPr>
          <w:rFonts w:hint="eastAsia" w:ascii="宋体" w:hAnsi="宋体" w:cs="宋体"/>
          <w:b/>
          <w:bCs/>
          <w:sz w:val="24"/>
        </w:rPr>
      </w:pPr>
      <w:r>
        <w:rPr>
          <w:rFonts w:hint="eastAsia" w:ascii="宋体" w:hAnsi="宋体" w:cs="宋体"/>
          <w:b/>
          <w:bCs/>
          <w:sz w:val="24"/>
        </w:rPr>
        <w:t>标的名称99：总前列腺特异性抗原（PSA）测定试剂盒</w:t>
      </w:r>
    </w:p>
    <w:p w14:paraId="75DA9D25">
      <w:pPr>
        <w:spacing w:line="360" w:lineRule="auto"/>
        <w:ind w:firstLine="480" w:firstLineChars="200"/>
        <w:rPr>
          <w:rFonts w:hint="eastAsia" w:ascii="宋体" w:hAnsi="宋体" w:cs="宋体"/>
          <w:sz w:val="24"/>
        </w:rPr>
      </w:pPr>
      <w:r>
        <w:rPr>
          <w:rFonts w:hint="eastAsia" w:ascii="宋体" w:hAnsi="宋体" w:cs="宋体"/>
          <w:sz w:val="24"/>
        </w:rPr>
        <w:t>1.用途：用于体外定量检测人体血清和血浆中的总前列腺特异性抗原。</w:t>
      </w:r>
    </w:p>
    <w:p w14:paraId="5ECB82E2">
      <w:pPr>
        <w:spacing w:line="360" w:lineRule="auto"/>
        <w:ind w:firstLine="480" w:firstLineChars="200"/>
        <w:rPr>
          <w:rFonts w:hint="eastAsia" w:ascii="宋体" w:hAnsi="宋体" w:cs="宋体"/>
          <w:sz w:val="24"/>
        </w:rPr>
      </w:pPr>
      <w:r>
        <w:rPr>
          <w:rFonts w:hint="eastAsia" w:ascii="宋体" w:hAnsi="宋体" w:cs="宋体"/>
          <w:sz w:val="24"/>
        </w:rPr>
        <w:t>2.样本类型：血清/血浆。</w:t>
      </w:r>
    </w:p>
    <w:p w14:paraId="40690E6A">
      <w:pPr>
        <w:spacing w:line="360" w:lineRule="auto"/>
        <w:ind w:firstLine="480" w:firstLineChars="200"/>
        <w:rPr>
          <w:rFonts w:hint="eastAsia" w:ascii="宋体" w:hAnsi="宋体" w:cs="宋体"/>
          <w:sz w:val="24"/>
        </w:rPr>
      </w:pPr>
      <w:r>
        <w:rPr>
          <w:rFonts w:hint="eastAsia" w:ascii="宋体" w:hAnsi="宋体" w:cs="宋体"/>
          <w:sz w:val="24"/>
        </w:rPr>
        <w:t>3.检测原理：夹心法原理。</w:t>
      </w:r>
    </w:p>
    <w:p w14:paraId="195ACB15">
      <w:pPr>
        <w:spacing w:line="360" w:lineRule="auto"/>
        <w:ind w:firstLine="482" w:firstLineChars="200"/>
        <w:rPr>
          <w:rFonts w:hint="eastAsia" w:ascii="宋体" w:hAnsi="宋体" w:cs="宋体"/>
          <w:b/>
          <w:bCs/>
          <w:sz w:val="24"/>
        </w:rPr>
      </w:pPr>
      <w:r>
        <w:rPr>
          <w:rFonts w:hint="eastAsia" w:ascii="宋体" w:hAnsi="宋体" w:cs="宋体"/>
          <w:b/>
          <w:bCs/>
          <w:sz w:val="24"/>
        </w:rPr>
        <w:t>标的名称100：总前列腺特异性抗原定标液</w:t>
      </w:r>
    </w:p>
    <w:p w14:paraId="4B2D9E8C">
      <w:pPr>
        <w:spacing w:line="360" w:lineRule="auto"/>
        <w:ind w:firstLine="480" w:firstLineChars="200"/>
        <w:rPr>
          <w:rFonts w:hint="eastAsia" w:ascii="宋体" w:hAnsi="宋体" w:cs="宋体"/>
          <w:sz w:val="24"/>
        </w:rPr>
      </w:pPr>
      <w:r>
        <w:rPr>
          <w:rFonts w:hint="eastAsia" w:ascii="宋体" w:hAnsi="宋体" w:cs="宋体"/>
          <w:sz w:val="24"/>
        </w:rPr>
        <w:t>1.主要用途：用于TPSA定量检测项目的定标。</w:t>
      </w:r>
    </w:p>
    <w:p w14:paraId="30284A5C">
      <w:pPr>
        <w:spacing w:line="360" w:lineRule="auto"/>
        <w:ind w:firstLine="480" w:firstLineChars="200"/>
        <w:rPr>
          <w:rFonts w:hint="eastAsia" w:ascii="宋体" w:hAnsi="宋体" w:cs="宋体"/>
          <w:sz w:val="24"/>
        </w:rPr>
      </w:pPr>
      <w:r>
        <w:rPr>
          <w:rFonts w:hint="eastAsia" w:ascii="宋体" w:hAnsi="宋体" w:cs="宋体"/>
          <w:sz w:val="24"/>
        </w:rPr>
        <w:t>2.试剂处理：添加蒸馏水或去离子水小心溶解瓶内物质，垂直加盖静置15分钟待其复溶。 小心混匀，避免产生泡沫。</w:t>
      </w:r>
    </w:p>
    <w:p w14:paraId="14B97BAC">
      <w:pPr>
        <w:spacing w:line="360" w:lineRule="auto"/>
        <w:ind w:firstLine="480" w:firstLineChars="200"/>
        <w:rPr>
          <w:rFonts w:hint="eastAsia" w:ascii="宋体" w:hAnsi="宋体" w:cs="宋体"/>
          <w:sz w:val="24"/>
        </w:rPr>
      </w:pPr>
      <w:r>
        <w:rPr>
          <w:rFonts w:hint="eastAsia" w:ascii="宋体" w:hAnsi="宋体" w:cs="宋体"/>
          <w:sz w:val="24"/>
        </w:rPr>
        <w:t>3.储存条件：2-8℃，必要时分装冷冻保存。</w:t>
      </w:r>
    </w:p>
    <w:p w14:paraId="2ACA3D91">
      <w:pPr>
        <w:spacing w:line="360" w:lineRule="auto"/>
        <w:ind w:firstLine="482" w:firstLineChars="200"/>
        <w:rPr>
          <w:rFonts w:hint="eastAsia" w:ascii="宋体" w:hAnsi="宋体" w:cs="宋体"/>
          <w:b/>
          <w:bCs/>
          <w:sz w:val="24"/>
        </w:rPr>
      </w:pPr>
      <w:r>
        <w:rPr>
          <w:rFonts w:hint="eastAsia" w:ascii="宋体" w:hAnsi="宋体" w:cs="宋体"/>
          <w:b/>
          <w:bCs/>
          <w:sz w:val="24"/>
        </w:rPr>
        <w:t>标的名称101：神经元特异性烯醇化酶定标液</w:t>
      </w:r>
    </w:p>
    <w:p w14:paraId="2BA8B37A">
      <w:pPr>
        <w:spacing w:line="360" w:lineRule="auto"/>
        <w:ind w:firstLine="480" w:firstLineChars="200"/>
        <w:rPr>
          <w:rFonts w:hint="eastAsia" w:ascii="宋体" w:hAnsi="宋体" w:cs="宋体"/>
          <w:sz w:val="24"/>
        </w:rPr>
      </w:pPr>
      <w:r>
        <w:rPr>
          <w:rFonts w:hint="eastAsia" w:ascii="宋体" w:hAnsi="宋体" w:cs="宋体"/>
          <w:sz w:val="24"/>
        </w:rPr>
        <w:t>1.用途：用于NSE定量检测项目的定标。</w:t>
      </w:r>
    </w:p>
    <w:p w14:paraId="01FA13F5">
      <w:pPr>
        <w:spacing w:line="360" w:lineRule="auto"/>
        <w:ind w:firstLine="480" w:firstLineChars="200"/>
        <w:rPr>
          <w:rFonts w:hint="eastAsia" w:ascii="宋体" w:hAnsi="宋体" w:cs="宋体"/>
          <w:sz w:val="24"/>
        </w:rPr>
      </w:pPr>
      <w:r>
        <w:rPr>
          <w:rFonts w:hint="eastAsia" w:ascii="宋体" w:hAnsi="宋体" w:cs="宋体"/>
          <w:sz w:val="24"/>
        </w:rPr>
        <w:t>2.试剂处理：添加蒸馏水或去离子水小心溶解瓶内物质，垂直加盖静置15分钟待其复溶。充分混匀并避免产生气泡。</w:t>
      </w:r>
    </w:p>
    <w:p w14:paraId="71DC602A">
      <w:pPr>
        <w:spacing w:line="360" w:lineRule="auto"/>
        <w:ind w:firstLine="480" w:firstLineChars="200"/>
        <w:rPr>
          <w:rFonts w:hint="eastAsia" w:ascii="宋体" w:hAnsi="宋体" w:cs="宋体"/>
          <w:sz w:val="24"/>
        </w:rPr>
      </w:pPr>
      <w:r>
        <w:rPr>
          <w:rFonts w:hint="eastAsia" w:ascii="宋体" w:hAnsi="宋体" w:cs="宋体"/>
          <w:sz w:val="24"/>
        </w:rPr>
        <w:t>3.溯源性：该检测可溯源至NSE酶学检测法。</w:t>
      </w:r>
    </w:p>
    <w:p w14:paraId="2E621403">
      <w:pPr>
        <w:spacing w:line="360" w:lineRule="auto"/>
        <w:ind w:firstLine="482" w:firstLineChars="200"/>
        <w:rPr>
          <w:rFonts w:hint="eastAsia" w:ascii="宋体" w:hAnsi="宋体" w:cs="宋体"/>
          <w:b/>
          <w:bCs/>
          <w:sz w:val="24"/>
        </w:rPr>
      </w:pPr>
      <w:r>
        <w:rPr>
          <w:rFonts w:hint="eastAsia" w:ascii="宋体" w:hAnsi="宋体" w:cs="宋体"/>
          <w:b/>
          <w:bCs/>
          <w:sz w:val="24"/>
        </w:rPr>
        <w:t>标的名称102：甲状腺过氧化物酶抗体测定试剂盒</w:t>
      </w:r>
    </w:p>
    <w:p w14:paraId="03A67F1A">
      <w:pPr>
        <w:spacing w:line="360" w:lineRule="auto"/>
        <w:ind w:firstLine="480" w:firstLineChars="200"/>
        <w:rPr>
          <w:rFonts w:hint="eastAsia" w:ascii="宋体" w:hAnsi="宋体" w:cs="宋体"/>
          <w:sz w:val="24"/>
        </w:rPr>
      </w:pPr>
      <w:r>
        <w:rPr>
          <w:rFonts w:hint="eastAsia" w:ascii="宋体" w:hAnsi="宋体" w:cs="宋体"/>
          <w:sz w:val="24"/>
        </w:rPr>
        <w:t>1.用途：用于体外定量检测人体血清和血浆中的抗甲状腺过氧化物酶抗体的含量。</w:t>
      </w:r>
    </w:p>
    <w:p w14:paraId="2566AAEA">
      <w:pPr>
        <w:spacing w:line="360" w:lineRule="auto"/>
        <w:ind w:firstLine="480" w:firstLineChars="200"/>
        <w:rPr>
          <w:rFonts w:hint="eastAsia" w:ascii="宋体" w:hAnsi="宋体" w:cs="宋体"/>
          <w:sz w:val="24"/>
        </w:rPr>
      </w:pPr>
      <w:r>
        <w:rPr>
          <w:rFonts w:hint="eastAsia" w:ascii="宋体" w:hAnsi="宋体" w:cs="宋体"/>
          <w:sz w:val="24"/>
        </w:rPr>
        <w:t>2.样本类型：血清/血浆。</w:t>
      </w:r>
    </w:p>
    <w:p w14:paraId="6EB79BC3">
      <w:pPr>
        <w:spacing w:line="360" w:lineRule="auto"/>
        <w:ind w:firstLine="480" w:firstLineChars="200"/>
        <w:rPr>
          <w:rFonts w:hint="eastAsia" w:ascii="宋体" w:hAnsi="宋体" w:cs="宋体"/>
          <w:sz w:val="24"/>
        </w:rPr>
      </w:pPr>
      <w:r>
        <w:rPr>
          <w:rFonts w:hint="eastAsia" w:ascii="宋体" w:hAnsi="宋体" w:cs="宋体"/>
          <w:sz w:val="24"/>
        </w:rPr>
        <w:t>3.检测原理：竞争法原理。</w:t>
      </w:r>
    </w:p>
    <w:p w14:paraId="14DF6FFE">
      <w:pPr>
        <w:spacing w:line="360" w:lineRule="auto"/>
        <w:ind w:firstLine="482" w:firstLineChars="200"/>
        <w:rPr>
          <w:rFonts w:hint="eastAsia" w:ascii="宋体" w:hAnsi="宋体" w:cs="宋体"/>
          <w:b/>
          <w:bCs/>
          <w:sz w:val="24"/>
        </w:rPr>
      </w:pPr>
      <w:r>
        <w:rPr>
          <w:rFonts w:hint="eastAsia" w:ascii="宋体" w:hAnsi="宋体" w:cs="宋体"/>
          <w:b/>
          <w:bCs/>
          <w:sz w:val="24"/>
        </w:rPr>
        <w:t xml:space="preserve">标的名称103：清洁液 </w:t>
      </w:r>
    </w:p>
    <w:p w14:paraId="5AD82955">
      <w:pPr>
        <w:spacing w:line="360" w:lineRule="auto"/>
        <w:ind w:firstLine="480" w:firstLineChars="200"/>
        <w:rPr>
          <w:rFonts w:hint="eastAsia" w:ascii="宋体" w:hAnsi="宋体" w:cs="宋体"/>
          <w:sz w:val="24"/>
        </w:rPr>
      </w:pPr>
      <w:r>
        <w:rPr>
          <w:rFonts w:hint="eastAsia" w:ascii="宋体" w:hAnsi="宋体" w:cs="宋体"/>
          <w:sz w:val="24"/>
        </w:rPr>
        <w:t>1.储存条件及开封后有效。</w:t>
      </w:r>
    </w:p>
    <w:p w14:paraId="31B6755A">
      <w:pPr>
        <w:spacing w:line="360" w:lineRule="auto"/>
        <w:ind w:firstLine="480" w:firstLineChars="200"/>
        <w:rPr>
          <w:rFonts w:hint="eastAsia" w:ascii="宋体" w:hAnsi="宋体" w:cs="宋体"/>
          <w:sz w:val="24"/>
        </w:rPr>
      </w:pPr>
      <w:r>
        <w:rPr>
          <w:rFonts w:hint="eastAsia" w:ascii="宋体" w:hAnsi="宋体" w:cs="宋体"/>
          <w:sz w:val="24"/>
        </w:rPr>
        <w:t>2.未开封有效期为自生产之日起，避光保存于1-30℃时可保存12个月。</w:t>
      </w:r>
    </w:p>
    <w:p w14:paraId="3FC0BE82">
      <w:pPr>
        <w:spacing w:line="360" w:lineRule="auto"/>
        <w:ind w:firstLine="480" w:firstLineChars="200"/>
        <w:rPr>
          <w:rFonts w:hint="eastAsia" w:ascii="宋体" w:hAnsi="宋体" w:cs="宋体"/>
          <w:sz w:val="24"/>
        </w:rPr>
      </w:pPr>
      <w:r>
        <w:rPr>
          <w:rFonts w:hint="eastAsia" w:ascii="宋体" w:hAnsi="宋体" w:cs="宋体"/>
          <w:sz w:val="24"/>
        </w:rPr>
        <w:t>3.避光保存，避免直接暴露在阳光下，避免氯成分的破坏及试剂清洗能力的丢失，它由试剂暴露在外的时间决定。</w:t>
      </w:r>
    </w:p>
    <w:p w14:paraId="60595FA2">
      <w:pPr>
        <w:spacing w:line="360" w:lineRule="auto"/>
        <w:ind w:firstLine="482" w:firstLineChars="200"/>
        <w:rPr>
          <w:rFonts w:hint="eastAsia" w:ascii="宋体" w:hAnsi="宋体" w:cs="宋体"/>
          <w:b/>
          <w:bCs/>
          <w:sz w:val="24"/>
        </w:rPr>
      </w:pPr>
      <w:r>
        <w:rPr>
          <w:rFonts w:hint="eastAsia" w:ascii="宋体" w:hAnsi="宋体" w:cs="宋体"/>
          <w:b/>
          <w:bCs/>
          <w:sz w:val="24"/>
        </w:rPr>
        <w:t>标的名称104：尿液分析用染色液(沉渣)</w:t>
      </w:r>
    </w:p>
    <w:p w14:paraId="5FB6C4F5">
      <w:pPr>
        <w:spacing w:line="360" w:lineRule="auto"/>
        <w:ind w:firstLine="480" w:firstLineChars="200"/>
        <w:rPr>
          <w:rFonts w:hint="eastAsia" w:ascii="宋体" w:hAnsi="宋体" w:cs="宋体"/>
          <w:sz w:val="24"/>
        </w:rPr>
      </w:pPr>
      <w:r>
        <w:rPr>
          <w:rFonts w:hint="eastAsia" w:ascii="宋体" w:hAnsi="宋体" w:cs="宋体"/>
          <w:sz w:val="24"/>
        </w:rPr>
        <w:t>1.包装规格：沉渣模式。</w:t>
      </w:r>
    </w:p>
    <w:p w14:paraId="01AED58E">
      <w:pPr>
        <w:spacing w:line="360" w:lineRule="auto"/>
        <w:ind w:firstLine="480" w:firstLineChars="200"/>
        <w:rPr>
          <w:rFonts w:hint="eastAsia" w:ascii="宋体" w:hAnsi="宋体" w:cs="宋体"/>
          <w:sz w:val="24"/>
        </w:rPr>
      </w:pPr>
      <w:r>
        <w:rPr>
          <w:rFonts w:hint="eastAsia" w:ascii="宋体" w:hAnsi="宋体" w:cs="宋体"/>
          <w:sz w:val="24"/>
        </w:rPr>
        <w:t>2.用途：用于尿液中的有形成分进行染色，从而观察其形态与结构，以便于分析仪器进行细胞分类计数。</w:t>
      </w:r>
    </w:p>
    <w:p w14:paraId="2B43674D">
      <w:pPr>
        <w:spacing w:line="360" w:lineRule="auto"/>
        <w:ind w:firstLine="480" w:firstLineChars="200"/>
        <w:rPr>
          <w:rFonts w:hint="eastAsia" w:ascii="宋体" w:hAnsi="宋体" w:cs="宋体"/>
          <w:sz w:val="24"/>
        </w:rPr>
      </w:pPr>
      <w:r>
        <w:rPr>
          <w:rFonts w:hint="eastAsia" w:ascii="宋体" w:hAnsi="宋体" w:cs="宋体"/>
          <w:sz w:val="24"/>
        </w:rPr>
        <w:t>3.主要组成成份：聚甲炔染料，乙二醇。</w:t>
      </w:r>
    </w:p>
    <w:p w14:paraId="53DED016">
      <w:pPr>
        <w:spacing w:line="360" w:lineRule="auto"/>
        <w:ind w:firstLine="482" w:firstLineChars="200"/>
        <w:rPr>
          <w:rFonts w:hint="eastAsia" w:ascii="宋体" w:hAnsi="宋体" w:cs="宋体"/>
          <w:b/>
          <w:bCs/>
          <w:sz w:val="24"/>
        </w:rPr>
      </w:pPr>
      <w:r>
        <w:rPr>
          <w:rFonts w:hint="eastAsia" w:ascii="宋体" w:hAnsi="宋体" w:cs="宋体"/>
          <w:b/>
          <w:bCs/>
          <w:sz w:val="24"/>
        </w:rPr>
        <w:t>标的名称105：尿液分析用稀释液1</w:t>
      </w:r>
    </w:p>
    <w:p w14:paraId="25E1C80A">
      <w:pPr>
        <w:spacing w:line="360" w:lineRule="auto"/>
        <w:ind w:firstLine="480" w:firstLineChars="200"/>
        <w:rPr>
          <w:rFonts w:hint="eastAsia" w:ascii="宋体" w:hAnsi="宋体" w:cs="宋体"/>
          <w:sz w:val="24"/>
        </w:rPr>
      </w:pPr>
      <w:r>
        <w:rPr>
          <w:rFonts w:hint="eastAsia" w:ascii="宋体" w:hAnsi="宋体" w:cs="宋体"/>
          <w:sz w:val="24"/>
        </w:rPr>
        <w:t>1.包装规格：沉渣模式。</w:t>
      </w:r>
    </w:p>
    <w:p w14:paraId="61C3FE9F">
      <w:pPr>
        <w:spacing w:line="360" w:lineRule="auto"/>
        <w:ind w:firstLine="480" w:firstLineChars="200"/>
        <w:rPr>
          <w:rFonts w:hint="eastAsia" w:ascii="宋体" w:hAnsi="宋体" w:cs="宋体"/>
          <w:sz w:val="24"/>
        </w:rPr>
      </w:pPr>
      <w:r>
        <w:rPr>
          <w:rFonts w:hint="eastAsia" w:ascii="宋体" w:hAnsi="宋体" w:cs="宋体"/>
          <w:sz w:val="24"/>
        </w:rPr>
        <w:t>2.用途：用于尿液分析前，样本的稀释，制备细胞悬液。</w:t>
      </w:r>
    </w:p>
    <w:p w14:paraId="370C158B">
      <w:pPr>
        <w:spacing w:line="360" w:lineRule="auto"/>
        <w:ind w:firstLine="480" w:firstLineChars="200"/>
        <w:rPr>
          <w:rFonts w:hint="eastAsia" w:ascii="宋体" w:hAnsi="宋体" w:cs="宋体"/>
          <w:sz w:val="24"/>
        </w:rPr>
      </w:pPr>
      <w:r>
        <w:rPr>
          <w:rFonts w:hint="eastAsia" w:ascii="宋体" w:hAnsi="宋体" w:cs="宋体"/>
          <w:sz w:val="24"/>
        </w:rPr>
        <w:t>3.主要组成成份：缓冲剂。</w:t>
      </w:r>
    </w:p>
    <w:p w14:paraId="65A35208">
      <w:pPr>
        <w:spacing w:line="360" w:lineRule="auto"/>
        <w:ind w:firstLine="482" w:firstLineChars="200"/>
        <w:rPr>
          <w:rFonts w:hint="eastAsia" w:ascii="宋体" w:hAnsi="宋体" w:cs="宋体"/>
          <w:b/>
          <w:bCs/>
          <w:sz w:val="24"/>
        </w:rPr>
      </w:pPr>
      <w:r>
        <w:rPr>
          <w:rFonts w:hint="eastAsia" w:ascii="宋体" w:hAnsi="宋体" w:cs="宋体"/>
          <w:b/>
          <w:bCs/>
          <w:sz w:val="24"/>
        </w:rPr>
        <w:t xml:space="preserve">标的名称106：尿液分析用稀释液2 </w:t>
      </w:r>
    </w:p>
    <w:p w14:paraId="458EE342">
      <w:pPr>
        <w:spacing w:line="360" w:lineRule="auto"/>
        <w:ind w:firstLine="480" w:firstLineChars="200"/>
        <w:rPr>
          <w:rFonts w:hint="eastAsia" w:ascii="宋体" w:hAnsi="宋体" w:cs="宋体"/>
          <w:sz w:val="24"/>
        </w:rPr>
      </w:pPr>
      <w:r>
        <w:rPr>
          <w:rFonts w:hint="eastAsia" w:ascii="宋体" w:hAnsi="宋体" w:cs="宋体"/>
          <w:sz w:val="24"/>
        </w:rPr>
        <w:t>1.包装规格：细菌模式。</w:t>
      </w:r>
    </w:p>
    <w:p w14:paraId="15B13977">
      <w:pPr>
        <w:spacing w:line="360" w:lineRule="auto"/>
        <w:ind w:firstLine="480" w:firstLineChars="200"/>
        <w:rPr>
          <w:rFonts w:hint="eastAsia" w:ascii="宋体" w:hAnsi="宋体" w:cs="宋体"/>
          <w:sz w:val="24"/>
        </w:rPr>
      </w:pPr>
      <w:r>
        <w:rPr>
          <w:rFonts w:hint="eastAsia" w:ascii="宋体" w:hAnsi="宋体" w:cs="宋体"/>
          <w:sz w:val="24"/>
        </w:rPr>
        <w:t>2.用途：用于尿液分析前，样本的稀释，制备细胞悬液。</w:t>
      </w:r>
    </w:p>
    <w:p w14:paraId="4AF63F94">
      <w:pPr>
        <w:spacing w:line="360" w:lineRule="auto"/>
        <w:ind w:firstLine="480" w:firstLineChars="200"/>
        <w:rPr>
          <w:rFonts w:hint="eastAsia" w:ascii="宋体" w:hAnsi="宋体" w:cs="宋体"/>
          <w:sz w:val="24"/>
        </w:rPr>
      </w:pPr>
      <w:r>
        <w:rPr>
          <w:rFonts w:hint="eastAsia" w:ascii="宋体" w:hAnsi="宋体" w:cs="宋体"/>
          <w:sz w:val="24"/>
        </w:rPr>
        <w:t>3.主要组成成份：缓冲剂，阳离子表面活性剂。</w:t>
      </w:r>
    </w:p>
    <w:p w14:paraId="63F1F731">
      <w:pPr>
        <w:spacing w:line="360" w:lineRule="auto"/>
        <w:ind w:firstLine="482" w:firstLineChars="200"/>
        <w:rPr>
          <w:rFonts w:hint="eastAsia" w:ascii="宋体" w:hAnsi="宋体" w:cs="宋体"/>
          <w:b/>
          <w:bCs/>
          <w:sz w:val="24"/>
        </w:rPr>
      </w:pPr>
      <w:r>
        <w:rPr>
          <w:rFonts w:hint="eastAsia" w:ascii="宋体" w:hAnsi="宋体" w:cs="宋体"/>
          <w:b/>
          <w:bCs/>
          <w:sz w:val="24"/>
        </w:rPr>
        <w:t>标的名称107：尿液分析用染色液 (细菌)</w:t>
      </w:r>
    </w:p>
    <w:p w14:paraId="54A4F841">
      <w:pPr>
        <w:spacing w:line="360" w:lineRule="auto"/>
        <w:ind w:firstLine="480" w:firstLineChars="200"/>
        <w:rPr>
          <w:rFonts w:hint="eastAsia" w:ascii="宋体" w:hAnsi="宋体" w:cs="宋体"/>
          <w:sz w:val="24"/>
        </w:rPr>
      </w:pPr>
      <w:r>
        <w:rPr>
          <w:rFonts w:hint="eastAsia" w:ascii="宋体" w:hAnsi="宋体" w:cs="宋体"/>
          <w:sz w:val="24"/>
        </w:rPr>
        <w:t>1.规格：细菌模式。</w:t>
      </w:r>
    </w:p>
    <w:p w14:paraId="57D4AD34">
      <w:pPr>
        <w:spacing w:line="360" w:lineRule="auto"/>
        <w:ind w:firstLine="480" w:firstLineChars="200"/>
        <w:rPr>
          <w:rFonts w:hint="eastAsia" w:ascii="宋体" w:hAnsi="宋体" w:cs="宋体"/>
          <w:sz w:val="24"/>
        </w:rPr>
      </w:pPr>
      <w:r>
        <w:rPr>
          <w:rFonts w:hint="eastAsia" w:ascii="宋体" w:hAnsi="宋体" w:cs="宋体"/>
          <w:sz w:val="24"/>
        </w:rPr>
        <w:t>2.用途：用于尿液中的有形成分进行染色，从而观察其形态与结构，以便于分析仪器进行细胞分类计数。</w:t>
      </w:r>
    </w:p>
    <w:p w14:paraId="15058AB2">
      <w:pPr>
        <w:spacing w:line="360" w:lineRule="auto"/>
        <w:ind w:firstLine="480" w:firstLineChars="200"/>
        <w:rPr>
          <w:rFonts w:hint="eastAsia" w:ascii="宋体" w:hAnsi="宋体" w:cs="宋体"/>
          <w:sz w:val="24"/>
        </w:rPr>
      </w:pPr>
      <w:r>
        <w:rPr>
          <w:rFonts w:hint="eastAsia" w:ascii="宋体" w:hAnsi="宋体" w:cs="宋体"/>
          <w:sz w:val="24"/>
        </w:rPr>
        <w:t>3.主要组成成份：聚甲炔染料，乙二醇。</w:t>
      </w:r>
    </w:p>
    <w:p w14:paraId="10A68A3C">
      <w:pPr>
        <w:spacing w:line="360" w:lineRule="auto"/>
        <w:ind w:firstLine="482" w:firstLineChars="200"/>
        <w:rPr>
          <w:rFonts w:hint="eastAsia" w:ascii="宋体" w:hAnsi="宋体" w:cs="宋体"/>
          <w:b/>
          <w:bCs/>
          <w:sz w:val="24"/>
        </w:rPr>
      </w:pPr>
      <w:r>
        <w:rPr>
          <w:rFonts w:hint="eastAsia" w:ascii="宋体" w:hAnsi="宋体" w:cs="宋体"/>
          <w:b/>
          <w:bCs/>
          <w:sz w:val="24"/>
        </w:rPr>
        <w:t xml:space="preserve">标的名称108：尿有形成份检测质控品 </w:t>
      </w:r>
    </w:p>
    <w:p w14:paraId="6011E2C8">
      <w:pPr>
        <w:spacing w:line="360" w:lineRule="auto"/>
        <w:ind w:firstLine="480" w:firstLineChars="200"/>
        <w:rPr>
          <w:rFonts w:hint="eastAsia" w:ascii="宋体" w:hAnsi="宋体" w:cs="宋体"/>
          <w:sz w:val="24"/>
        </w:rPr>
      </w:pPr>
      <w:r>
        <w:rPr>
          <w:rFonts w:hint="eastAsia" w:ascii="宋体" w:hAnsi="宋体" w:cs="宋体"/>
          <w:sz w:val="24"/>
        </w:rPr>
        <w:t>1.包装规格：高值质控品、低值质控品。</w:t>
      </w:r>
    </w:p>
    <w:p w14:paraId="2935FB55">
      <w:pPr>
        <w:spacing w:line="360" w:lineRule="auto"/>
        <w:ind w:firstLine="480" w:firstLineChars="200"/>
        <w:rPr>
          <w:rFonts w:hint="eastAsia" w:ascii="宋体" w:hAnsi="宋体" w:cs="宋体"/>
          <w:sz w:val="24"/>
        </w:rPr>
      </w:pPr>
      <w:r>
        <w:rPr>
          <w:rFonts w:hint="eastAsia" w:ascii="宋体" w:hAnsi="宋体" w:cs="宋体"/>
          <w:sz w:val="24"/>
        </w:rPr>
        <w:t>2.用途：用于尿液红细胞、白细胞、上皮细胞、管型及细菌等项目检测的质量控制。</w:t>
      </w:r>
    </w:p>
    <w:p w14:paraId="16F7BC34">
      <w:pPr>
        <w:spacing w:line="360" w:lineRule="auto"/>
        <w:ind w:firstLine="480" w:firstLineChars="200"/>
        <w:rPr>
          <w:rFonts w:hint="eastAsia" w:ascii="宋体" w:hAnsi="宋体" w:cs="宋体"/>
          <w:sz w:val="24"/>
        </w:rPr>
      </w:pPr>
      <w:r>
        <w:rPr>
          <w:rFonts w:hint="eastAsia" w:ascii="宋体" w:hAnsi="宋体" w:cs="宋体"/>
          <w:sz w:val="24"/>
        </w:rPr>
        <w:t>3.主要组成成份：高值质控品：含有≥0.3%的质控颗粒；低值质控品：含有≥0.05%的质控颗粒。</w:t>
      </w:r>
    </w:p>
    <w:p w14:paraId="38FBE5F1">
      <w:pPr>
        <w:spacing w:line="360" w:lineRule="auto"/>
        <w:ind w:firstLine="482" w:firstLineChars="200"/>
        <w:rPr>
          <w:rFonts w:hint="eastAsia" w:ascii="宋体" w:hAnsi="宋体" w:cs="宋体"/>
          <w:b/>
          <w:bCs/>
          <w:sz w:val="24"/>
        </w:rPr>
      </w:pPr>
      <w:r>
        <w:rPr>
          <w:rFonts w:hint="eastAsia" w:ascii="宋体" w:hAnsi="宋体" w:cs="宋体"/>
          <w:b/>
          <w:bCs/>
          <w:sz w:val="24"/>
        </w:rPr>
        <w:t>标的名称109：血细胞分析用染色液(白细胞计数)</w:t>
      </w:r>
    </w:p>
    <w:p w14:paraId="32B11A3B">
      <w:pPr>
        <w:spacing w:line="360" w:lineRule="auto"/>
        <w:ind w:firstLine="480" w:firstLineChars="200"/>
        <w:rPr>
          <w:rFonts w:hint="eastAsia" w:ascii="宋体" w:hAnsi="宋体" w:cs="宋体"/>
          <w:sz w:val="24"/>
        </w:rPr>
      </w:pPr>
      <w:r>
        <w:rPr>
          <w:rFonts w:hint="eastAsia" w:ascii="宋体" w:hAnsi="宋体" w:cs="宋体"/>
          <w:sz w:val="24"/>
        </w:rPr>
        <w:t>1.用于对血细胞进行染色，从而观察其形态与结构，以便于血液分析仪器进行血细胞分类计数。</w:t>
      </w:r>
    </w:p>
    <w:p w14:paraId="4F480E71">
      <w:pPr>
        <w:spacing w:line="360" w:lineRule="auto"/>
        <w:ind w:firstLine="480" w:firstLineChars="200"/>
        <w:rPr>
          <w:rFonts w:hint="eastAsia" w:ascii="宋体" w:hAnsi="宋体" w:cs="宋体"/>
          <w:sz w:val="24"/>
        </w:rPr>
      </w:pPr>
      <w:r>
        <w:rPr>
          <w:rFonts w:hint="eastAsia" w:ascii="宋体" w:hAnsi="宋体" w:cs="宋体"/>
          <w:sz w:val="24"/>
        </w:rPr>
        <w:t>2.储存条件及有效期：</w:t>
      </w:r>
    </w:p>
    <w:p w14:paraId="1A5EEA0F">
      <w:pPr>
        <w:spacing w:line="360" w:lineRule="auto"/>
        <w:ind w:firstLine="480" w:firstLineChars="200"/>
        <w:rPr>
          <w:rFonts w:hint="eastAsia" w:ascii="宋体" w:hAnsi="宋体" w:cs="宋体"/>
          <w:sz w:val="24"/>
        </w:rPr>
      </w:pPr>
      <w:r>
        <w:rPr>
          <w:rFonts w:hint="eastAsia" w:ascii="宋体" w:hAnsi="宋体" w:cs="宋体"/>
          <w:sz w:val="24"/>
        </w:rPr>
        <w:t>2.1未开封试剂，2~30℃保存，有效期 12个月。</w:t>
      </w:r>
    </w:p>
    <w:p w14:paraId="4645EF3B">
      <w:pPr>
        <w:spacing w:line="360" w:lineRule="auto"/>
        <w:ind w:firstLine="480" w:firstLineChars="200"/>
        <w:rPr>
          <w:rFonts w:hint="eastAsia" w:ascii="宋体" w:hAnsi="宋体" w:cs="宋体"/>
          <w:sz w:val="24"/>
        </w:rPr>
      </w:pPr>
      <w:r>
        <w:rPr>
          <w:rFonts w:hint="eastAsia" w:ascii="宋体" w:hAnsi="宋体" w:cs="宋体"/>
          <w:sz w:val="24"/>
        </w:rPr>
        <w:t>2.2一旦开启并且安装到仪器上，60天内保持稳定。</w:t>
      </w:r>
    </w:p>
    <w:p w14:paraId="03F7839A">
      <w:pPr>
        <w:spacing w:line="360" w:lineRule="auto"/>
        <w:ind w:firstLine="482" w:firstLineChars="200"/>
        <w:rPr>
          <w:rFonts w:hint="eastAsia" w:ascii="宋体" w:hAnsi="宋体" w:cs="宋体"/>
          <w:b/>
          <w:bCs/>
          <w:sz w:val="24"/>
        </w:rPr>
      </w:pPr>
      <w:r>
        <w:rPr>
          <w:rFonts w:hint="eastAsia" w:ascii="宋体" w:hAnsi="宋体" w:cs="宋体"/>
          <w:b/>
          <w:bCs/>
          <w:sz w:val="24"/>
        </w:rPr>
        <w:t>标的名称110：血细胞分析用溶血剂(白细胞计数)</w:t>
      </w:r>
    </w:p>
    <w:p w14:paraId="49806444">
      <w:pPr>
        <w:spacing w:line="360" w:lineRule="auto"/>
        <w:ind w:firstLine="480" w:firstLineChars="200"/>
        <w:rPr>
          <w:rFonts w:hint="eastAsia" w:ascii="宋体" w:hAnsi="宋体" w:cs="宋体"/>
          <w:sz w:val="24"/>
        </w:rPr>
      </w:pPr>
      <w:r>
        <w:rPr>
          <w:rFonts w:hint="eastAsia" w:ascii="宋体" w:hAnsi="宋体" w:cs="宋体"/>
          <w:sz w:val="24"/>
        </w:rPr>
        <w:t>1.用于血细胞分析前破坏红细胞、溶出血红蛋白、维持所需分析细胞的形态，从而便于细胞分类计数或血红蛋白定量测定。</w:t>
      </w:r>
    </w:p>
    <w:p w14:paraId="5D935CD1">
      <w:pPr>
        <w:spacing w:line="360" w:lineRule="auto"/>
        <w:ind w:firstLine="480" w:firstLineChars="200"/>
        <w:rPr>
          <w:rFonts w:hint="eastAsia" w:ascii="宋体" w:hAnsi="宋体" w:cs="宋体"/>
          <w:sz w:val="24"/>
        </w:rPr>
      </w:pPr>
      <w:r>
        <w:rPr>
          <w:rFonts w:hint="eastAsia" w:ascii="宋体" w:hAnsi="宋体" w:cs="宋体"/>
          <w:sz w:val="24"/>
        </w:rPr>
        <w:t>2.储存条件及有效期：</w:t>
      </w:r>
    </w:p>
    <w:p w14:paraId="795CAF24">
      <w:pPr>
        <w:spacing w:line="360" w:lineRule="auto"/>
        <w:ind w:firstLine="480" w:firstLineChars="200"/>
        <w:rPr>
          <w:rFonts w:hint="eastAsia" w:ascii="宋体" w:hAnsi="宋体" w:cs="宋体"/>
          <w:sz w:val="24"/>
        </w:rPr>
      </w:pPr>
      <w:r>
        <w:rPr>
          <w:rFonts w:hint="eastAsia" w:ascii="宋体" w:hAnsi="宋体" w:cs="宋体"/>
          <w:sz w:val="24"/>
        </w:rPr>
        <w:t>2.1未开封试剂，2~30℃保存，有效期 12个月。</w:t>
      </w:r>
    </w:p>
    <w:p w14:paraId="73B7E386">
      <w:pPr>
        <w:spacing w:line="360" w:lineRule="auto"/>
        <w:ind w:firstLine="480" w:firstLineChars="200"/>
        <w:rPr>
          <w:rFonts w:hint="eastAsia" w:ascii="宋体" w:hAnsi="宋体" w:cs="宋体"/>
          <w:sz w:val="24"/>
        </w:rPr>
      </w:pPr>
      <w:r>
        <w:rPr>
          <w:rFonts w:hint="eastAsia" w:ascii="宋体" w:hAnsi="宋体" w:cs="宋体"/>
          <w:sz w:val="24"/>
        </w:rPr>
        <w:t>2.2一旦开启并且安装到仪器上，60天内保持稳定。</w:t>
      </w:r>
    </w:p>
    <w:p w14:paraId="70A077CC">
      <w:pPr>
        <w:spacing w:line="360" w:lineRule="auto"/>
        <w:ind w:firstLine="482" w:firstLineChars="200"/>
        <w:rPr>
          <w:rFonts w:hint="eastAsia" w:ascii="宋体" w:hAnsi="宋体" w:cs="宋体"/>
          <w:b/>
          <w:bCs/>
          <w:sz w:val="24"/>
        </w:rPr>
      </w:pPr>
      <w:r>
        <w:rPr>
          <w:rFonts w:hint="eastAsia" w:ascii="宋体" w:hAnsi="宋体" w:cs="宋体"/>
          <w:b/>
          <w:bCs/>
          <w:sz w:val="24"/>
        </w:rPr>
        <w:t xml:space="preserve">标的名称111：血细胞分析用溶血剂(白细胞分类) </w:t>
      </w:r>
    </w:p>
    <w:p w14:paraId="5720D182">
      <w:pPr>
        <w:spacing w:line="360" w:lineRule="auto"/>
        <w:ind w:firstLine="480" w:firstLineChars="200"/>
        <w:rPr>
          <w:rFonts w:hint="eastAsia" w:ascii="宋体" w:hAnsi="宋体" w:cs="宋体"/>
          <w:sz w:val="24"/>
        </w:rPr>
      </w:pPr>
      <w:r>
        <w:rPr>
          <w:rFonts w:hint="eastAsia" w:ascii="宋体" w:hAnsi="宋体" w:cs="宋体"/>
          <w:sz w:val="24"/>
        </w:rPr>
        <w:t>1.用途：用于血细胞分析前破坏红细胞、溶出血红蛋白、维持所需分析细胞的形态，从而便于细胞分类计数或血红蛋白定量测定。</w:t>
      </w:r>
    </w:p>
    <w:p w14:paraId="21124092">
      <w:pPr>
        <w:spacing w:line="360" w:lineRule="auto"/>
        <w:ind w:firstLine="480" w:firstLineChars="200"/>
        <w:rPr>
          <w:rFonts w:hint="eastAsia" w:ascii="宋体" w:hAnsi="宋体" w:cs="宋体"/>
          <w:sz w:val="24"/>
        </w:rPr>
      </w:pPr>
      <w:r>
        <w:rPr>
          <w:rFonts w:hint="eastAsia" w:ascii="宋体" w:hAnsi="宋体" w:cs="宋体"/>
          <w:sz w:val="24"/>
        </w:rPr>
        <w:t>2.储存条件及有效期：</w:t>
      </w:r>
    </w:p>
    <w:p w14:paraId="5443DA6F">
      <w:pPr>
        <w:spacing w:line="360" w:lineRule="auto"/>
        <w:ind w:firstLine="480" w:firstLineChars="200"/>
        <w:rPr>
          <w:rFonts w:hint="eastAsia" w:ascii="宋体" w:hAnsi="宋体" w:cs="宋体"/>
          <w:sz w:val="24"/>
        </w:rPr>
      </w:pPr>
      <w:r>
        <w:rPr>
          <w:rFonts w:hint="eastAsia" w:ascii="宋体" w:hAnsi="宋体" w:cs="宋体"/>
          <w:sz w:val="24"/>
        </w:rPr>
        <w:t>2.1未开封试剂，2~30℃保存，有效期12个月。</w:t>
      </w:r>
    </w:p>
    <w:p w14:paraId="4A1FB368">
      <w:pPr>
        <w:spacing w:line="360" w:lineRule="auto"/>
        <w:ind w:firstLine="480" w:firstLineChars="200"/>
        <w:rPr>
          <w:rFonts w:hint="eastAsia" w:ascii="宋体" w:hAnsi="宋体" w:cs="宋体"/>
          <w:sz w:val="24"/>
        </w:rPr>
      </w:pPr>
      <w:r>
        <w:rPr>
          <w:rFonts w:hint="eastAsia" w:ascii="宋体" w:hAnsi="宋体" w:cs="宋体"/>
          <w:sz w:val="24"/>
        </w:rPr>
        <w:t>2.2一旦开启并且安装到仪器上，90天内保持稳定。</w:t>
      </w:r>
    </w:p>
    <w:p w14:paraId="3D3289E1">
      <w:pPr>
        <w:spacing w:line="360" w:lineRule="auto"/>
        <w:ind w:firstLine="482" w:firstLineChars="200"/>
        <w:rPr>
          <w:rFonts w:hint="eastAsia" w:ascii="宋体" w:hAnsi="宋体" w:cs="宋体"/>
          <w:b/>
          <w:bCs/>
          <w:sz w:val="24"/>
        </w:rPr>
      </w:pPr>
      <w:r>
        <w:rPr>
          <w:rFonts w:hint="eastAsia" w:ascii="宋体" w:hAnsi="宋体" w:cs="宋体"/>
          <w:b/>
          <w:bCs/>
          <w:sz w:val="24"/>
        </w:rPr>
        <w:t xml:space="preserve">标的名称112：血细胞分析用染色液(白细胞分类) </w:t>
      </w:r>
    </w:p>
    <w:p w14:paraId="56E04232">
      <w:pPr>
        <w:spacing w:line="360" w:lineRule="auto"/>
        <w:ind w:firstLine="480" w:firstLineChars="200"/>
        <w:rPr>
          <w:rFonts w:hint="eastAsia" w:ascii="宋体" w:hAnsi="宋体" w:cs="宋体"/>
          <w:sz w:val="24"/>
        </w:rPr>
      </w:pPr>
      <w:r>
        <w:rPr>
          <w:rFonts w:hint="eastAsia" w:ascii="宋体" w:hAnsi="宋体" w:cs="宋体"/>
          <w:sz w:val="24"/>
        </w:rPr>
        <w:t>1.用途：用于对血细胞进行染色，从而观察其形态与结构，以便于血液分析仪器进行血细胞分类计数。</w:t>
      </w:r>
    </w:p>
    <w:p w14:paraId="7458609C">
      <w:pPr>
        <w:spacing w:line="360" w:lineRule="auto"/>
        <w:ind w:firstLine="480" w:firstLineChars="200"/>
        <w:rPr>
          <w:rFonts w:hint="eastAsia" w:ascii="宋体" w:hAnsi="宋体" w:cs="宋体"/>
          <w:sz w:val="24"/>
        </w:rPr>
      </w:pPr>
      <w:r>
        <w:rPr>
          <w:rFonts w:hint="eastAsia" w:ascii="宋体" w:hAnsi="宋体" w:cs="宋体"/>
          <w:sz w:val="24"/>
        </w:rPr>
        <w:t>2.储存条件及有效期。</w:t>
      </w:r>
    </w:p>
    <w:p w14:paraId="7D7F48D0">
      <w:pPr>
        <w:spacing w:line="360" w:lineRule="auto"/>
        <w:ind w:firstLine="480" w:firstLineChars="200"/>
        <w:rPr>
          <w:rFonts w:hint="eastAsia" w:ascii="宋体" w:hAnsi="宋体" w:cs="宋体"/>
          <w:sz w:val="24"/>
        </w:rPr>
      </w:pPr>
      <w:r>
        <w:rPr>
          <w:rFonts w:hint="eastAsia" w:ascii="宋体" w:hAnsi="宋体" w:cs="宋体"/>
          <w:sz w:val="24"/>
        </w:rPr>
        <w:t>2.1未开封试剂，2-30℃保存，有效期12个月。</w:t>
      </w:r>
    </w:p>
    <w:p w14:paraId="1719556B">
      <w:pPr>
        <w:spacing w:line="360" w:lineRule="auto"/>
        <w:ind w:firstLine="480" w:firstLineChars="200"/>
        <w:rPr>
          <w:rFonts w:hint="eastAsia" w:ascii="宋体" w:hAnsi="宋体" w:cs="宋体"/>
          <w:sz w:val="24"/>
        </w:rPr>
      </w:pPr>
      <w:r>
        <w:rPr>
          <w:rFonts w:hint="eastAsia" w:ascii="宋体" w:hAnsi="宋体" w:cs="宋体"/>
          <w:sz w:val="24"/>
        </w:rPr>
        <w:t>2.2一旦开启并且安装到仪器上，90天内保持稳定。</w:t>
      </w:r>
    </w:p>
    <w:p w14:paraId="41EE951B">
      <w:pPr>
        <w:spacing w:line="360" w:lineRule="auto"/>
        <w:ind w:firstLine="482" w:firstLineChars="200"/>
        <w:rPr>
          <w:rFonts w:hint="eastAsia" w:ascii="宋体" w:hAnsi="宋体" w:cs="宋体"/>
          <w:b/>
          <w:bCs/>
          <w:sz w:val="24"/>
        </w:rPr>
      </w:pPr>
      <w:r>
        <w:rPr>
          <w:rFonts w:hint="eastAsia" w:ascii="宋体" w:hAnsi="宋体" w:cs="宋体"/>
          <w:b/>
          <w:bCs/>
          <w:sz w:val="24"/>
        </w:rPr>
        <w:t xml:space="preserve">标的名称113：血细胞分析用溶血剂(血红蛋白) </w:t>
      </w:r>
    </w:p>
    <w:p w14:paraId="78DAFF3A">
      <w:pPr>
        <w:spacing w:line="360" w:lineRule="auto"/>
        <w:ind w:firstLine="480" w:firstLineChars="200"/>
        <w:rPr>
          <w:rFonts w:hint="eastAsia" w:ascii="宋体" w:hAnsi="宋体" w:cs="宋体"/>
          <w:sz w:val="24"/>
        </w:rPr>
      </w:pPr>
      <w:r>
        <w:rPr>
          <w:rFonts w:hint="eastAsia" w:ascii="宋体" w:hAnsi="宋体" w:cs="宋体"/>
          <w:sz w:val="24"/>
        </w:rPr>
        <w:t>1.用于血细胞分析前破坏红细胞、溶出血红蛋白、维持所需分析细胞的形态，从而便于细胞分类计数或血红蛋白定量测定。</w:t>
      </w:r>
    </w:p>
    <w:p w14:paraId="047E4CC9">
      <w:pPr>
        <w:spacing w:line="360" w:lineRule="auto"/>
        <w:ind w:firstLine="480" w:firstLineChars="200"/>
        <w:rPr>
          <w:rFonts w:hint="eastAsia" w:ascii="宋体" w:hAnsi="宋体" w:cs="宋体"/>
          <w:sz w:val="24"/>
        </w:rPr>
      </w:pPr>
      <w:r>
        <w:rPr>
          <w:rFonts w:hint="eastAsia" w:ascii="宋体" w:hAnsi="宋体" w:cs="宋体"/>
          <w:sz w:val="24"/>
        </w:rPr>
        <w:t>2.储存条件及有效期。</w:t>
      </w:r>
    </w:p>
    <w:p w14:paraId="7C54601B">
      <w:pPr>
        <w:spacing w:line="360" w:lineRule="auto"/>
        <w:ind w:firstLine="480" w:firstLineChars="200"/>
        <w:rPr>
          <w:rFonts w:hint="eastAsia" w:ascii="宋体" w:hAnsi="宋体" w:cs="宋体"/>
          <w:sz w:val="24"/>
        </w:rPr>
      </w:pPr>
      <w:r>
        <w:rPr>
          <w:rFonts w:hint="eastAsia" w:ascii="宋体" w:hAnsi="宋体" w:cs="宋体"/>
          <w:sz w:val="24"/>
        </w:rPr>
        <w:t>2.1储存条件：1-30℃,有效期≥12个月。</w:t>
      </w:r>
    </w:p>
    <w:p w14:paraId="4BF7E8A4">
      <w:pPr>
        <w:spacing w:line="360" w:lineRule="auto"/>
        <w:ind w:firstLine="480" w:firstLineChars="200"/>
        <w:rPr>
          <w:rFonts w:hint="eastAsia" w:ascii="宋体" w:hAnsi="宋体" w:cs="宋体"/>
          <w:sz w:val="24"/>
        </w:rPr>
      </w:pPr>
      <w:r>
        <w:rPr>
          <w:rFonts w:hint="eastAsia" w:ascii="宋体" w:hAnsi="宋体" w:cs="宋体"/>
          <w:sz w:val="24"/>
        </w:rPr>
        <w:t>2.2一旦开封，90天内保持稳定。</w:t>
      </w:r>
    </w:p>
    <w:p w14:paraId="00A4A6BC">
      <w:pPr>
        <w:spacing w:line="360" w:lineRule="auto"/>
        <w:ind w:firstLine="482" w:firstLineChars="200"/>
        <w:rPr>
          <w:rFonts w:hint="eastAsia" w:ascii="宋体" w:hAnsi="宋体" w:cs="宋体"/>
          <w:b/>
          <w:bCs/>
          <w:sz w:val="24"/>
        </w:rPr>
      </w:pPr>
      <w:r>
        <w:rPr>
          <w:rFonts w:hint="eastAsia" w:ascii="宋体" w:hAnsi="宋体" w:cs="宋体"/>
          <w:b/>
          <w:bCs/>
          <w:sz w:val="24"/>
        </w:rPr>
        <w:t>标的名称114：2ml样品杯</w:t>
      </w:r>
    </w:p>
    <w:p w14:paraId="479D34E4">
      <w:pPr>
        <w:spacing w:line="360" w:lineRule="auto"/>
        <w:ind w:firstLine="480" w:firstLineChars="200"/>
        <w:rPr>
          <w:rFonts w:hint="eastAsia" w:ascii="宋体" w:hAnsi="宋体" w:cs="宋体"/>
          <w:sz w:val="24"/>
        </w:rPr>
      </w:pPr>
      <w:r>
        <w:rPr>
          <w:rFonts w:hint="eastAsia" w:ascii="宋体" w:hAnsi="宋体" w:cs="宋体"/>
          <w:sz w:val="24"/>
        </w:rPr>
        <w:t>1.用途：适用于光谱分析、色谱分析、生物样品存储等。</w:t>
      </w:r>
    </w:p>
    <w:p w14:paraId="7502EA50">
      <w:pPr>
        <w:spacing w:line="360" w:lineRule="auto"/>
        <w:ind w:firstLine="480" w:firstLineChars="200"/>
        <w:rPr>
          <w:rFonts w:hint="eastAsia" w:ascii="宋体" w:hAnsi="宋体" w:cs="宋体"/>
          <w:sz w:val="24"/>
        </w:rPr>
      </w:pPr>
      <w:r>
        <w:rPr>
          <w:rFonts w:hint="eastAsia" w:ascii="宋体" w:hAnsi="宋体" w:cs="宋体"/>
          <w:sz w:val="24"/>
        </w:rPr>
        <w:t>2.材质：包括玻璃、塑料（如聚丙烯PP、聚苯乙烯PS）等。</w:t>
      </w:r>
    </w:p>
    <w:p w14:paraId="0BE4026A">
      <w:pPr>
        <w:spacing w:line="360" w:lineRule="auto"/>
        <w:ind w:firstLine="480" w:firstLineChars="200"/>
        <w:rPr>
          <w:rFonts w:hint="eastAsia" w:ascii="宋体" w:hAnsi="宋体" w:cs="宋体"/>
          <w:sz w:val="24"/>
        </w:rPr>
      </w:pPr>
      <w:r>
        <w:rPr>
          <w:rFonts w:hint="eastAsia" w:ascii="宋体" w:hAnsi="宋体" w:cs="宋体"/>
          <w:sz w:val="24"/>
        </w:rPr>
        <w:t>3.储存条件：常温效期≥5年。</w:t>
      </w:r>
    </w:p>
    <w:p w14:paraId="453D6005">
      <w:pPr>
        <w:spacing w:line="360" w:lineRule="auto"/>
        <w:ind w:firstLine="482" w:firstLineChars="200"/>
        <w:rPr>
          <w:rFonts w:hint="eastAsia" w:ascii="宋体" w:hAnsi="宋体" w:cs="宋体"/>
          <w:b/>
          <w:bCs/>
          <w:sz w:val="24"/>
        </w:rPr>
      </w:pPr>
      <w:r>
        <w:rPr>
          <w:rFonts w:hint="eastAsia" w:ascii="宋体" w:hAnsi="宋体" w:cs="宋体"/>
          <w:b/>
          <w:bCs/>
          <w:sz w:val="24"/>
        </w:rPr>
        <w:t>标的名称115：凝血分析用稀释液（因子测定稀释液）</w:t>
      </w:r>
    </w:p>
    <w:p w14:paraId="5E996C8B">
      <w:pPr>
        <w:spacing w:line="360" w:lineRule="auto"/>
        <w:ind w:firstLine="480" w:firstLineChars="200"/>
        <w:rPr>
          <w:rFonts w:hint="eastAsia" w:ascii="宋体" w:hAnsi="宋体" w:cs="宋体"/>
          <w:sz w:val="24"/>
        </w:rPr>
      </w:pPr>
      <w:r>
        <w:rPr>
          <w:rFonts w:hint="eastAsia" w:ascii="宋体" w:hAnsi="宋体" w:cs="宋体"/>
          <w:sz w:val="24"/>
        </w:rPr>
        <w:t>1.用途：用于在凝血测试中稀释血浆标本。</w:t>
      </w:r>
    </w:p>
    <w:p w14:paraId="3EE5EA56">
      <w:pPr>
        <w:spacing w:line="360" w:lineRule="auto"/>
        <w:ind w:firstLine="480" w:firstLineChars="200"/>
        <w:rPr>
          <w:rFonts w:hint="eastAsia" w:ascii="宋体" w:hAnsi="宋体" w:cs="宋体"/>
          <w:sz w:val="24"/>
        </w:rPr>
      </w:pPr>
      <w:r>
        <w:rPr>
          <w:rFonts w:hint="eastAsia" w:ascii="宋体" w:hAnsi="宋体" w:cs="宋体"/>
          <w:sz w:val="24"/>
        </w:rPr>
        <w:t>2.主要组成成份：盐溶液和叠氮钠。</w:t>
      </w:r>
    </w:p>
    <w:p w14:paraId="155BB6EB">
      <w:pPr>
        <w:spacing w:line="360" w:lineRule="auto"/>
        <w:ind w:firstLine="480" w:firstLineChars="200"/>
        <w:rPr>
          <w:rFonts w:hint="eastAsia" w:ascii="宋体" w:hAnsi="宋体" w:cs="宋体"/>
          <w:sz w:val="24"/>
        </w:rPr>
      </w:pPr>
      <w:r>
        <w:rPr>
          <w:rFonts w:hint="eastAsia" w:ascii="宋体" w:hAnsi="宋体" w:cs="宋体"/>
          <w:sz w:val="24"/>
        </w:rPr>
        <w:t>3.外观：为无色透明液体，不得有沉淀、颗粒或絮状物。</w:t>
      </w:r>
    </w:p>
    <w:p w14:paraId="7A850865">
      <w:pPr>
        <w:spacing w:line="360" w:lineRule="auto"/>
        <w:ind w:firstLine="482" w:firstLineChars="200"/>
        <w:rPr>
          <w:rFonts w:hint="eastAsia" w:ascii="宋体" w:hAnsi="宋体" w:cs="宋体"/>
          <w:b/>
          <w:bCs/>
          <w:sz w:val="24"/>
        </w:rPr>
      </w:pPr>
      <w:r>
        <w:rPr>
          <w:rFonts w:hint="eastAsia" w:ascii="宋体" w:hAnsi="宋体" w:cs="宋体"/>
          <w:b/>
          <w:bCs/>
          <w:sz w:val="24"/>
        </w:rPr>
        <w:t>标的名称116：凝血酶时间测定盒</w:t>
      </w:r>
    </w:p>
    <w:p w14:paraId="5C9FFF47">
      <w:pPr>
        <w:spacing w:line="360" w:lineRule="auto"/>
        <w:ind w:firstLine="480" w:firstLineChars="200"/>
        <w:rPr>
          <w:rFonts w:hint="eastAsia" w:ascii="宋体" w:hAnsi="宋体" w:cs="宋体"/>
          <w:sz w:val="24"/>
        </w:rPr>
      </w:pPr>
      <w:r>
        <w:rPr>
          <w:rFonts w:hint="eastAsia" w:ascii="宋体" w:hAnsi="宋体" w:cs="宋体"/>
          <w:sz w:val="24"/>
        </w:rPr>
        <w:t>1.准确性：使用同一批号试剂盒对正常值和低值质控物进行测定,凝血酶时间的测试结果应在履控给定的靶值范围内。</w:t>
      </w:r>
    </w:p>
    <w:p w14:paraId="011138EA">
      <w:pPr>
        <w:spacing w:line="360" w:lineRule="auto"/>
        <w:ind w:firstLine="480" w:firstLineChars="200"/>
        <w:rPr>
          <w:rFonts w:hint="eastAsia" w:ascii="宋体" w:hAnsi="宋体" w:cs="宋体"/>
          <w:sz w:val="24"/>
        </w:rPr>
      </w:pPr>
      <w:r>
        <w:rPr>
          <w:rFonts w:hint="eastAsia" w:ascii="宋体" w:hAnsi="宋体" w:cs="宋体"/>
          <w:sz w:val="24"/>
        </w:rPr>
        <w:t>2.重复性：用质控血浆重复测试所得结果的变异系数(CV)应不超过5%。</w:t>
      </w:r>
    </w:p>
    <w:p w14:paraId="0CC10EA0">
      <w:pPr>
        <w:spacing w:line="360" w:lineRule="auto"/>
        <w:ind w:firstLine="480" w:firstLineChars="200"/>
        <w:rPr>
          <w:rFonts w:hint="eastAsia" w:ascii="宋体" w:hAnsi="宋体" w:cs="宋体"/>
          <w:sz w:val="24"/>
        </w:rPr>
      </w:pPr>
      <w:r>
        <w:rPr>
          <w:rFonts w:hint="eastAsia" w:ascii="宋体" w:hAnsi="宋体" w:cs="宋体"/>
          <w:sz w:val="24"/>
        </w:rPr>
        <w:t>3.批间差：用质控血浆重复测试不同批号试剂，所得结果的变异系数超过10%。</w:t>
      </w:r>
    </w:p>
    <w:p w14:paraId="655ACAA5">
      <w:pPr>
        <w:spacing w:line="360" w:lineRule="auto"/>
        <w:ind w:firstLine="482" w:firstLineChars="200"/>
        <w:rPr>
          <w:rFonts w:hint="eastAsia" w:ascii="宋体" w:hAnsi="宋体" w:cs="宋体"/>
          <w:b/>
          <w:bCs/>
          <w:sz w:val="24"/>
        </w:rPr>
      </w:pPr>
      <w:r>
        <w:rPr>
          <w:rFonts w:hint="eastAsia" w:ascii="宋体" w:hAnsi="宋体" w:cs="宋体"/>
          <w:b/>
          <w:bCs/>
          <w:sz w:val="24"/>
        </w:rPr>
        <w:t>标的名称117：清洗液A</w:t>
      </w:r>
    </w:p>
    <w:p w14:paraId="671CFBF6">
      <w:pPr>
        <w:spacing w:line="360" w:lineRule="auto"/>
        <w:ind w:firstLine="480" w:firstLineChars="200"/>
        <w:rPr>
          <w:rFonts w:hint="eastAsia" w:ascii="宋体" w:hAnsi="宋体" w:cs="宋体"/>
          <w:sz w:val="24"/>
        </w:rPr>
      </w:pPr>
      <w:r>
        <w:rPr>
          <w:rFonts w:hint="eastAsia" w:ascii="宋体" w:hAnsi="宋体" w:cs="宋体"/>
          <w:sz w:val="24"/>
        </w:rPr>
        <w:t xml:space="preserve">1.用途：用于血气分析仪清洁。 </w:t>
      </w:r>
    </w:p>
    <w:p w14:paraId="5DFAF09F">
      <w:pPr>
        <w:spacing w:line="360" w:lineRule="auto"/>
        <w:ind w:firstLine="480" w:firstLineChars="200"/>
        <w:rPr>
          <w:rFonts w:hint="eastAsia" w:ascii="宋体" w:hAnsi="宋体" w:cs="宋体"/>
          <w:sz w:val="24"/>
        </w:rPr>
      </w:pPr>
      <w:r>
        <w:rPr>
          <w:rFonts w:hint="eastAsia" w:ascii="宋体" w:hAnsi="宋体" w:cs="宋体"/>
          <w:sz w:val="24"/>
        </w:rPr>
        <w:t>2.主要组成成份：盐酸。</w:t>
      </w:r>
    </w:p>
    <w:p w14:paraId="7EEDDEF2">
      <w:pPr>
        <w:spacing w:line="360" w:lineRule="auto"/>
        <w:ind w:firstLine="480" w:firstLineChars="200"/>
        <w:rPr>
          <w:rFonts w:hint="eastAsia" w:ascii="宋体" w:hAnsi="宋体" w:cs="宋体"/>
          <w:sz w:val="24"/>
        </w:rPr>
      </w:pPr>
      <w:r>
        <w:rPr>
          <w:rFonts w:hint="eastAsia" w:ascii="宋体" w:hAnsi="宋体" w:cs="宋体"/>
          <w:sz w:val="24"/>
        </w:rPr>
        <w:t>3.储存条件：15-25℃，效期 24个月。</w:t>
      </w:r>
    </w:p>
    <w:p w14:paraId="068EEC4B">
      <w:pPr>
        <w:spacing w:line="360" w:lineRule="auto"/>
        <w:ind w:firstLine="482" w:firstLineChars="200"/>
        <w:rPr>
          <w:rFonts w:hint="eastAsia" w:ascii="宋体" w:hAnsi="宋体" w:cs="宋体"/>
          <w:b/>
          <w:bCs/>
          <w:sz w:val="24"/>
        </w:rPr>
      </w:pPr>
      <w:r>
        <w:rPr>
          <w:rFonts w:hint="eastAsia" w:ascii="宋体" w:hAnsi="宋体" w:cs="宋体"/>
          <w:b/>
          <w:bCs/>
          <w:sz w:val="24"/>
        </w:rPr>
        <w:t>标的名称118：凝血酶原时间测定试剂盒</w:t>
      </w:r>
    </w:p>
    <w:p w14:paraId="340BAED2">
      <w:pPr>
        <w:spacing w:line="360" w:lineRule="auto"/>
        <w:ind w:firstLine="480" w:firstLineChars="200"/>
        <w:rPr>
          <w:rFonts w:hint="eastAsia" w:ascii="宋体" w:hAnsi="宋体" w:cs="宋体"/>
          <w:sz w:val="24"/>
        </w:rPr>
      </w:pPr>
      <w:r>
        <w:rPr>
          <w:rFonts w:hint="eastAsia" w:ascii="宋体" w:hAnsi="宋体" w:cs="宋体"/>
          <w:sz w:val="24"/>
        </w:rPr>
        <w:t>1.用途：用于评估外源性凝血途径的功能。</w:t>
      </w:r>
    </w:p>
    <w:p w14:paraId="3F3E8342">
      <w:pPr>
        <w:spacing w:line="360" w:lineRule="auto"/>
        <w:ind w:firstLine="480" w:firstLineChars="200"/>
        <w:rPr>
          <w:rFonts w:hint="eastAsia" w:ascii="宋体" w:hAnsi="宋体" w:cs="宋体"/>
          <w:sz w:val="24"/>
        </w:rPr>
      </w:pPr>
      <w:r>
        <w:rPr>
          <w:rFonts w:hint="eastAsia" w:ascii="宋体" w:hAnsi="宋体" w:cs="宋体"/>
          <w:sz w:val="24"/>
        </w:rPr>
        <w:t>2.PT正常血浆测量值用正常血浆测试，所得结果应不大于14s;</w:t>
      </w:r>
    </w:p>
    <w:p w14:paraId="5C3E5411">
      <w:pPr>
        <w:spacing w:line="360" w:lineRule="auto"/>
        <w:ind w:firstLine="480" w:firstLineChars="200"/>
        <w:rPr>
          <w:rFonts w:hint="eastAsia" w:ascii="宋体" w:hAnsi="宋体" w:cs="宋体"/>
          <w:sz w:val="24"/>
        </w:rPr>
      </w:pPr>
      <w:r>
        <w:rPr>
          <w:rFonts w:hint="eastAsia" w:ascii="宋体" w:hAnsi="宋体" w:cs="宋体"/>
          <w:sz w:val="24"/>
        </w:rPr>
        <w:t>3.FIB准确性用定值血浆测量，相对偏差应不超过15%。</w:t>
      </w:r>
    </w:p>
    <w:p w14:paraId="5E2BE8E4">
      <w:pPr>
        <w:spacing w:line="360" w:lineRule="auto"/>
        <w:ind w:firstLine="482" w:firstLineChars="200"/>
        <w:rPr>
          <w:rFonts w:hint="eastAsia" w:ascii="宋体" w:hAnsi="宋体" w:cs="宋体"/>
          <w:b/>
          <w:bCs/>
          <w:sz w:val="24"/>
        </w:rPr>
      </w:pPr>
      <w:r>
        <w:rPr>
          <w:rFonts w:hint="eastAsia" w:ascii="宋体" w:hAnsi="宋体" w:cs="宋体"/>
          <w:b/>
          <w:bCs/>
          <w:sz w:val="24"/>
        </w:rPr>
        <w:t>标的名称119：活化的部分凝血活酶时间测定试剂盒</w:t>
      </w:r>
    </w:p>
    <w:p w14:paraId="55924F10">
      <w:pPr>
        <w:spacing w:line="360" w:lineRule="auto"/>
        <w:ind w:firstLine="480" w:firstLineChars="200"/>
        <w:rPr>
          <w:rFonts w:hint="eastAsia" w:ascii="宋体" w:hAnsi="宋体" w:cs="宋体"/>
          <w:sz w:val="24"/>
        </w:rPr>
      </w:pPr>
      <w:r>
        <w:rPr>
          <w:rFonts w:hint="eastAsia" w:ascii="宋体" w:hAnsi="宋体" w:cs="宋体"/>
          <w:sz w:val="24"/>
        </w:rPr>
        <w:t>1.用途：主要用于评估内源性凝血途径和共同凝血途径的功能。</w:t>
      </w:r>
    </w:p>
    <w:p w14:paraId="68F009A7">
      <w:pPr>
        <w:spacing w:line="360" w:lineRule="auto"/>
        <w:ind w:firstLine="480" w:firstLineChars="200"/>
        <w:rPr>
          <w:rFonts w:hint="eastAsia" w:ascii="宋体" w:hAnsi="宋体" w:cs="宋体"/>
          <w:sz w:val="24"/>
        </w:rPr>
      </w:pPr>
      <w:r>
        <w:rPr>
          <w:rFonts w:hint="eastAsia" w:ascii="宋体" w:hAnsi="宋体" w:cs="宋体"/>
          <w:sz w:val="24"/>
        </w:rPr>
        <w:t>2.精密度：应用正常以及异常样本多次运行后进行批内及总变异(运行间及日间)精确度评价。</w:t>
      </w:r>
    </w:p>
    <w:p w14:paraId="5BAF3AA3">
      <w:pPr>
        <w:spacing w:line="360" w:lineRule="auto"/>
        <w:ind w:firstLine="480" w:firstLineChars="200"/>
        <w:rPr>
          <w:rFonts w:hint="eastAsia" w:ascii="宋体" w:hAnsi="宋体" w:cs="宋体"/>
          <w:sz w:val="24"/>
        </w:rPr>
      </w:pPr>
      <w:r>
        <w:rPr>
          <w:rFonts w:hint="eastAsia" w:ascii="宋体" w:hAnsi="宋体" w:cs="宋体"/>
          <w:sz w:val="24"/>
        </w:rPr>
        <w:t>3.重复性：测试结果的变异系数(CV%)应≤5%。</w:t>
      </w:r>
    </w:p>
    <w:p w14:paraId="6C69596D">
      <w:pPr>
        <w:spacing w:line="360" w:lineRule="auto"/>
        <w:ind w:firstLine="482" w:firstLineChars="200"/>
        <w:rPr>
          <w:rFonts w:hint="eastAsia" w:ascii="宋体" w:hAnsi="宋体" w:cs="宋体"/>
          <w:b/>
          <w:bCs/>
          <w:sz w:val="24"/>
        </w:rPr>
      </w:pPr>
      <w:r>
        <w:rPr>
          <w:rFonts w:hint="eastAsia" w:ascii="宋体" w:hAnsi="宋体" w:cs="宋体"/>
          <w:b/>
          <w:bCs/>
          <w:sz w:val="24"/>
        </w:rPr>
        <w:t>标的名称120：D-二聚体测定试剂盒</w:t>
      </w:r>
    </w:p>
    <w:p w14:paraId="20989F1D">
      <w:pPr>
        <w:spacing w:line="360" w:lineRule="auto"/>
        <w:ind w:firstLine="480" w:firstLineChars="200"/>
        <w:rPr>
          <w:rFonts w:hint="eastAsia" w:ascii="宋体" w:hAnsi="宋体" w:cs="宋体"/>
          <w:sz w:val="24"/>
        </w:rPr>
      </w:pPr>
      <w:r>
        <w:rPr>
          <w:rFonts w:hint="eastAsia" w:ascii="宋体" w:hAnsi="宋体" w:cs="宋体"/>
          <w:sz w:val="24"/>
        </w:rPr>
        <w:t>1.用途：检测体内纤维蛋白溶解系统的活性，反映血栓形成后的纤溶过程。</w:t>
      </w:r>
    </w:p>
    <w:p w14:paraId="1A1CE066">
      <w:pPr>
        <w:spacing w:line="360" w:lineRule="auto"/>
        <w:ind w:firstLine="480" w:firstLineChars="200"/>
        <w:rPr>
          <w:rFonts w:hint="eastAsia" w:ascii="宋体" w:hAnsi="宋体" w:cs="宋体"/>
          <w:sz w:val="24"/>
        </w:rPr>
      </w:pPr>
      <w:r>
        <w:rPr>
          <w:rFonts w:hint="eastAsia" w:ascii="宋体" w:hAnsi="宋体" w:cs="宋体"/>
          <w:sz w:val="24"/>
        </w:rPr>
        <w:t>2.稳定性：</w:t>
      </w:r>
    </w:p>
    <w:p w14:paraId="60D959C2">
      <w:pPr>
        <w:spacing w:line="360" w:lineRule="auto"/>
        <w:ind w:firstLine="480" w:firstLineChars="200"/>
        <w:rPr>
          <w:rFonts w:hint="eastAsia" w:ascii="宋体" w:hAnsi="宋体" w:cs="宋体"/>
          <w:sz w:val="24"/>
        </w:rPr>
      </w:pPr>
      <w:r>
        <w:rPr>
          <w:rFonts w:hint="eastAsia" w:ascii="宋体" w:hAnsi="宋体" w:cs="宋体"/>
          <w:sz w:val="24"/>
        </w:rPr>
        <w:t>在2~8°C下保存≥12个月，试剂盒应保证其检测的准确性。</w:t>
      </w:r>
    </w:p>
    <w:p w14:paraId="0D5543DE">
      <w:pPr>
        <w:spacing w:line="360" w:lineRule="auto"/>
        <w:ind w:firstLine="480" w:firstLineChars="200"/>
        <w:rPr>
          <w:rFonts w:hint="eastAsia" w:ascii="宋体" w:hAnsi="宋体" w:cs="宋体"/>
          <w:sz w:val="24"/>
        </w:rPr>
      </w:pPr>
      <w:r>
        <w:rPr>
          <w:rFonts w:hint="eastAsia" w:ascii="宋体" w:hAnsi="宋体" w:cs="宋体"/>
          <w:sz w:val="24"/>
        </w:rPr>
        <w:t>分析灵敏度试剂的分析灵敏度(最低检出限):≤25ng/ml。</w:t>
      </w:r>
    </w:p>
    <w:p w14:paraId="1B194DB4">
      <w:pPr>
        <w:spacing w:line="360" w:lineRule="auto"/>
        <w:ind w:firstLine="480" w:firstLineChars="200"/>
        <w:rPr>
          <w:rFonts w:hint="eastAsia" w:ascii="宋体" w:hAnsi="宋体" w:cs="宋体"/>
          <w:sz w:val="24"/>
        </w:rPr>
      </w:pPr>
      <w:r>
        <w:rPr>
          <w:rFonts w:hint="eastAsia" w:ascii="宋体" w:hAnsi="宋体" w:cs="宋体"/>
          <w:sz w:val="24"/>
        </w:rPr>
        <w:t>3.批间不精密度使用三个不同批号的试剂盒各测量低值质控品和高值质控品，检测的发聚体三批试剂盒的批间不精密度批间差≤6%。</w:t>
      </w:r>
    </w:p>
    <w:p w14:paraId="34C6B2C1">
      <w:pPr>
        <w:spacing w:line="360" w:lineRule="auto"/>
        <w:ind w:firstLine="482" w:firstLineChars="200"/>
        <w:rPr>
          <w:rFonts w:hint="eastAsia" w:ascii="宋体" w:hAnsi="宋体" w:cs="宋体"/>
          <w:b/>
          <w:bCs/>
          <w:sz w:val="24"/>
        </w:rPr>
      </w:pPr>
      <w:r>
        <w:rPr>
          <w:rFonts w:hint="eastAsia" w:ascii="宋体" w:hAnsi="宋体" w:cs="宋体"/>
          <w:b/>
          <w:bCs/>
          <w:sz w:val="24"/>
        </w:rPr>
        <w:t>标的名称121：纤维蛋白原测定试剂盒</w:t>
      </w:r>
    </w:p>
    <w:p w14:paraId="45C47114">
      <w:pPr>
        <w:spacing w:line="360" w:lineRule="auto"/>
        <w:ind w:firstLine="480" w:firstLineChars="200"/>
        <w:rPr>
          <w:rFonts w:hint="eastAsia" w:ascii="宋体" w:hAnsi="宋体" w:cs="宋体"/>
          <w:sz w:val="24"/>
        </w:rPr>
      </w:pPr>
      <w:r>
        <w:rPr>
          <w:rFonts w:hint="eastAsia" w:ascii="宋体" w:hAnsi="宋体" w:cs="宋体"/>
          <w:sz w:val="24"/>
        </w:rPr>
        <w:t>1.用途：用于检测血液中纤维蛋白原含量。</w:t>
      </w:r>
    </w:p>
    <w:p w14:paraId="1C32D360">
      <w:pPr>
        <w:spacing w:line="360" w:lineRule="auto"/>
        <w:ind w:firstLine="480" w:firstLineChars="200"/>
        <w:rPr>
          <w:rFonts w:hint="eastAsia" w:ascii="宋体" w:hAnsi="宋体" w:cs="宋体"/>
          <w:sz w:val="24"/>
        </w:rPr>
      </w:pPr>
      <w:r>
        <w:rPr>
          <w:rFonts w:hint="eastAsia" w:ascii="宋体" w:hAnsi="宋体" w:cs="宋体"/>
          <w:sz w:val="24"/>
        </w:rPr>
        <w:t>2.准确性：应用正常以及异常样本多次测定后进行批内及总变异（批间及日间）精确度评价。</w:t>
      </w:r>
    </w:p>
    <w:p w14:paraId="64E3CBCF">
      <w:pPr>
        <w:spacing w:line="360" w:lineRule="auto"/>
        <w:ind w:firstLine="480" w:firstLineChars="200"/>
        <w:rPr>
          <w:rFonts w:hint="eastAsia" w:ascii="宋体" w:hAnsi="宋体" w:cs="宋体"/>
          <w:sz w:val="24"/>
        </w:rPr>
      </w:pPr>
      <w:r>
        <w:rPr>
          <w:rFonts w:hint="eastAsia" w:ascii="宋体" w:hAnsi="宋体" w:cs="宋体"/>
          <w:sz w:val="24"/>
        </w:rPr>
        <w:t>3.重复性：使用同一批号试剂对同一样本重复测定，其测定值的变异系数(CV%)应符合：变异系数:CV≤8%。</w:t>
      </w:r>
    </w:p>
    <w:p w14:paraId="120EBE69">
      <w:pPr>
        <w:spacing w:line="360" w:lineRule="auto"/>
        <w:ind w:firstLine="482" w:firstLineChars="200"/>
        <w:rPr>
          <w:rFonts w:hint="eastAsia" w:ascii="宋体" w:hAnsi="宋体" w:cs="宋体"/>
          <w:b/>
          <w:bCs/>
          <w:sz w:val="24"/>
        </w:rPr>
      </w:pPr>
      <w:r>
        <w:rPr>
          <w:rFonts w:hint="eastAsia" w:ascii="宋体" w:hAnsi="宋体" w:cs="宋体"/>
          <w:b/>
          <w:bCs/>
          <w:sz w:val="24"/>
        </w:rPr>
        <w:t>标的名称122：血凝分析仪冲洗液</w:t>
      </w:r>
    </w:p>
    <w:p w14:paraId="5AAB7F6F">
      <w:pPr>
        <w:spacing w:line="360" w:lineRule="auto"/>
        <w:ind w:firstLine="480" w:firstLineChars="200"/>
        <w:rPr>
          <w:rFonts w:hint="eastAsia" w:ascii="宋体" w:hAnsi="宋体" w:cs="宋体"/>
          <w:sz w:val="24"/>
        </w:rPr>
      </w:pPr>
      <w:r>
        <w:rPr>
          <w:rFonts w:hint="eastAsia" w:ascii="宋体" w:hAnsi="宋体" w:cs="宋体"/>
          <w:sz w:val="24"/>
        </w:rPr>
        <w:t>1.用途：主要用于仪器的清洗和维护，以确保检测结果的准确性和仪器的正常运行。</w:t>
      </w:r>
    </w:p>
    <w:p w14:paraId="0044B57F">
      <w:pPr>
        <w:spacing w:line="360" w:lineRule="auto"/>
        <w:ind w:firstLine="480" w:firstLineChars="200"/>
        <w:rPr>
          <w:rFonts w:hint="eastAsia" w:ascii="宋体" w:hAnsi="宋体" w:cs="宋体"/>
          <w:sz w:val="24"/>
        </w:rPr>
      </w:pPr>
      <w:r>
        <w:rPr>
          <w:rFonts w:hint="eastAsia" w:ascii="宋体" w:hAnsi="宋体" w:cs="宋体"/>
          <w:sz w:val="24"/>
        </w:rPr>
        <w:t>2.主要组成成份：表面活性剂和保护剂。</w:t>
      </w:r>
    </w:p>
    <w:p w14:paraId="66F37963">
      <w:pPr>
        <w:spacing w:line="360" w:lineRule="auto"/>
        <w:ind w:firstLine="480" w:firstLineChars="200"/>
        <w:rPr>
          <w:rFonts w:hint="eastAsia" w:ascii="宋体" w:hAnsi="宋体" w:cs="宋体"/>
          <w:sz w:val="24"/>
        </w:rPr>
      </w:pPr>
      <w:r>
        <w:rPr>
          <w:rFonts w:hint="eastAsia" w:ascii="宋体" w:hAnsi="宋体" w:cs="宋体"/>
          <w:sz w:val="24"/>
        </w:rPr>
        <w:t>3.储存条件：常温，有效期24个月。</w:t>
      </w:r>
    </w:p>
    <w:p w14:paraId="2584CA45">
      <w:pPr>
        <w:spacing w:line="360" w:lineRule="auto"/>
        <w:ind w:firstLine="482" w:firstLineChars="200"/>
        <w:rPr>
          <w:rFonts w:hint="eastAsia" w:ascii="宋体" w:hAnsi="宋体" w:cs="宋体"/>
          <w:b/>
          <w:bCs/>
          <w:sz w:val="24"/>
        </w:rPr>
      </w:pPr>
      <w:r>
        <w:rPr>
          <w:rFonts w:hint="eastAsia" w:ascii="宋体" w:hAnsi="宋体" w:cs="宋体"/>
          <w:b/>
          <w:bCs/>
          <w:sz w:val="24"/>
        </w:rPr>
        <w:t>标的名称123：分析杯</w:t>
      </w:r>
    </w:p>
    <w:p w14:paraId="7250923A">
      <w:pPr>
        <w:spacing w:line="360" w:lineRule="auto"/>
        <w:ind w:firstLine="480" w:firstLineChars="200"/>
        <w:rPr>
          <w:rFonts w:hint="eastAsia" w:ascii="宋体" w:hAnsi="宋体" w:cs="宋体"/>
          <w:sz w:val="24"/>
        </w:rPr>
      </w:pPr>
      <w:r>
        <w:rPr>
          <w:rFonts w:hint="eastAsia" w:ascii="宋体" w:hAnsi="宋体" w:cs="宋体"/>
          <w:sz w:val="24"/>
        </w:rPr>
        <w:t>1.用途：用于盛放血浆样本和试剂，进行凝血功能检测。</w:t>
      </w:r>
    </w:p>
    <w:p w14:paraId="1806C11F">
      <w:pPr>
        <w:spacing w:line="360" w:lineRule="auto"/>
        <w:ind w:firstLine="480" w:firstLineChars="200"/>
        <w:rPr>
          <w:rFonts w:hint="eastAsia" w:ascii="宋体" w:hAnsi="宋体" w:cs="宋体"/>
          <w:sz w:val="24"/>
        </w:rPr>
      </w:pPr>
      <w:r>
        <w:rPr>
          <w:rFonts w:hint="eastAsia" w:ascii="宋体" w:hAnsi="宋体" w:cs="宋体"/>
          <w:sz w:val="24"/>
        </w:rPr>
        <w:t>2.支持的检测项目包括：凝血酶原时间（PT）、活化部分凝血活酶时间（APTT）、纤维蛋白原（Fibrinogen）、D-二聚体（D-dimer）、凝血因子活性测定等。</w:t>
      </w:r>
    </w:p>
    <w:p w14:paraId="562B7417">
      <w:pPr>
        <w:spacing w:line="360" w:lineRule="auto"/>
        <w:ind w:firstLine="480" w:firstLineChars="200"/>
        <w:rPr>
          <w:rFonts w:hint="eastAsia" w:ascii="宋体" w:hAnsi="宋体" w:cs="宋体"/>
          <w:sz w:val="24"/>
        </w:rPr>
      </w:pPr>
      <w:r>
        <w:rPr>
          <w:rFonts w:hint="eastAsia" w:ascii="宋体" w:hAnsi="宋体" w:cs="宋体"/>
          <w:sz w:val="24"/>
        </w:rPr>
        <w:t>3.储存条件：常温，有效期5年。</w:t>
      </w:r>
    </w:p>
    <w:p w14:paraId="5C11682D">
      <w:pPr>
        <w:spacing w:line="360" w:lineRule="auto"/>
        <w:ind w:firstLine="482" w:firstLineChars="200"/>
        <w:rPr>
          <w:rFonts w:hint="eastAsia" w:ascii="宋体" w:hAnsi="宋体" w:cs="宋体"/>
          <w:b/>
          <w:bCs/>
          <w:sz w:val="24"/>
        </w:rPr>
      </w:pPr>
      <w:r>
        <w:rPr>
          <w:rFonts w:hint="eastAsia" w:ascii="宋体" w:hAnsi="宋体" w:cs="宋体"/>
          <w:b/>
          <w:bCs/>
          <w:sz w:val="24"/>
        </w:rPr>
        <w:t>标的名称124：校准品（定标血浆校准品）</w:t>
      </w:r>
    </w:p>
    <w:p w14:paraId="22D66DAD">
      <w:pPr>
        <w:spacing w:line="360" w:lineRule="auto"/>
        <w:ind w:firstLine="480" w:firstLineChars="200"/>
        <w:rPr>
          <w:rFonts w:hint="eastAsia" w:ascii="宋体" w:hAnsi="宋体" w:cs="宋体"/>
          <w:sz w:val="24"/>
        </w:rPr>
      </w:pPr>
      <w:r>
        <w:rPr>
          <w:rFonts w:hint="eastAsia" w:ascii="宋体" w:hAnsi="宋体" w:cs="宋体"/>
          <w:sz w:val="24"/>
        </w:rPr>
        <w:t>1.用途：用于校准凝血分析仪的标准物质，主要作用是确保检测结果的准确性和一致性。</w:t>
      </w:r>
    </w:p>
    <w:p w14:paraId="173A4BD5">
      <w:pPr>
        <w:spacing w:line="360" w:lineRule="auto"/>
        <w:ind w:firstLine="480" w:firstLineChars="200"/>
        <w:rPr>
          <w:rFonts w:hint="eastAsia" w:ascii="宋体" w:hAnsi="宋体" w:cs="宋体"/>
          <w:sz w:val="24"/>
        </w:rPr>
      </w:pPr>
      <w:r>
        <w:rPr>
          <w:rFonts w:hint="eastAsia" w:ascii="宋体" w:hAnsi="宋体" w:cs="宋体"/>
          <w:sz w:val="24"/>
        </w:rPr>
        <w:t>2.外观：</w:t>
      </w:r>
    </w:p>
    <w:p w14:paraId="327BF6E2">
      <w:pPr>
        <w:spacing w:line="360" w:lineRule="auto"/>
        <w:ind w:firstLine="480" w:firstLineChars="200"/>
        <w:rPr>
          <w:rFonts w:hint="eastAsia" w:ascii="宋体" w:hAnsi="宋体" w:cs="宋体"/>
          <w:sz w:val="24"/>
        </w:rPr>
      </w:pPr>
      <w:r>
        <w:rPr>
          <w:rFonts w:hint="eastAsia" w:ascii="宋体" w:hAnsi="宋体" w:cs="宋体"/>
          <w:sz w:val="24"/>
        </w:rPr>
        <w:t>2.1试剂盒组份应齐全、完整,内容物为乳白色固状凝块。</w:t>
      </w:r>
    </w:p>
    <w:p w14:paraId="58BB0109">
      <w:pPr>
        <w:spacing w:line="360" w:lineRule="auto"/>
        <w:ind w:firstLine="480" w:firstLineChars="200"/>
        <w:rPr>
          <w:rFonts w:hint="eastAsia" w:ascii="宋体" w:hAnsi="宋体" w:cs="宋体"/>
          <w:sz w:val="24"/>
        </w:rPr>
      </w:pPr>
      <w:r>
        <w:rPr>
          <w:rFonts w:hint="eastAsia" w:ascii="宋体" w:hAnsi="宋体" w:cs="宋体"/>
          <w:sz w:val="24"/>
        </w:rPr>
        <w:t>2.2标识应清晰，无磨损。</w:t>
      </w:r>
    </w:p>
    <w:p w14:paraId="1923944F">
      <w:pPr>
        <w:spacing w:line="360" w:lineRule="auto"/>
        <w:ind w:firstLine="480" w:firstLineChars="200"/>
        <w:rPr>
          <w:rFonts w:hint="eastAsia" w:ascii="宋体" w:hAnsi="宋体" w:cs="宋体"/>
          <w:sz w:val="24"/>
        </w:rPr>
      </w:pPr>
      <w:r>
        <w:rPr>
          <w:rFonts w:hint="eastAsia" w:ascii="宋体" w:hAnsi="宋体" w:cs="宋体"/>
          <w:sz w:val="24"/>
        </w:rPr>
        <w:t>3.准确度：使用工作校准品定标，将凝血校准品作为样本，所得结果与凝血校准品规定的靶值偏差应≤±20%。</w:t>
      </w:r>
    </w:p>
    <w:p w14:paraId="04FD4C9B">
      <w:pPr>
        <w:spacing w:line="360" w:lineRule="auto"/>
        <w:ind w:firstLine="482" w:firstLineChars="200"/>
        <w:rPr>
          <w:rFonts w:hint="eastAsia" w:ascii="宋体" w:hAnsi="宋体" w:cs="宋体"/>
          <w:b/>
          <w:bCs/>
          <w:sz w:val="24"/>
        </w:rPr>
      </w:pPr>
      <w:r>
        <w:rPr>
          <w:rFonts w:hint="eastAsia" w:ascii="宋体" w:hAnsi="宋体" w:cs="宋体"/>
          <w:b/>
          <w:bCs/>
          <w:sz w:val="24"/>
        </w:rPr>
        <w:t>标的名称125：正常值血凝试剂质控品</w:t>
      </w:r>
    </w:p>
    <w:p w14:paraId="047088BD">
      <w:pPr>
        <w:spacing w:line="360" w:lineRule="auto"/>
        <w:ind w:firstLine="480" w:firstLineChars="200"/>
        <w:rPr>
          <w:rFonts w:hint="eastAsia" w:ascii="宋体" w:hAnsi="宋体" w:cs="宋体"/>
          <w:sz w:val="24"/>
        </w:rPr>
      </w:pPr>
      <w:r>
        <w:rPr>
          <w:rFonts w:hint="eastAsia" w:ascii="宋体" w:hAnsi="宋体" w:cs="宋体"/>
          <w:sz w:val="24"/>
        </w:rPr>
        <w:t>1.用途：是确保凝血检测结果在低值范围内的准确性、稳定性和可靠性。</w:t>
      </w:r>
    </w:p>
    <w:p w14:paraId="6C3A7780">
      <w:pPr>
        <w:spacing w:line="360" w:lineRule="auto"/>
        <w:ind w:firstLine="480" w:firstLineChars="200"/>
        <w:rPr>
          <w:rFonts w:hint="eastAsia" w:ascii="宋体" w:hAnsi="宋体" w:cs="宋体"/>
          <w:sz w:val="24"/>
        </w:rPr>
      </w:pPr>
      <w:r>
        <w:rPr>
          <w:rFonts w:hint="eastAsia" w:ascii="宋体" w:hAnsi="宋体" w:cs="宋体"/>
          <w:sz w:val="24"/>
        </w:rPr>
        <w:t>2.外观：试剂盒组份应齐全、完整;内容物为乳白色固状凝块，标识应清晰，无磨损。</w:t>
      </w:r>
    </w:p>
    <w:p w14:paraId="1A075639">
      <w:pPr>
        <w:spacing w:line="360" w:lineRule="auto"/>
        <w:ind w:firstLine="480" w:firstLineChars="200"/>
        <w:rPr>
          <w:rFonts w:hint="eastAsia" w:ascii="宋体" w:hAnsi="宋体" w:cs="宋体"/>
          <w:sz w:val="24"/>
        </w:rPr>
      </w:pPr>
      <w:r>
        <w:rPr>
          <w:rFonts w:hint="eastAsia" w:ascii="宋体" w:hAnsi="宋体" w:cs="宋体"/>
          <w:sz w:val="24"/>
        </w:rPr>
        <w:t>3.质控品测定值：对质控品进行测定，所得结果应在质控品规定的范围内。</w:t>
      </w:r>
    </w:p>
    <w:p w14:paraId="268391C4">
      <w:pPr>
        <w:spacing w:line="360" w:lineRule="auto"/>
        <w:ind w:firstLine="482" w:firstLineChars="200"/>
        <w:rPr>
          <w:rFonts w:hint="eastAsia" w:ascii="宋体" w:hAnsi="宋体" w:cs="宋体"/>
          <w:b/>
          <w:bCs/>
          <w:sz w:val="24"/>
        </w:rPr>
      </w:pPr>
      <w:r>
        <w:rPr>
          <w:rFonts w:hint="eastAsia" w:ascii="宋体" w:hAnsi="宋体" w:cs="宋体"/>
          <w:b/>
          <w:bCs/>
          <w:sz w:val="24"/>
        </w:rPr>
        <w:t>标的名称126：低值血凝试剂质控品</w:t>
      </w:r>
    </w:p>
    <w:p w14:paraId="207BC381">
      <w:pPr>
        <w:spacing w:line="360" w:lineRule="auto"/>
        <w:ind w:firstLine="480" w:firstLineChars="200"/>
        <w:rPr>
          <w:rFonts w:hint="eastAsia" w:ascii="宋体" w:hAnsi="宋体" w:cs="宋体"/>
          <w:sz w:val="24"/>
        </w:rPr>
      </w:pPr>
      <w:r>
        <w:rPr>
          <w:rFonts w:hint="eastAsia" w:ascii="宋体" w:hAnsi="宋体" w:cs="宋体"/>
          <w:sz w:val="24"/>
        </w:rPr>
        <w:t>1.用途：主要用途是确保凝血检测结果在低值范围内的准确性、稳定性和可靠性。</w:t>
      </w:r>
    </w:p>
    <w:p w14:paraId="4707E149">
      <w:pPr>
        <w:spacing w:line="360" w:lineRule="auto"/>
        <w:ind w:firstLine="480" w:firstLineChars="200"/>
        <w:rPr>
          <w:rFonts w:hint="eastAsia" w:ascii="宋体" w:hAnsi="宋体" w:cs="宋体"/>
          <w:sz w:val="24"/>
        </w:rPr>
      </w:pPr>
      <w:r>
        <w:rPr>
          <w:rFonts w:hint="eastAsia" w:ascii="宋体" w:hAnsi="宋体" w:cs="宋体"/>
          <w:sz w:val="24"/>
        </w:rPr>
        <w:t>2.外观：试剂盒各组份应齐全、完整、冻干粉为疏松体，标识应清晰，无磨损。</w:t>
      </w:r>
    </w:p>
    <w:p w14:paraId="145A9AEB">
      <w:pPr>
        <w:spacing w:line="360" w:lineRule="auto"/>
        <w:ind w:firstLine="480" w:firstLineChars="200"/>
        <w:rPr>
          <w:rFonts w:hint="eastAsia" w:ascii="宋体" w:hAnsi="宋体" w:cs="宋体"/>
          <w:sz w:val="24"/>
        </w:rPr>
      </w:pPr>
      <w:r>
        <w:rPr>
          <w:rFonts w:hint="eastAsia" w:ascii="宋体" w:hAnsi="宋体" w:cs="宋体"/>
          <w:sz w:val="24"/>
        </w:rPr>
        <w:t>3.质控品测定值：对质控品进行测定，所得结果应在质控品规定的范围内。</w:t>
      </w:r>
    </w:p>
    <w:p w14:paraId="72F5E456">
      <w:pPr>
        <w:spacing w:line="360" w:lineRule="auto"/>
        <w:ind w:firstLine="482" w:firstLineChars="200"/>
        <w:rPr>
          <w:rFonts w:hint="eastAsia" w:ascii="宋体" w:hAnsi="宋体" w:cs="宋体"/>
          <w:b/>
          <w:bCs/>
          <w:sz w:val="24"/>
        </w:rPr>
      </w:pPr>
      <w:r>
        <w:rPr>
          <w:rFonts w:hint="eastAsia" w:ascii="宋体" w:hAnsi="宋体" w:cs="宋体"/>
          <w:b/>
          <w:bCs/>
          <w:sz w:val="24"/>
        </w:rPr>
        <w:t>标的名称127：D-二聚体质控品</w:t>
      </w:r>
    </w:p>
    <w:p w14:paraId="5E45B592">
      <w:pPr>
        <w:spacing w:line="360" w:lineRule="auto"/>
        <w:ind w:firstLine="480" w:firstLineChars="200"/>
        <w:rPr>
          <w:rFonts w:hint="eastAsia" w:ascii="宋体" w:hAnsi="宋体" w:cs="宋体"/>
          <w:sz w:val="24"/>
        </w:rPr>
      </w:pPr>
      <w:r>
        <w:rPr>
          <w:rFonts w:hint="eastAsia" w:ascii="宋体" w:hAnsi="宋体" w:cs="宋体"/>
          <w:sz w:val="24"/>
        </w:rPr>
        <w:t>1.用途：确保D-二聚体检测结果的准确性、稳定性和可靠性。</w:t>
      </w:r>
    </w:p>
    <w:p w14:paraId="33538578">
      <w:pPr>
        <w:spacing w:line="360" w:lineRule="auto"/>
        <w:ind w:firstLine="480" w:firstLineChars="200"/>
        <w:rPr>
          <w:rFonts w:hint="eastAsia" w:ascii="宋体" w:hAnsi="宋体" w:cs="宋体"/>
          <w:sz w:val="24"/>
        </w:rPr>
      </w:pPr>
      <w:r>
        <w:rPr>
          <w:rFonts w:hint="eastAsia" w:ascii="宋体" w:hAnsi="宋体" w:cs="宋体"/>
          <w:sz w:val="24"/>
        </w:rPr>
        <w:t>2.准确性使用凝血分析仪对低值D-二聚体质控品和高值D-二聚体质控品进行测，D-二聚体测试结果应在质控品说明书给定的靶值范围内。</w:t>
      </w:r>
    </w:p>
    <w:p w14:paraId="263427DC">
      <w:pPr>
        <w:spacing w:line="360" w:lineRule="auto"/>
        <w:ind w:firstLine="480" w:firstLineChars="200"/>
        <w:rPr>
          <w:rFonts w:hint="eastAsia" w:ascii="宋体" w:hAnsi="宋体" w:cs="宋体"/>
          <w:sz w:val="24"/>
        </w:rPr>
      </w:pPr>
      <w:r>
        <w:rPr>
          <w:rFonts w:hint="eastAsia" w:ascii="宋体" w:hAnsi="宋体" w:cs="宋体"/>
          <w:sz w:val="24"/>
        </w:rPr>
        <w:t>3.复溶后的稳定性：复溶后试剂，贮存于2~8℃一个月，或15~25℃8小时试剂的准确性偏差应≤5%。</w:t>
      </w:r>
    </w:p>
    <w:p w14:paraId="39E9DF8A">
      <w:pPr>
        <w:spacing w:line="360" w:lineRule="auto"/>
        <w:ind w:firstLine="482" w:firstLineChars="200"/>
        <w:rPr>
          <w:rFonts w:hint="eastAsia" w:ascii="宋体" w:hAnsi="宋体" w:cs="宋体"/>
          <w:b/>
          <w:bCs/>
          <w:sz w:val="24"/>
        </w:rPr>
      </w:pPr>
      <w:r>
        <w:rPr>
          <w:rFonts w:hint="eastAsia" w:ascii="宋体" w:hAnsi="宋体" w:cs="宋体"/>
          <w:b/>
          <w:bCs/>
          <w:sz w:val="24"/>
        </w:rPr>
        <w:t>标的名称128：清洗液B</w:t>
      </w:r>
    </w:p>
    <w:p w14:paraId="5C3188F3">
      <w:pPr>
        <w:spacing w:line="360" w:lineRule="auto"/>
        <w:ind w:firstLine="480" w:firstLineChars="200"/>
        <w:rPr>
          <w:rFonts w:hint="eastAsia" w:ascii="宋体" w:hAnsi="宋体" w:cs="宋体"/>
          <w:sz w:val="24"/>
        </w:rPr>
      </w:pPr>
      <w:r>
        <w:rPr>
          <w:rFonts w:hint="eastAsia" w:ascii="宋体" w:hAnsi="宋体" w:cs="宋体"/>
          <w:sz w:val="24"/>
        </w:rPr>
        <w:t xml:space="preserve">1.用途：用于血气分析仪清洁，用于BGE、Baa1300系列，1000系列，CO-血氧仪。ACL家族，ACLFuturn，ACLAdvance和ACLTOP仪器(活洁B) </w:t>
      </w:r>
    </w:p>
    <w:p w14:paraId="735FA79E">
      <w:pPr>
        <w:spacing w:line="360" w:lineRule="auto"/>
        <w:ind w:firstLine="480" w:firstLineChars="200"/>
        <w:rPr>
          <w:rFonts w:hint="eastAsia" w:ascii="宋体" w:hAnsi="宋体" w:cs="宋体"/>
          <w:sz w:val="24"/>
        </w:rPr>
      </w:pPr>
      <w:r>
        <w:rPr>
          <w:rFonts w:hint="eastAsia" w:ascii="宋体" w:hAnsi="宋体" w:cs="宋体"/>
          <w:sz w:val="24"/>
        </w:rPr>
        <w:t xml:space="preserve">2.主要组成成份：含有次氯酸钠，有效氯含量低于5%。 </w:t>
      </w:r>
    </w:p>
    <w:p w14:paraId="37AE5455">
      <w:pPr>
        <w:spacing w:line="360" w:lineRule="auto"/>
        <w:ind w:firstLine="480" w:firstLineChars="200"/>
        <w:rPr>
          <w:rFonts w:hint="eastAsia" w:ascii="宋体" w:hAnsi="宋体" w:cs="宋体"/>
          <w:sz w:val="24"/>
        </w:rPr>
      </w:pPr>
      <w:r>
        <w:rPr>
          <w:rFonts w:hint="eastAsia" w:ascii="宋体" w:hAnsi="宋体" w:cs="宋体"/>
          <w:sz w:val="24"/>
        </w:rPr>
        <w:t xml:space="preserve">3.储存条件：15-25℃ </w:t>
      </w:r>
    </w:p>
    <w:p w14:paraId="35E60524">
      <w:pPr>
        <w:spacing w:line="360" w:lineRule="auto"/>
        <w:ind w:firstLine="482" w:firstLineChars="200"/>
        <w:rPr>
          <w:rFonts w:hint="eastAsia" w:ascii="宋体" w:hAnsi="宋体" w:cs="宋体"/>
          <w:b/>
          <w:bCs/>
          <w:sz w:val="24"/>
        </w:rPr>
      </w:pPr>
      <w:r>
        <w:rPr>
          <w:rFonts w:hint="eastAsia" w:ascii="宋体" w:hAnsi="宋体" w:cs="宋体"/>
          <w:b/>
          <w:bCs/>
          <w:sz w:val="24"/>
        </w:rPr>
        <w:t>标的名称129：免疫球蛋白E测定试剂盒</w:t>
      </w:r>
    </w:p>
    <w:p w14:paraId="545FFBC3">
      <w:pPr>
        <w:spacing w:line="360" w:lineRule="auto"/>
        <w:ind w:firstLine="480" w:firstLineChars="200"/>
        <w:rPr>
          <w:rFonts w:hint="eastAsia" w:ascii="宋体" w:hAnsi="宋体" w:cs="宋体"/>
          <w:sz w:val="24"/>
        </w:rPr>
      </w:pPr>
      <w:r>
        <w:rPr>
          <w:rFonts w:hint="eastAsia" w:ascii="宋体" w:hAnsi="宋体" w:cs="宋体"/>
          <w:sz w:val="24"/>
        </w:rPr>
        <w:t>1.样本类型：血清，血浆</w:t>
      </w:r>
    </w:p>
    <w:p w14:paraId="014A3ED6">
      <w:pPr>
        <w:spacing w:line="360" w:lineRule="auto"/>
        <w:ind w:firstLine="480" w:firstLineChars="200"/>
        <w:rPr>
          <w:rFonts w:hint="eastAsia" w:ascii="宋体" w:hAnsi="宋体" w:cs="宋体"/>
          <w:sz w:val="24"/>
        </w:rPr>
      </w:pPr>
      <w:r>
        <w:rPr>
          <w:rFonts w:hint="eastAsia" w:ascii="宋体" w:hAnsi="宋体" w:cs="宋体"/>
          <w:sz w:val="24"/>
        </w:rPr>
        <w:t>2.试剂盒特性：</w:t>
      </w:r>
    </w:p>
    <w:p w14:paraId="185946CD">
      <w:pPr>
        <w:spacing w:line="360" w:lineRule="auto"/>
        <w:ind w:firstLine="480" w:firstLineChars="200"/>
        <w:rPr>
          <w:rFonts w:hint="eastAsia" w:ascii="宋体" w:hAnsi="宋体" w:cs="宋体"/>
          <w:sz w:val="24"/>
        </w:rPr>
      </w:pPr>
      <w:r>
        <w:rPr>
          <w:rFonts w:hint="eastAsia" w:ascii="宋体" w:hAnsi="宋体" w:cs="宋体"/>
          <w:sz w:val="24"/>
        </w:rPr>
        <w:t>2.1试剂空白吸光度：试剂1吸光度A1不大于0.1（测定波长为570nm);试剂1+试剂2吸光度A2(2份R1+1份R2)应不小于1.1（测定波长为570nm).</w:t>
      </w:r>
    </w:p>
    <w:p w14:paraId="33FDDCA6">
      <w:pPr>
        <w:spacing w:line="360" w:lineRule="auto"/>
        <w:ind w:firstLine="480" w:firstLineChars="200"/>
        <w:rPr>
          <w:rFonts w:hint="eastAsia" w:ascii="宋体" w:hAnsi="宋体" w:cs="宋体"/>
          <w:sz w:val="24"/>
        </w:rPr>
      </w:pPr>
      <w:r>
        <w:rPr>
          <w:rFonts w:hint="eastAsia" w:ascii="宋体" w:hAnsi="宋体" w:cs="宋体"/>
          <w:sz w:val="24"/>
        </w:rPr>
        <w:t>2.2分析灵敏度：≤10 IU/mL。</w:t>
      </w:r>
    </w:p>
    <w:p w14:paraId="2D0697CC">
      <w:pPr>
        <w:spacing w:line="360" w:lineRule="auto"/>
        <w:ind w:firstLine="480" w:firstLineChars="200"/>
        <w:rPr>
          <w:rFonts w:hint="eastAsia" w:ascii="宋体" w:hAnsi="宋体" w:cs="宋体"/>
          <w:sz w:val="24"/>
        </w:rPr>
      </w:pPr>
      <w:r>
        <w:rPr>
          <w:rFonts w:hint="eastAsia" w:ascii="宋体" w:hAnsi="宋体" w:cs="宋体"/>
          <w:sz w:val="24"/>
        </w:rPr>
        <w:t>3．精密度</w:t>
      </w:r>
    </w:p>
    <w:p w14:paraId="70FA33E0">
      <w:pPr>
        <w:spacing w:line="360" w:lineRule="auto"/>
        <w:ind w:firstLine="480" w:firstLineChars="200"/>
        <w:rPr>
          <w:rFonts w:hint="eastAsia" w:ascii="宋体" w:hAnsi="宋体" w:cs="宋体"/>
          <w:sz w:val="24"/>
        </w:rPr>
      </w:pPr>
      <w:r>
        <w:rPr>
          <w:rFonts w:hint="eastAsia" w:ascii="宋体" w:hAnsi="宋体" w:cs="宋体"/>
          <w:sz w:val="24"/>
        </w:rPr>
        <w:t>3.1重复性：变异系数 CV≤10.0%。</w:t>
      </w:r>
    </w:p>
    <w:p w14:paraId="49A51ADD">
      <w:pPr>
        <w:spacing w:line="360" w:lineRule="auto"/>
        <w:ind w:firstLine="480" w:firstLineChars="200"/>
        <w:rPr>
          <w:rFonts w:hint="eastAsia" w:ascii="宋体" w:hAnsi="宋体" w:cs="宋体"/>
          <w:sz w:val="24"/>
        </w:rPr>
      </w:pPr>
      <w:r>
        <w:rPr>
          <w:rFonts w:hint="eastAsia" w:ascii="宋体" w:hAnsi="宋体" w:cs="宋体"/>
          <w:sz w:val="24"/>
        </w:rPr>
        <w:t>3.2 批间差：批间相对极差≤15.0%。</w:t>
      </w:r>
    </w:p>
    <w:p w14:paraId="5E046387">
      <w:pPr>
        <w:spacing w:line="360" w:lineRule="auto"/>
        <w:ind w:firstLine="482" w:firstLineChars="200"/>
        <w:rPr>
          <w:rFonts w:hint="eastAsia" w:ascii="宋体" w:hAnsi="宋体" w:cs="宋体"/>
          <w:b/>
          <w:bCs/>
          <w:sz w:val="24"/>
        </w:rPr>
      </w:pPr>
      <w:r>
        <w:rPr>
          <w:rFonts w:hint="eastAsia" w:ascii="宋体" w:hAnsi="宋体" w:cs="宋体"/>
          <w:b/>
          <w:bCs/>
          <w:sz w:val="24"/>
        </w:rPr>
        <w:t>标的名称130：免疫球蛋白E校准品</w:t>
      </w:r>
    </w:p>
    <w:p w14:paraId="696B2AAD">
      <w:pPr>
        <w:spacing w:line="360" w:lineRule="auto"/>
        <w:ind w:firstLine="480" w:firstLineChars="200"/>
        <w:rPr>
          <w:rFonts w:hint="eastAsia" w:ascii="宋体" w:hAnsi="宋体" w:cs="宋体"/>
          <w:sz w:val="24"/>
        </w:rPr>
      </w:pPr>
      <w:r>
        <w:rPr>
          <w:rFonts w:hint="eastAsia" w:ascii="宋体" w:hAnsi="宋体" w:cs="宋体"/>
          <w:sz w:val="24"/>
        </w:rPr>
        <w:t>1.用途：用于体外定量测定免疫球蛋白E项目时进行校准。</w:t>
      </w:r>
    </w:p>
    <w:p w14:paraId="4F51199F">
      <w:pPr>
        <w:spacing w:line="360" w:lineRule="auto"/>
        <w:ind w:firstLine="480" w:firstLineChars="200"/>
        <w:rPr>
          <w:rFonts w:hint="eastAsia" w:ascii="宋体" w:hAnsi="宋体" w:cs="宋体"/>
          <w:sz w:val="24"/>
        </w:rPr>
      </w:pPr>
      <w:r>
        <w:rPr>
          <w:rFonts w:hint="eastAsia" w:ascii="宋体" w:hAnsi="宋体" w:cs="宋体"/>
          <w:sz w:val="24"/>
        </w:rPr>
        <w:t>2.储存条件：2-8℃保存。</w:t>
      </w:r>
    </w:p>
    <w:p w14:paraId="7550BC61">
      <w:pPr>
        <w:spacing w:line="360" w:lineRule="auto"/>
        <w:ind w:firstLine="480" w:firstLineChars="200"/>
        <w:rPr>
          <w:rFonts w:hint="eastAsia" w:ascii="宋体" w:hAnsi="宋体" w:cs="宋体"/>
          <w:sz w:val="24"/>
        </w:rPr>
      </w:pPr>
      <w:r>
        <w:rPr>
          <w:rFonts w:hint="eastAsia" w:ascii="宋体" w:hAnsi="宋体" w:cs="宋体"/>
          <w:sz w:val="24"/>
        </w:rPr>
        <w:t>3.有效期：18个月。</w:t>
      </w:r>
    </w:p>
    <w:p w14:paraId="3557CA5A">
      <w:pPr>
        <w:spacing w:line="360" w:lineRule="auto"/>
        <w:ind w:firstLine="482" w:firstLineChars="200"/>
        <w:rPr>
          <w:rFonts w:hint="eastAsia" w:ascii="宋体" w:hAnsi="宋体" w:cs="宋体"/>
          <w:b/>
          <w:bCs/>
          <w:sz w:val="24"/>
        </w:rPr>
      </w:pPr>
      <w:r>
        <w:rPr>
          <w:rFonts w:hint="eastAsia" w:ascii="宋体" w:hAnsi="宋体" w:cs="宋体"/>
          <w:b/>
          <w:bCs/>
          <w:sz w:val="24"/>
        </w:rPr>
        <w:t>标的名称131：尿生化多项质控品（水平1）</w:t>
      </w:r>
    </w:p>
    <w:p w14:paraId="03FAB4F1">
      <w:pPr>
        <w:spacing w:line="360" w:lineRule="auto"/>
        <w:ind w:firstLine="480" w:firstLineChars="200"/>
        <w:rPr>
          <w:rFonts w:hint="eastAsia" w:ascii="宋体" w:hAnsi="宋体" w:cs="宋体"/>
          <w:sz w:val="24"/>
        </w:rPr>
      </w:pPr>
      <w:r>
        <w:rPr>
          <w:rFonts w:hint="eastAsia" w:ascii="宋体" w:hAnsi="宋体" w:cs="宋体"/>
          <w:sz w:val="24"/>
        </w:rPr>
        <w:t>1.稳定性：未开启，在2℃~8℃下保存，有效期≥1年，解冻开瓶后盖紧盖子在2~8℃下保存，可稳定≥25天。</w:t>
      </w:r>
    </w:p>
    <w:p w14:paraId="43FC37A6">
      <w:pPr>
        <w:spacing w:line="360" w:lineRule="auto"/>
        <w:ind w:firstLine="480" w:firstLineChars="200"/>
        <w:rPr>
          <w:rFonts w:hint="eastAsia" w:ascii="宋体" w:hAnsi="宋体" w:cs="宋体"/>
          <w:sz w:val="24"/>
        </w:rPr>
      </w:pPr>
      <w:r>
        <w:rPr>
          <w:rFonts w:hint="eastAsia" w:ascii="宋体" w:hAnsi="宋体" w:cs="宋体"/>
          <w:sz w:val="24"/>
        </w:rPr>
        <w:t>2.第三方质控品，适用于不同的仪器以及方法学。</w:t>
      </w:r>
    </w:p>
    <w:p w14:paraId="3DEFBAB0">
      <w:pPr>
        <w:spacing w:line="360" w:lineRule="auto"/>
        <w:ind w:firstLine="480" w:firstLineChars="200"/>
        <w:rPr>
          <w:rFonts w:hint="eastAsia" w:ascii="宋体" w:hAnsi="宋体" w:cs="宋体"/>
          <w:sz w:val="24"/>
        </w:rPr>
      </w:pPr>
      <w:r>
        <w:rPr>
          <w:rFonts w:hint="eastAsia" w:ascii="宋体" w:hAnsi="宋体" w:cs="宋体"/>
          <w:sz w:val="24"/>
        </w:rPr>
        <w:t>3.液体人源基质，减少人为误差影响以及减少基质效应。</w:t>
      </w:r>
    </w:p>
    <w:p w14:paraId="30D9D48B">
      <w:pPr>
        <w:spacing w:line="360" w:lineRule="auto"/>
        <w:ind w:firstLine="482" w:firstLineChars="200"/>
        <w:rPr>
          <w:rFonts w:hint="eastAsia" w:ascii="宋体" w:hAnsi="宋体" w:cs="宋体"/>
          <w:b/>
          <w:bCs/>
          <w:sz w:val="24"/>
        </w:rPr>
      </w:pPr>
      <w:r>
        <w:rPr>
          <w:rFonts w:hint="eastAsia" w:ascii="宋体" w:hAnsi="宋体" w:cs="宋体"/>
          <w:b/>
          <w:bCs/>
          <w:sz w:val="24"/>
        </w:rPr>
        <w:t>标的名称132：尿生化多项质控品（水平2）</w:t>
      </w:r>
    </w:p>
    <w:p w14:paraId="2FBBB3D6">
      <w:pPr>
        <w:spacing w:line="360" w:lineRule="auto"/>
        <w:ind w:firstLine="480" w:firstLineChars="200"/>
        <w:rPr>
          <w:rFonts w:hint="eastAsia" w:ascii="宋体" w:hAnsi="宋体" w:cs="宋体"/>
          <w:sz w:val="24"/>
        </w:rPr>
      </w:pPr>
      <w:r>
        <w:rPr>
          <w:rFonts w:hint="eastAsia" w:ascii="宋体" w:hAnsi="宋体" w:cs="宋体"/>
          <w:sz w:val="24"/>
        </w:rPr>
        <w:t>1.稳定性：未开启，在2℃~8℃下保存，有效期≥1年，解冻开瓶后盖紧盖子在2~8℃ 下保存，可稳定≥25天。</w:t>
      </w:r>
    </w:p>
    <w:p w14:paraId="4EEEDC54">
      <w:pPr>
        <w:spacing w:line="360" w:lineRule="auto"/>
        <w:ind w:firstLine="480" w:firstLineChars="200"/>
        <w:rPr>
          <w:rFonts w:hint="eastAsia" w:ascii="宋体" w:hAnsi="宋体" w:cs="宋体"/>
          <w:sz w:val="24"/>
        </w:rPr>
      </w:pPr>
      <w:r>
        <w:rPr>
          <w:rFonts w:hint="eastAsia" w:ascii="宋体" w:hAnsi="宋体" w:cs="宋体"/>
          <w:sz w:val="24"/>
        </w:rPr>
        <w:t>2.第三方质控品，适用于不同的仪器以及方法学。</w:t>
      </w:r>
    </w:p>
    <w:p w14:paraId="3C875636">
      <w:pPr>
        <w:spacing w:line="360" w:lineRule="auto"/>
        <w:ind w:firstLine="480" w:firstLineChars="200"/>
        <w:rPr>
          <w:rFonts w:hint="eastAsia" w:ascii="宋体" w:hAnsi="宋体" w:cs="宋体"/>
          <w:sz w:val="24"/>
        </w:rPr>
      </w:pPr>
      <w:r>
        <w:rPr>
          <w:rFonts w:hint="eastAsia" w:ascii="宋体" w:hAnsi="宋体" w:cs="宋体"/>
          <w:sz w:val="24"/>
        </w:rPr>
        <w:t>3.液体人源基质，减少人为误差影响以及减少基质效应。</w:t>
      </w:r>
    </w:p>
    <w:p w14:paraId="2F032B56">
      <w:pPr>
        <w:spacing w:line="360" w:lineRule="auto"/>
        <w:ind w:firstLine="482" w:firstLineChars="200"/>
        <w:rPr>
          <w:rFonts w:hint="eastAsia" w:ascii="宋体" w:hAnsi="宋体" w:cs="宋体"/>
          <w:b/>
          <w:bCs/>
          <w:sz w:val="24"/>
        </w:rPr>
      </w:pPr>
      <w:r>
        <w:rPr>
          <w:rFonts w:hint="eastAsia" w:ascii="宋体" w:hAnsi="宋体" w:cs="宋体"/>
          <w:b/>
          <w:bCs/>
          <w:sz w:val="24"/>
        </w:rPr>
        <w:t>标的名称133：液体免疫学和蛋白质控品中值</w:t>
      </w:r>
    </w:p>
    <w:p w14:paraId="27A2544A">
      <w:pPr>
        <w:spacing w:line="360" w:lineRule="auto"/>
        <w:ind w:firstLine="480" w:firstLineChars="200"/>
        <w:rPr>
          <w:rFonts w:hint="eastAsia" w:ascii="宋体" w:hAnsi="宋体" w:cs="宋体"/>
          <w:sz w:val="24"/>
        </w:rPr>
      </w:pPr>
      <w:r>
        <w:rPr>
          <w:rFonts w:hint="eastAsia" w:ascii="宋体" w:hAnsi="宋体" w:cs="宋体"/>
          <w:sz w:val="24"/>
        </w:rPr>
        <w:t>1.稳定性：未开启，在-20℃至 -70℃下保存，有效期为2年，解冻开瓶后盖紧盖子在2~8℃下保存，类风湿因子可稳定≥10天,B-2微球蛋白可稳定≥21天，其它项目可稳定≥25天。</w:t>
      </w:r>
    </w:p>
    <w:p w14:paraId="198870C1">
      <w:pPr>
        <w:spacing w:line="360" w:lineRule="auto"/>
        <w:ind w:firstLine="480" w:firstLineChars="200"/>
        <w:rPr>
          <w:rFonts w:hint="eastAsia" w:ascii="宋体" w:hAnsi="宋体" w:cs="宋体"/>
          <w:sz w:val="24"/>
        </w:rPr>
      </w:pPr>
      <w:r>
        <w:rPr>
          <w:rFonts w:hint="eastAsia" w:ascii="宋体" w:hAnsi="宋体" w:cs="宋体"/>
          <w:sz w:val="24"/>
        </w:rPr>
        <w:t>2.第三方质控品，适用于不同的仪器以及方法学。</w:t>
      </w:r>
    </w:p>
    <w:p w14:paraId="225A55BC">
      <w:pPr>
        <w:spacing w:line="360" w:lineRule="auto"/>
        <w:ind w:firstLine="480" w:firstLineChars="200"/>
        <w:rPr>
          <w:rFonts w:hint="eastAsia" w:ascii="宋体" w:hAnsi="宋体" w:cs="宋体"/>
          <w:sz w:val="24"/>
        </w:rPr>
      </w:pPr>
      <w:r>
        <w:rPr>
          <w:rFonts w:hint="eastAsia" w:ascii="宋体" w:hAnsi="宋体" w:cs="宋体"/>
          <w:sz w:val="24"/>
        </w:rPr>
        <w:t>3.液体人源基质，减少人为误差影响以及减少基质效应。</w:t>
      </w:r>
    </w:p>
    <w:p w14:paraId="7E97DAEB">
      <w:pPr>
        <w:spacing w:line="360" w:lineRule="auto"/>
        <w:ind w:firstLine="482" w:firstLineChars="200"/>
        <w:rPr>
          <w:rFonts w:hint="eastAsia" w:ascii="宋体" w:hAnsi="宋体" w:cs="宋体"/>
          <w:b/>
          <w:bCs/>
          <w:sz w:val="24"/>
        </w:rPr>
      </w:pPr>
      <w:r>
        <w:rPr>
          <w:rFonts w:hint="eastAsia" w:ascii="宋体" w:hAnsi="宋体" w:cs="宋体"/>
          <w:b/>
          <w:bCs/>
          <w:sz w:val="24"/>
        </w:rPr>
        <w:t>标的名称134：液体免疫学和蛋白质控品水平1</w:t>
      </w:r>
    </w:p>
    <w:p w14:paraId="22B67078">
      <w:pPr>
        <w:spacing w:line="360" w:lineRule="auto"/>
        <w:ind w:firstLine="480" w:firstLineChars="200"/>
        <w:rPr>
          <w:rFonts w:hint="eastAsia" w:ascii="宋体" w:hAnsi="宋体" w:cs="宋体"/>
          <w:sz w:val="24"/>
        </w:rPr>
      </w:pPr>
      <w:r>
        <w:rPr>
          <w:rFonts w:hint="eastAsia" w:ascii="宋体" w:hAnsi="宋体" w:cs="宋体"/>
          <w:sz w:val="24"/>
        </w:rPr>
        <w:t>1.稳定性：未开启，在-20℃至-70℃下保存，有效期为2年，解冻开瓶后盖紧盖子在2~8℃下保存，类风湿因子可稳定≥10天,B-2微球蛋白可稳定≥21天，其它项目可稳定≥25天。</w:t>
      </w:r>
    </w:p>
    <w:p w14:paraId="4C057240">
      <w:pPr>
        <w:spacing w:line="360" w:lineRule="auto"/>
        <w:ind w:firstLine="480" w:firstLineChars="200"/>
        <w:rPr>
          <w:rFonts w:hint="eastAsia" w:ascii="宋体" w:hAnsi="宋体" w:cs="宋体"/>
          <w:sz w:val="24"/>
        </w:rPr>
      </w:pPr>
      <w:r>
        <w:rPr>
          <w:rFonts w:hint="eastAsia" w:ascii="宋体" w:hAnsi="宋体" w:cs="宋体"/>
          <w:sz w:val="24"/>
        </w:rPr>
        <w:t>2.第三方质控品，适用于不同的仪器以及方法学。</w:t>
      </w:r>
    </w:p>
    <w:p w14:paraId="07FCE61B">
      <w:pPr>
        <w:spacing w:line="360" w:lineRule="auto"/>
        <w:ind w:firstLine="480" w:firstLineChars="200"/>
        <w:rPr>
          <w:rFonts w:hint="eastAsia" w:ascii="宋体" w:hAnsi="宋体" w:cs="宋体"/>
          <w:sz w:val="24"/>
        </w:rPr>
      </w:pPr>
      <w:r>
        <w:rPr>
          <w:rFonts w:hint="eastAsia" w:ascii="宋体" w:hAnsi="宋体" w:cs="宋体"/>
          <w:sz w:val="24"/>
        </w:rPr>
        <w:t>3.液体人源基质，减少人为误差影响以及减少基质效应。</w:t>
      </w:r>
    </w:p>
    <w:p w14:paraId="0C146005">
      <w:pPr>
        <w:spacing w:line="360" w:lineRule="auto"/>
        <w:ind w:firstLine="482" w:firstLineChars="200"/>
        <w:rPr>
          <w:rFonts w:hint="eastAsia" w:ascii="宋体" w:hAnsi="宋体" w:cs="宋体"/>
          <w:b/>
          <w:bCs/>
          <w:sz w:val="24"/>
        </w:rPr>
      </w:pPr>
      <w:r>
        <w:rPr>
          <w:rFonts w:hint="eastAsia" w:ascii="宋体" w:hAnsi="宋体" w:cs="宋体"/>
          <w:b/>
          <w:bCs/>
          <w:sz w:val="24"/>
        </w:rPr>
        <w:t>标的名称135：液体免疫学和蛋白质控品水平2</w:t>
      </w:r>
    </w:p>
    <w:p w14:paraId="04B45ADD">
      <w:pPr>
        <w:spacing w:line="360" w:lineRule="auto"/>
        <w:ind w:firstLine="480" w:firstLineChars="200"/>
        <w:rPr>
          <w:rFonts w:hint="eastAsia" w:ascii="宋体" w:hAnsi="宋体" w:cs="宋体"/>
          <w:sz w:val="24"/>
        </w:rPr>
      </w:pPr>
      <w:r>
        <w:rPr>
          <w:rFonts w:hint="eastAsia" w:ascii="宋体" w:hAnsi="宋体" w:cs="宋体"/>
          <w:sz w:val="24"/>
        </w:rPr>
        <w:t>1.稳定性：未开启，在-20℃至-70℃下保存，有效期为2年，解冻开瓶后盖紧盖子在2~8℃下保存，类风湿因子可稳定≥10 天,B-2微球蛋白可稳定 ≥21天，其它项目可稳定≥25天。</w:t>
      </w:r>
    </w:p>
    <w:p w14:paraId="160E88DC">
      <w:pPr>
        <w:spacing w:line="360" w:lineRule="auto"/>
        <w:ind w:firstLine="480" w:firstLineChars="200"/>
        <w:rPr>
          <w:rFonts w:hint="eastAsia" w:ascii="宋体" w:hAnsi="宋体" w:cs="宋体"/>
          <w:sz w:val="24"/>
        </w:rPr>
      </w:pPr>
      <w:r>
        <w:rPr>
          <w:rFonts w:hint="eastAsia" w:ascii="宋体" w:hAnsi="宋体" w:cs="宋体"/>
          <w:sz w:val="24"/>
        </w:rPr>
        <w:t>2.第三方质控品，适用于不同的仪器以及方法学。</w:t>
      </w:r>
    </w:p>
    <w:p w14:paraId="46A518B8">
      <w:pPr>
        <w:spacing w:line="360" w:lineRule="auto"/>
        <w:ind w:firstLine="480" w:firstLineChars="200"/>
        <w:rPr>
          <w:rFonts w:hint="eastAsia" w:ascii="宋体" w:hAnsi="宋体" w:cs="宋体"/>
          <w:sz w:val="24"/>
        </w:rPr>
      </w:pPr>
      <w:r>
        <w:rPr>
          <w:rFonts w:hint="eastAsia" w:ascii="宋体" w:hAnsi="宋体" w:cs="宋体"/>
          <w:sz w:val="24"/>
        </w:rPr>
        <w:t>3.液体人源基质，减少人为误差影响以及减少基质效应。</w:t>
      </w:r>
    </w:p>
    <w:p w14:paraId="46B2188B">
      <w:pPr>
        <w:spacing w:line="360" w:lineRule="auto"/>
        <w:ind w:firstLine="482" w:firstLineChars="200"/>
        <w:rPr>
          <w:rFonts w:hint="eastAsia" w:ascii="宋体" w:hAnsi="宋体" w:cs="宋体"/>
          <w:b/>
          <w:bCs/>
          <w:sz w:val="24"/>
        </w:rPr>
      </w:pPr>
      <w:r>
        <w:rPr>
          <w:rFonts w:hint="eastAsia" w:ascii="宋体" w:hAnsi="宋体" w:cs="宋体"/>
          <w:b/>
          <w:bCs/>
          <w:sz w:val="24"/>
        </w:rPr>
        <w:t>标的名称136：液体免疫学和蛋白质控品水平3</w:t>
      </w:r>
    </w:p>
    <w:p w14:paraId="39647433">
      <w:pPr>
        <w:spacing w:line="360" w:lineRule="auto"/>
        <w:ind w:firstLine="480" w:firstLineChars="200"/>
        <w:rPr>
          <w:rFonts w:hint="eastAsia" w:ascii="宋体" w:hAnsi="宋体" w:cs="宋体"/>
          <w:sz w:val="24"/>
        </w:rPr>
      </w:pPr>
      <w:r>
        <w:rPr>
          <w:rFonts w:hint="eastAsia" w:ascii="宋体" w:hAnsi="宋体" w:cs="宋体"/>
          <w:sz w:val="24"/>
        </w:rPr>
        <w:t>1.稳定性：未开启，在-20℃至-70℃下保存，有效期为2年，解冻开瓶后盖紧盖子在2~8℃下保存，类风湿因子可稳定≥10天,B-2微球蛋白可稳定≥21天，其它项目可稳定≥25天。</w:t>
      </w:r>
    </w:p>
    <w:p w14:paraId="5DCA8AFD">
      <w:pPr>
        <w:spacing w:line="360" w:lineRule="auto"/>
        <w:ind w:firstLine="480" w:firstLineChars="200"/>
        <w:rPr>
          <w:rFonts w:hint="eastAsia" w:ascii="宋体" w:hAnsi="宋体" w:cs="宋体"/>
          <w:sz w:val="24"/>
        </w:rPr>
      </w:pPr>
      <w:r>
        <w:rPr>
          <w:rFonts w:hint="eastAsia" w:ascii="宋体" w:hAnsi="宋体" w:cs="宋体"/>
          <w:sz w:val="24"/>
        </w:rPr>
        <w:t>2.第三方质控品，适用于不同的仪器以及方法学。</w:t>
      </w:r>
    </w:p>
    <w:p w14:paraId="3E42EA2C">
      <w:pPr>
        <w:spacing w:line="360" w:lineRule="auto"/>
        <w:ind w:firstLine="480" w:firstLineChars="200"/>
        <w:rPr>
          <w:rFonts w:hint="eastAsia" w:ascii="宋体" w:hAnsi="宋体" w:cs="宋体"/>
          <w:sz w:val="24"/>
        </w:rPr>
      </w:pPr>
      <w:r>
        <w:rPr>
          <w:rFonts w:hint="eastAsia" w:ascii="宋体" w:hAnsi="宋体" w:cs="宋体"/>
          <w:sz w:val="24"/>
        </w:rPr>
        <w:t>3.液体人源基质，减少人为误差影响以及减少基质效应。</w:t>
      </w:r>
    </w:p>
    <w:p w14:paraId="281E60CB">
      <w:pPr>
        <w:spacing w:line="360" w:lineRule="auto"/>
        <w:ind w:firstLine="482" w:firstLineChars="200"/>
        <w:rPr>
          <w:rFonts w:hint="eastAsia" w:ascii="宋体" w:hAnsi="宋体" w:cs="宋体"/>
          <w:b/>
          <w:bCs/>
          <w:sz w:val="24"/>
        </w:rPr>
      </w:pPr>
      <w:r>
        <w:rPr>
          <w:rFonts w:hint="eastAsia" w:ascii="宋体" w:hAnsi="宋体" w:cs="宋体"/>
          <w:b/>
          <w:bCs/>
          <w:sz w:val="24"/>
        </w:rPr>
        <w:t>标的名称137：尿液生化多项检测用质控品水平2</w:t>
      </w:r>
    </w:p>
    <w:p w14:paraId="3074182D">
      <w:pPr>
        <w:spacing w:line="360" w:lineRule="auto"/>
        <w:ind w:firstLine="480" w:firstLineChars="200"/>
        <w:rPr>
          <w:rFonts w:hint="eastAsia" w:ascii="宋体" w:hAnsi="宋体" w:cs="宋体"/>
          <w:sz w:val="24"/>
        </w:rPr>
      </w:pPr>
      <w:r>
        <w:rPr>
          <w:rFonts w:hint="eastAsia" w:ascii="宋体" w:hAnsi="宋体" w:cs="宋体"/>
          <w:sz w:val="24"/>
        </w:rPr>
        <w:t>1.样本类型：100全人尿液基质。</w:t>
      </w:r>
    </w:p>
    <w:p w14:paraId="70D03450">
      <w:pPr>
        <w:spacing w:line="360" w:lineRule="auto"/>
        <w:ind w:firstLine="480" w:firstLineChars="200"/>
        <w:rPr>
          <w:rFonts w:hint="eastAsia" w:ascii="宋体" w:hAnsi="宋体" w:cs="宋体"/>
          <w:sz w:val="24"/>
        </w:rPr>
      </w:pPr>
      <w:r>
        <w:rPr>
          <w:rFonts w:hint="eastAsia" w:ascii="宋体" w:hAnsi="宋体" w:cs="宋体"/>
          <w:sz w:val="24"/>
        </w:rPr>
        <w:t>2.准确性：注册证项目均在靶值范围内。</w:t>
      </w:r>
    </w:p>
    <w:p w14:paraId="7E73C337">
      <w:pPr>
        <w:spacing w:line="360" w:lineRule="auto"/>
        <w:ind w:firstLine="480" w:firstLineChars="200"/>
        <w:rPr>
          <w:rFonts w:hint="eastAsia" w:ascii="宋体" w:hAnsi="宋体" w:cs="宋体"/>
          <w:sz w:val="24"/>
        </w:rPr>
      </w:pPr>
      <w:r>
        <w:rPr>
          <w:rFonts w:hint="eastAsia" w:ascii="宋体" w:hAnsi="宋体" w:cs="宋体"/>
          <w:sz w:val="24"/>
        </w:rPr>
        <w:t>3.储存条件：2-8℃，效期≥6个月。</w:t>
      </w:r>
    </w:p>
    <w:p w14:paraId="3A151363">
      <w:pPr>
        <w:spacing w:line="360" w:lineRule="auto"/>
        <w:ind w:firstLine="482" w:firstLineChars="200"/>
        <w:rPr>
          <w:rFonts w:hint="eastAsia" w:ascii="宋体" w:hAnsi="宋体" w:cs="宋体"/>
          <w:b/>
          <w:bCs/>
          <w:sz w:val="24"/>
        </w:rPr>
      </w:pPr>
      <w:r>
        <w:rPr>
          <w:rFonts w:hint="eastAsia" w:ascii="宋体" w:hAnsi="宋体" w:cs="宋体"/>
          <w:b/>
          <w:bCs/>
          <w:sz w:val="24"/>
        </w:rPr>
        <w:t>标的名称138：尿液生化多项检测用质控品水平3</w:t>
      </w:r>
    </w:p>
    <w:p w14:paraId="559580EC">
      <w:pPr>
        <w:spacing w:line="360" w:lineRule="auto"/>
        <w:ind w:firstLine="480" w:firstLineChars="200"/>
        <w:rPr>
          <w:rFonts w:hint="eastAsia" w:ascii="宋体" w:hAnsi="宋体" w:cs="宋体"/>
          <w:sz w:val="24"/>
        </w:rPr>
      </w:pPr>
      <w:r>
        <w:rPr>
          <w:rFonts w:hint="eastAsia" w:ascii="宋体" w:hAnsi="宋体" w:cs="宋体"/>
          <w:sz w:val="24"/>
        </w:rPr>
        <w:t>1.样本类型：100全人尿液基质。</w:t>
      </w:r>
    </w:p>
    <w:p w14:paraId="637FD445">
      <w:pPr>
        <w:spacing w:line="360" w:lineRule="auto"/>
        <w:ind w:firstLine="480" w:firstLineChars="200"/>
        <w:rPr>
          <w:rFonts w:hint="eastAsia" w:ascii="宋体" w:hAnsi="宋体" w:cs="宋体"/>
          <w:sz w:val="24"/>
        </w:rPr>
      </w:pPr>
      <w:r>
        <w:rPr>
          <w:rFonts w:hint="eastAsia" w:ascii="宋体" w:hAnsi="宋体" w:cs="宋体"/>
          <w:sz w:val="24"/>
        </w:rPr>
        <w:t>2.准确性：注册证项目均在靶值范围内。</w:t>
      </w:r>
    </w:p>
    <w:p w14:paraId="39FF428B">
      <w:pPr>
        <w:spacing w:line="360" w:lineRule="auto"/>
        <w:ind w:firstLine="480" w:firstLineChars="200"/>
        <w:rPr>
          <w:rFonts w:hint="eastAsia" w:ascii="宋体" w:hAnsi="宋体" w:cs="宋体"/>
          <w:sz w:val="24"/>
        </w:rPr>
      </w:pPr>
      <w:r>
        <w:rPr>
          <w:rFonts w:hint="eastAsia" w:ascii="宋体" w:hAnsi="宋体" w:cs="宋体"/>
          <w:sz w:val="24"/>
        </w:rPr>
        <w:t>3.储存条件：2-8℃，有效期≥6个月。</w:t>
      </w:r>
    </w:p>
    <w:p w14:paraId="10A8A26B">
      <w:pPr>
        <w:spacing w:line="360" w:lineRule="auto"/>
        <w:ind w:firstLine="482" w:firstLineChars="200"/>
        <w:rPr>
          <w:rFonts w:hint="eastAsia" w:ascii="宋体" w:hAnsi="宋体" w:cs="宋体"/>
          <w:b/>
          <w:bCs/>
          <w:sz w:val="24"/>
        </w:rPr>
      </w:pPr>
      <w:r>
        <w:rPr>
          <w:rFonts w:hint="eastAsia" w:ascii="宋体" w:hAnsi="宋体" w:cs="宋体"/>
          <w:b/>
          <w:bCs/>
          <w:sz w:val="24"/>
        </w:rPr>
        <w:t>标的名称139：心肌多项标志物检测用质控品</w:t>
      </w:r>
    </w:p>
    <w:p w14:paraId="306BA722">
      <w:pPr>
        <w:spacing w:line="360" w:lineRule="auto"/>
        <w:ind w:firstLine="480" w:firstLineChars="200"/>
        <w:rPr>
          <w:rFonts w:hint="eastAsia" w:ascii="宋体" w:hAnsi="宋体" w:cs="宋体"/>
          <w:sz w:val="24"/>
        </w:rPr>
      </w:pPr>
      <w:r>
        <w:rPr>
          <w:rFonts w:hint="eastAsia" w:ascii="宋体" w:hAnsi="宋体" w:cs="宋体"/>
          <w:sz w:val="24"/>
        </w:rPr>
        <w:t>1.样本类型：质控血清。</w:t>
      </w:r>
    </w:p>
    <w:p w14:paraId="2CF78909">
      <w:pPr>
        <w:spacing w:line="360" w:lineRule="auto"/>
        <w:ind w:firstLine="480" w:firstLineChars="200"/>
        <w:rPr>
          <w:rFonts w:hint="eastAsia" w:ascii="宋体" w:hAnsi="宋体" w:cs="宋体"/>
          <w:sz w:val="24"/>
        </w:rPr>
      </w:pPr>
      <w:r>
        <w:rPr>
          <w:rFonts w:hint="eastAsia" w:ascii="宋体" w:hAnsi="宋体" w:cs="宋体"/>
          <w:sz w:val="24"/>
        </w:rPr>
        <w:t>2.以质控品测试的结果的均值应在靶值范围内。</w:t>
      </w:r>
    </w:p>
    <w:p w14:paraId="2F50F543">
      <w:pPr>
        <w:spacing w:line="360" w:lineRule="auto"/>
        <w:ind w:firstLine="480" w:firstLineChars="200"/>
        <w:rPr>
          <w:rFonts w:hint="eastAsia" w:ascii="宋体" w:hAnsi="宋体" w:cs="宋体"/>
          <w:sz w:val="24"/>
        </w:rPr>
      </w:pPr>
      <w:r>
        <w:rPr>
          <w:rFonts w:hint="eastAsia" w:ascii="宋体" w:hAnsi="宋体" w:cs="宋体"/>
          <w:sz w:val="24"/>
        </w:rPr>
        <w:t>3.储存条件：2-8℃，有效期≥6个月。</w:t>
      </w:r>
    </w:p>
    <w:p w14:paraId="4FDDE0C2">
      <w:pPr>
        <w:spacing w:line="360" w:lineRule="auto"/>
        <w:ind w:firstLine="482" w:firstLineChars="200"/>
        <w:rPr>
          <w:rFonts w:hint="eastAsia" w:ascii="宋体" w:hAnsi="宋体" w:cs="宋体"/>
          <w:b/>
          <w:bCs/>
          <w:sz w:val="24"/>
        </w:rPr>
      </w:pPr>
      <w:r>
        <w:rPr>
          <w:rFonts w:hint="eastAsia" w:ascii="宋体" w:hAnsi="宋体" w:cs="宋体"/>
          <w:b/>
          <w:bCs/>
          <w:sz w:val="24"/>
        </w:rPr>
        <w:t>标的名称140：脂类多项检测用质控品水平1</w:t>
      </w:r>
    </w:p>
    <w:p w14:paraId="0E044F04">
      <w:pPr>
        <w:spacing w:line="360" w:lineRule="auto"/>
        <w:ind w:firstLine="480" w:firstLineChars="200"/>
        <w:rPr>
          <w:rFonts w:hint="eastAsia" w:ascii="宋体" w:hAnsi="宋体" w:cs="宋体"/>
          <w:sz w:val="24"/>
        </w:rPr>
      </w:pPr>
      <w:r>
        <w:rPr>
          <w:rFonts w:hint="eastAsia" w:ascii="宋体" w:hAnsi="宋体" w:cs="宋体"/>
          <w:sz w:val="24"/>
        </w:rPr>
        <w:t>1.样本类型：血清冻干粉。</w:t>
      </w:r>
    </w:p>
    <w:p w14:paraId="56580C71">
      <w:pPr>
        <w:spacing w:line="360" w:lineRule="auto"/>
        <w:ind w:firstLine="480" w:firstLineChars="200"/>
        <w:rPr>
          <w:rFonts w:hint="eastAsia" w:ascii="宋体" w:hAnsi="宋体" w:cs="宋体"/>
          <w:sz w:val="24"/>
        </w:rPr>
      </w:pPr>
      <w:r>
        <w:rPr>
          <w:rFonts w:hint="eastAsia" w:ascii="宋体" w:hAnsi="宋体" w:cs="宋体"/>
          <w:sz w:val="24"/>
        </w:rPr>
        <w:t>2.准确度.以质控作为样本，测试各项目，测试结果均在靶值上。</w:t>
      </w:r>
    </w:p>
    <w:p w14:paraId="0AE2298A">
      <w:pPr>
        <w:spacing w:line="360" w:lineRule="auto"/>
        <w:ind w:firstLine="480" w:firstLineChars="200"/>
        <w:rPr>
          <w:rFonts w:hint="eastAsia" w:ascii="宋体" w:hAnsi="宋体" w:cs="宋体"/>
          <w:sz w:val="24"/>
        </w:rPr>
      </w:pPr>
      <w:r>
        <w:rPr>
          <w:rFonts w:hint="eastAsia" w:ascii="宋体" w:hAnsi="宋体" w:cs="宋体"/>
          <w:sz w:val="24"/>
        </w:rPr>
        <w:t>3.线性：稀释后检测值与理论值偏差符合要求≤±5%。</w:t>
      </w:r>
    </w:p>
    <w:p w14:paraId="2160487C">
      <w:pPr>
        <w:spacing w:line="360" w:lineRule="auto"/>
        <w:ind w:firstLine="482" w:firstLineChars="200"/>
        <w:rPr>
          <w:rFonts w:hint="eastAsia" w:ascii="宋体" w:hAnsi="宋体" w:cs="宋体"/>
          <w:b/>
          <w:bCs/>
          <w:sz w:val="24"/>
        </w:rPr>
      </w:pPr>
      <w:r>
        <w:rPr>
          <w:rFonts w:hint="eastAsia" w:ascii="宋体" w:hAnsi="宋体" w:cs="宋体"/>
          <w:b/>
          <w:bCs/>
          <w:sz w:val="24"/>
        </w:rPr>
        <w:t xml:space="preserve">标的名称141：脂类多项检测用质控品水平3 </w:t>
      </w:r>
    </w:p>
    <w:p w14:paraId="05C97D1D">
      <w:pPr>
        <w:spacing w:line="360" w:lineRule="auto"/>
        <w:ind w:firstLine="480" w:firstLineChars="200"/>
        <w:rPr>
          <w:rFonts w:hint="eastAsia" w:ascii="宋体" w:hAnsi="宋体" w:cs="宋体"/>
          <w:sz w:val="24"/>
        </w:rPr>
      </w:pPr>
      <w:r>
        <w:rPr>
          <w:rFonts w:hint="eastAsia" w:ascii="宋体" w:hAnsi="宋体" w:cs="宋体"/>
          <w:sz w:val="24"/>
        </w:rPr>
        <w:t>1.样本类型：血清冻干粉。</w:t>
      </w:r>
    </w:p>
    <w:p w14:paraId="1DD180A1">
      <w:pPr>
        <w:spacing w:line="360" w:lineRule="auto"/>
        <w:ind w:firstLine="480" w:firstLineChars="200"/>
        <w:rPr>
          <w:rFonts w:hint="eastAsia" w:ascii="宋体" w:hAnsi="宋体" w:cs="宋体"/>
          <w:sz w:val="24"/>
        </w:rPr>
      </w:pPr>
      <w:r>
        <w:rPr>
          <w:rFonts w:hint="eastAsia" w:ascii="宋体" w:hAnsi="宋体" w:cs="宋体"/>
          <w:sz w:val="24"/>
        </w:rPr>
        <w:t>2.准确度：以质控作为样本，测试各项目，测试结果均在靶值上。</w:t>
      </w:r>
    </w:p>
    <w:p w14:paraId="094051B8">
      <w:pPr>
        <w:spacing w:line="360" w:lineRule="auto"/>
        <w:ind w:firstLine="480" w:firstLineChars="200"/>
        <w:rPr>
          <w:rFonts w:hint="eastAsia" w:ascii="宋体" w:hAnsi="宋体" w:cs="宋体"/>
          <w:sz w:val="24"/>
        </w:rPr>
      </w:pPr>
      <w:r>
        <w:rPr>
          <w:rFonts w:hint="eastAsia" w:ascii="宋体" w:hAnsi="宋体" w:cs="宋体"/>
          <w:sz w:val="24"/>
        </w:rPr>
        <w:t>3.线性：稀释后检测值与理论值偏差符合要求≤±5%。</w:t>
      </w:r>
    </w:p>
    <w:p w14:paraId="038BC049">
      <w:pPr>
        <w:spacing w:line="360" w:lineRule="auto"/>
        <w:ind w:firstLine="482" w:firstLineChars="200"/>
        <w:rPr>
          <w:rFonts w:hint="eastAsia" w:ascii="宋体" w:hAnsi="宋体" w:cs="宋体"/>
          <w:b/>
          <w:bCs/>
          <w:sz w:val="24"/>
        </w:rPr>
      </w:pPr>
      <w:r>
        <w:rPr>
          <w:rFonts w:hint="eastAsia" w:ascii="宋体" w:hAnsi="宋体" w:cs="宋体"/>
          <w:b/>
          <w:bCs/>
          <w:sz w:val="24"/>
        </w:rPr>
        <w:t xml:space="preserve">标的名称142：质控血清1 </w:t>
      </w:r>
    </w:p>
    <w:p w14:paraId="235C6C17">
      <w:pPr>
        <w:spacing w:line="360" w:lineRule="auto"/>
        <w:ind w:firstLine="480" w:firstLineChars="200"/>
        <w:rPr>
          <w:rFonts w:hint="eastAsia" w:ascii="宋体" w:hAnsi="宋体" w:cs="宋体"/>
          <w:sz w:val="24"/>
        </w:rPr>
      </w:pPr>
      <w:r>
        <w:rPr>
          <w:rFonts w:hint="eastAsia" w:ascii="宋体" w:hAnsi="宋体" w:cs="宋体"/>
          <w:sz w:val="24"/>
        </w:rPr>
        <w:t>1.样本类型：血清冻干粉。</w:t>
      </w:r>
    </w:p>
    <w:p w14:paraId="2BAB7158">
      <w:pPr>
        <w:spacing w:line="360" w:lineRule="auto"/>
        <w:ind w:firstLine="480" w:firstLineChars="200"/>
        <w:rPr>
          <w:rFonts w:hint="eastAsia" w:ascii="宋体" w:hAnsi="宋体" w:cs="宋体"/>
          <w:sz w:val="24"/>
        </w:rPr>
      </w:pPr>
      <w:r>
        <w:rPr>
          <w:rFonts w:hint="eastAsia" w:ascii="宋体" w:hAnsi="宋体" w:cs="宋体"/>
          <w:sz w:val="24"/>
        </w:rPr>
        <w:t>2.准确度：以质控作为样本，测试各项目，测试结果均在靶值上。</w:t>
      </w:r>
    </w:p>
    <w:p w14:paraId="6B27FF47">
      <w:pPr>
        <w:spacing w:line="360" w:lineRule="auto"/>
        <w:ind w:firstLine="480" w:firstLineChars="200"/>
        <w:rPr>
          <w:rFonts w:hint="eastAsia" w:ascii="宋体" w:hAnsi="宋体" w:cs="宋体"/>
          <w:sz w:val="24"/>
        </w:rPr>
      </w:pPr>
      <w:r>
        <w:rPr>
          <w:rFonts w:hint="eastAsia" w:ascii="宋体" w:hAnsi="宋体" w:cs="宋体"/>
          <w:sz w:val="24"/>
        </w:rPr>
        <w:t>3.稳定性：复溶后，在5℃保存，在生化分析仪上测试，测试间的相对偏差均复合规定要求。</w:t>
      </w:r>
    </w:p>
    <w:p w14:paraId="78793D7A">
      <w:pPr>
        <w:spacing w:line="360" w:lineRule="auto"/>
        <w:ind w:firstLine="482" w:firstLineChars="200"/>
        <w:rPr>
          <w:rFonts w:hint="eastAsia" w:ascii="宋体" w:hAnsi="宋体" w:cs="宋体"/>
          <w:b/>
          <w:bCs/>
          <w:sz w:val="24"/>
        </w:rPr>
      </w:pPr>
      <w:r>
        <w:rPr>
          <w:rFonts w:hint="eastAsia" w:ascii="宋体" w:hAnsi="宋体" w:cs="宋体"/>
          <w:b/>
          <w:bCs/>
          <w:sz w:val="24"/>
        </w:rPr>
        <w:t xml:space="preserve">标的名称143：质控血清2 </w:t>
      </w:r>
    </w:p>
    <w:p w14:paraId="5E3866BB">
      <w:pPr>
        <w:spacing w:line="360" w:lineRule="auto"/>
        <w:ind w:firstLine="480" w:firstLineChars="200"/>
        <w:rPr>
          <w:rFonts w:hint="eastAsia" w:ascii="宋体" w:hAnsi="宋体" w:cs="宋体"/>
          <w:sz w:val="24"/>
        </w:rPr>
      </w:pPr>
      <w:r>
        <w:rPr>
          <w:rFonts w:hint="eastAsia" w:ascii="宋体" w:hAnsi="宋体" w:cs="宋体"/>
          <w:sz w:val="24"/>
        </w:rPr>
        <w:t>1.样本类型：血清冻干粉。</w:t>
      </w:r>
    </w:p>
    <w:p w14:paraId="34CA060D">
      <w:pPr>
        <w:spacing w:line="360" w:lineRule="auto"/>
        <w:ind w:firstLine="480" w:firstLineChars="200"/>
        <w:rPr>
          <w:rFonts w:hint="eastAsia" w:ascii="宋体" w:hAnsi="宋体" w:cs="宋体"/>
          <w:sz w:val="24"/>
        </w:rPr>
      </w:pPr>
      <w:r>
        <w:rPr>
          <w:rFonts w:hint="eastAsia" w:ascii="宋体" w:hAnsi="宋体" w:cs="宋体"/>
          <w:sz w:val="24"/>
        </w:rPr>
        <w:t>2.准确度：以质控作为样本，测试各项目，测试结果均在靶值上。</w:t>
      </w:r>
    </w:p>
    <w:p w14:paraId="4556ECB3">
      <w:pPr>
        <w:spacing w:line="360" w:lineRule="auto"/>
        <w:ind w:firstLine="480" w:firstLineChars="200"/>
        <w:rPr>
          <w:rFonts w:hint="eastAsia" w:ascii="宋体" w:hAnsi="宋体" w:cs="宋体"/>
          <w:sz w:val="24"/>
        </w:rPr>
      </w:pPr>
      <w:r>
        <w:rPr>
          <w:rFonts w:hint="eastAsia" w:ascii="宋体" w:hAnsi="宋体" w:cs="宋体"/>
          <w:sz w:val="24"/>
        </w:rPr>
        <w:t>3.稳定性：复溶后，在5℃保存，在生化分析仪上测试，测试间的相对偏差均复合规定要求。</w:t>
      </w:r>
    </w:p>
    <w:p w14:paraId="32C36FE9">
      <w:pPr>
        <w:spacing w:line="360" w:lineRule="auto"/>
        <w:ind w:firstLine="482" w:firstLineChars="200"/>
        <w:rPr>
          <w:rFonts w:hint="eastAsia" w:ascii="宋体" w:hAnsi="宋体" w:cs="宋体"/>
          <w:b/>
          <w:bCs/>
          <w:sz w:val="24"/>
        </w:rPr>
      </w:pPr>
      <w:r>
        <w:rPr>
          <w:rFonts w:hint="eastAsia" w:ascii="宋体" w:hAnsi="宋体" w:cs="宋体"/>
          <w:b/>
          <w:bCs/>
          <w:sz w:val="24"/>
        </w:rPr>
        <w:t>标的名称144：糖化白蛋白测定试剂盒</w:t>
      </w:r>
    </w:p>
    <w:p w14:paraId="0EA9122B">
      <w:pPr>
        <w:spacing w:line="360" w:lineRule="auto"/>
        <w:ind w:firstLine="480" w:firstLineChars="200"/>
        <w:rPr>
          <w:rFonts w:hint="eastAsia" w:ascii="宋体" w:hAnsi="宋体" w:cs="宋体"/>
          <w:sz w:val="24"/>
        </w:rPr>
      </w:pPr>
      <w:r>
        <w:rPr>
          <w:rFonts w:hint="eastAsia" w:ascii="宋体" w:hAnsi="宋体" w:cs="宋体"/>
          <w:sz w:val="24"/>
        </w:rPr>
        <w:t>1.样本类型：血清、血浆（EDTA、肝素、柠檬酸）以及血糖用血浆（2种混合：NaF+肝素、NaF+EDTA；3种混合：NaF+肝素+EDTA）。</w:t>
      </w:r>
    </w:p>
    <w:p w14:paraId="072AAAE8">
      <w:pPr>
        <w:spacing w:line="360" w:lineRule="auto"/>
        <w:ind w:firstLine="480" w:firstLineChars="200"/>
        <w:rPr>
          <w:rFonts w:hint="eastAsia" w:ascii="宋体" w:hAnsi="宋体" w:cs="宋体"/>
          <w:sz w:val="24"/>
        </w:rPr>
      </w:pPr>
      <w:r>
        <w:rPr>
          <w:rFonts w:hint="eastAsia" w:ascii="宋体" w:hAnsi="宋体" w:cs="宋体"/>
          <w:sz w:val="24"/>
        </w:rPr>
        <w:t>2.空白吸光度：用蒸馏水作为试样测试时，糖化白蛋白试剂空白吸光度为0.100 以下1.2用蒸馏水作为试样测试时，白蛋白试剂空白吸光度为0.350 以下。</w:t>
      </w:r>
    </w:p>
    <w:p w14:paraId="0AEB2B00">
      <w:pPr>
        <w:spacing w:line="360" w:lineRule="auto"/>
        <w:ind w:firstLine="480" w:firstLineChars="200"/>
        <w:rPr>
          <w:rFonts w:hint="eastAsia" w:ascii="宋体" w:hAnsi="宋体" w:cs="宋体"/>
          <w:sz w:val="24"/>
        </w:rPr>
      </w:pPr>
      <w:r>
        <w:rPr>
          <w:rFonts w:hint="eastAsia" w:ascii="宋体" w:hAnsi="宋体" w:cs="宋体"/>
          <w:sz w:val="24"/>
        </w:rPr>
        <w:t>3.精密度：将管理血清作为试样测定糖化白蛋白试剂盒时，所得值的变异系数(CV)应≤5%。</w:t>
      </w:r>
    </w:p>
    <w:p w14:paraId="7ADD529F">
      <w:pPr>
        <w:spacing w:line="360" w:lineRule="auto"/>
        <w:ind w:firstLine="482" w:firstLineChars="200"/>
        <w:rPr>
          <w:rFonts w:hint="eastAsia" w:ascii="宋体" w:hAnsi="宋体" w:cs="宋体"/>
          <w:b/>
          <w:bCs/>
          <w:sz w:val="24"/>
        </w:rPr>
      </w:pPr>
      <w:r>
        <w:rPr>
          <w:rFonts w:hint="eastAsia" w:ascii="宋体" w:hAnsi="宋体" w:cs="宋体"/>
          <w:b/>
          <w:bCs/>
          <w:sz w:val="24"/>
        </w:rPr>
        <w:t>标的名称145：糖化白蛋白校准品</w:t>
      </w:r>
    </w:p>
    <w:p w14:paraId="17B7A3BC">
      <w:pPr>
        <w:spacing w:line="360" w:lineRule="auto"/>
        <w:ind w:firstLine="480" w:firstLineChars="200"/>
        <w:rPr>
          <w:rFonts w:hint="eastAsia" w:ascii="宋体" w:hAnsi="宋体" w:cs="宋体"/>
          <w:sz w:val="24"/>
        </w:rPr>
      </w:pPr>
      <w:r>
        <w:rPr>
          <w:rFonts w:hint="eastAsia" w:ascii="宋体" w:hAnsi="宋体" w:cs="宋体"/>
          <w:sz w:val="24"/>
        </w:rPr>
        <w:t>1.外观：白色至黄色冻干品，溶解后为淡黄色至黄褐色液体。</w:t>
      </w:r>
    </w:p>
    <w:p w14:paraId="7B113471">
      <w:pPr>
        <w:spacing w:line="360" w:lineRule="auto"/>
        <w:ind w:firstLine="480" w:firstLineChars="200"/>
        <w:rPr>
          <w:rFonts w:hint="eastAsia" w:ascii="宋体" w:hAnsi="宋体" w:cs="宋体"/>
          <w:sz w:val="24"/>
        </w:rPr>
      </w:pPr>
      <w:r>
        <w:rPr>
          <w:rFonts w:hint="eastAsia" w:ascii="宋体" w:hAnsi="宋体" w:cs="宋体"/>
          <w:sz w:val="24"/>
        </w:rPr>
        <w:t>2.准确度：测量结果与标示值的相对偏差应不超过士10%。</w:t>
      </w:r>
    </w:p>
    <w:p w14:paraId="5E15C863">
      <w:pPr>
        <w:spacing w:line="360" w:lineRule="auto"/>
        <w:ind w:firstLine="480" w:firstLineChars="200"/>
        <w:rPr>
          <w:rFonts w:hint="eastAsia" w:ascii="宋体" w:hAnsi="宋体" w:cs="宋体"/>
          <w:sz w:val="24"/>
        </w:rPr>
      </w:pPr>
      <w:r>
        <w:rPr>
          <w:rFonts w:hint="eastAsia" w:ascii="宋体" w:hAnsi="宋体" w:cs="宋体"/>
          <w:sz w:val="24"/>
        </w:rPr>
        <w:t>3.瓶间重复性(均一性)：瓶间重复性CV＜5%。</w:t>
      </w:r>
    </w:p>
    <w:p w14:paraId="04B56931">
      <w:pPr>
        <w:spacing w:line="360" w:lineRule="auto"/>
        <w:ind w:firstLine="482" w:firstLineChars="200"/>
        <w:rPr>
          <w:rFonts w:hint="eastAsia" w:ascii="宋体" w:hAnsi="宋体" w:cs="宋体"/>
          <w:b/>
          <w:bCs/>
          <w:sz w:val="24"/>
        </w:rPr>
      </w:pPr>
      <w:r>
        <w:rPr>
          <w:rFonts w:hint="eastAsia" w:ascii="宋体" w:hAnsi="宋体" w:cs="宋体"/>
          <w:b/>
          <w:bCs/>
          <w:sz w:val="24"/>
        </w:rPr>
        <w:t>标的名称146：糖化白蛋白质控品</w:t>
      </w:r>
    </w:p>
    <w:p w14:paraId="3E912D81">
      <w:pPr>
        <w:spacing w:line="360" w:lineRule="auto"/>
        <w:ind w:firstLine="480" w:firstLineChars="200"/>
        <w:rPr>
          <w:rFonts w:hint="eastAsia" w:ascii="宋体" w:hAnsi="宋体" w:cs="宋体"/>
          <w:sz w:val="24"/>
        </w:rPr>
      </w:pPr>
      <w:r>
        <w:rPr>
          <w:rFonts w:hint="eastAsia" w:ascii="宋体" w:hAnsi="宋体" w:cs="宋体"/>
          <w:sz w:val="24"/>
        </w:rPr>
        <w:t>1.外观：白色至黄色冻干品，溶解后为淡黄至黄褐色液体。</w:t>
      </w:r>
    </w:p>
    <w:p w14:paraId="628B8A40">
      <w:pPr>
        <w:spacing w:line="360" w:lineRule="auto"/>
        <w:ind w:firstLine="480" w:firstLineChars="200"/>
        <w:rPr>
          <w:rFonts w:hint="eastAsia" w:ascii="宋体" w:hAnsi="宋体" w:cs="宋体"/>
          <w:sz w:val="24"/>
        </w:rPr>
      </w:pPr>
      <w:r>
        <w:rPr>
          <w:rFonts w:hint="eastAsia" w:ascii="宋体" w:hAnsi="宋体" w:cs="宋体"/>
          <w:sz w:val="24"/>
        </w:rPr>
        <w:t>2.瓶间重复性(均一性)：瓶间重复性CV＜5%。</w:t>
      </w:r>
    </w:p>
    <w:p w14:paraId="1E4391AB">
      <w:pPr>
        <w:spacing w:line="360" w:lineRule="auto"/>
        <w:ind w:firstLine="480" w:firstLineChars="200"/>
        <w:rPr>
          <w:rFonts w:hint="eastAsia" w:ascii="宋体" w:hAnsi="宋体" w:cs="宋体"/>
          <w:sz w:val="24"/>
        </w:rPr>
      </w:pPr>
      <w:r>
        <w:rPr>
          <w:rFonts w:hint="eastAsia" w:ascii="宋体" w:hAnsi="宋体" w:cs="宋体"/>
          <w:sz w:val="24"/>
        </w:rPr>
        <w:t>3.复溶后稳定性：复溶后，在2-8℃密封保存，可以稳定1个月。</w:t>
      </w:r>
    </w:p>
    <w:p w14:paraId="21380D7D">
      <w:pPr>
        <w:spacing w:line="360" w:lineRule="auto"/>
        <w:ind w:firstLine="480" w:firstLineChars="200"/>
        <w:rPr>
          <w:rFonts w:hint="eastAsia" w:ascii="宋体" w:hAnsi="宋体" w:cs="宋体"/>
          <w:sz w:val="24"/>
        </w:rPr>
      </w:pPr>
      <w:r>
        <w:rPr>
          <w:rFonts w:hint="eastAsia" w:ascii="宋体" w:hAnsi="宋体" w:cs="宋体"/>
          <w:sz w:val="24"/>
        </w:rPr>
        <w:t>4.原包装效期稳定性：2-8℃密封保存，产品有效期为12个月。</w:t>
      </w:r>
    </w:p>
    <w:p w14:paraId="7E6A2902">
      <w:pPr>
        <w:spacing w:line="360" w:lineRule="auto"/>
        <w:ind w:firstLine="480" w:firstLineChars="200"/>
        <w:rPr>
          <w:rFonts w:hint="eastAsia" w:ascii="宋体" w:hAnsi="宋体" w:cs="宋体"/>
          <w:sz w:val="24"/>
        </w:rPr>
      </w:pPr>
      <w:r>
        <w:rPr>
          <w:rFonts w:hint="eastAsia" w:ascii="宋体" w:hAnsi="宋体" w:cs="宋体"/>
          <w:sz w:val="24"/>
        </w:rPr>
        <w:t>5.含水量：＜5.5%。</w:t>
      </w:r>
    </w:p>
    <w:p w14:paraId="49B41F32">
      <w:pPr>
        <w:spacing w:line="360" w:lineRule="auto"/>
        <w:ind w:firstLine="482" w:firstLineChars="200"/>
        <w:rPr>
          <w:rFonts w:hint="eastAsia" w:ascii="宋体" w:hAnsi="宋体" w:cs="宋体"/>
          <w:b/>
          <w:bCs/>
          <w:sz w:val="24"/>
        </w:rPr>
      </w:pPr>
      <w:r>
        <w:rPr>
          <w:rFonts w:hint="eastAsia" w:ascii="宋体" w:hAnsi="宋体" w:cs="宋体"/>
          <w:b/>
          <w:bCs/>
          <w:sz w:val="24"/>
        </w:rPr>
        <w:t>标的名称147：血液分析仪用质控品L1</w:t>
      </w:r>
    </w:p>
    <w:p w14:paraId="1E1DA98B">
      <w:pPr>
        <w:spacing w:line="360" w:lineRule="auto"/>
        <w:ind w:firstLine="480" w:firstLineChars="200"/>
        <w:rPr>
          <w:rFonts w:hint="eastAsia" w:ascii="宋体" w:hAnsi="宋体" w:cs="宋体"/>
          <w:sz w:val="24"/>
        </w:rPr>
      </w:pPr>
      <w:r>
        <w:rPr>
          <w:rFonts w:hint="eastAsia" w:ascii="宋体" w:hAnsi="宋体" w:cs="宋体"/>
          <w:sz w:val="24"/>
        </w:rPr>
        <w:t>1.包装规格：低值。</w:t>
      </w:r>
    </w:p>
    <w:p w14:paraId="72FDEDF1">
      <w:pPr>
        <w:spacing w:line="360" w:lineRule="auto"/>
        <w:ind w:firstLine="480" w:firstLineChars="200"/>
        <w:rPr>
          <w:rFonts w:hint="eastAsia" w:ascii="宋体" w:hAnsi="宋体" w:cs="宋体"/>
          <w:sz w:val="24"/>
        </w:rPr>
      </w:pPr>
      <w:r>
        <w:rPr>
          <w:rFonts w:hint="eastAsia" w:ascii="宋体" w:hAnsi="宋体" w:cs="宋体"/>
          <w:sz w:val="24"/>
        </w:rPr>
        <w:t>2.用途：用于血液分析仪进行全血细胞计数(CBC)、白细胞分类、网织红细胞和有核红细胞(NRBC)检测时作为质控品。</w:t>
      </w:r>
    </w:p>
    <w:p w14:paraId="129E3C73">
      <w:pPr>
        <w:spacing w:line="360" w:lineRule="auto"/>
        <w:ind w:firstLine="480" w:firstLineChars="200"/>
        <w:rPr>
          <w:rFonts w:hint="eastAsia" w:ascii="宋体" w:hAnsi="宋体" w:cs="宋体"/>
          <w:sz w:val="24"/>
        </w:rPr>
      </w:pPr>
      <w:r>
        <w:rPr>
          <w:rFonts w:hint="eastAsia" w:ascii="宋体" w:hAnsi="宋体" w:cs="宋体"/>
          <w:sz w:val="24"/>
        </w:rPr>
        <w:t>3.主要组成成份：由稳定的人类红细胞,人类白细胞，血小板、有核红细胞和防腐剂组成。</w:t>
      </w:r>
    </w:p>
    <w:p w14:paraId="5B81D208">
      <w:pPr>
        <w:spacing w:line="360" w:lineRule="auto"/>
        <w:ind w:firstLine="482" w:firstLineChars="200"/>
        <w:rPr>
          <w:rFonts w:hint="eastAsia" w:ascii="宋体" w:hAnsi="宋体" w:cs="宋体"/>
          <w:b/>
          <w:bCs/>
          <w:sz w:val="24"/>
        </w:rPr>
      </w:pPr>
      <w:r>
        <w:rPr>
          <w:rFonts w:hint="eastAsia" w:ascii="宋体" w:hAnsi="宋体" w:cs="宋体"/>
          <w:b/>
          <w:bCs/>
          <w:sz w:val="24"/>
        </w:rPr>
        <w:t>标的名称148：血液分析仪用质控品L2</w:t>
      </w:r>
    </w:p>
    <w:p w14:paraId="1E6356F9">
      <w:pPr>
        <w:spacing w:line="360" w:lineRule="auto"/>
        <w:ind w:firstLine="480" w:firstLineChars="200"/>
        <w:rPr>
          <w:rFonts w:hint="eastAsia" w:ascii="宋体" w:hAnsi="宋体" w:cs="宋体"/>
          <w:sz w:val="24"/>
        </w:rPr>
      </w:pPr>
      <w:r>
        <w:rPr>
          <w:rFonts w:hint="eastAsia" w:ascii="宋体" w:hAnsi="宋体" w:cs="宋体"/>
          <w:sz w:val="24"/>
        </w:rPr>
        <w:t>1.包装规格：中值。</w:t>
      </w:r>
    </w:p>
    <w:p w14:paraId="640C4EAB">
      <w:pPr>
        <w:spacing w:line="360" w:lineRule="auto"/>
        <w:ind w:firstLine="480" w:firstLineChars="200"/>
        <w:rPr>
          <w:rFonts w:hint="eastAsia" w:ascii="宋体" w:hAnsi="宋体" w:cs="宋体"/>
          <w:sz w:val="24"/>
        </w:rPr>
      </w:pPr>
      <w:r>
        <w:rPr>
          <w:rFonts w:hint="eastAsia" w:ascii="宋体" w:hAnsi="宋体" w:cs="宋体"/>
          <w:sz w:val="24"/>
        </w:rPr>
        <w:t>2.用途：用于血液分析仪进行全血细胞计数(CBC)、白细胞分类、网织红细胞和有核红细胞(NRBC)检测时作为质控品。</w:t>
      </w:r>
    </w:p>
    <w:p w14:paraId="4732E983">
      <w:pPr>
        <w:spacing w:line="360" w:lineRule="auto"/>
        <w:ind w:firstLine="480" w:firstLineChars="200"/>
        <w:rPr>
          <w:rFonts w:hint="eastAsia" w:ascii="宋体" w:hAnsi="宋体" w:cs="宋体"/>
          <w:sz w:val="24"/>
        </w:rPr>
      </w:pPr>
      <w:r>
        <w:rPr>
          <w:rFonts w:hint="eastAsia" w:ascii="宋体" w:hAnsi="宋体" w:cs="宋体"/>
          <w:sz w:val="24"/>
        </w:rPr>
        <w:t>3.主要组成成份：由稳定的人类红细胞,人类白细胞,血小板、有核红细胞和防腐剂组成。</w:t>
      </w:r>
    </w:p>
    <w:p w14:paraId="073515F1">
      <w:pPr>
        <w:spacing w:line="360" w:lineRule="auto"/>
        <w:ind w:firstLine="482" w:firstLineChars="200"/>
        <w:rPr>
          <w:rFonts w:hint="eastAsia" w:ascii="宋体" w:hAnsi="宋体" w:cs="宋体"/>
          <w:b/>
          <w:bCs/>
          <w:sz w:val="24"/>
        </w:rPr>
      </w:pPr>
      <w:r>
        <w:rPr>
          <w:rFonts w:hint="eastAsia" w:ascii="宋体" w:hAnsi="宋体" w:cs="宋体"/>
          <w:b/>
          <w:bCs/>
          <w:sz w:val="24"/>
        </w:rPr>
        <w:t>标的名称149：血液分析仪用质控品L3</w:t>
      </w:r>
    </w:p>
    <w:p w14:paraId="1A977FBE">
      <w:pPr>
        <w:spacing w:line="360" w:lineRule="auto"/>
        <w:ind w:firstLine="480" w:firstLineChars="200"/>
        <w:rPr>
          <w:rFonts w:hint="eastAsia" w:ascii="宋体" w:hAnsi="宋体" w:cs="宋体"/>
          <w:sz w:val="24"/>
        </w:rPr>
      </w:pPr>
      <w:r>
        <w:rPr>
          <w:rFonts w:hint="eastAsia" w:ascii="宋体" w:hAnsi="宋体" w:cs="宋体"/>
          <w:sz w:val="24"/>
        </w:rPr>
        <w:t>1.包装规格：高值。</w:t>
      </w:r>
    </w:p>
    <w:p w14:paraId="410C508C">
      <w:pPr>
        <w:spacing w:line="360" w:lineRule="auto"/>
        <w:ind w:firstLine="480" w:firstLineChars="200"/>
        <w:rPr>
          <w:rFonts w:hint="eastAsia" w:ascii="宋体" w:hAnsi="宋体" w:cs="宋体"/>
          <w:sz w:val="24"/>
        </w:rPr>
      </w:pPr>
      <w:r>
        <w:rPr>
          <w:rFonts w:hint="eastAsia" w:ascii="宋体" w:hAnsi="宋体" w:cs="宋体"/>
          <w:sz w:val="24"/>
        </w:rPr>
        <w:t>2.用途：用于血液分析仪进行全血细胞计数(CBC)、白细胞分类、网织红细胞和有核红细胞(NRBC)检测时作为质控品。</w:t>
      </w:r>
    </w:p>
    <w:p w14:paraId="107AF15D">
      <w:pPr>
        <w:spacing w:line="360" w:lineRule="auto"/>
        <w:ind w:firstLine="480" w:firstLineChars="200"/>
        <w:rPr>
          <w:rFonts w:hint="eastAsia" w:ascii="宋体" w:hAnsi="宋体" w:cs="宋体"/>
          <w:sz w:val="24"/>
        </w:rPr>
      </w:pPr>
      <w:r>
        <w:rPr>
          <w:rFonts w:hint="eastAsia" w:ascii="宋体" w:hAnsi="宋体" w:cs="宋体"/>
          <w:sz w:val="24"/>
        </w:rPr>
        <w:t>3.主要组成成份：由稳定的人类红细胞,人类白细胞,血小板、有核红细胞和防腐剂组成。</w:t>
      </w:r>
    </w:p>
    <w:p w14:paraId="578A42D8">
      <w:pPr>
        <w:spacing w:line="360" w:lineRule="auto"/>
        <w:ind w:firstLine="482" w:firstLineChars="200"/>
        <w:rPr>
          <w:rFonts w:hint="eastAsia" w:ascii="宋体" w:hAnsi="宋体" w:cs="宋体"/>
          <w:b/>
          <w:bCs/>
          <w:sz w:val="24"/>
        </w:rPr>
      </w:pPr>
      <w:r>
        <w:rPr>
          <w:rFonts w:hint="eastAsia" w:ascii="宋体" w:hAnsi="宋体" w:cs="宋体"/>
          <w:b/>
          <w:bCs/>
          <w:sz w:val="24"/>
        </w:rPr>
        <w:t xml:space="preserve">标的名称150：清洁液 </w:t>
      </w:r>
    </w:p>
    <w:p w14:paraId="6E332BF0">
      <w:pPr>
        <w:spacing w:line="360" w:lineRule="auto"/>
        <w:ind w:firstLine="480" w:firstLineChars="200"/>
        <w:rPr>
          <w:rFonts w:hint="eastAsia" w:ascii="宋体" w:hAnsi="宋体" w:cs="宋体"/>
          <w:sz w:val="24"/>
        </w:rPr>
      </w:pPr>
      <w:r>
        <w:rPr>
          <w:rFonts w:hint="eastAsia" w:ascii="宋体" w:hAnsi="宋体" w:cs="宋体"/>
          <w:sz w:val="24"/>
        </w:rPr>
        <w:t>1.用途：一种强碱清洗剂，用来去除残留在全自动模块式血液体液分析仪、全自动模块式血液体液分析仪、自动血涂片制备仪和自动盘涂片制备仪中的溶血剂、细胞残液及蛋白质。</w:t>
      </w:r>
    </w:p>
    <w:p w14:paraId="3C297D5D">
      <w:pPr>
        <w:spacing w:line="360" w:lineRule="auto"/>
        <w:ind w:firstLine="480" w:firstLineChars="200"/>
        <w:rPr>
          <w:rFonts w:hint="eastAsia" w:ascii="宋体" w:hAnsi="宋体" w:cs="宋体"/>
          <w:sz w:val="24"/>
        </w:rPr>
      </w:pPr>
      <w:r>
        <w:rPr>
          <w:rFonts w:hint="eastAsia" w:ascii="宋体" w:hAnsi="宋体" w:cs="宋体"/>
          <w:sz w:val="24"/>
        </w:rPr>
        <w:t>2.主要组成成份：次氯酸钠(有效氯浓度5.0%)。</w:t>
      </w:r>
    </w:p>
    <w:p w14:paraId="1EBB3746">
      <w:pPr>
        <w:spacing w:line="360" w:lineRule="auto"/>
        <w:ind w:firstLine="480" w:firstLineChars="200"/>
        <w:rPr>
          <w:rFonts w:hint="eastAsia" w:ascii="宋体" w:hAnsi="宋体" w:cs="宋体"/>
          <w:sz w:val="24"/>
        </w:rPr>
      </w:pPr>
      <w:r>
        <w:rPr>
          <w:rFonts w:hint="eastAsia" w:ascii="宋体" w:hAnsi="宋体" w:cs="宋体"/>
          <w:sz w:val="24"/>
        </w:rPr>
        <w:t>3.储存条件及有效期；存放在 1-30℃的环境下。禁止冷冻。</w:t>
      </w:r>
    </w:p>
    <w:p w14:paraId="0F442DC8">
      <w:pPr>
        <w:spacing w:line="360" w:lineRule="auto"/>
        <w:ind w:firstLine="482" w:firstLineChars="200"/>
        <w:rPr>
          <w:rFonts w:hint="eastAsia" w:ascii="宋体" w:hAnsi="宋体" w:cs="宋体"/>
          <w:b/>
          <w:bCs/>
          <w:sz w:val="24"/>
        </w:rPr>
      </w:pPr>
      <w:r>
        <w:rPr>
          <w:rFonts w:hint="eastAsia" w:ascii="宋体" w:hAnsi="宋体" w:cs="宋体"/>
          <w:b/>
          <w:bCs/>
          <w:sz w:val="24"/>
        </w:rPr>
        <w:t xml:space="preserve">标的名称151：血液分析仪用校准品 </w:t>
      </w:r>
    </w:p>
    <w:p w14:paraId="459D11B8">
      <w:pPr>
        <w:spacing w:line="360" w:lineRule="auto"/>
        <w:ind w:firstLine="480" w:firstLineChars="200"/>
        <w:rPr>
          <w:rFonts w:hint="eastAsia" w:ascii="宋体" w:hAnsi="宋体" w:cs="宋体"/>
          <w:sz w:val="24"/>
        </w:rPr>
      </w:pPr>
      <w:r>
        <w:rPr>
          <w:rFonts w:hint="eastAsia" w:ascii="宋体" w:hAnsi="宋体" w:cs="宋体"/>
          <w:sz w:val="24"/>
        </w:rPr>
        <w:t>1.用途：用于白细胞(WBC)、红细胞(RBC)、血红蛋白(HGB)、红细胞压积(HCT)、血小板(PLT)、网织红细胞(RET)、平均血小板体积(MPV)、光学法血小板(PLT-0)、光学法红细胞总数(RBC-0)、平均红细胞体积(MCV)、平均血红蛋白含量(MCH)、平均血红蛋白浓度(MCHC)、网织红细胞血红蛋白含量(RET-he)报告参数的校准及校准验证。</w:t>
      </w:r>
    </w:p>
    <w:p w14:paraId="35BDA54C">
      <w:pPr>
        <w:spacing w:line="360" w:lineRule="auto"/>
        <w:ind w:firstLine="480" w:firstLineChars="200"/>
        <w:rPr>
          <w:rFonts w:hint="eastAsia" w:ascii="宋体" w:hAnsi="宋体" w:cs="宋体"/>
          <w:sz w:val="24"/>
        </w:rPr>
      </w:pPr>
      <w:r>
        <w:rPr>
          <w:rFonts w:hint="eastAsia" w:ascii="宋体" w:hAnsi="宋体" w:cs="宋体"/>
          <w:sz w:val="24"/>
        </w:rPr>
        <w:t>2.主要组成成分：由稳定的人类红细胞、人类白细胞、血小板、有核红细胞和防腐剂组成。</w:t>
      </w:r>
    </w:p>
    <w:p w14:paraId="477B2C33">
      <w:pPr>
        <w:spacing w:line="360" w:lineRule="auto"/>
        <w:ind w:firstLine="480" w:firstLineChars="200"/>
        <w:rPr>
          <w:rFonts w:hint="eastAsia" w:ascii="宋体" w:hAnsi="宋体" w:cs="宋体"/>
          <w:sz w:val="24"/>
        </w:rPr>
      </w:pPr>
      <w:r>
        <w:rPr>
          <w:rFonts w:hint="eastAsia" w:ascii="宋体" w:hAnsi="宋体" w:cs="宋体"/>
          <w:sz w:val="24"/>
        </w:rPr>
        <w:t>3.储存条件及有效期：2~8℃ 保存,有效期≥45天。 避免冷冻。</w:t>
      </w:r>
    </w:p>
    <w:p w14:paraId="5B5B8754">
      <w:pPr>
        <w:spacing w:line="360" w:lineRule="auto"/>
        <w:ind w:firstLine="482" w:firstLineChars="200"/>
        <w:rPr>
          <w:rFonts w:hint="eastAsia" w:ascii="宋体" w:hAnsi="宋体" w:cs="宋体"/>
          <w:b/>
          <w:bCs/>
          <w:sz w:val="24"/>
        </w:rPr>
      </w:pPr>
      <w:r>
        <w:rPr>
          <w:rFonts w:hint="eastAsia" w:ascii="宋体" w:hAnsi="宋体" w:cs="宋体"/>
          <w:b/>
          <w:bCs/>
          <w:sz w:val="24"/>
        </w:rPr>
        <w:t>标的名称152：25-羟基维生素D质控品</w:t>
      </w:r>
    </w:p>
    <w:p w14:paraId="61638372">
      <w:pPr>
        <w:spacing w:line="360" w:lineRule="auto"/>
        <w:ind w:firstLine="480" w:firstLineChars="200"/>
        <w:rPr>
          <w:rFonts w:hint="eastAsia" w:ascii="宋体" w:hAnsi="宋体" w:cs="宋体"/>
          <w:sz w:val="24"/>
        </w:rPr>
      </w:pPr>
      <w:r>
        <w:rPr>
          <w:rFonts w:hint="eastAsia" w:ascii="宋体" w:hAnsi="宋体" w:cs="宋体"/>
          <w:sz w:val="24"/>
        </w:rPr>
        <w:t>1.主要用途：用于25-羟基维生素D定量检测项目的质量控制。</w:t>
      </w:r>
    </w:p>
    <w:p w14:paraId="41B695C3">
      <w:pPr>
        <w:spacing w:line="360" w:lineRule="auto"/>
        <w:ind w:firstLine="480" w:firstLineChars="200"/>
        <w:rPr>
          <w:rFonts w:hint="eastAsia" w:ascii="宋体" w:hAnsi="宋体" w:cs="宋体"/>
          <w:sz w:val="24"/>
        </w:rPr>
      </w:pPr>
      <w:r>
        <w:rPr>
          <w:rFonts w:hint="eastAsia" w:ascii="宋体" w:hAnsi="宋体" w:cs="宋体"/>
          <w:sz w:val="24"/>
        </w:rPr>
        <w:t>2.试剂处理：在一瓶质控品中小心加入2.0mL蒸馏水或去离子水，垂直静置 30 分钟以复溶。小心混匀，避免产生气泡。将复溶质控品转移至提供的贴有标签的压盖式小空瓶或其他的压盖式小空瓶内，将提供的标签贴在这些小瓶上。分装管应立即冷冻储存在-20℃(±5°C)下。每份分装质控液仅可使用一次</w:t>
      </w:r>
    </w:p>
    <w:p w14:paraId="149C4285">
      <w:pPr>
        <w:spacing w:line="360" w:lineRule="auto"/>
        <w:ind w:firstLine="480" w:firstLineChars="200"/>
        <w:rPr>
          <w:rFonts w:hint="eastAsia" w:ascii="宋体" w:hAnsi="宋体" w:cs="宋体"/>
          <w:sz w:val="24"/>
        </w:rPr>
      </w:pPr>
      <w:r>
        <w:rPr>
          <w:rFonts w:hint="eastAsia" w:ascii="宋体" w:hAnsi="宋体" w:cs="宋体"/>
          <w:sz w:val="24"/>
        </w:rPr>
        <w:t>3.储存条件：2-8°C。</w:t>
      </w:r>
    </w:p>
    <w:p w14:paraId="49B09247">
      <w:pPr>
        <w:spacing w:line="360" w:lineRule="auto"/>
        <w:ind w:firstLine="482" w:firstLineChars="200"/>
        <w:rPr>
          <w:rFonts w:hint="eastAsia" w:ascii="宋体" w:hAnsi="宋体" w:cs="宋体"/>
          <w:b/>
          <w:bCs/>
          <w:sz w:val="24"/>
        </w:rPr>
      </w:pPr>
      <w:r>
        <w:rPr>
          <w:rFonts w:hint="eastAsia" w:ascii="宋体" w:hAnsi="宋体" w:cs="宋体"/>
          <w:b/>
          <w:bCs/>
          <w:sz w:val="24"/>
        </w:rPr>
        <w:t>标的名称153：血细胞分析用染色液(网织红细胞)</w:t>
      </w:r>
    </w:p>
    <w:p w14:paraId="15E87CD8">
      <w:pPr>
        <w:spacing w:line="360" w:lineRule="auto"/>
        <w:ind w:firstLine="480" w:firstLineChars="200"/>
        <w:rPr>
          <w:rFonts w:hint="eastAsia" w:ascii="宋体" w:hAnsi="宋体" w:cs="宋体"/>
          <w:sz w:val="24"/>
        </w:rPr>
      </w:pPr>
      <w:r>
        <w:rPr>
          <w:rFonts w:hint="eastAsia" w:ascii="宋体" w:hAnsi="宋体" w:cs="宋体"/>
          <w:sz w:val="24"/>
        </w:rPr>
        <w:t>1.用途：用于对已稀释的血液样本中的网织红细胞进行染色，以便用全自动血液分析仪测定血液中的网织红细胞数、网织红细胞百分数和血小板数。</w:t>
      </w:r>
    </w:p>
    <w:p w14:paraId="130A3626">
      <w:pPr>
        <w:spacing w:line="360" w:lineRule="auto"/>
        <w:ind w:firstLine="480" w:firstLineChars="200"/>
        <w:rPr>
          <w:rFonts w:hint="eastAsia" w:ascii="宋体" w:hAnsi="宋体" w:cs="宋体"/>
          <w:sz w:val="24"/>
        </w:rPr>
      </w:pPr>
      <w:r>
        <w:rPr>
          <w:rFonts w:hint="eastAsia" w:ascii="宋体" w:hAnsi="宋体" w:cs="宋体"/>
          <w:sz w:val="24"/>
        </w:rPr>
        <w:t>2.主要组成成份：聚甲烯次甲基荧光染料，甲醇，乙二醇。</w:t>
      </w:r>
    </w:p>
    <w:p w14:paraId="09CC14D1">
      <w:pPr>
        <w:spacing w:line="360" w:lineRule="auto"/>
        <w:ind w:firstLine="480" w:firstLineChars="200"/>
        <w:rPr>
          <w:rFonts w:hint="eastAsia" w:ascii="宋体" w:hAnsi="宋体" w:cs="宋体"/>
          <w:sz w:val="24"/>
        </w:rPr>
      </w:pPr>
      <w:r>
        <w:rPr>
          <w:rFonts w:hint="eastAsia" w:ascii="宋体" w:hAnsi="宋体" w:cs="宋体"/>
          <w:sz w:val="24"/>
        </w:rPr>
        <w:t>3.储存条件及有效期：</w:t>
      </w:r>
    </w:p>
    <w:p w14:paraId="75475490">
      <w:pPr>
        <w:spacing w:line="360" w:lineRule="auto"/>
        <w:ind w:firstLine="480" w:firstLineChars="200"/>
        <w:rPr>
          <w:rFonts w:hint="eastAsia" w:ascii="宋体" w:hAnsi="宋体" w:cs="宋体"/>
          <w:sz w:val="24"/>
        </w:rPr>
      </w:pPr>
      <w:r>
        <w:rPr>
          <w:rFonts w:hint="eastAsia" w:ascii="宋体" w:hAnsi="宋体" w:cs="宋体"/>
          <w:sz w:val="24"/>
        </w:rPr>
        <w:t>3.1未开封有效期为自生产之日起，避光保存于2-30℃时，可保存12个月。</w:t>
      </w:r>
    </w:p>
    <w:p w14:paraId="4C8412D2">
      <w:pPr>
        <w:spacing w:line="360" w:lineRule="auto"/>
        <w:ind w:firstLine="480" w:firstLineChars="200"/>
        <w:rPr>
          <w:rFonts w:hint="eastAsia" w:ascii="宋体" w:hAnsi="宋体" w:cs="宋体"/>
          <w:sz w:val="24"/>
        </w:rPr>
      </w:pPr>
      <w:r>
        <w:rPr>
          <w:rFonts w:hint="eastAsia" w:ascii="宋体" w:hAnsi="宋体" w:cs="宋体"/>
          <w:sz w:val="24"/>
        </w:rPr>
        <w:t>3.2一旦开启并且安装到仪器上，则在90天内性质稳定。</w:t>
      </w:r>
    </w:p>
    <w:p w14:paraId="01D2DB88">
      <w:pPr>
        <w:spacing w:line="360" w:lineRule="auto"/>
        <w:ind w:firstLine="482" w:firstLineChars="200"/>
        <w:rPr>
          <w:rFonts w:hint="eastAsia" w:ascii="宋体" w:hAnsi="宋体" w:cs="宋体"/>
          <w:b/>
          <w:bCs/>
          <w:sz w:val="24"/>
        </w:rPr>
      </w:pPr>
      <w:r>
        <w:rPr>
          <w:rFonts w:hint="eastAsia" w:ascii="宋体" w:hAnsi="宋体" w:cs="宋体"/>
          <w:b/>
          <w:bCs/>
          <w:sz w:val="24"/>
        </w:rPr>
        <w:t>标的名称154：尿液分析物质控品</w:t>
      </w:r>
    </w:p>
    <w:p w14:paraId="113CB0B3">
      <w:pPr>
        <w:spacing w:line="360" w:lineRule="auto"/>
        <w:ind w:firstLine="480" w:firstLineChars="200"/>
        <w:rPr>
          <w:rFonts w:hint="eastAsia" w:ascii="宋体" w:hAnsi="宋体" w:cs="宋体"/>
          <w:sz w:val="24"/>
        </w:rPr>
      </w:pPr>
      <w:r>
        <w:rPr>
          <w:rFonts w:hint="eastAsia" w:ascii="宋体" w:hAnsi="宋体" w:cs="宋体"/>
          <w:sz w:val="24"/>
        </w:rPr>
        <w:t>1.用途：尿液分析物质控品用于监测实验室测定过程的精密度。</w:t>
      </w:r>
    </w:p>
    <w:p w14:paraId="605370A9">
      <w:pPr>
        <w:spacing w:line="360" w:lineRule="auto"/>
        <w:ind w:firstLine="480" w:firstLineChars="200"/>
        <w:rPr>
          <w:rFonts w:hint="eastAsia" w:ascii="宋体" w:hAnsi="宋体" w:cs="宋体"/>
          <w:sz w:val="24"/>
        </w:rPr>
      </w:pPr>
      <w:r>
        <w:rPr>
          <w:rFonts w:hint="eastAsia" w:ascii="宋体" w:hAnsi="宋体" w:cs="宋体"/>
          <w:sz w:val="24"/>
        </w:rPr>
        <w:t>2.所监测的项目：胆红素，潜血，葡萄糖，酮体白细胞，亚硝酸盐，pH，总蛋白，比重，尿胆原，尿沉渣(白细胞、红细胞，结晶和管型)。</w:t>
      </w:r>
    </w:p>
    <w:p w14:paraId="7C15E59F">
      <w:pPr>
        <w:spacing w:line="360" w:lineRule="auto"/>
        <w:ind w:firstLine="480" w:firstLineChars="200"/>
        <w:rPr>
          <w:rFonts w:hint="eastAsia" w:ascii="宋体" w:hAnsi="宋体" w:cs="宋体"/>
          <w:sz w:val="24"/>
        </w:rPr>
      </w:pPr>
      <w:r>
        <w:rPr>
          <w:rFonts w:hint="eastAsia" w:ascii="宋体" w:hAnsi="宋体" w:cs="宋体"/>
          <w:sz w:val="24"/>
        </w:rPr>
        <w:t>3.储存条件及有效期；2至8℃保存,有效期≥1年。</w:t>
      </w:r>
    </w:p>
    <w:p w14:paraId="6F1709FB">
      <w:pPr>
        <w:spacing w:line="360" w:lineRule="auto"/>
        <w:ind w:firstLine="482" w:firstLineChars="200"/>
        <w:rPr>
          <w:rFonts w:hint="eastAsia" w:ascii="宋体" w:hAnsi="宋体" w:cs="宋体"/>
          <w:b/>
          <w:bCs/>
          <w:sz w:val="24"/>
        </w:rPr>
      </w:pPr>
      <w:r>
        <w:rPr>
          <w:rFonts w:hint="eastAsia" w:ascii="宋体" w:hAnsi="宋体" w:cs="宋体"/>
          <w:b/>
          <w:bCs/>
          <w:sz w:val="24"/>
        </w:rPr>
        <w:t>标的名称155：化学清洗液</w:t>
      </w:r>
    </w:p>
    <w:p w14:paraId="61E6E0E3">
      <w:pPr>
        <w:spacing w:line="360" w:lineRule="auto"/>
        <w:ind w:firstLine="480" w:firstLineChars="200"/>
        <w:rPr>
          <w:rFonts w:hint="eastAsia" w:ascii="宋体" w:hAnsi="宋体" w:cs="宋体"/>
          <w:sz w:val="24"/>
        </w:rPr>
      </w:pPr>
      <w:r>
        <w:rPr>
          <w:rFonts w:hint="eastAsia" w:ascii="宋体" w:hAnsi="宋体" w:cs="宋体"/>
          <w:sz w:val="24"/>
        </w:rPr>
        <w:t>1.用途：用于全自动尿液分析仪检测过程中清洗管路</w:t>
      </w:r>
    </w:p>
    <w:p w14:paraId="714E444C">
      <w:pPr>
        <w:spacing w:line="360" w:lineRule="auto"/>
        <w:ind w:firstLine="480" w:firstLineChars="200"/>
        <w:rPr>
          <w:rFonts w:hint="eastAsia" w:ascii="宋体" w:hAnsi="宋体" w:cs="宋体"/>
          <w:sz w:val="24"/>
        </w:rPr>
      </w:pPr>
      <w:r>
        <w:rPr>
          <w:rFonts w:hint="eastAsia" w:ascii="宋体" w:hAnsi="宋体" w:cs="宋体"/>
          <w:sz w:val="24"/>
        </w:rPr>
        <w:t>2.储存条件及有效期：1℃~30℃，有效期：12个月。</w:t>
      </w:r>
    </w:p>
    <w:p w14:paraId="629EFDA9">
      <w:pPr>
        <w:spacing w:line="360" w:lineRule="auto"/>
        <w:ind w:firstLine="480" w:firstLineChars="200"/>
        <w:rPr>
          <w:rFonts w:hint="eastAsia" w:ascii="宋体" w:hAnsi="宋体" w:cs="宋体"/>
          <w:sz w:val="24"/>
        </w:rPr>
      </w:pPr>
      <w:r>
        <w:rPr>
          <w:rFonts w:hint="eastAsia" w:ascii="宋体" w:hAnsi="宋体" w:cs="宋体"/>
          <w:sz w:val="24"/>
        </w:rPr>
        <w:t>3.试剂组成成分：Triton X-100 1%。</w:t>
      </w:r>
    </w:p>
    <w:p w14:paraId="08762586">
      <w:pPr>
        <w:spacing w:line="360" w:lineRule="auto"/>
        <w:ind w:firstLine="482" w:firstLineChars="200"/>
        <w:rPr>
          <w:rFonts w:hint="eastAsia" w:ascii="宋体" w:hAnsi="宋体" w:cs="宋体"/>
          <w:b/>
          <w:bCs/>
          <w:sz w:val="24"/>
        </w:rPr>
      </w:pPr>
      <w:r>
        <w:rPr>
          <w:rFonts w:hint="eastAsia" w:ascii="宋体" w:hAnsi="宋体" w:cs="宋体"/>
          <w:b/>
          <w:bCs/>
          <w:sz w:val="24"/>
        </w:rPr>
        <w:t>标的名称156：尿液分析试纸条</w:t>
      </w:r>
    </w:p>
    <w:p w14:paraId="378A3316">
      <w:pPr>
        <w:spacing w:line="360" w:lineRule="auto"/>
        <w:ind w:firstLine="480" w:firstLineChars="200"/>
        <w:rPr>
          <w:rFonts w:hint="eastAsia" w:ascii="宋体" w:hAnsi="宋体" w:cs="宋体"/>
          <w:sz w:val="24"/>
        </w:rPr>
      </w:pPr>
      <w:r>
        <w:rPr>
          <w:rFonts w:hint="eastAsia" w:ascii="宋体" w:hAnsi="宋体" w:cs="宋体"/>
          <w:sz w:val="24"/>
        </w:rPr>
        <w:t>1.用途：对尿液中的葡萄糖、蛋白质、胆红素、尿胆原、pH、比重、潜血、酮体、亚硝酸盐、白细胞进行半定量检查。</w:t>
      </w:r>
    </w:p>
    <w:p w14:paraId="4BD6AFAE">
      <w:pPr>
        <w:spacing w:line="360" w:lineRule="auto"/>
        <w:ind w:firstLine="480" w:firstLineChars="200"/>
        <w:rPr>
          <w:rFonts w:hint="eastAsia" w:ascii="宋体" w:hAnsi="宋体" w:cs="宋体"/>
          <w:sz w:val="24"/>
        </w:rPr>
      </w:pPr>
      <w:r>
        <w:rPr>
          <w:rFonts w:hint="eastAsia" w:ascii="宋体" w:hAnsi="宋体" w:cs="宋体"/>
          <w:sz w:val="24"/>
        </w:rPr>
        <w:t>2.储存条件及有效期；保存条件：避光保存（1℃～30℃）。有效期：2 年。</w:t>
      </w:r>
    </w:p>
    <w:p w14:paraId="061E7424">
      <w:pPr>
        <w:spacing w:line="360" w:lineRule="auto"/>
        <w:ind w:firstLine="482" w:firstLineChars="200"/>
        <w:rPr>
          <w:rFonts w:hint="eastAsia" w:ascii="宋体" w:hAnsi="宋体" w:cs="宋体"/>
          <w:b/>
          <w:bCs/>
          <w:sz w:val="24"/>
        </w:rPr>
      </w:pPr>
      <w:r>
        <w:rPr>
          <w:rFonts w:hint="eastAsia" w:ascii="宋体" w:hAnsi="宋体" w:cs="宋体"/>
          <w:b/>
          <w:bCs/>
          <w:sz w:val="24"/>
        </w:rPr>
        <w:t>标的名称157：糖化血红蛋白溶血剂</w:t>
      </w:r>
    </w:p>
    <w:p w14:paraId="595A38F5">
      <w:pPr>
        <w:spacing w:line="360" w:lineRule="auto"/>
        <w:ind w:firstLine="480" w:firstLineChars="200"/>
        <w:rPr>
          <w:rFonts w:hint="eastAsia" w:ascii="宋体" w:hAnsi="宋体" w:cs="宋体"/>
          <w:sz w:val="24"/>
        </w:rPr>
      </w:pPr>
      <w:r>
        <w:rPr>
          <w:rFonts w:hint="eastAsia" w:ascii="宋体" w:hAnsi="宋体" w:cs="宋体"/>
          <w:sz w:val="24"/>
        </w:rPr>
        <w:t>1.用途：用于糖化血红蛋白检测时的血液样本前处理。</w:t>
      </w:r>
    </w:p>
    <w:p w14:paraId="7547EB76">
      <w:pPr>
        <w:spacing w:line="360" w:lineRule="auto"/>
        <w:ind w:firstLine="480" w:firstLineChars="200"/>
        <w:rPr>
          <w:rFonts w:hint="eastAsia" w:ascii="宋体" w:hAnsi="宋体" w:cs="宋体"/>
          <w:sz w:val="24"/>
        </w:rPr>
      </w:pPr>
      <w:r>
        <w:rPr>
          <w:rFonts w:hint="eastAsia" w:ascii="宋体" w:hAnsi="宋体" w:cs="宋体"/>
          <w:sz w:val="24"/>
        </w:rPr>
        <w:t xml:space="preserve">2.储存条件及有效期；保存条件：避光保存（4℃～30℃）。有效期：24个月。                 </w:t>
      </w:r>
    </w:p>
    <w:p w14:paraId="6321139D">
      <w:pPr>
        <w:spacing w:line="360" w:lineRule="auto"/>
        <w:ind w:firstLine="480" w:firstLineChars="200"/>
        <w:rPr>
          <w:rFonts w:hint="eastAsia" w:ascii="宋体" w:hAnsi="宋体" w:cs="宋体"/>
          <w:sz w:val="24"/>
        </w:rPr>
      </w:pPr>
      <w:r>
        <w:rPr>
          <w:rFonts w:hint="eastAsia" w:ascii="宋体" w:hAnsi="宋体" w:cs="宋体"/>
          <w:sz w:val="24"/>
        </w:rPr>
        <w:t>3.主要组成成分：去离子水、EDTA、Triton X。</w:t>
      </w:r>
    </w:p>
    <w:p w14:paraId="06FA50B8">
      <w:pPr>
        <w:spacing w:line="360" w:lineRule="auto"/>
        <w:ind w:firstLine="482" w:firstLineChars="200"/>
        <w:rPr>
          <w:rFonts w:hint="eastAsia" w:ascii="宋体" w:hAnsi="宋体" w:cs="宋体"/>
          <w:b/>
          <w:bCs/>
          <w:sz w:val="24"/>
        </w:rPr>
      </w:pPr>
      <w:r>
        <w:rPr>
          <w:rFonts w:hint="eastAsia" w:ascii="宋体" w:hAnsi="宋体" w:cs="宋体"/>
          <w:b/>
          <w:bCs/>
          <w:sz w:val="24"/>
        </w:rPr>
        <w:t>标的名称158：糖化血红蛋白校准品</w:t>
      </w:r>
    </w:p>
    <w:p w14:paraId="4BF75EC9">
      <w:pPr>
        <w:spacing w:line="360" w:lineRule="auto"/>
        <w:ind w:firstLine="480" w:firstLineChars="200"/>
        <w:rPr>
          <w:rFonts w:hint="eastAsia" w:ascii="宋体" w:hAnsi="宋体" w:cs="宋体"/>
          <w:sz w:val="24"/>
        </w:rPr>
      </w:pPr>
      <w:r>
        <w:rPr>
          <w:rFonts w:hint="eastAsia" w:ascii="宋体" w:hAnsi="宋体" w:cs="宋体"/>
          <w:sz w:val="24"/>
        </w:rPr>
        <w:t>1.用途：用于糖化血红蛋白分析仪进行校准。</w:t>
      </w:r>
    </w:p>
    <w:p w14:paraId="6BFC2AD8">
      <w:pPr>
        <w:spacing w:line="360" w:lineRule="auto"/>
        <w:ind w:firstLine="480" w:firstLineChars="200"/>
        <w:rPr>
          <w:rFonts w:hint="eastAsia" w:ascii="宋体" w:hAnsi="宋体" w:cs="宋体"/>
          <w:sz w:val="24"/>
        </w:rPr>
      </w:pPr>
      <w:r>
        <w:rPr>
          <w:rFonts w:hint="eastAsia" w:ascii="宋体" w:hAnsi="宋体" w:cs="宋体"/>
          <w:sz w:val="24"/>
        </w:rPr>
        <w:t>2.储存条件及有效期；保存条件：避光保存（2℃～8℃）。有效期：未开封24个月。</w:t>
      </w:r>
    </w:p>
    <w:p w14:paraId="44049AE7">
      <w:pPr>
        <w:spacing w:line="360" w:lineRule="auto"/>
        <w:ind w:firstLine="480" w:firstLineChars="200"/>
        <w:rPr>
          <w:rFonts w:hint="eastAsia" w:ascii="宋体" w:hAnsi="宋体" w:cs="宋体"/>
          <w:sz w:val="24"/>
        </w:rPr>
      </w:pPr>
      <w:r>
        <w:rPr>
          <w:rFonts w:hint="eastAsia" w:ascii="宋体" w:hAnsi="宋体" w:cs="宋体"/>
          <w:sz w:val="24"/>
        </w:rPr>
        <w:t>3.主要组成成分：含人体血液的冻干品。</w:t>
      </w:r>
    </w:p>
    <w:p w14:paraId="7FB76243">
      <w:pPr>
        <w:spacing w:line="360" w:lineRule="auto"/>
        <w:ind w:firstLine="482" w:firstLineChars="200"/>
        <w:rPr>
          <w:rFonts w:hint="eastAsia" w:ascii="宋体" w:hAnsi="宋体" w:cs="宋体"/>
          <w:b/>
          <w:bCs/>
          <w:sz w:val="24"/>
        </w:rPr>
      </w:pPr>
      <w:r>
        <w:rPr>
          <w:rFonts w:hint="eastAsia" w:ascii="宋体" w:hAnsi="宋体" w:cs="宋体"/>
          <w:b/>
          <w:bCs/>
          <w:sz w:val="24"/>
        </w:rPr>
        <w:t>标的名称159：糖化血红蛋白质控品</w:t>
      </w:r>
    </w:p>
    <w:p w14:paraId="39419615">
      <w:pPr>
        <w:spacing w:line="360" w:lineRule="auto"/>
        <w:ind w:firstLine="480" w:firstLineChars="200"/>
        <w:rPr>
          <w:rFonts w:hint="eastAsia" w:ascii="宋体" w:hAnsi="宋体" w:cs="宋体"/>
          <w:sz w:val="24"/>
        </w:rPr>
      </w:pPr>
      <w:r>
        <w:rPr>
          <w:rFonts w:hint="eastAsia" w:ascii="宋体" w:hAnsi="宋体" w:cs="宋体"/>
          <w:sz w:val="24"/>
        </w:rPr>
        <w:t>1.用途：用于糖化血红蛋白分析仪上的糖化血红蛋白检测的质量控制。</w:t>
      </w:r>
    </w:p>
    <w:p w14:paraId="24277348">
      <w:pPr>
        <w:spacing w:line="360" w:lineRule="auto"/>
        <w:ind w:firstLine="480" w:firstLineChars="200"/>
        <w:rPr>
          <w:rFonts w:hint="eastAsia" w:ascii="宋体" w:hAnsi="宋体" w:cs="宋体"/>
          <w:sz w:val="24"/>
        </w:rPr>
      </w:pPr>
      <w:r>
        <w:rPr>
          <w:rFonts w:hint="eastAsia" w:ascii="宋体" w:hAnsi="宋体" w:cs="宋体"/>
          <w:sz w:val="24"/>
        </w:rPr>
        <w:t>2.储存条件及有效期；保存条件：避光保存（2℃～8℃）。有效期：未开封24个月。</w:t>
      </w:r>
    </w:p>
    <w:p w14:paraId="187E47DB">
      <w:pPr>
        <w:spacing w:line="360" w:lineRule="auto"/>
        <w:ind w:firstLine="480" w:firstLineChars="200"/>
        <w:rPr>
          <w:rFonts w:hint="eastAsia" w:ascii="宋体" w:hAnsi="宋体" w:cs="宋体"/>
          <w:sz w:val="24"/>
        </w:rPr>
      </w:pPr>
      <w:r>
        <w:rPr>
          <w:rFonts w:hint="eastAsia" w:ascii="宋体" w:hAnsi="宋体" w:cs="宋体"/>
          <w:sz w:val="24"/>
        </w:rPr>
        <w:t>3.主要组成成分：含人血细胞纯化制备的冻干品。</w:t>
      </w:r>
    </w:p>
    <w:p w14:paraId="3F9766F6">
      <w:pPr>
        <w:spacing w:line="360" w:lineRule="auto"/>
        <w:ind w:firstLine="482" w:firstLineChars="200"/>
        <w:rPr>
          <w:rFonts w:hint="eastAsia" w:ascii="宋体" w:hAnsi="宋体" w:cs="宋体"/>
          <w:b/>
          <w:bCs/>
          <w:sz w:val="24"/>
        </w:rPr>
      </w:pPr>
      <w:r>
        <w:rPr>
          <w:rFonts w:hint="eastAsia" w:ascii="宋体" w:hAnsi="宋体" w:cs="宋体"/>
          <w:b/>
          <w:bCs/>
          <w:sz w:val="24"/>
        </w:rPr>
        <w:t>标的名称160：全自动糖化血红蛋白分析仪过滤器</w:t>
      </w:r>
    </w:p>
    <w:p w14:paraId="2E55D35E">
      <w:pPr>
        <w:spacing w:line="360" w:lineRule="auto"/>
        <w:ind w:firstLine="480" w:firstLineChars="200"/>
        <w:rPr>
          <w:rFonts w:hint="eastAsia" w:ascii="宋体" w:hAnsi="宋体" w:cs="宋体"/>
          <w:sz w:val="24"/>
        </w:rPr>
      </w:pPr>
      <w:r>
        <w:rPr>
          <w:rFonts w:hint="eastAsia" w:ascii="宋体" w:hAnsi="宋体" w:cs="宋体"/>
          <w:sz w:val="24"/>
        </w:rPr>
        <w:t>1.用途：用于体外定量检测人全血样本中的糖化血红蛋白含量。</w:t>
      </w:r>
    </w:p>
    <w:p w14:paraId="2D9A9B7C">
      <w:pPr>
        <w:spacing w:line="360" w:lineRule="auto"/>
        <w:ind w:firstLine="480" w:firstLineChars="200"/>
        <w:rPr>
          <w:rFonts w:hint="eastAsia" w:ascii="宋体" w:hAnsi="宋体" w:cs="宋体"/>
          <w:sz w:val="24"/>
        </w:rPr>
      </w:pPr>
      <w:r>
        <w:rPr>
          <w:rFonts w:hint="eastAsia" w:ascii="宋体" w:hAnsi="宋体" w:cs="宋体"/>
          <w:sz w:val="24"/>
        </w:rPr>
        <w:t>2.储存条件及有效期；保存条件：避光保存（4℃～30℃）。有效期：24个月。</w:t>
      </w:r>
    </w:p>
    <w:p w14:paraId="1F4BB1D3">
      <w:pPr>
        <w:spacing w:line="360" w:lineRule="auto"/>
        <w:ind w:firstLine="482" w:firstLineChars="200"/>
        <w:rPr>
          <w:rFonts w:hint="eastAsia" w:ascii="宋体" w:hAnsi="宋体" w:cs="宋体"/>
          <w:b/>
          <w:bCs/>
          <w:sz w:val="24"/>
        </w:rPr>
      </w:pPr>
      <w:r>
        <w:rPr>
          <w:rFonts w:hint="eastAsia" w:ascii="宋体" w:hAnsi="宋体" w:cs="宋体"/>
          <w:b/>
          <w:bCs/>
          <w:sz w:val="24"/>
        </w:rPr>
        <w:t>标的名称161：全自动糖化血红蛋白分析仪层析柱</w:t>
      </w:r>
    </w:p>
    <w:p w14:paraId="35F1B3F6">
      <w:pPr>
        <w:spacing w:line="360" w:lineRule="auto"/>
        <w:ind w:firstLine="480" w:firstLineChars="200"/>
        <w:rPr>
          <w:rFonts w:hint="eastAsia" w:ascii="宋体" w:hAnsi="宋体" w:cs="宋体"/>
          <w:sz w:val="24"/>
        </w:rPr>
      </w:pPr>
      <w:r>
        <w:rPr>
          <w:rFonts w:hint="eastAsia" w:ascii="宋体" w:hAnsi="宋体" w:cs="宋体"/>
          <w:sz w:val="24"/>
        </w:rPr>
        <w:t>1.用途：用于体外定量检测人全血样本中的糖化血红蛋白含量。</w:t>
      </w:r>
    </w:p>
    <w:p w14:paraId="1491A2B6">
      <w:pPr>
        <w:spacing w:line="360" w:lineRule="auto"/>
        <w:ind w:firstLine="480" w:firstLineChars="200"/>
        <w:rPr>
          <w:rFonts w:hint="eastAsia" w:ascii="宋体" w:hAnsi="宋体" w:cs="宋体"/>
          <w:sz w:val="24"/>
        </w:rPr>
      </w:pPr>
      <w:r>
        <w:rPr>
          <w:rFonts w:hint="eastAsia" w:ascii="宋体" w:hAnsi="宋体" w:cs="宋体"/>
          <w:sz w:val="24"/>
        </w:rPr>
        <w:t>2.储存条件及有效期；保存条件：避光保存（4℃～15℃）。有效期：24个月。</w:t>
      </w:r>
    </w:p>
    <w:p w14:paraId="321BD864">
      <w:pPr>
        <w:spacing w:line="360" w:lineRule="auto"/>
        <w:ind w:firstLine="480" w:firstLineChars="200"/>
        <w:rPr>
          <w:rFonts w:hint="eastAsia" w:ascii="宋体" w:hAnsi="宋体" w:cs="宋体"/>
          <w:sz w:val="24"/>
        </w:rPr>
      </w:pPr>
      <w:r>
        <w:rPr>
          <w:rFonts w:hint="eastAsia" w:ascii="宋体" w:hAnsi="宋体" w:cs="宋体"/>
          <w:sz w:val="24"/>
        </w:rPr>
        <w:t>3.层析柱由两端的固定塞、柱体和柱体内的离子交换树脂聚合物组成。</w:t>
      </w:r>
    </w:p>
    <w:p w14:paraId="7149379C">
      <w:pPr>
        <w:spacing w:line="360" w:lineRule="auto"/>
        <w:ind w:firstLine="482" w:firstLineChars="200"/>
        <w:rPr>
          <w:rFonts w:hint="eastAsia" w:ascii="宋体" w:hAnsi="宋体" w:cs="宋体"/>
          <w:b/>
          <w:bCs/>
          <w:sz w:val="24"/>
        </w:rPr>
      </w:pPr>
      <w:r>
        <w:rPr>
          <w:rFonts w:hint="eastAsia" w:ascii="宋体" w:hAnsi="宋体" w:cs="宋体"/>
          <w:b/>
          <w:bCs/>
          <w:sz w:val="24"/>
        </w:rPr>
        <w:t>标的名称162：全自动糖化血红蛋白分析仪洗脱缓冲液1</w:t>
      </w:r>
    </w:p>
    <w:p w14:paraId="20E76039">
      <w:pPr>
        <w:spacing w:line="360" w:lineRule="auto"/>
        <w:ind w:firstLine="480" w:firstLineChars="200"/>
        <w:rPr>
          <w:rFonts w:hint="eastAsia" w:ascii="宋体" w:hAnsi="宋体" w:cs="宋体"/>
          <w:sz w:val="24"/>
        </w:rPr>
      </w:pPr>
      <w:r>
        <w:rPr>
          <w:rFonts w:hint="eastAsia" w:ascii="宋体" w:hAnsi="宋体" w:cs="宋体"/>
          <w:sz w:val="24"/>
        </w:rPr>
        <w:t>1.用途：本产品用于体外定量检测人全血样本中的糖化血红蛋白含量。</w:t>
      </w:r>
    </w:p>
    <w:p w14:paraId="67632A9E">
      <w:pPr>
        <w:spacing w:line="360" w:lineRule="auto"/>
        <w:ind w:firstLine="480" w:firstLineChars="200"/>
        <w:rPr>
          <w:rFonts w:hint="eastAsia" w:ascii="宋体" w:hAnsi="宋体" w:cs="宋体"/>
          <w:sz w:val="24"/>
        </w:rPr>
      </w:pPr>
      <w:r>
        <w:rPr>
          <w:rFonts w:hint="eastAsia" w:ascii="宋体" w:hAnsi="宋体" w:cs="宋体"/>
          <w:sz w:val="24"/>
        </w:rPr>
        <w:t>2.储存条件及有效期：</w:t>
      </w:r>
    </w:p>
    <w:p w14:paraId="6266ED47">
      <w:pPr>
        <w:spacing w:line="360" w:lineRule="auto"/>
        <w:ind w:firstLine="480" w:firstLineChars="200"/>
        <w:rPr>
          <w:rFonts w:hint="eastAsia" w:ascii="宋体" w:hAnsi="宋体" w:cs="宋体"/>
          <w:sz w:val="24"/>
        </w:rPr>
      </w:pPr>
      <w:r>
        <w:rPr>
          <w:rFonts w:hint="eastAsia" w:ascii="宋体" w:hAnsi="宋体" w:cs="宋体"/>
          <w:sz w:val="24"/>
        </w:rPr>
        <w:t>2.1保存条件：避光保存（4℃～30℃）。</w:t>
      </w:r>
    </w:p>
    <w:p w14:paraId="21A99CA1">
      <w:pPr>
        <w:spacing w:line="360" w:lineRule="auto"/>
        <w:ind w:firstLine="480" w:firstLineChars="200"/>
        <w:rPr>
          <w:rFonts w:hint="eastAsia" w:ascii="宋体" w:hAnsi="宋体" w:cs="宋体"/>
          <w:sz w:val="24"/>
        </w:rPr>
      </w:pPr>
      <w:r>
        <w:rPr>
          <w:rFonts w:hint="eastAsia" w:ascii="宋体" w:hAnsi="宋体" w:cs="宋体"/>
          <w:sz w:val="24"/>
        </w:rPr>
        <w:t>2.2有效期：24个月。</w:t>
      </w:r>
    </w:p>
    <w:p w14:paraId="02EA8C2E">
      <w:pPr>
        <w:spacing w:line="360" w:lineRule="auto"/>
        <w:ind w:firstLine="480" w:firstLineChars="200"/>
        <w:rPr>
          <w:rFonts w:hint="eastAsia" w:ascii="宋体" w:hAnsi="宋体" w:cs="宋体"/>
          <w:sz w:val="24"/>
        </w:rPr>
      </w:pPr>
      <w:r>
        <w:rPr>
          <w:rFonts w:hint="eastAsia" w:ascii="宋体" w:hAnsi="宋体" w:cs="宋体"/>
          <w:sz w:val="24"/>
        </w:rPr>
        <w:t>3.洗脱液为有机酸洗脱液，含小于0.05%的叠氮化钠作为防腐剂。</w:t>
      </w:r>
    </w:p>
    <w:p w14:paraId="7B108352">
      <w:pPr>
        <w:spacing w:line="360" w:lineRule="auto"/>
        <w:ind w:firstLine="482" w:firstLineChars="200"/>
        <w:rPr>
          <w:rFonts w:hint="eastAsia" w:ascii="宋体" w:hAnsi="宋体" w:cs="宋体"/>
          <w:b/>
          <w:bCs/>
          <w:sz w:val="24"/>
        </w:rPr>
      </w:pPr>
      <w:r>
        <w:rPr>
          <w:rFonts w:hint="eastAsia" w:ascii="宋体" w:hAnsi="宋体" w:cs="宋体"/>
          <w:b/>
          <w:bCs/>
          <w:sz w:val="24"/>
        </w:rPr>
        <w:t>标的名称163：全自动糖化血红蛋白分析仪洗脱缓冲液2</w:t>
      </w:r>
    </w:p>
    <w:p w14:paraId="438ACCFD">
      <w:pPr>
        <w:spacing w:line="360" w:lineRule="auto"/>
        <w:ind w:firstLine="480" w:firstLineChars="200"/>
        <w:rPr>
          <w:rFonts w:hint="eastAsia" w:ascii="宋体" w:hAnsi="宋体" w:cs="宋体"/>
          <w:sz w:val="24"/>
        </w:rPr>
      </w:pPr>
      <w:r>
        <w:rPr>
          <w:rFonts w:hint="eastAsia" w:ascii="宋体" w:hAnsi="宋体" w:cs="宋体"/>
          <w:sz w:val="24"/>
        </w:rPr>
        <w:t>1.用途：用于体外定量检测人全血样本中的糖化血红蛋白含量。</w:t>
      </w:r>
    </w:p>
    <w:p w14:paraId="3EE6DB8E">
      <w:pPr>
        <w:spacing w:line="360" w:lineRule="auto"/>
        <w:ind w:firstLine="480" w:firstLineChars="200"/>
        <w:rPr>
          <w:rFonts w:hint="eastAsia" w:ascii="宋体" w:hAnsi="宋体" w:cs="宋体"/>
          <w:sz w:val="24"/>
        </w:rPr>
      </w:pPr>
      <w:r>
        <w:rPr>
          <w:rFonts w:hint="eastAsia" w:ascii="宋体" w:hAnsi="宋体" w:cs="宋体"/>
          <w:sz w:val="24"/>
        </w:rPr>
        <w:t>2.储存条件及有效期：</w:t>
      </w:r>
    </w:p>
    <w:p w14:paraId="3981A1AA">
      <w:pPr>
        <w:spacing w:line="360" w:lineRule="auto"/>
        <w:ind w:firstLine="480" w:firstLineChars="200"/>
        <w:rPr>
          <w:rFonts w:hint="eastAsia" w:ascii="宋体" w:hAnsi="宋体" w:cs="宋体"/>
          <w:sz w:val="24"/>
        </w:rPr>
      </w:pPr>
      <w:r>
        <w:rPr>
          <w:rFonts w:hint="eastAsia" w:ascii="宋体" w:hAnsi="宋体" w:cs="宋体"/>
          <w:sz w:val="24"/>
        </w:rPr>
        <w:t>2.1保存条件：避光保存（4℃～30℃）。</w:t>
      </w:r>
    </w:p>
    <w:p w14:paraId="3D23D0BF">
      <w:pPr>
        <w:spacing w:line="360" w:lineRule="auto"/>
        <w:ind w:firstLine="480" w:firstLineChars="200"/>
        <w:rPr>
          <w:rFonts w:hint="eastAsia" w:ascii="宋体" w:hAnsi="宋体" w:cs="宋体"/>
          <w:sz w:val="24"/>
        </w:rPr>
      </w:pPr>
      <w:r>
        <w:rPr>
          <w:rFonts w:hint="eastAsia" w:ascii="宋体" w:hAnsi="宋体" w:cs="宋体"/>
          <w:sz w:val="24"/>
        </w:rPr>
        <w:t xml:space="preserve">2.2有效期：24个月。 </w:t>
      </w:r>
    </w:p>
    <w:p w14:paraId="220C0EFF">
      <w:pPr>
        <w:spacing w:line="360" w:lineRule="auto"/>
        <w:ind w:firstLine="480" w:firstLineChars="200"/>
        <w:rPr>
          <w:rFonts w:hint="eastAsia" w:ascii="宋体" w:hAnsi="宋体" w:cs="宋体"/>
          <w:sz w:val="24"/>
        </w:rPr>
      </w:pPr>
      <w:r>
        <w:rPr>
          <w:rFonts w:hint="eastAsia" w:ascii="宋体" w:hAnsi="宋体" w:cs="宋体"/>
          <w:sz w:val="24"/>
        </w:rPr>
        <w:t>2.3洗脱液为有机酸洗脱液，含小于0.05%的叠氮化钠作为防腐剂。</w:t>
      </w:r>
    </w:p>
    <w:p w14:paraId="43A81DC9">
      <w:pPr>
        <w:spacing w:line="360" w:lineRule="auto"/>
        <w:ind w:firstLine="482" w:firstLineChars="200"/>
        <w:rPr>
          <w:rFonts w:hint="eastAsia" w:ascii="宋体" w:hAnsi="宋体" w:cs="宋体"/>
          <w:b/>
          <w:bCs/>
          <w:sz w:val="24"/>
        </w:rPr>
      </w:pPr>
      <w:r>
        <w:rPr>
          <w:rFonts w:hint="eastAsia" w:ascii="宋体" w:hAnsi="宋体" w:cs="宋体"/>
          <w:b/>
          <w:bCs/>
          <w:sz w:val="24"/>
        </w:rPr>
        <w:t>标的名称164：全自动糖化血红蛋白分析仪洗脱缓冲液3</w:t>
      </w:r>
    </w:p>
    <w:p w14:paraId="238B76FF">
      <w:pPr>
        <w:spacing w:line="360" w:lineRule="auto"/>
        <w:ind w:firstLine="480" w:firstLineChars="200"/>
        <w:rPr>
          <w:rFonts w:hint="eastAsia" w:ascii="宋体" w:hAnsi="宋体" w:cs="宋体"/>
          <w:sz w:val="24"/>
        </w:rPr>
      </w:pPr>
      <w:r>
        <w:rPr>
          <w:rFonts w:hint="eastAsia" w:ascii="宋体" w:hAnsi="宋体" w:cs="宋体"/>
          <w:sz w:val="24"/>
        </w:rPr>
        <w:t>1.用途：用于体外定量检测人全血样本中的糖化血红蛋白含量。</w:t>
      </w:r>
    </w:p>
    <w:p w14:paraId="3860D959">
      <w:pPr>
        <w:spacing w:line="360" w:lineRule="auto"/>
        <w:ind w:firstLine="480" w:firstLineChars="200"/>
        <w:rPr>
          <w:rFonts w:hint="eastAsia" w:ascii="宋体" w:hAnsi="宋体" w:cs="宋体"/>
          <w:sz w:val="24"/>
        </w:rPr>
      </w:pPr>
      <w:r>
        <w:rPr>
          <w:rFonts w:hint="eastAsia" w:ascii="宋体" w:hAnsi="宋体" w:cs="宋体"/>
          <w:sz w:val="24"/>
        </w:rPr>
        <w:t>2.储存条件及有效期：</w:t>
      </w:r>
    </w:p>
    <w:p w14:paraId="767EF476">
      <w:pPr>
        <w:spacing w:line="360" w:lineRule="auto"/>
        <w:ind w:firstLine="480" w:firstLineChars="200"/>
        <w:rPr>
          <w:rFonts w:hint="eastAsia" w:ascii="宋体" w:hAnsi="宋体" w:cs="宋体"/>
          <w:sz w:val="24"/>
        </w:rPr>
      </w:pPr>
      <w:r>
        <w:rPr>
          <w:rFonts w:hint="eastAsia" w:ascii="宋体" w:hAnsi="宋体" w:cs="宋体"/>
          <w:sz w:val="24"/>
        </w:rPr>
        <w:t>2.1保存条件：避光保存（4℃～30℃）。</w:t>
      </w:r>
    </w:p>
    <w:p w14:paraId="7F75377E">
      <w:pPr>
        <w:spacing w:line="360" w:lineRule="auto"/>
        <w:ind w:firstLine="480" w:firstLineChars="200"/>
        <w:rPr>
          <w:rFonts w:hint="eastAsia" w:ascii="宋体" w:hAnsi="宋体" w:cs="宋体"/>
          <w:sz w:val="24"/>
        </w:rPr>
      </w:pPr>
      <w:r>
        <w:rPr>
          <w:rFonts w:hint="eastAsia" w:ascii="宋体" w:hAnsi="宋体" w:cs="宋体"/>
          <w:sz w:val="24"/>
        </w:rPr>
        <w:t>2.2有效期：24个月。</w:t>
      </w:r>
    </w:p>
    <w:p w14:paraId="4EDEDAE1">
      <w:pPr>
        <w:spacing w:line="360" w:lineRule="auto"/>
        <w:ind w:firstLine="480" w:firstLineChars="200"/>
        <w:rPr>
          <w:rFonts w:hint="eastAsia" w:ascii="宋体" w:hAnsi="宋体" w:cs="宋体"/>
          <w:sz w:val="24"/>
        </w:rPr>
      </w:pPr>
      <w:r>
        <w:rPr>
          <w:rFonts w:hint="eastAsia" w:ascii="宋体" w:hAnsi="宋体" w:cs="宋体"/>
          <w:sz w:val="24"/>
        </w:rPr>
        <w:t>3.洗脱液为有机酸洗脱液，含小于0.05%的叠氮化钠作为防腐剂。</w:t>
      </w:r>
    </w:p>
    <w:p w14:paraId="567FB830">
      <w:pPr>
        <w:spacing w:line="360" w:lineRule="auto"/>
        <w:ind w:firstLine="482" w:firstLineChars="200"/>
        <w:rPr>
          <w:rFonts w:hint="eastAsia" w:ascii="宋体" w:hAnsi="宋体" w:cs="宋体"/>
          <w:b/>
          <w:bCs/>
          <w:sz w:val="24"/>
        </w:rPr>
      </w:pPr>
      <w:r>
        <w:rPr>
          <w:rFonts w:hint="eastAsia" w:ascii="宋体" w:hAnsi="宋体" w:cs="宋体"/>
          <w:b/>
          <w:bCs/>
          <w:sz w:val="24"/>
        </w:rPr>
        <w:t>标的名称165：尿核基质蛋白22（NMP22)测定</w:t>
      </w:r>
    </w:p>
    <w:p w14:paraId="7CC9EA17">
      <w:pPr>
        <w:spacing w:line="360" w:lineRule="auto"/>
        <w:ind w:firstLine="480" w:firstLineChars="200"/>
        <w:rPr>
          <w:rFonts w:hint="eastAsia" w:ascii="宋体" w:hAnsi="宋体" w:cs="宋体"/>
          <w:sz w:val="24"/>
        </w:rPr>
      </w:pPr>
      <w:r>
        <w:rPr>
          <w:rFonts w:hint="eastAsia" w:ascii="宋体" w:hAnsi="宋体" w:cs="宋体"/>
          <w:sz w:val="24"/>
        </w:rPr>
        <w:t>1用途：用于对具有膀胱癌风险因子或膀胱癌症状或者膀胱癌病史的病人尿液中核基质蛋白22进行定性测定。</w:t>
      </w:r>
    </w:p>
    <w:p w14:paraId="692680B2">
      <w:pPr>
        <w:spacing w:line="360" w:lineRule="auto"/>
        <w:ind w:firstLine="480" w:firstLineChars="200"/>
        <w:rPr>
          <w:rFonts w:hint="eastAsia" w:ascii="宋体" w:hAnsi="宋体" w:cs="宋体"/>
          <w:sz w:val="24"/>
        </w:rPr>
      </w:pPr>
      <w:r>
        <w:rPr>
          <w:rFonts w:hint="eastAsia" w:ascii="宋体" w:hAnsi="宋体" w:cs="宋体"/>
          <w:sz w:val="24"/>
        </w:rPr>
        <w:t>2.检测时间：不超过30分钟。</w:t>
      </w:r>
    </w:p>
    <w:p w14:paraId="05240EC0">
      <w:pPr>
        <w:spacing w:line="360" w:lineRule="auto"/>
        <w:ind w:firstLine="480" w:firstLineChars="200"/>
        <w:rPr>
          <w:rFonts w:hint="eastAsia" w:ascii="宋体" w:hAnsi="宋体" w:cs="宋体"/>
          <w:sz w:val="24"/>
        </w:rPr>
      </w:pPr>
      <w:r>
        <w:rPr>
          <w:rFonts w:hint="eastAsia" w:ascii="宋体" w:hAnsi="宋体" w:cs="宋体"/>
          <w:sz w:val="24"/>
        </w:rPr>
        <w:t>3.存储要求：试剂盒应存储在2-30℃条件下。</w:t>
      </w:r>
    </w:p>
    <w:p w14:paraId="5356864F">
      <w:pPr>
        <w:spacing w:line="360" w:lineRule="auto"/>
        <w:ind w:firstLine="482" w:firstLineChars="200"/>
        <w:rPr>
          <w:rFonts w:hint="eastAsia" w:ascii="宋体" w:hAnsi="宋体" w:cs="宋体"/>
          <w:b/>
          <w:bCs/>
          <w:sz w:val="24"/>
        </w:rPr>
      </w:pPr>
      <w:r>
        <w:rPr>
          <w:rFonts w:hint="eastAsia" w:ascii="宋体" w:hAnsi="宋体" w:cs="宋体"/>
          <w:b/>
          <w:bCs/>
          <w:sz w:val="24"/>
        </w:rPr>
        <w:t>标的名称166：人类免疫缺陷病毒抗体检测试剂盒（胶体金法）</w:t>
      </w:r>
    </w:p>
    <w:p w14:paraId="396B6522">
      <w:pPr>
        <w:spacing w:line="360" w:lineRule="auto"/>
        <w:ind w:firstLine="480" w:firstLineChars="200"/>
        <w:rPr>
          <w:rFonts w:hint="eastAsia" w:ascii="宋体" w:hAnsi="宋体" w:cs="宋体"/>
          <w:sz w:val="24"/>
        </w:rPr>
      </w:pPr>
      <w:r>
        <w:rPr>
          <w:rFonts w:hint="eastAsia" w:ascii="宋体" w:hAnsi="宋体" w:cs="宋体"/>
          <w:sz w:val="24"/>
        </w:rPr>
        <w:t>1.方法原理：免疫层析(胶体金法)</w:t>
      </w:r>
    </w:p>
    <w:p w14:paraId="68139A6C">
      <w:pPr>
        <w:spacing w:line="360" w:lineRule="auto"/>
        <w:ind w:firstLine="480" w:firstLineChars="200"/>
        <w:rPr>
          <w:rFonts w:hint="eastAsia" w:ascii="宋体" w:hAnsi="宋体" w:cs="宋体"/>
          <w:sz w:val="24"/>
        </w:rPr>
      </w:pPr>
      <w:r>
        <w:rPr>
          <w:rFonts w:hint="eastAsia" w:ascii="宋体" w:hAnsi="宋体" w:cs="宋体"/>
          <w:sz w:val="24"/>
        </w:rPr>
        <w:t>2.储存温度：2-30℃。</w:t>
      </w:r>
    </w:p>
    <w:p w14:paraId="53180F9A">
      <w:pPr>
        <w:spacing w:line="360" w:lineRule="auto"/>
        <w:ind w:firstLine="480" w:firstLineChars="200"/>
        <w:rPr>
          <w:rFonts w:hint="eastAsia" w:ascii="宋体" w:hAnsi="宋体" w:cs="宋体"/>
          <w:sz w:val="24"/>
        </w:rPr>
      </w:pPr>
      <w:r>
        <w:rPr>
          <w:rFonts w:hint="eastAsia" w:ascii="宋体" w:hAnsi="宋体" w:cs="宋体"/>
          <w:sz w:val="24"/>
        </w:rPr>
        <w:t>3.检测内容：可检测HIV-1型、HIV-2型抗体及0亚型抗体。</w:t>
      </w:r>
    </w:p>
    <w:p w14:paraId="5D1B7623">
      <w:pPr>
        <w:spacing w:line="360" w:lineRule="auto"/>
        <w:ind w:firstLine="482" w:firstLineChars="200"/>
        <w:rPr>
          <w:rFonts w:hint="eastAsia" w:ascii="宋体" w:hAnsi="宋体" w:cs="宋体"/>
          <w:b/>
          <w:bCs/>
          <w:sz w:val="24"/>
        </w:rPr>
      </w:pPr>
      <w:r>
        <w:rPr>
          <w:rFonts w:hint="eastAsia" w:ascii="宋体" w:hAnsi="宋体" w:cs="宋体"/>
          <w:b/>
          <w:bCs/>
          <w:sz w:val="24"/>
        </w:rPr>
        <w:t>标的名称167：抗D（lgM+lgG)血型定型试剂</w:t>
      </w:r>
    </w:p>
    <w:p w14:paraId="01900BD6">
      <w:pPr>
        <w:spacing w:line="360" w:lineRule="auto"/>
        <w:ind w:firstLine="480" w:firstLineChars="200"/>
        <w:rPr>
          <w:rFonts w:hint="eastAsia" w:ascii="宋体" w:hAnsi="宋体" w:cs="宋体"/>
          <w:sz w:val="24"/>
        </w:rPr>
      </w:pPr>
      <w:r>
        <w:rPr>
          <w:rFonts w:hint="eastAsia" w:ascii="宋体" w:hAnsi="宋体" w:cs="宋体"/>
          <w:sz w:val="24"/>
        </w:rPr>
        <w:t>1.样本类型：红细胞抗凝或不抗凝样本。</w:t>
      </w:r>
    </w:p>
    <w:p w14:paraId="0E22D288">
      <w:pPr>
        <w:spacing w:line="360" w:lineRule="auto"/>
        <w:ind w:firstLine="480" w:firstLineChars="200"/>
        <w:rPr>
          <w:rFonts w:hint="eastAsia" w:ascii="宋体" w:hAnsi="宋体" w:cs="宋体"/>
          <w:sz w:val="24"/>
        </w:rPr>
      </w:pPr>
      <w:r>
        <w:rPr>
          <w:rFonts w:hint="eastAsia" w:ascii="宋体" w:hAnsi="宋体" w:cs="宋体"/>
          <w:sz w:val="24"/>
        </w:rPr>
        <w:t>2.用途：直接凝集法可识别D，弱D和不完全D间接抗人球蛋白实验可识别DVI效价达1：256(37℃孵育15分钟)lgM克隆号Th-28,lgG克隆号MS-260.22μm除菌过滤HIV、HCV、HBsAg、EBV、MAP病毒检测阴性。</w:t>
      </w:r>
    </w:p>
    <w:p w14:paraId="68F37150">
      <w:pPr>
        <w:spacing w:line="360" w:lineRule="auto"/>
        <w:ind w:firstLine="482" w:firstLineChars="200"/>
        <w:rPr>
          <w:rFonts w:hint="eastAsia" w:ascii="宋体" w:hAnsi="宋体" w:cs="宋体"/>
          <w:b/>
          <w:bCs/>
          <w:sz w:val="24"/>
        </w:rPr>
      </w:pPr>
      <w:r>
        <w:rPr>
          <w:rFonts w:hint="eastAsia" w:ascii="宋体" w:hAnsi="宋体" w:cs="宋体"/>
          <w:b/>
          <w:bCs/>
          <w:sz w:val="24"/>
        </w:rPr>
        <w:t>标的名称168：糖类抗原15-3测定试剂盒</w:t>
      </w:r>
    </w:p>
    <w:p w14:paraId="5E4F0176">
      <w:pPr>
        <w:spacing w:line="360" w:lineRule="auto"/>
        <w:ind w:firstLine="480" w:firstLineChars="200"/>
        <w:rPr>
          <w:rFonts w:hint="eastAsia" w:ascii="宋体" w:hAnsi="宋体" w:cs="宋体"/>
          <w:sz w:val="24"/>
        </w:rPr>
      </w:pPr>
      <w:r>
        <w:rPr>
          <w:rFonts w:hint="eastAsia" w:ascii="宋体" w:hAnsi="宋体" w:cs="宋体"/>
          <w:sz w:val="24"/>
        </w:rPr>
        <w:t>1.用途：用于体外定量检测人体血清和血浆中的糖类抗原15-3(CA 15-3)。</w:t>
      </w:r>
    </w:p>
    <w:p w14:paraId="17F7E389">
      <w:pPr>
        <w:spacing w:line="360" w:lineRule="auto"/>
        <w:ind w:firstLine="480" w:firstLineChars="200"/>
        <w:rPr>
          <w:rFonts w:hint="eastAsia" w:ascii="宋体" w:hAnsi="宋体" w:cs="宋体"/>
          <w:sz w:val="24"/>
        </w:rPr>
      </w:pPr>
      <w:r>
        <w:rPr>
          <w:rFonts w:hint="eastAsia" w:ascii="宋体" w:hAnsi="宋体" w:cs="宋体"/>
          <w:sz w:val="24"/>
        </w:rPr>
        <w:t>2.方法学：电化学发光免疫分析“ECLIA”。</w:t>
      </w:r>
    </w:p>
    <w:p w14:paraId="1BE0C62E">
      <w:pPr>
        <w:spacing w:line="360" w:lineRule="auto"/>
        <w:ind w:firstLine="480" w:firstLineChars="200"/>
        <w:rPr>
          <w:rFonts w:hint="eastAsia" w:ascii="宋体" w:hAnsi="宋体" w:cs="宋体"/>
          <w:sz w:val="24"/>
        </w:rPr>
      </w:pPr>
      <w:r>
        <w:rPr>
          <w:rFonts w:hint="eastAsia" w:ascii="宋体" w:hAnsi="宋体" w:cs="宋体"/>
          <w:sz w:val="24"/>
        </w:rPr>
        <w:t>3.检测原理：夹心法。</w:t>
      </w:r>
    </w:p>
    <w:p w14:paraId="191F8A29">
      <w:pPr>
        <w:spacing w:line="360" w:lineRule="auto"/>
        <w:ind w:firstLine="480" w:firstLineChars="200"/>
        <w:rPr>
          <w:rFonts w:hint="eastAsia" w:ascii="宋体" w:hAnsi="宋体" w:cs="宋体"/>
          <w:sz w:val="24"/>
        </w:rPr>
      </w:pPr>
      <w:r>
        <w:rPr>
          <w:rFonts w:hint="eastAsia" w:ascii="宋体" w:hAnsi="宋体" w:cs="宋体"/>
          <w:sz w:val="24"/>
        </w:rPr>
        <w:t>4.检测/反应时间：≤18 min。</w:t>
      </w:r>
    </w:p>
    <w:p w14:paraId="6A040A41">
      <w:pPr>
        <w:spacing w:line="360" w:lineRule="auto"/>
        <w:ind w:firstLine="482" w:firstLineChars="200"/>
        <w:rPr>
          <w:rFonts w:hint="eastAsia" w:ascii="宋体" w:hAnsi="宋体" w:cs="宋体"/>
          <w:b/>
          <w:bCs/>
          <w:sz w:val="24"/>
        </w:rPr>
      </w:pPr>
      <w:r>
        <w:rPr>
          <w:rFonts w:hint="eastAsia" w:ascii="宋体" w:hAnsi="宋体" w:cs="宋体"/>
          <w:b/>
          <w:bCs/>
          <w:sz w:val="24"/>
        </w:rPr>
        <w:t>标的名称169：糖类抗原125测定试剂盒</w:t>
      </w:r>
    </w:p>
    <w:p w14:paraId="380A44C4">
      <w:pPr>
        <w:spacing w:line="360" w:lineRule="auto"/>
        <w:ind w:firstLine="480" w:firstLineChars="200"/>
        <w:rPr>
          <w:rFonts w:hint="eastAsia" w:ascii="宋体" w:hAnsi="宋体" w:cs="宋体"/>
          <w:sz w:val="24"/>
        </w:rPr>
      </w:pPr>
      <w:r>
        <w:rPr>
          <w:rFonts w:hint="eastAsia" w:ascii="宋体" w:hAnsi="宋体" w:cs="宋体"/>
          <w:sz w:val="24"/>
        </w:rPr>
        <w:t>1.用途：用于体外定量检测人体血清和血浆中OC 125的反应决定簇。</w:t>
      </w:r>
    </w:p>
    <w:p w14:paraId="7CFCF548">
      <w:pPr>
        <w:spacing w:line="360" w:lineRule="auto"/>
        <w:ind w:firstLine="480" w:firstLineChars="200"/>
        <w:rPr>
          <w:rFonts w:hint="eastAsia" w:ascii="宋体" w:hAnsi="宋体" w:cs="宋体"/>
          <w:sz w:val="24"/>
        </w:rPr>
      </w:pPr>
      <w:r>
        <w:rPr>
          <w:rFonts w:hint="eastAsia" w:ascii="宋体" w:hAnsi="宋体" w:cs="宋体"/>
          <w:sz w:val="24"/>
        </w:rPr>
        <w:t>2.方法学：电化学发光免疫分析“ECLIA”。</w:t>
      </w:r>
    </w:p>
    <w:p w14:paraId="0F5AC272">
      <w:pPr>
        <w:spacing w:line="360" w:lineRule="auto"/>
        <w:ind w:firstLine="480" w:firstLineChars="200"/>
        <w:rPr>
          <w:rFonts w:hint="eastAsia" w:ascii="宋体" w:hAnsi="宋体" w:cs="宋体"/>
          <w:sz w:val="24"/>
        </w:rPr>
      </w:pPr>
      <w:r>
        <w:rPr>
          <w:rFonts w:hint="eastAsia" w:ascii="宋体" w:hAnsi="宋体" w:cs="宋体"/>
          <w:sz w:val="24"/>
        </w:rPr>
        <w:t>3.检测原理：夹心法。</w:t>
      </w:r>
    </w:p>
    <w:p w14:paraId="27E2497C">
      <w:pPr>
        <w:spacing w:line="360" w:lineRule="auto"/>
        <w:ind w:firstLine="480" w:firstLineChars="200"/>
        <w:rPr>
          <w:rFonts w:hint="eastAsia" w:ascii="宋体" w:hAnsi="宋体" w:cs="宋体"/>
          <w:sz w:val="24"/>
        </w:rPr>
      </w:pPr>
      <w:r>
        <w:rPr>
          <w:rFonts w:hint="eastAsia" w:ascii="宋体" w:hAnsi="宋体" w:cs="宋体"/>
          <w:sz w:val="24"/>
        </w:rPr>
        <w:t>4.检测/反应时间：≤18 min。</w:t>
      </w:r>
    </w:p>
    <w:p w14:paraId="2F29EB1F">
      <w:pPr>
        <w:spacing w:line="360" w:lineRule="auto"/>
        <w:ind w:firstLine="482" w:firstLineChars="200"/>
        <w:rPr>
          <w:rFonts w:hint="eastAsia" w:ascii="宋体" w:hAnsi="宋体" w:cs="宋体"/>
          <w:b/>
          <w:bCs/>
          <w:sz w:val="24"/>
        </w:rPr>
      </w:pPr>
      <w:r>
        <w:rPr>
          <w:rFonts w:hint="eastAsia" w:ascii="宋体" w:hAnsi="宋体" w:cs="宋体"/>
          <w:b/>
          <w:bCs/>
          <w:sz w:val="24"/>
        </w:rPr>
        <w:t>标的名称170：25-羟基维生素D检测试剂盒</w:t>
      </w:r>
    </w:p>
    <w:p w14:paraId="762DCC44">
      <w:pPr>
        <w:spacing w:line="360" w:lineRule="auto"/>
        <w:ind w:firstLine="480" w:firstLineChars="200"/>
        <w:rPr>
          <w:rFonts w:hint="eastAsia" w:ascii="宋体" w:hAnsi="宋体" w:cs="宋体"/>
          <w:sz w:val="24"/>
        </w:rPr>
      </w:pPr>
      <w:r>
        <w:rPr>
          <w:rFonts w:hint="eastAsia" w:ascii="宋体" w:hAnsi="宋体" w:cs="宋体"/>
          <w:sz w:val="24"/>
        </w:rPr>
        <w:t>1.用途：用于体外定量测定人血清和血浆中的25‑羟基维生素D。</w:t>
      </w:r>
    </w:p>
    <w:p w14:paraId="56023BE5">
      <w:pPr>
        <w:spacing w:line="360" w:lineRule="auto"/>
        <w:ind w:firstLine="480" w:firstLineChars="200"/>
        <w:rPr>
          <w:rFonts w:hint="eastAsia" w:ascii="宋体" w:hAnsi="宋体" w:cs="宋体"/>
          <w:sz w:val="24"/>
        </w:rPr>
      </w:pPr>
      <w:r>
        <w:rPr>
          <w:rFonts w:hint="eastAsia" w:ascii="宋体" w:hAnsi="宋体" w:cs="宋体"/>
          <w:sz w:val="24"/>
        </w:rPr>
        <w:t>2.样本类型：血清/血浆。</w:t>
      </w:r>
    </w:p>
    <w:p w14:paraId="2EC0AF50">
      <w:pPr>
        <w:spacing w:line="360" w:lineRule="auto"/>
        <w:ind w:firstLine="480" w:firstLineChars="200"/>
        <w:rPr>
          <w:rFonts w:hint="eastAsia" w:ascii="宋体" w:hAnsi="宋体" w:cs="宋体"/>
          <w:sz w:val="24"/>
        </w:rPr>
      </w:pPr>
      <w:r>
        <w:rPr>
          <w:rFonts w:hint="eastAsia" w:ascii="宋体" w:hAnsi="宋体" w:cs="宋体"/>
          <w:sz w:val="24"/>
        </w:rPr>
        <w:t>3.检测原理：竞争法原理。</w:t>
      </w:r>
    </w:p>
    <w:p w14:paraId="311251DA">
      <w:pPr>
        <w:spacing w:line="360" w:lineRule="auto"/>
        <w:ind w:firstLine="480" w:firstLineChars="200"/>
        <w:rPr>
          <w:rFonts w:hint="eastAsia" w:ascii="宋体" w:hAnsi="宋体" w:cs="宋体"/>
          <w:sz w:val="24"/>
        </w:rPr>
      </w:pPr>
      <w:r>
        <w:rPr>
          <w:rFonts w:hint="eastAsia" w:ascii="宋体" w:hAnsi="宋体" w:cs="宋体"/>
          <w:sz w:val="24"/>
        </w:rPr>
        <w:t>4.检测时间：≤30分钟。</w:t>
      </w:r>
    </w:p>
    <w:p w14:paraId="26DADE1B">
      <w:pPr>
        <w:pStyle w:val="2"/>
        <w:spacing w:before="0" w:after="0" w:line="360" w:lineRule="auto"/>
        <w:ind w:firstLine="241" w:firstLineChars="100"/>
        <w:rPr>
          <w:rFonts w:hint="eastAsia" w:ascii="宋体" w:hAnsi="宋体" w:cs="宋体"/>
          <w:b/>
          <w:bCs/>
        </w:rPr>
      </w:pPr>
      <w:r>
        <w:rPr>
          <w:rFonts w:hint="eastAsia" w:ascii="宋体" w:hAnsi="宋体" w:cs="宋体"/>
          <w:b/>
          <w:bCs/>
        </w:rPr>
        <w:t>二）其他要求</w:t>
      </w:r>
    </w:p>
    <w:p w14:paraId="35877758">
      <w:pPr>
        <w:spacing w:line="360" w:lineRule="auto"/>
        <w:ind w:firstLine="480" w:firstLineChars="200"/>
        <w:rPr>
          <w:rFonts w:hint="eastAsia" w:ascii="宋体" w:hAnsi="宋体" w:cs="宋体"/>
          <w:sz w:val="24"/>
        </w:rPr>
      </w:pPr>
      <w:r>
        <w:rPr>
          <w:rFonts w:hint="eastAsia" w:ascii="宋体" w:hAnsi="宋体" w:cs="宋体"/>
          <w:sz w:val="24"/>
        </w:rPr>
        <w:t>1.配送服务要求：</w:t>
      </w:r>
    </w:p>
    <w:p w14:paraId="28FA3407">
      <w:pPr>
        <w:spacing w:line="360" w:lineRule="auto"/>
        <w:ind w:firstLine="480" w:firstLineChars="200"/>
        <w:rPr>
          <w:rFonts w:hint="eastAsia" w:ascii="宋体" w:hAnsi="宋体" w:cs="宋体"/>
          <w:sz w:val="24"/>
        </w:rPr>
      </w:pPr>
      <w:r>
        <w:rPr>
          <w:rFonts w:hint="eastAsia" w:ascii="宋体" w:hAnsi="宋体" w:cs="宋体"/>
          <w:sz w:val="24"/>
        </w:rPr>
        <w:t>1.1投标人对本项目进行采购管理、仓储、物流配送。须配备诊断试剂所需的常温库、冷藏库和冷冻库，应能满足医学诊断试剂说明书和标签标识要求的运输储存条件。</w:t>
      </w:r>
    </w:p>
    <w:p w14:paraId="21AAA7D8">
      <w:pPr>
        <w:spacing w:line="360" w:lineRule="auto"/>
        <w:ind w:firstLine="480" w:firstLineChars="200"/>
        <w:rPr>
          <w:rFonts w:hint="eastAsia" w:ascii="宋体" w:hAnsi="宋体" w:cs="宋体"/>
          <w:bCs/>
          <w:sz w:val="24"/>
        </w:rPr>
      </w:pPr>
      <w:r>
        <w:rPr>
          <w:rFonts w:hint="eastAsia" w:ascii="宋体" w:hAnsi="宋体" w:cs="宋体"/>
          <w:sz w:val="24"/>
        </w:rPr>
        <w:t>1.2按照北京市体检中心在用供应商系统订单要求，及时将中心丰台体检分院（生化、免疫、临检）、航天桥门诊部（临检）、马甸体检分院（临检）所需诊断试剂供给、分拆加工、贴码，配送至采购人指定位置，信息可全程追溯，保障诊</w:t>
      </w:r>
      <w:r>
        <w:rPr>
          <w:rFonts w:hint="eastAsia" w:ascii="宋体" w:hAnsi="宋体" w:cs="宋体"/>
          <w:bCs/>
          <w:sz w:val="24"/>
        </w:rPr>
        <w:t>断试剂种类、数量、时效及合规性符合北京市体检中心及配送要求。</w:t>
      </w:r>
    </w:p>
    <w:p w14:paraId="2AF5BEE5">
      <w:pPr>
        <w:spacing w:line="360" w:lineRule="auto"/>
        <w:ind w:firstLine="480" w:firstLineChars="200"/>
        <w:contextualSpacing/>
        <w:rPr>
          <w:rFonts w:hint="eastAsia" w:ascii="宋体" w:hAnsi="宋体" w:cs="宋体"/>
          <w:bCs/>
          <w:sz w:val="24"/>
        </w:rPr>
      </w:pPr>
      <w:r>
        <w:rPr>
          <w:rFonts w:hint="eastAsia" w:ascii="宋体" w:hAnsi="宋体" w:cs="宋体"/>
          <w:bCs/>
          <w:sz w:val="24"/>
        </w:rPr>
        <w:t>1.3投标人提供的产品及服务均需符合国家法律法规、规章等规范性文件及相关行业标准。投标人的采购、物流等活动应遵守包括但不限于以下法律法规：采购、运输、仓储、配送、装卸、流通加工、物流包装、物流保险、货物通关等。</w:t>
      </w:r>
    </w:p>
    <w:p w14:paraId="30A91E3A">
      <w:pPr>
        <w:spacing w:line="360" w:lineRule="auto"/>
        <w:ind w:firstLine="480" w:firstLineChars="200"/>
        <w:contextualSpacing/>
        <w:rPr>
          <w:rFonts w:hint="eastAsia" w:ascii="宋体" w:hAnsi="宋体" w:cs="宋体"/>
          <w:bCs/>
          <w:sz w:val="24"/>
        </w:rPr>
      </w:pPr>
      <w:r>
        <w:rPr>
          <w:rFonts w:hint="eastAsia" w:ascii="宋体" w:hAnsi="宋体" w:cs="宋体"/>
          <w:bCs/>
          <w:sz w:val="24"/>
        </w:rPr>
        <w:t>1.4投标人应在中标后在规定时间内实现全部品种的正常供货，并按需求采购配送。</w:t>
      </w:r>
    </w:p>
    <w:p w14:paraId="62F95209">
      <w:pPr>
        <w:spacing w:line="360" w:lineRule="auto"/>
        <w:ind w:firstLine="480" w:firstLineChars="200"/>
        <w:contextualSpacing/>
        <w:rPr>
          <w:rFonts w:hint="eastAsia" w:ascii="宋体" w:hAnsi="宋体" w:cs="宋体"/>
          <w:bCs/>
          <w:sz w:val="24"/>
        </w:rPr>
      </w:pPr>
      <w:r>
        <w:rPr>
          <w:rFonts w:hint="eastAsia" w:ascii="宋体" w:hAnsi="宋体" w:cs="宋体"/>
          <w:bCs/>
          <w:sz w:val="24"/>
        </w:rPr>
        <w:t>2.采购及管理</w:t>
      </w:r>
    </w:p>
    <w:p w14:paraId="11CD219A">
      <w:pPr>
        <w:spacing w:line="360" w:lineRule="auto"/>
        <w:ind w:firstLine="480" w:firstLineChars="200"/>
        <w:contextualSpacing/>
        <w:rPr>
          <w:rFonts w:hint="eastAsia" w:ascii="宋体" w:hAnsi="宋体" w:cs="宋体"/>
          <w:bCs/>
          <w:sz w:val="24"/>
        </w:rPr>
      </w:pPr>
      <w:r>
        <w:rPr>
          <w:rFonts w:hint="eastAsia" w:ascii="宋体" w:hAnsi="宋体" w:cs="宋体"/>
          <w:bCs/>
          <w:sz w:val="24"/>
        </w:rPr>
        <w:t>2.1采购合规：投标人采购管理工作须符合国家和北京诊断试剂采购的相关法律法规。投标人须保证诊断试剂货源渠道合法正规，确保采购人临床使用医用耗材的合法性、安全性和稳定性。</w:t>
      </w:r>
    </w:p>
    <w:p w14:paraId="058ECDDE">
      <w:pPr>
        <w:widowControl/>
        <w:spacing w:line="360" w:lineRule="auto"/>
        <w:ind w:firstLine="480" w:firstLineChars="200"/>
        <w:jc w:val="left"/>
        <w:rPr>
          <w:rFonts w:hint="eastAsia" w:ascii="宋体" w:hAnsi="宋体" w:cs="宋体"/>
          <w:sz w:val="24"/>
        </w:rPr>
      </w:pPr>
      <w:r>
        <w:rPr>
          <w:rFonts w:hint="eastAsia" w:ascii="宋体" w:hAnsi="宋体" w:cs="宋体"/>
          <w:bCs/>
          <w:sz w:val="24"/>
        </w:rPr>
        <w:t>2.2采购目录和资质管理：投标人严格按照采购人确定的诊断试剂的目录、相关资质进行采购管理，动态同步更新相关信息，保障有效期。</w:t>
      </w:r>
      <w:r>
        <w:rPr>
          <w:rFonts w:hint="eastAsia" w:ascii="宋体" w:hAnsi="宋体" w:cs="宋体"/>
          <w:kern w:val="0"/>
          <w:sz w:val="24"/>
        </w:rPr>
        <w:t>要根据采购人需求，随时提供合格资质证明资料。</w:t>
      </w:r>
    </w:p>
    <w:p w14:paraId="527C649C">
      <w:pPr>
        <w:spacing w:line="360" w:lineRule="auto"/>
        <w:ind w:firstLine="480" w:firstLineChars="200"/>
        <w:contextualSpacing/>
        <w:rPr>
          <w:rFonts w:hint="eastAsia" w:ascii="宋体" w:hAnsi="宋体" w:cs="宋体"/>
          <w:bCs/>
          <w:sz w:val="24"/>
        </w:rPr>
      </w:pPr>
      <w:r>
        <w:rPr>
          <w:rFonts w:hint="eastAsia" w:ascii="宋体" w:hAnsi="宋体" w:cs="宋体"/>
          <w:bCs/>
          <w:sz w:val="24"/>
        </w:rPr>
        <w:t>2.3采购质量控制：</w:t>
      </w:r>
    </w:p>
    <w:p w14:paraId="092C9FE6">
      <w:pPr>
        <w:spacing w:line="360" w:lineRule="auto"/>
        <w:ind w:firstLine="480" w:firstLineChars="200"/>
        <w:contextualSpacing/>
        <w:rPr>
          <w:rFonts w:hint="eastAsia" w:ascii="宋体" w:hAnsi="宋体" w:cs="宋体"/>
          <w:bCs/>
          <w:sz w:val="24"/>
        </w:rPr>
      </w:pPr>
      <w:r>
        <w:rPr>
          <w:rFonts w:hint="eastAsia" w:ascii="宋体" w:hAnsi="宋体" w:cs="宋体"/>
          <w:bCs/>
          <w:sz w:val="24"/>
        </w:rPr>
        <w:t>2.3.1投标人按照国家相关法律法规要求及采购人管理规定要求，按批或定期向采购人提供检测报告（含自检报告和有资质的检测机构出具的检测报告）。</w:t>
      </w:r>
    </w:p>
    <w:p w14:paraId="0FFEEB43">
      <w:pPr>
        <w:spacing w:line="360" w:lineRule="auto"/>
        <w:ind w:firstLine="480" w:firstLineChars="200"/>
        <w:contextualSpacing/>
        <w:rPr>
          <w:rFonts w:hint="eastAsia" w:ascii="宋体" w:hAnsi="宋体" w:cs="宋体"/>
          <w:bCs/>
          <w:sz w:val="24"/>
        </w:rPr>
      </w:pPr>
      <w:r>
        <w:rPr>
          <w:rFonts w:hint="eastAsia" w:ascii="宋体" w:hAnsi="宋体" w:cs="宋体"/>
          <w:bCs/>
          <w:sz w:val="24"/>
        </w:rPr>
        <w:t>2.3.2对于配送的货物本身出现的质量问题投标人应承诺无条件进行退换货服务。投标人不得向采购人供应未依法注册或备案、无合格证明文件及过期、失效的耗材。</w:t>
      </w:r>
    </w:p>
    <w:p w14:paraId="41941F5D">
      <w:pPr>
        <w:spacing w:line="360" w:lineRule="auto"/>
        <w:ind w:firstLine="480" w:firstLineChars="200"/>
        <w:contextualSpacing/>
        <w:rPr>
          <w:rFonts w:hint="eastAsia" w:ascii="宋体" w:hAnsi="宋体" w:cs="宋体"/>
          <w:bCs/>
          <w:sz w:val="24"/>
        </w:rPr>
      </w:pPr>
      <w:r>
        <w:rPr>
          <w:rFonts w:hint="eastAsia" w:ascii="宋体" w:hAnsi="宋体" w:cs="宋体"/>
          <w:bCs/>
          <w:sz w:val="24"/>
        </w:rPr>
        <w:t>2.3.3一旦出现不良事件投标人需积极配合采购人进行事件的处理。</w:t>
      </w:r>
    </w:p>
    <w:p w14:paraId="6A840B33">
      <w:pPr>
        <w:spacing w:line="360" w:lineRule="auto"/>
        <w:ind w:firstLine="480" w:firstLineChars="200"/>
        <w:contextualSpacing/>
        <w:rPr>
          <w:rFonts w:hint="eastAsia" w:ascii="宋体" w:hAnsi="宋体" w:cs="宋体"/>
          <w:bCs/>
          <w:sz w:val="24"/>
        </w:rPr>
      </w:pPr>
      <w:r>
        <w:rPr>
          <w:rFonts w:hint="eastAsia" w:ascii="宋体" w:hAnsi="宋体" w:cs="宋体"/>
          <w:bCs/>
          <w:sz w:val="24"/>
        </w:rPr>
        <w:t>2.3.4投标人定期接受采购人的质量评价。</w:t>
      </w:r>
    </w:p>
    <w:p w14:paraId="66AE8A41">
      <w:pPr>
        <w:spacing w:line="360" w:lineRule="auto"/>
        <w:ind w:firstLine="480" w:firstLineChars="200"/>
        <w:contextualSpacing/>
        <w:rPr>
          <w:rFonts w:hint="eastAsia" w:ascii="宋体" w:hAnsi="宋体" w:cs="宋体"/>
          <w:bCs/>
          <w:sz w:val="24"/>
        </w:rPr>
      </w:pPr>
      <w:r>
        <w:rPr>
          <w:rFonts w:hint="eastAsia" w:ascii="宋体" w:hAnsi="宋体" w:cs="宋体"/>
          <w:bCs/>
          <w:sz w:val="24"/>
        </w:rPr>
        <w:t>3.配送需求</w:t>
      </w:r>
    </w:p>
    <w:p w14:paraId="50FABA93">
      <w:pPr>
        <w:spacing w:line="360" w:lineRule="auto"/>
        <w:ind w:firstLine="480" w:firstLineChars="200"/>
        <w:contextualSpacing/>
        <w:rPr>
          <w:rFonts w:hint="eastAsia" w:ascii="宋体" w:hAnsi="宋体" w:cs="宋体"/>
          <w:bCs/>
          <w:sz w:val="24"/>
        </w:rPr>
      </w:pPr>
      <w:r>
        <w:rPr>
          <w:rFonts w:hint="eastAsia" w:ascii="宋体" w:hAnsi="宋体" w:cs="宋体"/>
          <w:bCs/>
          <w:sz w:val="24"/>
        </w:rPr>
        <w:t>3.1配送时间要求</w:t>
      </w:r>
    </w:p>
    <w:p w14:paraId="3DD486DF">
      <w:pPr>
        <w:spacing w:line="360" w:lineRule="auto"/>
        <w:ind w:firstLine="480" w:firstLineChars="200"/>
        <w:contextualSpacing/>
        <w:rPr>
          <w:rFonts w:hint="eastAsia" w:ascii="宋体" w:hAnsi="宋体" w:cs="宋体"/>
          <w:bCs/>
          <w:sz w:val="24"/>
        </w:rPr>
      </w:pPr>
      <w:r>
        <w:rPr>
          <w:rFonts w:hint="eastAsia" w:ascii="宋体" w:hAnsi="宋体" w:cs="宋体"/>
          <w:bCs/>
          <w:sz w:val="24"/>
        </w:rPr>
        <w:t>▲3.1.1投标人按照采购人下达的日常配送订单要求配送，</w:t>
      </w:r>
      <w:r>
        <w:rPr>
          <w:rFonts w:hint="eastAsia" w:ascii="宋体" w:hAnsi="宋体"/>
          <w:sz w:val="24"/>
        </w:rPr>
        <w:t>按时、保质、保量7*24小时配送（含节假日）,</w:t>
      </w:r>
      <w:r>
        <w:rPr>
          <w:rFonts w:hint="eastAsia" w:ascii="宋体" w:hAnsi="宋体" w:cs="宋体"/>
          <w:bCs/>
          <w:sz w:val="24"/>
        </w:rPr>
        <w:t>加急订单24小时内将诊断试剂配送到采购人指定地点（包括法定节假日）</w:t>
      </w:r>
      <w:r>
        <w:rPr>
          <w:rFonts w:hint="eastAsia" w:ascii="宋体" w:hAnsi="宋体" w:cs="宋体"/>
          <w:b/>
          <w:sz w:val="24"/>
        </w:rPr>
        <w:t>（需提供承诺书）</w:t>
      </w:r>
      <w:r>
        <w:rPr>
          <w:rFonts w:hint="eastAsia" w:ascii="宋体" w:hAnsi="宋体" w:cs="宋体"/>
          <w:bCs/>
          <w:sz w:val="24"/>
        </w:rPr>
        <w:t>。</w:t>
      </w:r>
    </w:p>
    <w:p w14:paraId="1D470150">
      <w:pPr>
        <w:spacing w:line="360" w:lineRule="auto"/>
        <w:ind w:firstLine="480" w:firstLineChars="200"/>
        <w:contextualSpacing/>
        <w:rPr>
          <w:rFonts w:hint="eastAsia" w:ascii="宋体" w:hAnsi="宋体" w:cs="宋体"/>
          <w:bCs/>
          <w:sz w:val="24"/>
        </w:rPr>
      </w:pPr>
      <w:r>
        <w:rPr>
          <w:rFonts w:hint="eastAsia" w:ascii="宋体" w:hAnsi="宋体" w:cs="宋体"/>
          <w:bCs/>
          <w:sz w:val="24"/>
        </w:rPr>
        <w:t>3.1.2紧急集约配送服务要求</w:t>
      </w:r>
    </w:p>
    <w:p w14:paraId="480A2DE8">
      <w:pPr>
        <w:spacing w:line="360" w:lineRule="auto"/>
        <w:ind w:firstLine="480" w:firstLineChars="200"/>
        <w:contextualSpacing/>
        <w:jc w:val="left"/>
        <w:rPr>
          <w:rFonts w:hint="eastAsia" w:ascii="宋体" w:hAnsi="宋体" w:cs="宋体"/>
          <w:sz w:val="24"/>
        </w:rPr>
      </w:pPr>
      <w:r>
        <w:rPr>
          <w:rFonts w:hint="eastAsia" w:ascii="宋体" w:hAnsi="宋体" w:cs="宋体"/>
          <w:bCs/>
          <w:sz w:val="24"/>
        </w:rPr>
        <w:t>3.1.2.1投标人在接到采购人下达的“紧急配送订单”指令后2小时内将诊断试剂配送到采购人指定地点（包括法定节假日）。</w:t>
      </w:r>
    </w:p>
    <w:p w14:paraId="499000F0">
      <w:pPr>
        <w:spacing w:line="360" w:lineRule="auto"/>
        <w:ind w:firstLine="480" w:firstLineChars="200"/>
        <w:contextualSpacing/>
        <w:rPr>
          <w:rFonts w:hint="eastAsia" w:ascii="宋体" w:hAnsi="宋体" w:cs="宋体"/>
          <w:bCs/>
          <w:sz w:val="24"/>
        </w:rPr>
      </w:pPr>
      <w:r>
        <w:rPr>
          <w:rFonts w:hint="eastAsia" w:ascii="宋体" w:hAnsi="宋体" w:cs="宋体"/>
          <w:bCs/>
          <w:sz w:val="24"/>
        </w:rPr>
        <w:t>3.1.2.2如遇突发公共事件（如传染性疾病、自然灾害）等造成的产品使用量的大量增加，投标人启动紧急配送相关流程，与采购人协调收货时间，与供应商协调库存，并紧急调配运输车辆，实现精确、准时配送，确保12小时内将所需产品配送到采购人指定地点。</w:t>
      </w:r>
    </w:p>
    <w:p w14:paraId="3480C0FE">
      <w:pPr>
        <w:spacing w:line="360" w:lineRule="auto"/>
        <w:ind w:firstLine="480" w:firstLineChars="200"/>
        <w:contextualSpacing/>
        <w:rPr>
          <w:rFonts w:hint="eastAsia" w:ascii="宋体" w:hAnsi="宋体" w:cs="宋体"/>
          <w:bCs/>
          <w:sz w:val="24"/>
        </w:rPr>
      </w:pPr>
      <w:r>
        <w:rPr>
          <w:rFonts w:hint="eastAsia" w:ascii="宋体" w:hAnsi="宋体" w:cs="宋体"/>
          <w:bCs/>
          <w:sz w:val="24"/>
        </w:rPr>
        <w:t>3.2投标人应在物流库房内按照采购人规定完成诊断试剂的各类标识码的贴码工作。</w:t>
      </w:r>
    </w:p>
    <w:p w14:paraId="4A78A6E4">
      <w:pPr>
        <w:spacing w:line="360" w:lineRule="auto"/>
        <w:ind w:firstLine="480" w:firstLineChars="200"/>
        <w:contextualSpacing/>
        <w:rPr>
          <w:rFonts w:hint="eastAsia" w:ascii="宋体" w:hAnsi="宋体" w:cs="宋体"/>
          <w:bCs/>
          <w:sz w:val="24"/>
        </w:rPr>
      </w:pPr>
      <w:r>
        <w:rPr>
          <w:rFonts w:hint="eastAsia" w:ascii="宋体" w:hAnsi="宋体" w:cs="宋体"/>
          <w:bCs/>
          <w:sz w:val="24"/>
        </w:rPr>
        <w:t>3.3投标人承担配送过程中（即诊断试剂配送至北京市体检中心医学检验科验收前）所需相关设施及装备。</w:t>
      </w:r>
    </w:p>
    <w:p w14:paraId="11A751C5">
      <w:pPr>
        <w:spacing w:line="360" w:lineRule="auto"/>
        <w:ind w:firstLine="480" w:firstLineChars="200"/>
        <w:contextualSpacing/>
        <w:rPr>
          <w:rFonts w:hint="eastAsia" w:ascii="宋体" w:hAnsi="宋体" w:cs="宋体"/>
          <w:bCs/>
          <w:sz w:val="24"/>
        </w:rPr>
      </w:pPr>
      <w:r>
        <w:rPr>
          <w:rFonts w:hint="eastAsia" w:ascii="宋体" w:hAnsi="宋体" w:cs="宋体"/>
          <w:bCs/>
          <w:sz w:val="24"/>
        </w:rPr>
        <w:t>3.4投标人保证配送诊断试剂在运送过程中的质量安全，采用可靠、安全的运输方式和保存条件，并承担相关费用。</w:t>
      </w:r>
    </w:p>
    <w:p w14:paraId="5AF8BD58">
      <w:pPr>
        <w:spacing w:line="360" w:lineRule="auto"/>
        <w:ind w:firstLine="480" w:firstLineChars="200"/>
        <w:contextualSpacing/>
        <w:rPr>
          <w:rFonts w:hint="eastAsia" w:ascii="宋体" w:hAnsi="宋体" w:cs="宋体"/>
          <w:bCs/>
          <w:sz w:val="24"/>
        </w:rPr>
      </w:pPr>
      <w:r>
        <w:rPr>
          <w:rFonts w:hint="eastAsia" w:ascii="宋体" w:hAnsi="宋体" w:cs="宋体"/>
          <w:bCs/>
          <w:sz w:val="24"/>
        </w:rPr>
        <w:t>3.5投标人按采购人要求整齐摆放诊断试剂，与采购人共同进行核对清点，进行入库数量和质量的验收。验收内容严格按照国家法律法规及采购人的管理规定。包括但不限于：诊断试剂的外观、数量、型号、规格、品牌、质量等，验收合格后双方签字确认，过程留痕可追溯。</w:t>
      </w:r>
    </w:p>
    <w:p w14:paraId="1384BD73">
      <w:pPr>
        <w:spacing w:line="360" w:lineRule="auto"/>
        <w:ind w:firstLine="480" w:firstLineChars="200"/>
        <w:contextualSpacing/>
        <w:rPr>
          <w:rFonts w:hint="eastAsia" w:ascii="宋体" w:hAnsi="宋体" w:cs="宋体"/>
          <w:bCs/>
          <w:sz w:val="24"/>
        </w:rPr>
      </w:pPr>
      <w:r>
        <w:rPr>
          <w:rFonts w:hint="eastAsia" w:ascii="宋体" w:hAnsi="宋体" w:cs="宋体"/>
          <w:bCs/>
          <w:sz w:val="24"/>
        </w:rPr>
        <w:t>3.6投标人严格遵守采购人内部制度规定，做到医用耗材包装及消毒符合《北京市医院感染管理实施细则》《消毒技术规范》及国家正式发布的最新版本文件规定。</w:t>
      </w:r>
    </w:p>
    <w:p w14:paraId="6664AE81">
      <w:pPr>
        <w:spacing w:line="360" w:lineRule="auto"/>
        <w:ind w:firstLine="480" w:firstLineChars="200"/>
        <w:contextualSpacing/>
        <w:rPr>
          <w:rFonts w:hint="eastAsia" w:ascii="宋体" w:hAnsi="宋体" w:cs="宋体"/>
          <w:bCs/>
          <w:sz w:val="24"/>
        </w:rPr>
      </w:pPr>
      <w:r>
        <w:rPr>
          <w:rFonts w:hint="eastAsia" w:ascii="宋体" w:hAnsi="宋体" w:cs="宋体"/>
          <w:bCs/>
          <w:sz w:val="24"/>
        </w:rPr>
        <w:t>3.7试剂耗材如有破损投标人应单独打包，做好明显标识，与其他合格品分离，并完成退货处理。</w:t>
      </w:r>
    </w:p>
    <w:p w14:paraId="3F8780E0">
      <w:pPr>
        <w:spacing w:line="360" w:lineRule="auto"/>
        <w:ind w:firstLine="480" w:firstLineChars="200"/>
        <w:contextualSpacing/>
        <w:rPr>
          <w:rFonts w:hint="eastAsia" w:ascii="宋体" w:hAnsi="宋体" w:cs="宋体"/>
          <w:bCs/>
          <w:sz w:val="24"/>
        </w:rPr>
      </w:pPr>
      <w:r>
        <w:rPr>
          <w:rFonts w:hint="eastAsia" w:ascii="宋体" w:hAnsi="宋体" w:cs="宋体"/>
          <w:bCs/>
          <w:sz w:val="24"/>
        </w:rPr>
        <w:t>3.8投标人每日对运送车辆进行清洁、消毒，做到及时检修车辆状况，并按照采购人指定的运送通道、运输时间进行运输，遵循中心内有关安全管理规定，有记录备查。</w:t>
      </w:r>
    </w:p>
    <w:p w14:paraId="4C67EE6F">
      <w:pPr>
        <w:spacing w:line="360" w:lineRule="auto"/>
        <w:ind w:firstLine="480" w:firstLineChars="200"/>
        <w:contextualSpacing/>
        <w:rPr>
          <w:rFonts w:hint="eastAsia" w:ascii="宋体" w:hAnsi="宋体" w:cs="宋体"/>
          <w:bCs/>
          <w:sz w:val="24"/>
        </w:rPr>
      </w:pPr>
      <w:r>
        <w:rPr>
          <w:rFonts w:hint="eastAsia" w:ascii="宋体" w:hAnsi="宋体" w:cs="宋体"/>
          <w:bCs/>
          <w:sz w:val="24"/>
        </w:rPr>
        <w:t>3.9投标人及时按采购人要求的财务结算周期和时间节点，向采购人提供试剂耗材配送结算单据，包括但不限于出库单据、正式增值税普通发票等。</w:t>
      </w:r>
    </w:p>
    <w:p w14:paraId="4A330917">
      <w:pPr>
        <w:spacing w:line="360" w:lineRule="auto"/>
        <w:ind w:firstLine="480" w:firstLineChars="200"/>
        <w:contextualSpacing/>
        <w:rPr>
          <w:rFonts w:hint="eastAsia" w:ascii="宋体" w:hAnsi="宋体" w:cs="宋体"/>
          <w:bCs/>
          <w:sz w:val="24"/>
        </w:rPr>
      </w:pPr>
      <w:r>
        <w:rPr>
          <w:rFonts w:hint="eastAsia" w:ascii="宋体" w:hAnsi="宋体" w:cs="宋体"/>
          <w:bCs/>
          <w:sz w:val="24"/>
        </w:rPr>
        <w:t>3.10投标人对采购人认定的</w:t>
      </w:r>
      <w:r>
        <w:rPr>
          <w:rFonts w:hint="eastAsia" w:ascii="宋体" w:hAnsi="宋体" w:cs="宋体"/>
          <w:color w:val="000000"/>
          <w:kern w:val="0"/>
          <w:sz w:val="24"/>
        </w:rPr>
        <w:t>小于6个月或剩余有效期不足有效期50%的</w:t>
      </w:r>
      <w:r>
        <w:rPr>
          <w:rFonts w:hint="eastAsia" w:ascii="宋体" w:hAnsi="宋体" w:cs="宋体"/>
          <w:bCs/>
          <w:sz w:val="24"/>
        </w:rPr>
        <w:t>产品免费予以更换。</w:t>
      </w:r>
    </w:p>
    <w:p w14:paraId="22F09F5C">
      <w:pPr>
        <w:spacing w:line="360" w:lineRule="auto"/>
        <w:ind w:firstLine="480" w:firstLineChars="200"/>
        <w:contextualSpacing/>
        <w:rPr>
          <w:rFonts w:hint="eastAsia" w:ascii="宋体" w:hAnsi="宋体" w:cs="宋体"/>
          <w:bCs/>
          <w:sz w:val="24"/>
        </w:rPr>
      </w:pPr>
      <w:r>
        <w:rPr>
          <w:rFonts w:hint="eastAsia" w:ascii="宋体" w:hAnsi="宋体" w:cs="宋体"/>
          <w:bCs/>
          <w:sz w:val="24"/>
        </w:rPr>
        <w:t>4.灾备集约配送服务保障要求</w:t>
      </w:r>
    </w:p>
    <w:p w14:paraId="041E4466">
      <w:pPr>
        <w:spacing w:line="360" w:lineRule="auto"/>
        <w:ind w:firstLine="480" w:firstLineChars="200"/>
        <w:contextualSpacing/>
        <w:rPr>
          <w:rFonts w:hint="eastAsia" w:ascii="宋体" w:hAnsi="宋体" w:cs="宋体"/>
          <w:bCs/>
          <w:sz w:val="24"/>
        </w:rPr>
      </w:pPr>
      <w:r>
        <w:rPr>
          <w:rFonts w:hint="eastAsia" w:ascii="宋体" w:hAnsi="宋体" w:cs="宋体"/>
          <w:bCs/>
          <w:sz w:val="24"/>
        </w:rPr>
        <w:t>4.1投标人具备一定的冗余储备和分散配送能力。</w:t>
      </w:r>
    </w:p>
    <w:p w14:paraId="1832A478">
      <w:pPr>
        <w:spacing w:line="360" w:lineRule="auto"/>
        <w:ind w:firstLine="480" w:firstLineChars="200"/>
        <w:contextualSpacing/>
        <w:rPr>
          <w:rFonts w:hint="eastAsia" w:ascii="宋体" w:hAnsi="宋体" w:cs="宋体"/>
          <w:bCs/>
          <w:sz w:val="24"/>
        </w:rPr>
      </w:pPr>
      <w:r>
        <w:rPr>
          <w:rFonts w:hint="eastAsia" w:ascii="宋体" w:hAnsi="宋体" w:cs="宋体"/>
          <w:bCs/>
          <w:sz w:val="24"/>
        </w:rPr>
        <w:t>4.2投标人提供遇突发场所安全事件、道路中断、行政管控、诊断试剂安全事故、诊断试剂不良事件、信息系统故障等非常规情况的服务保障方案。</w:t>
      </w:r>
    </w:p>
    <w:p w14:paraId="69DC57E6">
      <w:pPr>
        <w:spacing w:line="360" w:lineRule="auto"/>
        <w:ind w:firstLine="480" w:firstLineChars="200"/>
        <w:contextualSpacing/>
        <w:rPr>
          <w:rFonts w:hint="eastAsia" w:ascii="宋体" w:hAnsi="宋体" w:cs="宋体"/>
          <w:bCs/>
          <w:sz w:val="24"/>
        </w:rPr>
      </w:pPr>
      <w:r>
        <w:rPr>
          <w:rFonts w:hint="eastAsia" w:ascii="宋体" w:hAnsi="宋体" w:cs="宋体"/>
          <w:bCs/>
          <w:sz w:val="24"/>
        </w:rPr>
        <w:t>4.3投标人须在获知不良事件发生的2小时内告知采购人，同时向采购人进行书面通报，配合采购人的不良事件的调查、追踪及后续处理，并且立即调换该产品，根据采购人要求出具书面的事件调查分析报告。因未及时告知而对采购人或第三方造成损害的，由投标人承担相应的法律及赔偿责任。由于投标人配送延误或质量问题造成的严重不良事件，采购人有权要求投标人退出。</w:t>
      </w:r>
    </w:p>
    <w:p w14:paraId="4524F742">
      <w:pPr>
        <w:spacing w:line="360" w:lineRule="auto"/>
        <w:ind w:firstLine="480" w:firstLineChars="200"/>
        <w:contextualSpacing/>
        <w:rPr>
          <w:rFonts w:hint="eastAsia" w:ascii="宋体" w:hAnsi="宋体" w:cs="宋体"/>
          <w:bCs/>
          <w:sz w:val="24"/>
        </w:rPr>
      </w:pPr>
      <w:r>
        <w:rPr>
          <w:rFonts w:hint="eastAsia" w:ascii="宋体" w:hAnsi="宋体" w:cs="宋体"/>
          <w:bCs/>
          <w:sz w:val="24"/>
        </w:rPr>
        <w:t>5.运输车辆与装卸要求</w:t>
      </w:r>
    </w:p>
    <w:p w14:paraId="362E7D9D">
      <w:pPr>
        <w:spacing w:line="360" w:lineRule="auto"/>
        <w:ind w:firstLine="480" w:firstLineChars="200"/>
        <w:contextualSpacing/>
        <w:rPr>
          <w:rFonts w:hint="eastAsia" w:ascii="宋体" w:hAnsi="宋体" w:cs="宋体"/>
          <w:b/>
          <w:sz w:val="24"/>
        </w:rPr>
      </w:pPr>
      <w:r>
        <w:rPr>
          <w:rFonts w:hint="eastAsia" w:ascii="宋体" w:hAnsi="宋体" w:cs="宋体"/>
          <w:bCs/>
          <w:sz w:val="24"/>
        </w:rPr>
        <w:t>▲5.1投标人提供自有或租用或含委托第三方物流提供配送服务的冷链配送车≥5辆。</w:t>
      </w:r>
      <w:r>
        <w:rPr>
          <w:rFonts w:hint="eastAsia" w:ascii="宋体" w:hAnsi="宋体" w:cs="宋体"/>
          <w:b/>
          <w:sz w:val="24"/>
        </w:rPr>
        <w:t>(需提供自有车辆的持有证明或租赁证明或委托第三方物流的证明材料)</w:t>
      </w:r>
    </w:p>
    <w:p w14:paraId="3095B352">
      <w:pPr>
        <w:spacing w:line="360" w:lineRule="auto"/>
        <w:ind w:firstLine="480" w:firstLineChars="200"/>
        <w:contextualSpacing/>
        <w:rPr>
          <w:rFonts w:hint="eastAsia" w:ascii="宋体" w:hAnsi="宋体" w:cs="宋体"/>
          <w:bCs/>
          <w:sz w:val="24"/>
        </w:rPr>
      </w:pPr>
      <w:r>
        <w:rPr>
          <w:rFonts w:hint="eastAsia" w:ascii="宋体" w:hAnsi="宋体" w:cs="宋体"/>
          <w:bCs/>
          <w:sz w:val="24"/>
        </w:rPr>
        <w:t>5.2运输医用耗材的车辆应使用封闭的厢式货车，并针对运输货物的包装条件及道路、天气状况采取相应措施，防止对货物质量造成影响。对有温度要求货物的运输，应有冷藏或保温的措施。</w:t>
      </w:r>
    </w:p>
    <w:p w14:paraId="7A0D2EF9">
      <w:pPr>
        <w:spacing w:line="360" w:lineRule="auto"/>
        <w:ind w:firstLine="480" w:firstLineChars="200"/>
        <w:contextualSpacing/>
        <w:rPr>
          <w:rFonts w:hint="eastAsia" w:ascii="宋体" w:hAnsi="宋体" w:cs="宋体"/>
          <w:bCs/>
          <w:sz w:val="24"/>
        </w:rPr>
      </w:pPr>
      <w:r>
        <w:rPr>
          <w:rFonts w:hint="eastAsia" w:ascii="宋体" w:hAnsi="宋体" w:cs="宋体"/>
          <w:bCs/>
          <w:sz w:val="24"/>
        </w:rPr>
        <w:t>5.3采用保温箱运输冷藏物资时，保温箱上应注明贮藏条件、启运时间、保温时限、特殊注意事项或运输警告。</w:t>
      </w:r>
    </w:p>
    <w:p w14:paraId="66CFECA8">
      <w:pPr>
        <w:spacing w:line="360" w:lineRule="auto"/>
        <w:ind w:firstLine="480" w:firstLineChars="200"/>
        <w:contextualSpacing/>
        <w:rPr>
          <w:rFonts w:hint="eastAsia" w:ascii="宋体" w:hAnsi="宋体" w:cs="宋体"/>
          <w:bCs/>
          <w:sz w:val="24"/>
        </w:rPr>
      </w:pPr>
      <w:r>
        <w:rPr>
          <w:rFonts w:hint="eastAsia" w:ascii="宋体" w:hAnsi="宋体" w:cs="宋体"/>
          <w:bCs/>
          <w:sz w:val="24"/>
        </w:rPr>
        <w:t>5.4采用冷藏车运输冷藏物资时，冷藏车应符合最新QC标准要求，具有自动温度监控记录功能，采用远程监控技术实施实时温度监测及数据上传。</w:t>
      </w:r>
    </w:p>
    <w:p w14:paraId="51B6DFF1">
      <w:pPr>
        <w:spacing w:line="360" w:lineRule="auto"/>
        <w:ind w:firstLine="480" w:firstLineChars="200"/>
        <w:contextualSpacing/>
        <w:rPr>
          <w:rFonts w:hint="eastAsia" w:ascii="宋体" w:hAnsi="宋体" w:cs="宋体"/>
          <w:bCs/>
          <w:sz w:val="24"/>
        </w:rPr>
      </w:pPr>
      <w:r>
        <w:rPr>
          <w:rFonts w:hint="eastAsia" w:ascii="宋体" w:hAnsi="宋体" w:cs="宋体"/>
          <w:bCs/>
          <w:sz w:val="24"/>
        </w:rPr>
        <w:t>5.5货物启运前，应认真核对货物的品名、规格、数量与运单是否相符，包装是否良好，发现不符合规定或存在危及安全运输隐患的，不得启运。</w:t>
      </w:r>
    </w:p>
    <w:p w14:paraId="6FBA0481">
      <w:pPr>
        <w:spacing w:line="360" w:lineRule="auto"/>
        <w:ind w:firstLine="480" w:firstLineChars="200"/>
        <w:contextualSpacing/>
        <w:rPr>
          <w:rFonts w:hint="eastAsia" w:ascii="宋体" w:hAnsi="宋体" w:cs="宋体"/>
          <w:bCs/>
          <w:sz w:val="24"/>
        </w:rPr>
      </w:pPr>
      <w:r>
        <w:rPr>
          <w:rFonts w:hint="eastAsia" w:ascii="宋体" w:hAnsi="宋体" w:cs="宋体"/>
          <w:bCs/>
          <w:sz w:val="24"/>
        </w:rPr>
        <w:t>5.6货物应安全、准确、及时送达，货损、货差应控制在合同约定的允许范围之内。制定因突发情况导致车辆无法正常运行的应急预案，应及时、准确向客户提供运输与配送的相关信息。</w:t>
      </w:r>
    </w:p>
    <w:p w14:paraId="4E4BAE8A">
      <w:pPr>
        <w:spacing w:line="360" w:lineRule="auto"/>
        <w:ind w:firstLine="480" w:firstLineChars="200"/>
        <w:contextualSpacing/>
        <w:rPr>
          <w:rFonts w:hint="eastAsia" w:ascii="宋体" w:hAnsi="宋体" w:cs="宋体"/>
          <w:bCs/>
          <w:sz w:val="24"/>
        </w:rPr>
      </w:pPr>
      <w:r>
        <w:rPr>
          <w:rFonts w:hint="eastAsia" w:ascii="宋体" w:hAnsi="宋体" w:cs="宋体"/>
          <w:bCs/>
          <w:sz w:val="24"/>
        </w:rPr>
        <w:t>5.7应按货物包装标识要求进行作业，不得倒置货物、损坏货物外包装。</w:t>
      </w:r>
    </w:p>
    <w:p w14:paraId="4873D0B4">
      <w:pPr>
        <w:spacing w:line="360" w:lineRule="auto"/>
        <w:ind w:firstLine="480" w:firstLineChars="200"/>
        <w:contextualSpacing/>
        <w:rPr>
          <w:rFonts w:hint="eastAsia" w:ascii="宋体" w:hAnsi="宋体" w:cs="宋体"/>
          <w:bCs/>
          <w:sz w:val="24"/>
        </w:rPr>
      </w:pPr>
      <w:r>
        <w:rPr>
          <w:rFonts w:hint="eastAsia" w:ascii="宋体" w:hAnsi="宋体" w:cs="宋体"/>
          <w:bCs/>
          <w:sz w:val="24"/>
        </w:rPr>
        <w:t>5.8应选择合理地装载、卸载的流程及加固措施，防止货物破碎与污染。</w:t>
      </w:r>
    </w:p>
    <w:p w14:paraId="1E1A6ACD">
      <w:pPr>
        <w:spacing w:line="360" w:lineRule="auto"/>
        <w:ind w:firstLine="480" w:firstLineChars="200"/>
        <w:contextualSpacing/>
        <w:rPr>
          <w:rFonts w:hint="eastAsia" w:ascii="宋体" w:hAnsi="宋体" w:cs="宋体"/>
          <w:bCs/>
          <w:sz w:val="24"/>
        </w:rPr>
      </w:pPr>
      <w:r>
        <w:rPr>
          <w:rFonts w:hint="eastAsia" w:ascii="宋体" w:hAnsi="宋体" w:cs="宋体"/>
          <w:bCs/>
          <w:sz w:val="24"/>
        </w:rPr>
        <w:t>5.9货物丢失或损坏时，投标人应承担损失，并及时补充相应货物。</w:t>
      </w:r>
    </w:p>
    <w:p w14:paraId="767FF30A">
      <w:pPr>
        <w:spacing w:line="360" w:lineRule="auto"/>
        <w:ind w:firstLine="480" w:firstLineChars="200"/>
        <w:contextualSpacing/>
        <w:rPr>
          <w:rFonts w:hint="eastAsia" w:ascii="宋体" w:hAnsi="宋体" w:cs="宋体"/>
          <w:bCs/>
          <w:sz w:val="24"/>
        </w:rPr>
      </w:pPr>
      <w:r>
        <w:rPr>
          <w:rFonts w:hint="eastAsia" w:ascii="宋体" w:hAnsi="宋体" w:cs="宋体"/>
          <w:bCs/>
          <w:sz w:val="24"/>
        </w:rPr>
        <w:t>6.仓储需求</w:t>
      </w:r>
    </w:p>
    <w:p w14:paraId="259BCC28">
      <w:pPr>
        <w:spacing w:line="360" w:lineRule="auto"/>
        <w:ind w:firstLine="480" w:firstLineChars="200"/>
        <w:contextualSpacing/>
        <w:rPr>
          <w:rFonts w:hint="eastAsia" w:ascii="宋体" w:hAnsi="宋体" w:cs="宋体"/>
          <w:bCs/>
          <w:sz w:val="24"/>
        </w:rPr>
      </w:pPr>
      <w:r>
        <w:rPr>
          <w:rFonts w:hint="eastAsia" w:ascii="宋体" w:hAnsi="宋体" w:cs="宋体"/>
          <w:bCs/>
          <w:sz w:val="24"/>
        </w:rPr>
        <w:t>6.1投标人物流库房（自有、租赁或含委托第三方提供库房服务的），需提供相关证明材料。</w:t>
      </w:r>
    </w:p>
    <w:p w14:paraId="64F3E861">
      <w:pPr>
        <w:spacing w:line="360" w:lineRule="auto"/>
        <w:ind w:firstLine="480" w:firstLineChars="200"/>
        <w:contextualSpacing/>
        <w:rPr>
          <w:rFonts w:hint="eastAsia" w:ascii="宋体" w:hAnsi="宋体" w:cs="宋体"/>
          <w:bCs/>
          <w:sz w:val="24"/>
        </w:rPr>
      </w:pPr>
      <w:r>
        <w:rPr>
          <w:rFonts w:hint="eastAsia" w:ascii="宋体" w:hAnsi="宋体" w:cs="宋体"/>
          <w:bCs/>
          <w:sz w:val="24"/>
        </w:rPr>
        <w:t>6.2符合北京市药品监督管理局等监管部门的法规要求。</w:t>
      </w:r>
    </w:p>
    <w:p w14:paraId="7C26C6DF">
      <w:pPr>
        <w:spacing w:line="360" w:lineRule="auto"/>
        <w:ind w:firstLine="480" w:firstLineChars="200"/>
        <w:contextualSpacing/>
        <w:rPr>
          <w:rFonts w:hint="eastAsia" w:ascii="宋体" w:hAnsi="宋体" w:cs="宋体"/>
          <w:bCs/>
          <w:sz w:val="24"/>
        </w:rPr>
      </w:pPr>
      <w:r>
        <w:rPr>
          <w:rFonts w:hint="eastAsia" w:ascii="宋体" w:hAnsi="宋体" w:cs="宋体"/>
          <w:bCs/>
          <w:sz w:val="24"/>
        </w:rPr>
        <w:t>6.3具有独立冷藏库房，库房容积≥1000立方米，具有可全程追溯的冷链系统（提供冷链运输系统、冷链运输追溯管理系统的列表）。</w:t>
      </w:r>
    </w:p>
    <w:p w14:paraId="76A85FF4">
      <w:pPr>
        <w:spacing w:line="360" w:lineRule="auto"/>
        <w:ind w:firstLine="480" w:firstLineChars="200"/>
        <w:contextualSpacing/>
        <w:rPr>
          <w:rFonts w:hint="eastAsia" w:ascii="宋体" w:hAnsi="宋体" w:cs="宋体"/>
          <w:bCs/>
          <w:sz w:val="24"/>
        </w:rPr>
      </w:pPr>
      <w:r>
        <w:rPr>
          <w:rFonts w:hint="eastAsia" w:ascii="宋体" w:hAnsi="宋体" w:cs="宋体"/>
          <w:bCs/>
          <w:sz w:val="24"/>
        </w:rPr>
        <w:t>6.4投标人提供的物流库房，以北京市体检中心丰台体检部中心的仓库点位地图，单向车程在2小时以内并标注车程距离。</w:t>
      </w:r>
    </w:p>
    <w:p w14:paraId="34761917">
      <w:pPr>
        <w:spacing w:line="360" w:lineRule="auto"/>
        <w:ind w:firstLine="480" w:firstLineChars="200"/>
        <w:contextualSpacing/>
        <w:rPr>
          <w:rFonts w:hint="eastAsia" w:ascii="宋体" w:hAnsi="宋体" w:cs="宋体"/>
          <w:bCs/>
          <w:sz w:val="24"/>
        </w:rPr>
      </w:pPr>
      <w:r>
        <w:rPr>
          <w:rFonts w:hint="eastAsia" w:ascii="宋体" w:hAnsi="宋体" w:cs="宋体"/>
          <w:bCs/>
          <w:sz w:val="24"/>
        </w:rPr>
        <w:t>6.5投标人提供物流库房列表，内容包括库房地址、有效面积、与丰台体检部的车程距离（km）、库房性质（常温库、冷藏库和冷冻库）和库房使用截止期。</w:t>
      </w:r>
    </w:p>
    <w:p w14:paraId="31AD4E2A">
      <w:pPr>
        <w:spacing w:line="360" w:lineRule="auto"/>
        <w:ind w:firstLine="480" w:firstLineChars="200"/>
        <w:contextualSpacing/>
        <w:rPr>
          <w:rFonts w:hint="eastAsia" w:ascii="宋体" w:hAnsi="宋体" w:cs="宋体"/>
          <w:b/>
          <w:sz w:val="24"/>
        </w:rPr>
      </w:pPr>
      <w:r>
        <w:rPr>
          <w:rFonts w:hint="eastAsia" w:ascii="宋体" w:hAnsi="宋体" w:cs="宋体"/>
          <w:bCs/>
          <w:sz w:val="24"/>
        </w:rPr>
        <w:t>▲6.6为保证产品的及时配送并缓解北京市体检中心库房存储压力，投标人须以北京市体检中心丰台体检部为核心，不超过车程0.5小时设立院边库房，该库房归投标人所有（库房自有或租赁或委托第三方），其中提供给采购人的仓储专属面积≥100㎡；能够满足北京市体检中心常备诊断试剂耗材30天的存储量，必须有专属标识，货物贴专属标签。院边库房的物业水电及各种维护、耗材费用由投标人承担。</w:t>
      </w:r>
      <w:r>
        <w:rPr>
          <w:rFonts w:hint="eastAsia" w:ascii="宋体" w:hAnsi="宋体" w:cs="宋体"/>
          <w:b/>
          <w:sz w:val="24"/>
        </w:rPr>
        <w:t>（提供院边库建设方案和承诺函）。</w:t>
      </w:r>
    </w:p>
    <w:p w14:paraId="609C6DAF">
      <w:pPr>
        <w:spacing w:line="360" w:lineRule="auto"/>
        <w:ind w:firstLine="480" w:firstLineChars="200"/>
        <w:contextualSpacing/>
        <w:rPr>
          <w:rFonts w:hint="eastAsia" w:ascii="宋体" w:hAnsi="宋体" w:cs="宋体"/>
          <w:bCs/>
          <w:sz w:val="24"/>
        </w:rPr>
      </w:pPr>
      <w:r>
        <w:rPr>
          <w:rFonts w:hint="eastAsia" w:ascii="宋体" w:hAnsi="宋体" w:cs="宋体"/>
          <w:bCs/>
          <w:sz w:val="24"/>
        </w:rPr>
        <w:t>6.7所有库房储存条件，均符合诊断试剂的说明书和标签标示库存要求。投标人应提供冷链试剂的全程仓储温度记录（包含仓库出入交接温度记录），避免失效。</w:t>
      </w:r>
    </w:p>
    <w:p w14:paraId="6C28B6E7">
      <w:pPr>
        <w:spacing w:line="360" w:lineRule="auto"/>
        <w:ind w:firstLine="480" w:firstLineChars="200"/>
        <w:contextualSpacing/>
        <w:rPr>
          <w:rFonts w:hint="eastAsia" w:ascii="宋体" w:hAnsi="宋体" w:cs="宋体"/>
          <w:bCs/>
          <w:sz w:val="24"/>
        </w:rPr>
      </w:pPr>
      <w:r>
        <w:rPr>
          <w:rFonts w:hint="eastAsia" w:ascii="宋体" w:hAnsi="宋体" w:cs="宋体"/>
          <w:bCs/>
          <w:sz w:val="24"/>
        </w:rPr>
        <w:t>6.8投标人对库存诊断试剂进行高低量储备和安全量管理，并对失效及近效期进行预警管理。</w:t>
      </w:r>
    </w:p>
    <w:p w14:paraId="70FD9E12">
      <w:pPr>
        <w:spacing w:line="360" w:lineRule="auto"/>
        <w:ind w:firstLine="480" w:firstLineChars="200"/>
        <w:contextualSpacing/>
        <w:rPr>
          <w:rFonts w:hint="eastAsia" w:ascii="宋体" w:hAnsi="宋体" w:cs="宋体"/>
          <w:bCs/>
          <w:sz w:val="24"/>
        </w:rPr>
      </w:pPr>
      <w:r>
        <w:rPr>
          <w:rFonts w:hint="eastAsia" w:ascii="宋体" w:hAnsi="宋体" w:cs="宋体"/>
          <w:bCs/>
          <w:sz w:val="24"/>
        </w:rPr>
        <w:t>6.9库房仓储保障无水、火、盗、疫等安全风险。</w:t>
      </w:r>
    </w:p>
    <w:p w14:paraId="4CA616F1">
      <w:pPr>
        <w:spacing w:line="360" w:lineRule="auto"/>
        <w:ind w:firstLine="480" w:firstLineChars="200"/>
        <w:contextualSpacing/>
        <w:rPr>
          <w:rFonts w:hint="eastAsia" w:ascii="宋体" w:hAnsi="宋体" w:cs="宋体"/>
          <w:bCs/>
          <w:sz w:val="24"/>
        </w:rPr>
      </w:pPr>
      <w:r>
        <w:rPr>
          <w:rFonts w:hint="eastAsia" w:ascii="宋体" w:hAnsi="宋体" w:cs="宋体"/>
          <w:bCs/>
          <w:sz w:val="24"/>
        </w:rPr>
        <w:t>6.10投标人上述仓储情况如出现变动，应在变动情况出现的1小时内与采购人同步上述信息。</w:t>
      </w:r>
    </w:p>
    <w:p w14:paraId="1ACB05E0">
      <w:pPr>
        <w:spacing w:line="360" w:lineRule="auto"/>
        <w:ind w:firstLine="480" w:firstLineChars="200"/>
        <w:contextualSpacing/>
        <w:rPr>
          <w:rFonts w:hint="eastAsia" w:ascii="宋体" w:hAnsi="宋体" w:cs="宋体"/>
          <w:bCs/>
          <w:sz w:val="24"/>
        </w:rPr>
      </w:pPr>
      <w:r>
        <w:rPr>
          <w:rFonts w:hint="eastAsia" w:ascii="宋体" w:hAnsi="宋体" w:cs="宋体"/>
          <w:bCs/>
          <w:sz w:val="24"/>
        </w:rPr>
        <w:t>6.11提供全套库房管理的相关制度列表。</w:t>
      </w:r>
    </w:p>
    <w:p w14:paraId="79AD328C">
      <w:pPr>
        <w:spacing w:line="360" w:lineRule="auto"/>
        <w:ind w:firstLine="480" w:firstLineChars="200"/>
        <w:contextualSpacing/>
        <w:rPr>
          <w:rFonts w:hint="eastAsia" w:ascii="宋体" w:hAnsi="宋体" w:cs="宋体"/>
          <w:bCs/>
          <w:sz w:val="24"/>
        </w:rPr>
      </w:pPr>
      <w:r>
        <w:rPr>
          <w:rFonts w:hint="eastAsia" w:ascii="宋体" w:hAnsi="宋体" w:cs="宋体"/>
          <w:bCs/>
          <w:sz w:val="24"/>
        </w:rPr>
        <w:t>7.信息化管理</w:t>
      </w:r>
    </w:p>
    <w:p w14:paraId="04790C57">
      <w:pPr>
        <w:spacing w:line="360" w:lineRule="auto"/>
        <w:ind w:firstLine="480" w:firstLineChars="200"/>
        <w:contextualSpacing/>
        <w:rPr>
          <w:rFonts w:hint="eastAsia" w:ascii="宋体" w:hAnsi="宋体" w:cs="宋体"/>
          <w:bCs/>
          <w:sz w:val="24"/>
        </w:rPr>
      </w:pPr>
      <w:r>
        <w:rPr>
          <w:rFonts w:hint="eastAsia" w:ascii="宋体" w:hAnsi="宋体" w:cs="宋体"/>
          <w:bCs/>
          <w:sz w:val="24"/>
        </w:rPr>
        <w:t>7.1提供试剂耗材的字典库维护，包括但不限于提供按采购人要求的试剂耗材字典库信息或由采购人提供端口软件用于维护。</w:t>
      </w:r>
    </w:p>
    <w:p w14:paraId="32DB133D">
      <w:pPr>
        <w:spacing w:line="360" w:lineRule="auto"/>
        <w:ind w:firstLine="480" w:firstLineChars="200"/>
        <w:contextualSpacing/>
        <w:rPr>
          <w:rFonts w:hint="eastAsia" w:ascii="宋体" w:hAnsi="宋体" w:cs="宋体"/>
          <w:bCs/>
          <w:sz w:val="24"/>
        </w:rPr>
      </w:pPr>
      <w:r>
        <w:rPr>
          <w:rFonts w:hint="eastAsia" w:ascii="宋体" w:hAnsi="宋体" w:cs="宋体"/>
          <w:bCs/>
          <w:sz w:val="24"/>
        </w:rPr>
        <w:t>7.2维护内容包括但不限于商品品名、规格、数量、单价、金额、有效期、生产批号、生产厂家、注册证号、储运条件、商品图片等信息。</w:t>
      </w:r>
    </w:p>
    <w:p w14:paraId="197DD664">
      <w:pPr>
        <w:spacing w:line="360" w:lineRule="auto"/>
        <w:ind w:firstLine="480" w:firstLineChars="200"/>
        <w:contextualSpacing/>
        <w:rPr>
          <w:rFonts w:hint="eastAsia" w:ascii="宋体" w:hAnsi="宋体" w:cs="宋体"/>
          <w:bCs/>
          <w:sz w:val="24"/>
        </w:rPr>
      </w:pPr>
      <w:r>
        <w:rPr>
          <w:rFonts w:hint="eastAsia" w:ascii="宋体" w:hAnsi="宋体" w:cs="宋体"/>
          <w:bCs/>
          <w:sz w:val="24"/>
        </w:rPr>
        <w:t>7.3提供配送订单电子数据传送，内容包括但不限于商品品名、规格、数量、单价、金额、有效期、生产批号、生产厂家、注册证号等信息。</w:t>
      </w:r>
    </w:p>
    <w:p w14:paraId="0B967BE5">
      <w:pPr>
        <w:spacing w:line="360" w:lineRule="auto"/>
        <w:ind w:firstLine="480" w:firstLineChars="200"/>
        <w:contextualSpacing/>
        <w:rPr>
          <w:rFonts w:hint="eastAsia" w:ascii="宋体" w:hAnsi="宋体" w:cs="宋体"/>
          <w:bCs/>
          <w:sz w:val="24"/>
        </w:rPr>
      </w:pPr>
      <w:r>
        <w:rPr>
          <w:rFonts w:hint="eastAsia" w:ascii="宋体" w:hAnsi="宋体" w:cs="宋体"/>
          <w:bCs/>
          <w:sz w:val="24"/>
        </w:rPr>
        <w:t>7.4投标人需要同采购人建立信息接口，使采购人可以看到投标人的发货信息等（包括发货数量、批次以及批次有效期等）。</w:t>
      </w:r>
    </w:p>
    <w:p w14:paraId="271BB132">
      <w:pPr>
        <w:spacing w:line="360" w:lineRule="auto"/>
        <w:ind w:firstLine="480" w:firstLineChars="200"/>
        <w:contextualSpacing/>
        <w:rPr>
          <w:rFonts w:hint="eastAsia" w:ascii="宋体" w:hAnsi="宋体" w:cs="宋体"/>
          <w:bCs/>
          <w:sz w:val="24"/>
        </w:rPr>
      </w:pPr>
      <w:r>
        <w:rPr>
          <w:rFonts w:hint="eastAsia" w:ascii="宋体" w:hAnsi="宋体" w:cs="宋体"/>
          <w:bCs/>
          <w:sz w:val="24"/>
        </w:rPr>
        <w:t>7.5根据采购人需求，配备信息化管理软硬件，协助完成信息化对接工作。</w:t>
      </w:r>
    </w:p>
    <w:p w14:paraId="6C699D0F">
      <w:pPr>
        <w:spacing w:line="360" w:lineRule="auto"/>
        <w:ind w:firstLine="480" w:firstLineChars="200"/>
        <w:contextualSpacing/>
        <w:rPr>
          <w:rFonts w:hint="eastAsia" w:ascii="宋体" w:hAnsi="宋体" w:cs="宋体"/>
          <w:bCs/>
          <w:sz w:val="24"/>
        </w:rPr>
      </w:pPr>
      <w:r>
        <w:rPr>
          <w:rFonts w:hint="eastAsia" w:ascii="宋体" w:hAnsi="宋体" w:cs="宋体"/>
          <w:bCs/>
          <w:sz w:val="24"/>
        </w:rPr>
        <w:t>7.6可通过条码管理，实现耗材全流通环节的监控、完成追溯管理。支持UDI原厂码全程追溯。</w:t>
      </w:r>
    </w:p>
    <w:p w14:paraId="2ABB36BF">
      <w:pPr>
        <w:spacing w:line="360" w:lineRule="auto"/>
        <w:ind w:firstLine="480" w:firstLineChars="200"/>
        <w:contextualSpacing/>
        <w:rPr>
          <w:rFonts w:hint="eastAsia" w:ascii="宋体" w:hAnsi="宋体" w:cs="宋体"/>
          <w:bCs/>
          <w:sz w:val="24"/>
        </w:rPr>
      </w:pPr>
      <w:r>
        <w:rPr>
          <w:rFonts w:hint="eastAsia" w:ascii="宋体" w:hAnsi="宋体" w:cs="宋体"/>
          <w:bCs/>
          <w:sz w:val="24"/>
        </w:rPr>
        <w:t>8.售后服务</w:t>
      </w:r>
    </w:p>
    <w:p w14:paraId="6B2FFF3F">
      <w:pPr>
        <w:spacing w:line="360" w:lineRule="auto"/>
        <w:ind w:firstLine="480" w:firstLineChars="200"/>
        <w:contextualSpacing/>
        <w:rPr>
          <w:rFonts w:hint="eastAsia" w:ascii="宋体" w:hAnsi="宋体" w:cs="宋体"/>
          <w:bCs/>
          <w:sz w:val="24"/>
        </w:rPr>
      </w:pPr>
      <w:r>
        <w:rPr>
          <w:rFonts w:hint="eastAsia" w:ascii="宋体" w:hAnsi="宋体" w:cs="宋体"/>
          <w:bCs/>
          <w:sz w:val="24"/>
        </w:rPr>
        <w:t>8.1服务流程及内容要求</w:t>
      </w:r>
    </w:p>
    <w:p w14:paraId="2B600721">
      <w:pPr>
        <w:spacing w:line="360" w:lineRule="auto"/>
        <w:ind w:firstLine="480" w:firstLineChars="200"/>
        <w:contextualSpacing/>
        <w:rPr>
          <w:rFonts w:hint="eastAsia" w:ascii="宋体" w:hAnsi="宋体" w:cs="宋体"/>
          <w:bCs/>
          <w:sz w:val="24"/>
        </w:rPr>
      </w:pPr>
      <w:r>
        <w:rPr>
          <w:rFonts w:hint="eastAsia" w:ascii="宋体" w:hAnsi="宋体" w:cs="宋体"/>
          <w:bCs/>
          <w:sz w:val="24"/>
        </w:rPr>
        <w:t>8.1.1结合采购人现有情况，设置专业的售后服务团队，制定详细的售后服务流程，能够及时为采购人提供售后服务；</w:t>
      </w:r>
    </w:p>
    <w:p w14:paraId="1DFE3E8E">
      <w:pPr>
        <w:spacing w:line="360" w:lineRule="auto"/>
        <w:ind w:firstLine="480" w:firstLineChars="200"/>
        <w:contextualSpacing/>
        <w:rPr>
          <w:rFonts w:hint="eastAsia" w:ascii="宋体" w:hAnsi="宋体" w:cs="宋体"/>
          <w:bCs/>
          <w:sz w:val="24"/>
        </w:rPr>
      </w:pPr>
      <w:r>
        <w:rPr>
          <w:rFonts w:hint="eastAsia" w:ascii="宋体" w:hAnsi="宋体" w:cs="宋体"/>
          <w:bCs/>
          <w:sz w:val="24"/>
        </w:rPr>
        <w:t>8.1.2做好售后服务计划、有完整的售后服务记录；</w:t>
      </w:r>
    </w:p>
    <w:p w14:paraId="3DB27E97">
      <w:pPr>
        <w:spacing w:line="360" w:lineRule="auto"/>
        <w:ind w:firstLine="480" w:firstLineChars="200"/>
        <w:contextualSpacing/>
        <w:rPr>
          <w:rFonts w:hint="eastAsia" w:ascii="宋体" w:hAnsi="宋体" w:cs="宋体"/>
          <w:bCs/>
          <w:sz w:val="24"/>
        </w:rPr>
      </w:pPr>
      <w:r>
        <w:rPr>
          <w:rFonts w:hint="eastAsia" w:ascii="宋体" w:hAnsi="宋体" w:cs="宋体"/>
          <w:bCs/>
          <w:sz w:val="24"/>
        </w:rPr>
        <w:t>8.1.3定期进行采购人满意度调查，了解配送中存在的问题、采购人的建议和意见，提出合理化改进意见，解决配送中存在的问题；</w:t>
      </w:r>
    </w:p>
    <w:p w14:paraId="03AF38C2">
      <w:pPr>
        <w:spacing w:line="360" w:lineRule="auto"/>
        <w:ind w:firstLine="480" w:firstLineChars="200"/>
        <w:contextualSpacing/>
        <w:rPr>
          <w:rFonts w:hint="eastAsia" w:ascii="宋体" w:hAnsi="宋体" w:cs="宋体"/>
          <w:bCs/>
          <w:sz w:val="24"/>
        </w:rPr>
      </w:pPr>
      <w:r>
        <w:rPr>
          <w:rFonts w:hint="eastAsia" w:ascii="宋体" w:hAnsi="宋体" w:cs="宋体"/>
          <w:bCs/>
          <w:sz w:val="24"/>
        </w:rPr>
        <w:t>8.1.4对于有效期小于6个月或剩余有效期不足有效期50%的产品，投标人按采购人要求给予更换。</w:t>
      </w:r>
    </w:p>
    <w:p w14:paraId="74210C0B">
      <w:pPr>
        <w:spacing w:line="360" w:lineRule="auto"/>
        <w:ind w:firstLine="480" w:firstLineChars="200"/>
        <w:contextualSpacing/>
        <w:rPr>
          <w:rFonts w:hint="eastAsia" w:ascii="宋体" w:hAnsi="宋体" w:cs="宋体"/>
          <w:bCs/>
          <w:sz w:val="24"/>
        </w:rPr>
      </w:pPr>
      <w:r>
        <w:rPr>
          <w:rFonts w:hint="eastAsia" w:ascii="宋体" w:hAnsi="宋体" w:cs="宋体"/>
          <w:bCs/>
          <w:sz w:val="24"/>
        </w:rPr>
        <w:t>8.1.5非采购人原因，由于国家政策变化或产品本身质量原因或被国家禁用不允许使用的产品及召回产品，必须给予退货。</w:t>
      </w:r>
    </w:p>
    <w:p w14:paraId="32D7EA39">
      <w:pPr>
        <w:widowControl/>
        <w:spacing w:line="360" w:lineRule="auto"/>
        <w:ind w:firstLine="480" w:firstLineChars="200"/>
        <w:jc w:val="left"/>
        <w:rPr>
          <w:rFonts w:hint="eastAsia" w:ascii="宋体" w:hAnsi="宋体" w:cs="宋体"/>
          <w:color w:val="000000"/>
          <w:kern w:val="0"/>
          <w:sz w:val="24"/>
        </w:rPr>
      </w:pPr>
      <w:r>
        <w:rPr>
          <w:rFonts w:hint="eastAsia" w:ascii="宋体" w:hAnsi="宋体" w:cs="宋体"/>
          <w:color w:val="000000"/>
          <w:kern w:val="0"/>
          <w:sz w:val="24"/>
        </w:rPr>
        <w:t>8.1.6已接收货物开封使用后发现实际质量问题，投标人须协调相关人员到场限期解决，包括并不限于免费提供标准物质进行试剂质量验证及免费退换货。</w:t>
      </w:r>
    </w:p>
    <w:p w14:paraId="204159A9">
      <w:pPr>
        <w:pStyle w:val="3"/>
        <w:spacing w:before="0" w:beforeAutospacing="0" w:after="0" w:afterAutospacing="0" w:line="360" w:lineRule="auto"/>
        <w:ind w:left="0" w:leftChars="0" w:firstLine="480" w:firstLineChars="200"/>
        <w:rPr>
          <w:rFonts w:hint="eastAsia" w:ascii="宋体" w:hAnsi="宋体" w:cs="宋体"/>
          <w:sz w:val="24"/>
        </w:rPr>
      </w:pPr>
      <w:r>
        <w:rPr>
          <w:rFonts w:hint="eastAsia" w:ascii="宋体" w:hAnsi="宋体" w:cs="宋体"/>
          <w:color w:val="000000"/>
          <w:kern w:val="0"/>
          <w:sz w:val="24"/>
        </w:rPr>
        <w:t>8.1.7投标人须完成检测试剂相关检验设备的定期保养、故障维修、年度校准以及必要技术支持等服务。</w:t>
      </w:r>
    </w:p>
    <w:p w14:paraId="061970C7">
      <w:pPr>
        <w:spacing w:line="360" w:lineRule="auto"/>
        <w:ind w:firstLine="480" w:firstLineChars="200"/>
        <w:contextualSpacing/>
        <w:rPr>
          <w:rFonts w:hint="eastAsia" w:ascii="宋体" w:hAnsi="宋体" w:cs="宋体"/>
          <w:bCs/>
          <w:sz w:val="24"/>
        </w:rPr>
      </w:pPr>
      <w:r>
        <w:rPr>
          <w:rFonts w:hint="eastAsia" w:ascii="宋体" w:hAnsi="宋体" w:cs="宋体"/>
          <w:bCs/>
          <w:sz w:val="24"/>
        </w:rPr>
        <w:t>8.2服务响应</w:t>
      </w:r>
    </w:p>
    <w:p w14:paraId="1908479B">
      <w:pPr>
        <w:spacing w:line="360" w:lineRule="auto"/>
        <w:ind w:firstLine="480" w:firstLineChars="200"/>
        <w:contextualSpacing/>
        <w:rPr>
          <w:rFonts w:hint="eastAsia" w:ascii="宋体" w:hAnsi="宋体" w:cs="宋体"/>
          <w:bCs/>
          <w:sz w:val="24"/>
        </w:rPr>
      </w:pPr>
      <w:r>
        <w:rPr>
          <w:rFonts w:hint="eastAsia" w:ascii="宋体" w:hAnsi="宋体" w:cs="宋体"/>
          <w:bCs/>
          <w:sz w:val="24"/>
        </w:rPr>
        <w:t>8.2.1提供的产品，在包装完整情况下，提供无条件退货。</w:t>
      </w:r>
    </w:p>
    <w:p w14:paraId="6DAFB975">
      <w:pPr>
        <w:spacing w:line="360" w:lineRule="auto"/>
        <w:ind w:firstLine="480" w:firstLineChars="200"/>
        <w:contextualSpacing/>
        <w:rPr>
          <w:rFonts w:hint="eastAsia" w:ascii="宋体" w:hAnsi="宋体" w:cs="宋体"/>
          <w:bCs/>
          <w:sz w:val="24"/>
        </w:rPr>
      </w:pPr>
      <w:r>
        <w:rPr>
          <w:rFonts w:hint="eastAsia" w:ascii="宋体" w:hAnsi="宋体" w:cs="宋体"/>
          <w:bCs/>
          <w:sz w:val="24"/>
        </w:rPr>
        <w:t>8.2.2在产品出现质量问题时，必须在24小时内退货，48小时内更换合格产品。</w:t>
      </w:r>
    </w:p>
    <w:p w14:paraId="096AA788">
      <w:pPr>
        <w:spacing w:line="360" w:lineRule="auto"/>
        <w:ind w:firstLine="480" w:firstLineChars="200"/>
        <w:contextualSpacing/>
        <w:rPr>
          <w:rFonts w:hint="eastAsia" w:ascii="宋体" w:hAnsi="宋体" w:cs="宋体"/>
          <w:bCs/>
          <w:sz w:val="24"/>
        </w:rPr>
      </w:pPr>
      <w:r>
        <w:rPr>
          <w:rFonts w:hint="eastAsia" w:ascii="宋体" w:hAnsi="宋体" w:cs="宋体"/>
          <w:bCs/>
          <w:sz w:val="24"/>
        </w:rPr>
        <w:t>8.3货物质保期</w:t>
      </w:r>
    </w:p>
    <w:p w14:paraId="5BA9C0C8">
      <w:pPr>
        <w:spacing w:line="360" w:lineRule="auto"/>
        <w:ind w:firstLine="480" w:firstLineChars="200"/>
        <w:contextualSpacing/>
        <w:rPr>
          <w:rFonts w:hint="eastAsia" w:ascii="宋体" w:hAnsi="宋体" w:cs="宋体"/>
          <w:bCs/>
          <w:sz w:val="24"/>
        </w:rPr>
      </w:pPr>
      <w:r>
        <w:rPr>
          <w:rFonts w:hint="eastAsia" w:ascii="宋体" w:hAnsi="宋体" w:cs="宋体"/>
          <w:bCs/>
          <w:sz w:val="24"/>
        </w:rPr>
        <w:t>8.3.1投标人不得配送距有效期六个月内或剩余有效期不足有效期50%的产品。</w:t>
      </w:r>
    </w:p>
    <w:p w14:paraId="1A559139">
      <w:pPr>
        <w:widowControl/>
        <w:spacing w:line="360" w:lineRule="auto"/>
        <w:ind w:firstLine="480" w:firstLineChars="200"/>
        <w:jc w:val="left"/>
        <w:rPr>
          <w:rFonts w:hint="eastAsia" w:ascii="宋体" w:hAnsi="宋体" w:cs="宋体"/>
          <w:color w:val="000000"/>
          <w:kern w:val="0"/>
          <w:sz w:val="24"/>
        </w:rPr>
      </w:pPr>
      <w:r>
        <w:rPr>
          <w:rFonts w:hint="eastAsia" w:ascii="宋体" w:hAnsi="宋体" w:cs="宋体"/>
          <w:bCs/>
          <w:sz w:val="24"/>
        </w:rPr>
        <w:t>8.3.2</w:t>
      </w:r>
      <w:r>
        <w:rPr>
          <w:rFonts w:hint="eastAsia" w:ascii="宋体" w:hAnsi="宋体" w:cs="宋体"/>
          <w:color w:val="000000"/>
          <w:kern w:val="0"/>
          <w:sz w:val="24"/>
        </w:rPr>
        <w:t>投标人需保证3至6个月批号一致，提供批批检证书；质控品有效期要求：需保证8至12个月，批号一致；校准品可以最小单位订货。</w:t>
      </w:r>
    </w:p>
    <w:p w14:paraId="5FB10601">
      <w:pPr>
        <w:spacing w:line="360" w:lineRule="auto"/>
        <w:ind w:firstLine="480" w:firstLineChars="200"/>
        <w:contextualSpacing/>
        <w:rPr>
          <w:rFonts w:hint="eastAsia" w:ascii="宋体" w:hAnsi="宋体" w:cs="宋体"/>
          <w:bCs/>
          <w:sz w:val="24"/>
        </w:rPr>
      </w:pPr>
      <w:r>
        <w:rPr>
          <w:rFonts w:hint="eastAsia" w:ascii="宋体" w:hAnsi="宋体" w:cs="宋体"/>
          <w:bCs/>
          <w:sz w:val="24"/>
        </w:rPr>
        <w:t>8.3.3因产品质量问题而引起的纠纷，由投标人承担相应的法律责任及经济赔偿责任。</w:t>
      </w:r>
    </w:p>
    <w:p w14:paraId="25404D73">
      <w:pPr>
        <w:spacing w:line="360" w:lineRule="auto"/>
        <w:ind w:firstLine="480" w:firstLineChars="200"/>
        <w:contextualSpacing/>
        <w:rPr>
          <w:rFonts w:hint="eastAsia" w:ascii="宋体" w:hAnsi="宋体" w:cs="宋体"/>
          <w:bCs/>
          <w:sz w:val="24"/>
        </w:rPr>
      </w:pPr>
      <w:r>
        <w:rPr>
          <w:rFonts w:hint="eastAsia" w:ascii="宋体" w:hAnsi="宋体" w:cs="宋体"/>
          <w:bCs/>
          <w:sz w:val="24"/>
        </w:rPr>
        <w:t>9.服务承诺</w:t>
      </w:r>
    </w:p>
    <w:p w14:paraId="2EE7FCA3">
      <w:pPr>
        <w:spacing w:line="360" w:lineRule="auto"/>
        <w:ind w:firstLine="480" w:firstLineChars="200"/>
        <w:contextualSpacing/>
        <w:rPr>
          <w:rFonts w:hint="eastAsia" w:ascii="宋体" w:hAnsi="宋体" w:cs="宋体"/>
          <w:bCs/>
          <w:sz w:val="24"/>
        </w:rPr>
      </w:pPr>
      <w:r>
        <w:rPr>
          <w:rFonts w:hint="eastAsia" w:ascii="宋体" w:hAnsi="宋体" w:cs="宋体"/>
          <w:bCs/>
          <w:sz w:val="24"/>
        </w:rPr>
        <w:t>9.1合同期内由供应商提供本项目相关诊断试剂采购及配送服务涉及的软硬件免费保修服务。</w:t>
      </w:r>
    </w:p>
    <w:p w14:paraId="14D3B41D">
      <w:pPr>
        <w:spacing w:line="360" w:lineRule="auto"/>
        <w:ind w:firstLine="480" w:firstLineChars="200"/>
        <w:contextualSpacing/>
        <w:rPr>
          <w:rFonts w:hint="eastAsia" w:ascii="宋体" w:hAnsi="宋体" w:cs="宋体"/>
          <w:bCs/>
          <w:sz w:val="24"/>
        </w:rPr>
      </w:pPr>
      <w:r>
        <w:rPr>
          <w:rFonts w:hint="eastAsia" w:ascii="宋体" w:hAnsi="宋体" w:cs="宋体"/>
          <w:bCs/>
          <w:sz w:val="24"/>
        </w:rPr>
        <w:t>▲9.2合同期内由供应商提供所有检验仪器日常维保和应急维修保障服务，相关费用由投标人承担</w:t>
      </w:r>
      <w:r>
        <w:rPr>
          <w:rFonts w:hint="eastAsia" w:ascii="宋体" w:hAnsi="宋体" w:cs="宋体"/>
          <w:b/>
          <w:sz w:val="24"/>
        </w:rPr>
        <w:t>（提供承诺书并加盖投标单位公章）。</w:t>
      </w:r>
    </w:p>
    <w:p w14:paraId="18B1672C">
      <w:pPr>
        <w:spacing w:line="360" w:lineRule="auto"/>
        <w:ind w:firstLine="480" w:firstLineChars="200"/>
        <w:contextualSpacing/>
        <w:rPr>
          <w:rFonts w:hint="eastAsia" w:ascii="宋体" w:hAnsi="宋体" w:cs="宋体"/>
          <w:bCs/>
          <w:sz w:val="24"/>
        </w:rPr>
      </w:pPr>
      <w:r>
        <w:rPr>
          <w:rFonts w:hint="eastAsia" w:ascii="宋体" w:hAnsi="宋体" w:cs="宋体"/>
          <w:bCs/>
          <w:sz w:val="24"/>
        </w:rPr>
        <w:t>9.3合同期满后，如双方未续签合同，采购人有权继续使用供应商为本项目所提供的所有软硬件，维保费用由采购人自行承担。</w:t>
      </w:r>
    </w:p>
    <w:p w14:paraId="68CFC405">
      <w:pPr>
        <w:spacing w:line="360" w:lineRule="auto"/>
        <w:ind w:firstLine="480" w:firstLineChars="200"/>
        <w:contextualSpacing/>
        <w:rPr>
          <w:rFonts w:hint="eastAsia" w:ascii="宋体" w:hAnsi="宋体" w:cs="宋体"/>
          <w:bCs/>
          <w:sz w:val="24"/>
        </w:rPr>
      </w:pPr>
      <w:r>
        <w:rPr>
          <w:rFonts w:hint="eastAsia" w:ascii="宋体" w:hAnsi="宋体" w:cs="宋体"/>
          <w:bCs/>
          <w:sz w:val="24"/>
        </w:rPr>
        <w:t>10.培训要求</w:t>
      </w:r>
    </w:p>
    <w:p w14:paraId="059FE723">
      <w:pPr>
        <w:spacing w:line="360" w:lineRule="auto"/>
        <w:ind w:firstLine="480" w:firstLineChars="200"/>
        <w:contextualSpacing/>
        <w:rPr>
          <w:rFonts w:hint="eastAsia" w:ascii="宋体" w:hAnsi="宋体" w:cs="宋体"/>
          <w:bCs/>
          <w:sz w:val="24"/>
        </w:rPr>
      </w:pPr>
      <w:r>
        <w:rPr>
          <w:rFonts w:hint="eastAsia" w:ascii="宋体" w:hAnsi="宋体" w:cs="宋体"/>
          <w:bCs/>
          <w:sz w:val="24"/>
        </w:rPr>
        <w:t>10.1投标人应对配送人员进行配送服务流程培训，确保相关人员熟练掌握配送流程。</w:t>
      </w:r>
    </w:p>
    <w:p w14:paraId="6272CBBB">
      <w:pPr>
        <w:spacing w:line="360" w:lineRule="auto"/>
        <w:ind w:firstLine="480" w:firstLineChars="200"/>
        <w:contextualSpacing/>
        <w:rPr>
          <w:rFonts w:hint="eastAsia" w:ascii="宋体" w:hAnsi="宋体" w:cs="宋体"/>
          <w:bCs/>
          <w:sz w:val="24"/>
        </w:rPr>
      </w:pPr>
      <w:r>
        <w:rPr>
          <w:rFonts w:hint="eastAsia" w:ascii="宋体" w:hAnsi="宋体" w:cs="宋体"/>
          <w:bCs/>
          <w:sz w:val="24"/>
        </w:rPr>
        <w:t>10.2新增项目产品使用规范培训，包括但不限于以下内容：对新准入的产品有义务提供产品使用、操作方法、临床应用、注意事项等培训，并提供培训资料。</w:t>
      </w:r>
    </w:p>
    <w:p w14:paraId="68FEB09A">
      <w:pPr>
        <w:spacing w:line="360" w:lineRule="auto"/>
        <w:ind w:firstLine="480" w:firstLineChars="200"/>
        <w:contextualSpacing/>
        <w:rPr>
          <w:rFonts w:hint="eastAsia" w:ascii="宋体" w:hAnsi="宋体" w:cs="宋体"/>
          <w:bCs/>
          <w:sz w:val="24"/>
        </w:rPr>
      </w:pPr>
      <w:r>
        <w:rPr>
          <w:rFonts w:hint="eastAsia" w:ascii="宋体" w:hAnsi="宋体" w:cs="宋体"/>
          <w:bCs/>
          <w:sz w:val="24"/>
        </w:rPr>
        <w:t>10.3采购人在产品的使用过程中出现技术问题，投标人负责联系生产厂家或专业人员，按照采购人要求进行现场技术指导和讲解。</w:t>
      </w:r>
    </w:p>
    <w:p w14:paraId="0DCA04D3">
      <w:pPr>
        <w:spacing w:line="360" w:lineRule="auto"/>
        <w:ind w:firstLine="480" w:firstLineChars="200"/>
        <w:contextualSpacing/>
        <w:rPr>
          <w:rFonts w:hint="eastAsia" w:ascii="宋体" w:hAnsi="宋体" w:cs="宋体"/>
          <w:bCs/>
          <w:sz w:val="24"/>
        </w:rPr>
      </w:pPr>
      <w:r>
        <w:rPr>
          <w:rFonts w:hint="eastAsia" w:ascii="宋体" w:hAnsi="宋体" w:cs="宋体"/>
          <w:bCs/>
          <w:sz w:val="24"/>
        </w:rPr>
        <w:t>11.项目团队配备</w:t>
      </w:r>
    </w:p>
    <w:p w14:paraId="1A27D651">
      <w:pPr>
        <w:spacing w:line="360" w:lineRule="auto"/>
        <w:ind w:firstLine="480" w:firstLineChars="200"/>
        <w:contextualSpacing/>
        <w:rPr>
          <w:rFonts w:hint="eastAsia" w:ascii="宋体" w:hAnsi="宋体" w:cs="宋体"/>
          <w:bCs/>
          <w:sz w:val="24"/>
        </w:rPr>
      </w:pPr>
      <w:r>
        <w:rPr>
          <w:rFonts w:hint="eastAsia" w:ascii="宋体" w:hAnsi="宋体" w:cs="宋体"/>
          <w:bCs/>
          <w:sz w:val="24"/>
        </w:rPr>
        <w:t>11.1派驻现场人员组织机构</w:t>
      </w:r>
    </w:p>
    <w:p w14:paraId="055595BB">
      <w:pPr>
        <w:spacing w:line="360" w:lineRule="auto"/>
        <w:ind w:firstLine="480" w:firstLineChars="200"/>
        <w:contextualSpacing/>
        <w:rPr>
          <w:rFonts w:hint="eastAsia" w:ascii="宋体" w:hAnsi="宋体" w:cs="宋体"/>
          <w:bCs/>
          <w:sz w:val="24"/>
        </w:rPr>
      </w:pPr>
      <w:r>
        <w:rPr>
          <w:rFonts w:hint="eastAsia" w:ascii="宋体" w:hAnsi="宋体" w:cs="宋体"/>
          <w:bCs/>
          <w:sz w:val="24"/>
        </w:rPr>
        <w:t>11.1.1明确划分职能、权责关系，明确承担工作内容、关键工作及工作关系。</w:t>
      </w:r>
    </w:p>
    <w:p w14:paraId="3F5DD22B">
      <w:pPr>
        <w:spacing w:line="360" w:lineRule="auto"/>
        <w:ind w:firstLine="480" w:firstLineChars="200"/>
        <w:contextualSpacing/>
        <w:rPr>
          <w:rFonts w:hint="eastAsia" w:ascii="宋体" w:hAnsi="宋体" w:cs="宋体"/>
          <w:bCs/>
          <w:sz w:val="24"/>
        </w:rPr>
      </w:pPr>
      <w:r>
        <w:rPr>
          <w:rFonts w:hint="eastAsia" w:ascii="宋体" w:hAnsi="宋体" w:cs="宋体"/>
          <w:bCs/>
          <w:sz w:val="24"/>
        </w:rPr>
        <w:t>11.1.2根据本项目实际情况与采购人的有关规定，投标人需有完善的人员管理与考核制度，并报采购人审核。</w:t>
      </w:r>
    </w:p>
    <w:p w14:paraId="0D548E0C">
      <w:pPr>
        <w:spacing w:line="360" w:lineRule="auto"/>
        <w:ind w:firstLine="480" w:firstLineChars="200"/>
        <w:contextualSpacing/>
        <w:rPr>
          <w:rFonts w:hint="eastAsia" w:ascii="宋体" w:hAnsi="宋体" w:cs="宋体"/>
          <w:bCs/>
          <w:sz w:val="24"/>
        </w:rPr>
      </w:pPr>
      <w:r>
        <w:rPr>
          <w:rFonts w:hint="eastAsia" w:ascii="宋体" w:hAnsi="宋体" w:cs="宋体"/>
          <w:bCs/>
          <w:sz w:val="24"/>
        </w:rPr>
        <w:t>11.2投标人为采购人提供院内项目服务人员。</w:t>
      </w:r>
    </w:p>
    <w:p w14:paraId="7FDA0E57">
      <w:pPr>
        <w:spacing w:line="360" w:lineRule="auto"/>
        <w:ind w:firstLine="480" w:firstLineChars="200"/>
        <w:contextualSpacing/>
        <w:rPr>
          <w:rFonts w:hint="eastAsia" w:ascii="宋体" w:hAnsi="宋体" w:cs="宋体"/>
          <w:bCs/>
          <w:sz w:val="24"/>
        </w:rPr>
      </w:pPr>
      <w:r>
        <w:rPr>
          <w:rFonts w:hint="eastAsia" w:ascii="宋体" w:hAnsi="宋体" w:cs="宋体"/>
          <w:bCs/>
          <w:sz w:val="24"/>
        </w:rPr>
        <w:t>11.2.1工作人员人数≥2人。</w:t>
      </w:r>
    </w:p>
    <w:p w14:paraId="6B651158">
      <w:pPr>
        <w:spacing w:line="360" w:lineRule="auto"/>
        <w:ind w:firstLine="480" w:firstLineChars="200"/>
        <w:contextualSpacing/>
        <w:rPr>
          <w:rFonts w:hint="eastAsia" w:ascii="宋体" w:hAnsi="宋体" w:cs="宋体"/>
          <w:bCs/>
          <w:sz w:val="24"/>
        </w:rPr>
      </w:pPr>
      <w:r>
        <w:rPr>
          <w:rFonts w:hint="eastAsia" w:ascii="宋体" w:hAnsi="宋体" w:cs="宋体"/>
          <w:bCs/>
          <w:sz w:val="24"/>
        </w:rPr>
        <w:t>11.2.2其中包含1名项目经理，具备2年以上同类项目管理经验。</w:t>
      </w:r>
    </w:p>
    <w:p w14:paraId="1F5752FC">
      <w:pPr>
        <w:spacing w:line="360" w:lineRule="auto"/>
        <w:ind w:firstLine="480" w:firstLineChars="200"/>
        <w:contextualSpacing/>
        <w:rPr>
          <w:rFonts w:hint="eastAsia" w:ascii="宋体" w:hAnsi="宋体" w:cs="宋体"/>
          <w:bCs/>
          <w:sz w:val="24"/>
        </w:rPr>
      </w:pPr>
      <w:r>
        <w:rPr>
          <w:rFonts w:hint="eastAsia" w:ascii="宋体" w:hAnsi="宋体" w:cs="宋体"/>
          <w:bCs/>
          <w:sz w:val="24"/>
        </w:rPr>
        <w:t>11.2.3</w:t>
      </w:r>
      <w:r>
        <w:rPr>
          <w:rFonts w:hint="eastAsia" w:ascii="宋体" w:hAnsi="宋体" w:cs="宋体"/>
          <w:color w:val="000000"/>
          <w:kern w:val="0"/>
          <w:sz w:val="24"/>
        </w:rPr>
        <w:t>担任重要职责的工作人员均应</w:t>
      </w:r>
      <w:r>
        <w:rPr>
          <w:rFonts w:hint="eastAsia" w:ascii="宋体" w:hAnsi="宋体" w:cs="宋体"/>
          <w:bCs/>
          <w:sz w:val="24"/>
        </w:rPr>
        <w:t>属于投标人签署正式合同人员不得随意更换。</w:t>
      </w:r>
    </w:p>
    <w:p w14:paraId="74174451">
      <w:pPr>
        <w:spacing w:line="360" w:lineRule="auto"/>
        <w:ind w:firstLine="480" w:firstLineChars="200"/>
        <w:contextualSpacing/>
        <w:rPr>
          <w:rFonts w:hint="eastAsia" w:ascii="宋体" w:hAnsi="宋体" w:cs="宋体"/>
          <w:b/>
          <w:bCs/>
          <w:sz w:val="24"/>
        </w:rPr>
      </w:pPr>
      <w:r>
        <w:rPr>
          <w:rFonts w:hint="eastAsia" w:ascii="宋体" w:hAnsi="宋体" w:cs="宋体"/>
          <w:bCs/>
          <w:sz w:val="24"/>
        </w:rPr>
        <w:t>12.</w:t>
      </w:r>
      <w:r>
        <w:rPr>
          <w:rFonts w:hint="eastAsia" w:ascii="宋体" w:hAnsi="宋体" w:cs="宋体"/>
          <w:sz w:val="24"/>
        </w:rPr>
        <w:t>质量控制要求：投标人应提供针对本项目的质量控制方案。</w:t>
      </w:r>
    </w:p>
    <w:p w14:paraId="285BF89C"/>
    <w:sectPr>
      <w:pgSz w:w="11906" w:h="16838"/>
      <w:pgMar w:top="1440" w:right="1800" w:bottom="1440" w:left="1800" w:header="851" w:footer="992" w:gutter="0"/>
      <w:cols w:space="425" w:num="1"/>
      <w:docGrid w:type="lines" w:linePitch="312" w:charSpace="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Times New Roman">
    <w:panose1 w:val="02020603050405020304"/>
    <w:charset w:val="00"/>
    <w:family w:val="roman"/>
    <w:pitch w:val="variable"/>
    <w:sig w:usb0="20007A87" w:usb1="80000000" w:usb2="00000008" w:usb3="00000000" w:csb0="000001FF" w:csb1="00000000"/>
  </w:font>
  <w:font w:name="宋体">
    <w:panose1 w:val="02010600030101010101"/>
    <w:charset w:val="86"/>
    <w:family w:val="auto"/>
    <w:pitch w:val="default"/>
    <w:sig w:usb0="00000203" w:usb1="288F0000" w:usb2="00000006" w:usb3="00000000" w:csb0="00040001" w:csb1="00000000"/>
  </w:font>
  <w:font w:name="Wingdings">
    <w:panose1 w:val="05000000000000000000"/>
    <w:charset w:val="02"/>
    <w:family w:val="auto"/>
    <w:pitch w:val="default"/>
    <w:sig w:usb0="00000000" w:usb1="00000000" w:usb2="00000000" w:usb3="00000000" w:csb0="80000000" w:csb1="00000000"/>
  </w:font>
  <w:font w:name="Arial">
    <w:panose1 w:val="020B0604020202020204"/>
    <w:charset w:val="01"/>
    <w:family w:val="swiss"/>
    <w:pitch w:val="default"/>
    <w:sig w:usb0="E0002EFF" w:usb1="C000785B" w:usb2="00000009" w:usb3="00000000" w:csb0="400001FF" w:csb1="FFFF0000"/>
  </w:font>
  <w:font w:name="黑体">
    <w:panose1 w:val="02010609060101010101"/>
    <w:charset w:val="86"/>
    <w:family w:val="auto"/>
    <w:pitch w:val="default"/>
    <w:sig w:usb0="800002BF" w:usb1="38CF7CFA" w:usb2="00000016" w:usb3="00000000" w:csb0="00040001" w:csb1="00000000"/>
  </w:font>
  <w:font w:name="Courier New">
    <w:panose1 w:val="02070309020205020404"/>
    <w:charset w:val="01"/>
    <w:family w:val="modern"/>
    <w:pitch w:val="default"/>
    <w:sig w:usb0="E0002EFF" w:usb1="C0007843" w:usb2="00000009" w:usb3="00000000" w:csb0="400001FF" w:csb1="FFFF0000"/>
  </w:font>
  <w:font w:name="Symbol">
    <w:panose1 w:val="05050102010706020507"/>
    <w:charset w:val="02"/>
    <w:family w:val="roman"/>
    <w:pitch w:val="default"/>
    <w:sig w:usb0="00000000" w:usb1="00000000" w:usb2="00000000" w:usb3="00000000" w:csb0="80000000" w:csb1="00000000"/>
  </w:font>
  <w:font w:name="Calibri">
    <w:panose1 w:val="020F0502020204030204"/>
    <w:charset w:val="00"/>
    <w:family w:val="swiss"/>
    <w:pitch w:val="default"/>
    <w:sig w:usb0="E4002EFF" w:usb1="C200247B" w:usb2="00000009" w:usb3="00000000" w:csb0="200001FF" w:csb1="00000000"/>
  </w:font>
  <w:font w:name="Microsoft YaHei UI">
    <w:panose1 w:val="020B0503020204020204"/>
    <w:charset w:val="86"/>
    <w:family w:val="auto"/>
    <w:pitch w:val="default"/>
    <w:sig w:usb0="80000287" w:usb1="2ACF3C50" w:usb2="00000016" w:usb3="00000000" w:csb0="0004001F" w:csb1="00000000"/>
  </w:font>
  <w:font w:name="Tahoma">
    <w:panose1 w:val="020B0604030504040204"/>
    <w:charset w:val="00"/>
    <w:family w:val="auto"/>
    <w:pitch w:val="default"/>
    <w:sig w:usb0="E1002EFF" w:usb1="C000605B" w:usb2="00000029" w:usb3="00000000" w:csb0="200101FF" w:csb1="20280000"/>
  </w:font>
</w:font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p14">
  <w:abstractNum w:abstractNumId="0">
    <w:nsid w:val="13851098"/>
    <w:multiLevelType w:val="multilevel"/>
    <w:tmpl w:val="13851098"/>
    <w:lvl w:ilvl="0" w:tentative="0">
      <w:start w:val="1"/>
      <w:numFmt w:val="japaneseCounting"/>
      <w:lvlText w:val="%1、"/>
      <w:lvlJc w:val="left"/>
      <w:pPr>
        <w:ind w:left="500" w:hanging="500"/>
      </w:pPr>
      <w:rPr>
        <w:rFonts w:hint="default"/>
      </w:rPr>
    </w:lvl>
    <w:lvl w:ilvl="1" w:tentative="0">
      <w:start w:val="1"/>
      <w:numFmt w:val="lowerLetter"/>
      <w:lvlText w:val="%2)"/>
      <w:lvlJc w:val="left"/>
      <w:pPr>
        <w:ind w:left="840" w:hanging="420"/>
      </w:pPr>
    </w:lvl>
    <w:lvl w:ilvl="2" w:tentative="0">
      <w:start w:val="1"/>
      <w:numFmt w:val="lowerRoman"/>
      <w:lvlText w:val="%3."/>
      <w:lvlJc w:val="right"/>
      <w:pPr>
        <w:ind w:left="1260" w:hanging="420"/>
      </w:pPr>
    </w:lvl>
    <w:lvl w:ilvl="3" w:tentative="0">
      <w:start w:val="1"/>
      <w:numFmt w:val="decimal"/>
      <w:lvlText w:val="%4."/>
      <w:lvlJc w:val="left"/>
      <w:pPr>
        <w:ind w:left="1680" w:hanging="420"/>
      </w:pPr>
    </w:lvl>
    <w:lvl w:ilvl="4" w:tentative="0">
      <w:start w:val="1"/>
      <w:numFmt w:val="lowerLetter"/>
      <w:lvlText w:val="%5)"/>
      <w:lvlJc w:val="left"/>
      <w:pPr>
        <w:ind w:left="2100" w:hanging="420"/>
      </w:pPr>
    </w:lvl>
    <w:lvl w:ilvl="5" w:tentative="0">
      <w:start w:val="1"/>
      <w:numFmt w:val="lowerRoman"/>
      <w:lvlText w:val="%6."/>
      <w:lvlJc w:val="right"/>
      <w:pPr>
        <w:ind w:left="2520" w:hanging="420"/>
      </w:pPr>
    </w:lvl>
    <w:lvl w:ilvl="6" w:tentative="0">
      <w:start w:val="1"/>
      <w:numFmt w:val="decimal"/>
      <w:lvlText w:val="%7."/>
      <w:lvlJc w:val="left"/>
      <w:pPr>
        <w:ind w:left="2940" w:hanging="420"/>
      </w:pPr>
    </w:lvl>
    <w:lvl w:ilvl="7" w:tentative="0">
      <w:start w:val="1"/>
      <w:numFmt w:val="lowerLetter"/>
      <w:lvlText w:val="%8)"/>
      <w:lvlJc w:val="left"/>
      <w:pPr>
        <w:ind w:left="3360" w:hanging="420"/>
      </w:pPr>
    </w:lvl>
    <w:lvl w:ilvl="8" w:tentative="0">
      <w:start w:val="1"/>
      <w:numFmt w:val="lowerRoman"/>
      <w:lvlText w:val="%9."/>
      <w:lvlJc w:val="right"/>
      <w:pPr>
        <w:ind w:left="3780" w:hanging="420"/>
      </w:pPr>
    </w:lvl>
  </w:abstractNum>
  <w:num w:numId="1">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xmlns:wpsCustomData="http://www.wps.cn/officeDocument/2013/wpsCustomData" mc:Ignorable="w14">
  <w:zoom w:percent="103"/>
  <w:embedSystemFonts/>
  <w:bordersDoNotSurroundHeader w:val="1"/>
  <w:bordersDoNotSurroundFooter w:val="1"/>
  <w:documentProtection w:enforcement="0"/>
  <w:defaultTabStop w:val="420"/>
  <w:drawingGridVerticalSpacing w:val="156"/>
  <w:displayHorizontalDrawingGridEvery w:val="0"/>
  <w:displayVerticalDrawingGridEvery w:val="2"/>
  <w:characterSpacingControl w:val="compressPunctuation"/>
  <w:compat>
    <w:spaceForUL/>
    <w:balanceSingleByteDoubleByteWidth/>
    <w:doNotLeaveBackslashAlone/>
    <w:ulTrailSpace/>
    <w:doNotExpandShiftReturn/>
    <w:adjustLineHeightInTable/>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000000"/>
    <w:rsid w:val="768C4B33"/>
  </w:rsids>
  <m:mathPr>
    <m:mathFont m:val="Cambria Math"/>
    <m:brkBin m:val="before"/>
    <m:brkBinSub m:val="--"/>
    <m:smallFrac m:val="0"/>
    <m:dispDef/>
    <m:lMargin m:val="0"/>
    <m:rMargin m:val="0"/>
    <m:defJc m:val="centerGroup"/>
    <m:wrapIndent m:val="1440"/>
    <m:intLim m:val="subSup"/>
    <m:naryLim m:val="undOvr"/>
  </m:mathPr>
  <w:themeFontLang w:val="en-US" w:eastAsia="zh-CN"/>
  <w:clrSchemeMapping w:bg1="light1" w:t1="dark1" w:bg2="light2" w:t2="dark2" w:accent1="accent1" w:accent2="accent2" w:accent3="accent3" w:accent4="accent4" w:accent5="accent5" w:accent6="accent6" w:hyperlink="hyperlink" w:followedHyperlink="followedHyperlink"/>
  <w:doNotIncludeSubdocsInStats/>
  <mc:AlternateContent>
    <mc:Choice Requires="wpsCustomData">
      <wpsCustomData:typoFeatureVersion val="1"/>
    </mc:Choice>
  </mc:AlternateContent>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http://schemas.openxmlformats.org/wordprocessingml/2006/main" xmlns:w14="http://schemas.microsoft.com/office/word/2010/wordml" xmlns:w10="urn:schemas-microsoft-com:office:word" xmlns:sl="http://schemas.openxmlformats.org/schemaLibrary/2006/main" xmlns:wpsCustomData="http://www.wps.cn/officeDocument/2013/wpsCustomData" mc:Ignorable="w14">
  <w:docDefaults>
    <w:rPrDefault>
      <w:rPr>
        <w:rFonts w:asciiTheme="minorHAnsi" w:hAnsiTheme="minorHAnsi" w:eastAsiaTheme="minorEastAsia" w:cstheme="minorBidi"/>
      </w:rPr>
    </w:rPrDefault>
    <w:pPrDefault/>
  </w:docDefaults>
  <w:latentStyles w:count="260" w:defQFormat="0" w:defUnhideWhenUsed="1" w:defSemiHidden="1" w:defUIPriority="99" w:defLockedState="0">
    <w:lsdException w:qFormat="1" w:unhideWhenUsed="0" w:uiPriority="0" w:semiHidden="0" w:name="Normal"/>
    <w:lsdException w:qFormat="1" w:unhideWhenUsed="0" w:uiPriority="0" w:semiHidden="0" w:name="heading 1"/>
    <w:lsdException w:qFormat="1" w:uiPriority="0" w:name="heading 2"/>
    <w:lsdException w:qFormat="1" w:uiPriority="0" w:name="heading 3"/>
    <w:lsdException w:qFormat="1" w:unhideWhenUsed="0" w:uiPriority="0" w:semiHidden="0" w:name="heading 4"/>
    <w:lsdException w:qFormat="1" w:uiPriority="0" w:name="heading 5"/>
    <w:lsdException w:qFormat="1" w:uiPriority="0" w:name="heading 6"/>
    <w:lsdException w:qFormat="1" w:uiPriority="0" w:name="heading 7"/>
    <w:lsdException w:qFormat="1" w:uiPriority="0" w:name="heading 8"/>
    <w:lsdException w:qFormat="1" w:uiPriority="0" w:name="heading 9"/>
    <w:lsdException w:unhideWhenUsed="0" w:uiPriority="0" w:semiHidden="0" w:name="index 1"/>
    <w:lsdException w:unhideWhenUsed="0" w:uiPriority="0" w:semiHidden="0" w:name="index 2"/>
    <w:lsdException w:unhideWhenUsed="0" w:uiPriority="0" w:semiHidden="0" w:name="index 3"/>
    <w:lsdException w:qFormat="1" w:uiPriority="99" w:semiHidden="0" w:name="index 4"/>
    <w:lsdException w:unhideWhenUsed="0" w:uiPriority="0" w:semiHidden="0" w:name="index 5"/>
    <w:lsdException w:unhideWhenUsed="0" w:uiPriority="0" w:semiHidden="0" w:name="index 6"/>
    <w:lsdException w:unhideWhenUsed="0" w:uiPriority="0" w:semiHidden="0" w:name="index 7"/>
    <w:lsdException w:unhideWhenUsed="0" w:uiPriority="0" w:semiHidden="0" w:name="index 8"/>
    <w:lsdException w:unhideWhenUsed="0" w:uiPriority="0" w:semiHidden="0" w:name="index 9"/>
    <w:lsdException w:unhideWhenUsed="0" w:uiPriority="0" w:semiHidden="0" w:name="toc 1"/>
    <w:lsdException w:unhideWhenUsed="0" w:uiPriority="0" w:semiHidden="0" w:name="toc 2"/>
    <w:lsdException w:unhideWhenUsed="0" w:uiPriority="0" w:semiHidden="0" w:name="toc 3"/>
    <w:lsdException w:unhideWhenUsed="0" w:uiPriority="0" w:semiHidden="0" w:name="toc 4"/>
    <w:lsdException w:unhideWhenUsed="0" w:uiPriority="0" w:semiHidden="0" w:name="toc 5"/>
    <w:lsdException w:unhideWhenUsed="0" w:uiPriority="0" w:semiHidden="0" w:name="toc 6"/>
    <w:lsdException w:unhideWhenUsed="0" w:uiPriority="0" w:semiHidden="0" w:name="toc 7"/>
    <w:lsdException w:unhideWhenUsed="0" w:uiPriority="0" w:semiHidden="0" w:name="toc 8"/>
    <w:lsdException w:unhideWhenUsed="0" w:uiPriority="0" w:semiHidden="0" w:name="toc 9"/>
    <w:lsdException w:qFormat="1" w:unhideWhenUsed="0" w:uiPriority="0" w:semiHidden="0" w:name="Normal Indent"/>
    <w:lsdException w:unhideWhenUsed="0" w:uiPriority="0" w:semiHidden="0" w:name="footnote text"/>
    <w:lsdException w:unhideWhenUsed="0" w:uiPriority="0" w:semiHidden="0" w:name="annotation text"/>
    <w:lsdException w:unhideWhenUsed="0" w:uiPriority="0" w:semiHidden="0" w:name="header"/>
    <w:lsdException w:unhideWhenUsed="0" w:uiPriority="0" w:semiHidden="0" w:name="footer"/>
    <w:lsdException w:unhideWhenUsed="0" w:uiPriority="0" w:semiHidden="0" w:name="index heading"/>
    <w:lsdException w:qFormat="1" w:uiPriority="0" w:name="caption"/>
    <w:lsdException w:unhideWhenUsed="0" w:uiPriority="0" w:semiHidden="0" w:name="table of figures"/>
    <w:lsdException w:unhideWhenUsed="0" w:uiPriority="0" w:semiHidden="0" w:name="envelope address"/>
    <w:lsdException w:unhideWhenUsed="0" w:uiPriority="0" w:semiHidden="0" w:name="envelope return"/>
    <w:lsdException w:unhideWhenUsed="0" w:uiPriority="0" w:semiHidden="0" w:name="footnote reference"/>
    <w:lsdException w:unhideWhenUsed="0" w:uiPriority="0" w:semiHidden="0" w:name="annotation reference"/>
    <w:lsdException w:unhideWhenUsed="0" w:uiPriority="0" w:semiHidden="0" w:name="line number"/>
    <w:lsdException w:unhideWhenUsed="0" w:uiPriority="0" w:semiHidden="0" w:name="page number"/>
    <w:lsdException w:unhideWhenUsed="0" w:uiPriority="0" w:semiHidden="0" w:name="endnote reference"/>
    <w:lsdException w:unhideWhenUsed="0" w:uiPriority="0" w:semiHidden="0" w:name="endnote text"/>
    <w:lsdException w:unhideWhenUsed="0" w:uiPriority="0" w:semiHidden="0" w:name="table of authorities"/>
    <w:lsdException w:unhideWhenUsed="0" w:uiPriority="0" w:semiHidden="0" w:name="macro"/>
    <w:lsdException w:unhideWhenUsed="0" w:uiPriority="0" w:semiHidden="0" w:name="toa heading"/>
    <w:lsdException w:unhideWhenUsed="0" w:uiPriority="0" w:semiHidden="0" w:name="List"/>
    <w:lsdException w:unhideWhenUsed="0" w:uiPriority="0" w:semiHidden="0" w:name="List Bullet"/>
    <w:lsdException w:unhideWhenUsed="0" w:uiPriority="0" w:semiHidden="0" w:name="List Number"/>
    <w:lsdException w:unhideWhenUsed="0" w:uiPriority="0" w:semiHidden="0" w:name="List 2"/>
    <w:lsdException w:unhideWhenUsed="0" w:uiPriority="0" w:semiHidden="0" w:name="List 3"/>
    <w:lsdException w:unhideWhenUsed="0" w:uiPriority="0" w:semiHidden="0" w:name="List 4"/>
    <w:lsdException w:unhideWhenUsed="0" w:uiPriority="0" w:semiHidden="0" w:name="List 5"/>
    <w:lsdException w:unhideWhenUsed="0" w:uiPriority="0" w:semiHidden="0" w:name="List Bullet 2"/>
    <w:lsdException w:unhideWhenUsed="0" w:uiPriority="0" w:semiHidden="0" w:name="List Bullet 3"/>
    <w:lsdException w:unhideWhenUsed="0" w:uiPriority="0" w:semiHidden="0" w:name="List Bullet 4"/>
    <w:lsdException w:unhideWhenUsed="0" w:uiPriority="0" w:semiHidden="0" w:name="List Bullet 5"/>
    <w:lsdException w:unhideWhenUsed="0" w:uiPriority="0" w:semiHidden="0" w:name="List Number 2"/>
    <w:lsdException w:unhideWhenUsed="0" w:uiPriority="0" w:semiHidden="0" w:name="List Number 3"/>
    <w:lsdException w:unhideWhenUsed="0" w:uiPriority="0" w:semiHidden="0" w:name="List Number 4"/>
    <w:lsdException w:unhideWhenUsed="0" w:uiPriority="0" w:semiHidden="0" w:name="List Number 5"/>
    <w:lsdException w:qFormat="1" w:unhideWhenUsed="0" w:uiPriority="0" w:semiHidden="0" w:name="Title"/>
    <w:lsdException w:unhideWhenUsed="0" w:uiPriority="0" w:semiHidden="0" w:name="Closing"/>
    <w:lsdException w:unhideWhenUsed="0" w:uiPriority="0" w:semiHidden="0" w:name="Signature"/>
    <w:lsdException w:unhideWhenUsed="0" w:uiPriority="0" w:name="Default Paragraph Font"/>
    <w:lsdException w:unhideWhenUsed="0" w:uiPriority="0" w:semiHidden="0" w:name="Body Text"/>
    <w:lsdException w:unhideWhenUsed="0" w:uiPriority="0" w:semiHidden="0" w:name="Body Text Indent"/>
    <w:lsdException w:unhideWhenUsed="0" w:uiPriority="0" w:semiHidden="0" w:name="List Continue"/>
    <w:lsdException w:unhideWhenUsed="0" w:uiPriority="0" w:semiHidden="0" w:name="List Continue 2"/>
    <w:lsdException w:unhideWhenUsed="0" w:uiPriority="0" w:semiHidden="0" w:name="List Continue 3"/>
    <w:lsdException w:unhideWhenUsed="0" w:uiPriority="0" w:semiHidden="0" w:name="List Continue 4"/>
    <w:lsdException w:unhideWhenUsed="0" w:uiPriority="0" w:semiHidden="0" w:name="List Continue 5"/>
    <w:lsdException w:unhideWhenUsed="0" w:uiPriority="0" w:semiHidden="0" w:name="Message Header"/>
    <w:lsdException w:qFormat="1" w:unhideWhenUsed="0" w:uiPriority="0" w:semiHidden="0" w:name="Subtitle"/>
    <w:lsdException w:unhideWhenUsed="0" w:uiPriority="0" w:semiHidden="0" w:name="Salutation"/>
    <w:lsdException w:unhideWhenUsed="0" w:uiPriority="0" w:semiHidden="0" w:name="Date"/>
    <w:lsdException w:unhideWhenUsed="0" w:uiPriority="0" w:semiHidden="0" w:name="Body Text First Indent"/>
    <w:lsdException w:unhideWhenUsed="0" w:uiPriority="0" w:semiHidden="0" w:name="Body Text First Indent 2"/>
    <w:lsdException w:unhideWhenUsed="0" w:uiPriority="0" w:semiHidden="0" w:name="Note Heading"/>
    <w:lsdException w:qFormat="1" w:uiPriority="99" w:name="Body Text 2"/>
    <w:lsdException w:unhideWhenUsed="0" w:uiPriority="0" w:semiHidden="0" w:name="Body Text 3"/>
    <w:lsdException w:unhideWhenUsed="0" w:uiPriority="0" w:semiHidden="0" w:name="Body Text Indent 2"/>
    <w:lsdException w:unhideWhenUsed="0" w:uiPriority="0" w:semiHidden="0" w:name="Body Text Indent 3"/>
    <w:lsdException w:unhideWhenUsed="0" w:uiPriority="0" w:semiHidden="0" w:name="Block Text"/>
    <w:lsdException w:unhideWhenUsed="0" w:uiPriority="0" w:semiHidden="0" w:name="Hyperlink"/>
    <w:lsdException w:unhideWhenUsed="0" w:uiPriority="0" w:semiHidden="0" w:name="FollowedHyperlink"/>
    <w:lsdException w:qFormat="1" w:unhideWhenUsed="0" w:uiPriority="0" w:semiHidden="0" w:name="Strong"/>
    <w:lsdException w:qFormat="1" w:unhideWhenUsed="0" w:uiPriority="0" w:semiHidden="0" w:name="Emphasis"/>
    <w:lsdException w:unhideWhenUsed="0" w:uiPriority="0" w:semiHidden="0" w:name="Document Map"/>
    <w:lsdException w:unhideWhenUsed="0" w:uiPriority="0" w:semiHidden="0" w:name="Plain Text"/>
    <w:lsdException w:unhideWhenUsed="0" w:uiPriority="0" w:semiHidden="0" w:name="E-mail Signature"/>
    <w:lsdException w:unhideWhenUsed="0" w:uiPriority="0" w:semiHidden="0" w:name="Normal (Web)"/>
    <w:lsdException w:unhideWhenUsed="0" w:uiPriority="0" w:semiHidden="0" w:name="HTML Acronym"/>
    <w:lsdException w:unhideWhenUsed="0" w:uiPriority="0" w:semiHidden="0" w:name="HTML Address"/>
    <w:lsdException w:unhideWhenUsed="0" w:uiPriority="0" w:semiHidden="0" w:name="HTML Cite"/>
    <w:lsdException w:unhideWhenUsed="0" w:uiPriority="0" w:semiHidden="0" w:name="HTML Code"/>
    <w:lsdException w:unhideWhenUsed="0" w:uiPriority="0" w:semiHidden="0" w:name="HTML Definition"/>
    <w:lsdException w:unhideWhenUsed="0" w:uiPriority="0" w:semiHidden="0" w:name="HTML Keyboard"/>
    <w:lsdException w:unhideWhenUsed="0" w:uiPriority="0" w:semiHidden="0" w:name="HTML Preformatted"/>
    <w:lsdException w:unhideWhenUsed="0" w:uiPriority="0" w:semiHidden="0" w:name="HTML Sample"/>
    <w:lsdException w:unhideWhenUsed="0" w:uiPriority="0" w:semiHidden="0" w:name="HTML Typewriter"/>
    <w:lsdException w:unhideWhenUsed="0" w:uiPriority="0" w:semiHidden="0" w:name="HTML Variable"/>
    <w:lsdException w:unhideWhenUsed="0" w:uiPriority="0" w:name="Normal Table"/>
    <w:lsdException w:unhideWhenUsed="0" w:uiPriority="0" w:semiHidden="0" w:name="annotation subject"/>
    <w:lsdException w:unhideWhenUsed="0" w:uiPriority="0" w:semiHidden="0" w:name="Table Simple 1"/>
    <w:lsdException w:unhideWhenUsed="0" w:uiPriority="0" w:semiHidden="0" w:name="Table Simple 2"/>
    <w:lsdException w:unhideWhenUsed="0" w:uiPriority="0" w:semiHidden="0" w:name="Table Simple 3"/>
    <w:lsdException w:unhideWhenUsed="0" w:uiPriority="0" w:semiHidden="0" w:name="Table Classic 1"/>
    <w:lsdException w:unhideWhenUsed="0" w:uiPriority="0" w:semiHidden="0" w:name="Table Classic 2"/>
    <w:lsdException w:unhideWhenUsed="0" w:uiPriority="0" w:semiHidden="0" w:name="Table Classic 3"/>
    <w:lsdException w:unhideWhenUsed="0" w:uiPriority="0" w:semiHidden="0" w:name="Table Classic 4"/>
    <w:lsdException w:unhideWhenUsed="0" w:uiPriority="0" w:semiHidden="0" w:name="Table Colorful 1"/>
    <w:lsdException w:unhideWhenUsed="0" w:uiPriority="0" w:semiHidden="0" w:name="Table Colorful 2"/>
    <w:lsdException w:unhideWhenUsed="0" w:uiPriority="0" w:semiHidden="0" w:name="Table Colorful 3"/>
    <w:lsdException w:unhideWhenUsed="0" w:uiPriority="0" w:semiHidden="0" w:name="Table Columns 1"/>
    <w:lsdException w:unhideWhenUsed="0" w:uiPriority="0" w:semiHidden="0" w:name="Table Columns 2"/>
    <w:lsdException w:unhideWhenUsed="0" w:uiPriority="0" w:semiHidden="0" w:name="Table Columns 3"/>
    <w:lsdException w:unhideWhenUsed="0" w:uiPriority="0" w:semiHidden="0" w:name="Table Columns 4"/>
    <w:lsdException w:unhideWhenUsed="0" w:uiPriority="0" w:semiHidden="0" w:name="Table Columns 5"/>
    <w:lsdException w:unhideWhenUsed="0" w:uiPriority="0" w:semiHidden="0" w:name="Table Grid 1"/>
    <w:lsdException w:unhideWhenUsed="0" w:uiPriority="0" w:semiHidden="0" w:name="Table Grid 2"/>
    <w:lsdException w:unhideWhenUsed="0" w:uiPriority="0" w:semiHidden="0" w:name="Table Grid 3"/>
    <w:lsdException w:unhideWhenUsed="0" w:uiPriority="0" w:semiHidden="0" w:name="Table Grid 4"/>
    <w:lsdException w:unhideWhenUsed="0" w:uiPriority="0" w:semiHidden="0" w:name="Table Grid 5"/>
    <w:lsdException w:unhideWhenUsed="0" w:uiPriority="0" w:semiHidden="0" w:name="Table Grid 6"/>
    <w:lsdException w:unhideWhenUsed="0" w:uiPriority="0" w:semiHidden="0" w:name="Table Grid 7"/>
    <w:lsdException w:unhideWhenUsed="0" w:uiPriority="0" w:semiHidden="0" w:name="Table Grid 8"/>
    <w:lsdException w:unhideWhenUsed="0" w:uiPriority="0" w:semiHidden="0" w:name="Table List 1"/>
    <w:lsdException w:unhideWhenUsed="0" w:uiPriority="0" w:semiHidden="0" w:name="Table List 2"/>
    <w:lsdException w:unhideWhenUsed="0" w:uiPriority="0" w:semiHidden="0" w:name="Table List 3"/>
    <w:lsdException w:unhideWhenUsed="0" w:uiPriority="0" w:semiHidden="0" w:name="Table List 4"/>
    <w:lsdException w:unhideWhenUsed="0" w:uiPriority="0" w:semiHidden="0" w:name="Table List 5"/>
    <w:lsdException w:unhideWhenUsed="0" w:uiPriority="0" w:semiHidden="0" w:name="Table List 6"/>
    <w:lsdException w:unhideWhenUsed="0" w:uiPriority="0" w:semiHidden="0" w:name="Table List 7"/>
    <w:lsdException w:unhideWhenUsed="0" w:uiPriority="0" w:semiHidden="0" w:name="Table List 8"/>
    <w:lsdException w:unhideWhenUsed="0" w:uiPriority="0" w:semiHidden="0" w:name="Table 3D effects 1"/>
    <w:lsdException w:unhideWhenUsed="0" w:uiPriority="0" w:semiHidden="0" w:name="Table 3D effects 2"/>
    <w:lsdException w:unhideWhenUsed="0" w:uiPriority="0" w:semiHidden="0" w:name="Table 3D effects 3"/>
    <w:lsdException w:unhideWhenUsed="0" w:uiPriority="0" w:semiHidden="0" w:name="Table Contemporary"/>
    <w:lsdException w:unhideWhenUsed="0" w:uiPriority="0" w:semiHidden="0" w:name="Table Elegant"/>
    <w:lsdException w:unhideWhenUsed="0" w:uiPriority="0" w:semiHidden="0" w:name="Table Professional"/>
    <w:lsdException w:unhideWhenUsed="0" w:uiPriority="0" w:semiHidden="0" w:name="Table Subtle 1"/>
    <w:lsdException w:unhideWhenUsed="0" w:uiPriority="0" w:semiHidden="0" w:name="Table Subtle 2"/>
    <w:lsdException w:unhideWhenUsed="0" w:uiPriority="0" w:semiHidden="0" w:name="Table Web 1"/>
    <w:lsdException w:unhideWhenUsed="0" w:uiPriority="0" w:semiHidden="0" w:name="Table Web 2"/>
    <w:lsdException w:unhideWhenUsed="0" w:uiPriority="0" w:semiHidden="0" w:name="Table Web 3"/>
    <w:lsdException w:unhideWhenUsed="0" w:uiPriority="0" w:semiHidden="0" w:name="Balloon Text"/>
    <w:lsdException w:unhideWhenUsed="0" w:uiPriority="0" w:semiHidden="0" w:name="Table Grid"/>
    <w:lsdException w:unhideWhenUsed="0" w:uiPriority="0" w:semiHidden="0" w:name="Table Theme"/>
    <w:lsdException w:unhideWhenUsed="0" w:uiPriority="60" w:semiHidden="0" w:name="Light Shading"/>
    <w:lsdException w:unhideWhenUsed="0" w:uiPriority="61" w:semiHidden="0" w:name="Light List"/>
    <w:lsdException w:unhideWhenUsed="0" w:uiPriority="62" w:semiHidden="0" w:name="Light Grid"/>
    <w:lsdException w:unhideWhenUsed="0" w:uiPriority="63" w:semiHidden="0" w:name="Medium Shading 1"/>
    <w:lsdException w:unhideWhenUsed="0" w:uiPriority="64" w:semiHidden="0" w:name="Medium Shading 2"/>
    <w:lsdException w:unhideWhenUsed="0" w:uiPriority="65" w:semiHidden="0" w:name="Medium List 1"/>
    <w:lsdException w:unhideWhenUsed="0" w:uiPriority="66" w:semiHidden="0" w:name="Medium List 2"/>
    <w:lsdException w:unhideWhenUsed="0" w:uiPriority="67" w:semiHidden="0" w:name="Medium Grid 1"/>
    <w:lsdException w:unhideWhenUsed="0" w:uiPriority="68" w:semiHidden="0" w:name="Medium Grid 2"/>
    <w:lsdException w:unhideWhenUsed="0" w:uiPriority="69" w:semiHidden="0" w:name="Medium Grid 3"/>
    <w:lsdException w:unhideWhenUsed="0" w:uiPriority="70" w:semiHidden="0" w:name="Dark List"/>
    <w:lsdException w:unhideWhenUsed="0" w:uiPriority="71" w:semiHidden="0" w:name="Colorful Shading"/>
    <w:lsdException w:unhideWhenUsed="0" w:uiPriority="72" w:semiHidden="0" w:name="Colorful List"/>
    <w:lsdException w:unhideWhenUsed="0" w:uiPriority="73" w:semiHidden="0" w:name="Colorful Grid"/>
    <w:lsdException w:unhideWhenUsed="0" w:uiPriority="60" w:semiHidden="0" w:name="Light Shading Accent 1"/>
    <w:lsdException w:unhideWhenUsed="0" w:uiPriority="61" w:semiHidden="0" w:name="Light List Accent 1"/>
    <w:lsdException w:unhideWhenUsed="0" w:uiPriority="62" w:semiHidden="0" w:name="Light Grid Accent 1"/>
    <w:lsdException w:unhideWhenUsed="0" w:uiPriority="63" w:semiHidden="0" w:name="Medium Shading 1 Accent 1"/>
    <w:lsdException w:unhideWhenUsed="0" w:uiPriority="64" w:semiHidden="0" w:name="Medium Shading 2 Accent 1"/>
    <w:lsdException w:unhideWhenUsed="0" w:uiPriority="65" w:semiHidden="0" w:name="Medium List 1 Accent 1"/>
    <w:lsdException w:unhideWhenUsed="0" w:uiPriority="66" w:semiHidden="0" w:name="Medium List 2 Accent 1"/>
    <w:lsdException w:unhideWhenUsed="0" w:uiPriority="67" w:semiHidden="0" w:name="Medium Grid 1 Accent 1"/>
    <w:lsdException w:unhideWhenUsed="0" w:uiPriority="68" w:semiHidden="0" w:name="Medium Grid 2 Accent 1"/>
    <w:lsdException w:unhideWhenUsed="0" w:uiPriority="69" w:semiHidden="0" w:name="Medium Grid 3 Accent 1"/>
    <w:lsdException w:unhideWhenUsed="0" w:uiPriority="70" w:semiHidden="0" w:name="Dark List Accent 1"/>
    <w:lsdException w:unhideWhenUsed="0" w:uiPriority="71" w:semiHidden="0" w:name="Colorful Shading Accent 1"/>
    <w:lsdException w:unhideWhenUsed="0" w:uiPriority="72" w:semiHidden="0" w:name="Colorful List Accent 1"/>
    <w:lsdException w:unhideWhenUsed="0" w:uiPriority="73" w:semiHidden="0" w:name="Colorful Grid Accent 1"/>
    <w:lsdException w:unhideWhenUsed="0" w:uiPriority="60" w:semiHidden="0" w:name="Light Shading Accent 2"/>
    <w:lsdException w:unhideWhenUsed="0" w:uiPriority="61" w:semiHidden="0" w:name="Light List Accent 2"/>
    <w:lsdException w:unhideWhenUsed="0" w:uiPriority="62" w:semiHidden="0" w:name="Light Grid Accent 2"/>
    <w:lsdException w:unhideWhenUsed="0" w:uiPriority="63" w:semiHidden="0" w:name="Medium Shading 1 Accent 2"/>
    <w:lsdException w:unhideWhenUsed="0" w:uiPriority="64" w:semiHidden="0" w:name="Medium Shading 2 Accent 2"/>
    <w:lsdException w:unhideWhenUsed="0" w:uiPriority="65" w:semiHidden="0" w:name="Medium List 1 Accent 2"/>
    <w:lsdException w:unhideWhenUsed="0" w:uiPriority="66" w:semiHidden="0" w:name="Medium List 2 Accent 2"/>
    <w:lsdException w:unhideWhenUsed="0" w:uiPriority="67" w:semiHidden="0" w:name="Medium Grid 1 Accent 2"/>
    <w:lsdException w:unhideWhenUsed="0" w:uiPriority="68" w:semiHidden="0" w:name="Medium Grid 2 Accent 2"/>
    <w:lsdException w:unhideWhenUsed="0" w:uiPriority="69" w:semiHidden="0" w:name="Medium Grid 3 Accent 2"/>
    <w:lsdException w:unhideWhenUsed="0" w:uiPriority="70" w:semiHidden="0" w:name="Dark List Accent 2"/>
    <w:lsdException w:unhideWhenUsed="0" w:uiPriority="71" w:semiHidden="0" w:name="Colorful Shading Accent 2"/>
    <w:lsdException w:unhideWhenUsed="0" w:uiPriority="72" w:semiHidden="0" w:name="Colorful List Accent 2"/>
    <w:lsdException w:unhideWhenUsed="0" w:uiPriority="73" w:semiHidden="0" w:name="Colorful Grid Accent 2"/>
    <w:lsdException w:unhideWhenUsed="0" w:uiPriority="60" w:semiHidden="0" w:name="Light Shading Accent 3"/>
    <w:lsdException w:unhideWhenUsed="0" w:uiPriority="61" w:semiHidden="0" w:name="Light List Accent 3"/>
    <w:lsdException w:unhideWhenUsed="0" w:uiPriority="62" w:semiHidden="0" w:name="Light Grid Accent 3"/>
    <w:lsdException w:unhideWhenUsed="0" w:uiPriority="63" w:semiHidden="0" w:name="Medium Shading 1 Accent 3"/>
    <w:lsdException w:unhideWhenUsed="0" w:uiPriority="64" w:semiHidden="0" w:name="Medium Shading 2 Accent 3"/>
    <w:lsdException w:unhideWhenUsed="0" w:uiPriority="65" w:semiHidden="0" w:name="Medium List 1 Accent 3"/>
    <w:lsdException w:unhideWhenUsed="0" w:uiPriority="66" w:semiHidden="0" w:name="Medium List 2 Accent 3"/>
    <w:lsdException w:unhideWhenUsed="0" w:uiPriority="67" w:semiHidden="0" w:name="Medium Grid 1 Accent 3"/>
    <w:lsdException w:unhideWhenUsed="0" w:uiPriority="68" w:semiHidden="0" w:name="Medium Grid 2 Accent 3"/>
    <w:lsdException w:unhideWhenUsed="0" w:uiPriority="69" w:semiHidden="0" w:name="Medium Grid 3 Accent 3"/>
    <w:lsdException w:unhideWhenUsed="0" w:uiPriority="70" w:semiHidden="0" w:name="Dark List Accent 3"/>
    <w:lsdException w:unhideWhenUsed="0" w:uiPriority="71" w:semiHidden="0" w:name="Colorful Shading Accent 3"/>
    <w:lsdException w:unhideWhenUsed="0" w:uiPriority="72" w:semiHidden="0" w:name="Colorful List Accent 3"/>
    <w:lsdException w:unhideWhenUsed="0" w:uiPriority="73" w:semiHidden="0" w:name="Colorful Grid Accent 3"/>
    <w:lsdException w:unhideWhenUsed="0" w:uiPriority="60" w:semiHidden="0" w:name="Light Shading Accent 4"/>
    <w:lsdException w:unhideWhenUsed="0" w:uiPriority="61" w:semiHidden="0" w:name="Light List Accent 4"/>
    <w:lsdException w:unhideWhenUsed="0" w:uiPriority="62" w:semiHidden="0" w:name="Light Grid Accent 4"/>
    <w:lsdException w:unhideWhenUsed="0" w:uiPriority="63" w:semiHidden="0" w:name="Medium Shading 1 Accent 4"/>
    <w:lsdException w:unhideWhenUsed="0" w:uiPriority="64" w:semiHidden="0" w:name="Medium Shading 2 Accent 4"/>
    <w:lsdException w:unhideWhenUsed="0" w:uiPriority="65" w:semiHidden="0" w:name="Medium List 1 Accent 4"/>
    <w:lsdException w:unhideWhenUsed="0" w:uiPriority="66" w:semiHidden="0" w:name="Medium List 2 Accent 4"/>
    <w:lsdException w:unhideWhenUsed="0" w:uiPriority="67" w:semiHidden="0" w:name="Medium Grid 1 Accent 4"/>
    <w:lsdException w:unhideWhenUsed="0" w:uiPriority="68" w:semiHidden="0" w:name="Medium Grid 2 Accent 4"/>
    <w:lsdException w:unhideWhenUsed="0" w:uiPriority="69" w:semiHidden="0" w:name="Medium Grid 3 Accent 4"/>
    <w:lsdException w:unhideWhenUsed="0" w:uiPriority="70" w:semiHidden="0" w:name="Dark List Accent 4"/>
    <w:lsdException w:unhideWhenUsed="0" w:uiPriority="71" w:semiHidden="0" w:name="Colorful Shading Accent 4"/>
    <w:lsdException w:unhideWhenUsed="0" w:uiPriority="72" w:semiHidden="0" w:name="Colorful List Accent 4"/>
    <w:lsdException w:unhideWhenUsed="0" w:uiPriority="73" w:semiHidden="0" w:name="Colorful Grid Accent 4"/>
    <w:lsdException w:unhideWhenUsed="0" w:uiPriority="60" w:semiHidden="0" w:name="Light Shading Accent 5"/>
    <w:lsdException w:unhideWhenUsed="0" w:uiPriority="61" w:semiHidden="0" w:name="Light List Accent 5"/>
    <w:lsdException w:unhideWhenUsed="0" w:uiPriority="62" w:semiHidden="0" w:name="Light Grid Accent 5"/>
    <w:lsdException w:unhideWhenUsed="0" w:uiPriority="63" w:semiHidden="0" w:name="Medium Shading 1 Accent 5"/>
    <w:lsdException w:unhideWhenUsed="0" w:uiPriority="64" w:semiHidden="0" w:name="Medium Shading 2 Accent 5"/>
    <w:lsdException w:unhideWhenUsed="0" w:uiPriority="65" w:semiHidden="0" w:name="Medium List 1 Accent 5"/>
    <w:lsdException w:unhideWhenUsed="0" w:uiPriority="66" w:semiHidden="0" w:name="Medium List 2 Accent 5"/>
    <w:lsdException w:unhideWhenUsed="0" w:uiPriority="67" w:semiHidden="0" w:name="Medium Grid 1 Accent 5"/>
    <w:lsdException w:unhideWhenUsed="0" w:uiPriority="68" w:semiHidden="0" w:name="Medium Grid 2 Accent 5"/>
    <w:lsdException w:unhideWhenUsed="0" w:uiPriority="69" w:semiHidden="0" w:name="Medium Grid 3 Accent 5"/>
    <w:lsdException w:unhideWhenUsed="0" w:uiPriority="70" w:semiHidden="0" w:name="Dark List Accent 5"/>
    <w:lsdException w:unhideWhenUsed="0" w:uiPriority="71" w:semiHidden="0" w:name="Colorful Shading Accent 5"/>
    <w:lsdException w:unhideWhenUsed="0" w:uiPriority="72" w:semiHidden="0" w:name="Colorful List Accent 5"/>
    <w:lsdException w:unhideWhenUsed="0" w:uiPriority="73" w:semiHidden="0" w:name="Colorful Grid Accent 5"/>
    <w:lsdException w:unhideWhenUsed="0" w:uiPriority="60" w:semiHidden="0" w:name="Light Shading Accent 6"/>
    <w:lsdException w:unhideWhenUsed="0" w:uiPriority="61" w:semiHidden="0" w:name="Light List Accent 6"/>
    <w:lsdException w:unhideWhenUsed="0" w:uiPriority="62" w:semiHidden="0" w:name="Light Grid Accent 6"/>
    <w:lsdException w:unhideWhenUsed="0" w:uiPriority="63" w:semiHidden="0" w:name="Medium Shading 1 Accent 6"/>
    <w:lsdException w:unhideWhenUsed="0" w:uiPriority="64" w:semiHidden="0" w:name="Medium Shading 2 Accent 6"/>
    <w:lsdException w:unhideWhenUsed="0" w:uiPriority="65" w:semiHidden="0" w:name="Medium List 1 Accent 6"/>
    <w:lsdException w:unhideWhenUsed="0" w:uiPriority="66" w:semiHidden="0" w:name="Medium List 2 Accent 6"/>
    <w:lsdException w:unhideWhenUsed="0" w:uiPriority="67" w:semiHidden="0" w:name="Medium Grid 1 Accent 6"/>
    <w:lsdException w:unhideWhenUsed="0" w:uiPriority="68" w:semiHidden="0" w:name="Medium Grid 2 Accent 6"/>
    <w:lsdException w:unhideWhenUsed="0" w:uiPriority="69" w:semiHidden="0" w:name="Medium Grid 3 Accent 6"/>
    <w:lsdException w:unhideWhenUsed="0" w:uiPriority="70" w:semiHidden="0" w:name="Dark List Accent 6"/>
    <w:lsdException w:unhideWhenUsed="0" w:uiPriority="71" w:semiHidden="0" w:name="Colorful Shading Accent 6"/>
    <w:lsdException w:unhideWhenUsed="0" w:uiPriority="72" w:semiHidden="0" w:name="Colorful List Accent 6"/>
    <w:lsdException w:unhideWhenUsed="0" w:uiPriority="73" w:semiHidden="0" w:name="Colorful Grid Accent 6"/>
  </w:latentStyles>
  <w:style w:type="paragraph" w:default="1" w:styleId="1">
    <w:name w:val="Normal"/>
    <w:qFormat/>
    <w:uiPriority w:val="0"/>
    <w:pPr>
      <w:widowControl w:val="0"/>
      <w:jc w:val="both"/>
    </w:pPr>
    <w:rPr>
      <w:rFonts w:ascii="Times New Roman" w:hAnsi="Times New Roman" w:eastAsia="宋体" w:cs="Times New Roman"/>
      <w:kern w:val="2"/>
      <w:sz w:val="21"/>
      <w:szCs w:val="24"/>
      <w:lang w:val="en-US" w:eastAsia="zh-CN" w:bidi="ar-SA"/>
    </w:rPr>
  </w:style>
  <w:style w:type="paragraph" w:styleId="2">
    <w:name w:val="heading 4"/>
    <w:basedOn w:val="1"/>
    <w:next w:val="1"/>
    <w:qFormat/>
    <w:uiPriority w:val="0"/>
    <w:pPr>
      <w:keepNext/>
      <w:keepLines/>
      <w:adjustRightInd w:val="0"/>
      <w:spacing w:before="280" w:after="290" w:line="376" w:lineRule="atLeast"/>
      <w:textAlignment w:val="baseline"/>
      <w:outlineLvl w:val="3"/>
    </w:pPr>
    <w:rPr>
      <w:kern w:val="0"/>
      <w:sz w:val="24"/>
      <w:szCs w:val="20"/>
    </w:rPr>
  </w:style>
  <w:style w:type="character" w:default="1" w:styleId="6">
    <w:name w:val="Default Paragraph Font"/>
    <w:semiHidden/>
    <w:uiPriority w:val="0"/>
  </w:style>
  <w:style w:type="table" w:default="1" w:styleId="5">
    <w:name w:val="Normal Table"/>
    <w:semiHidden/>
    <w:uiPriority w:val="0"/>
    <w:tblPr>
      <w:tblCellMar>
        <w:top w:w="0" w:type="dxa"/>
        <w:left w:w="108" w:type="dxa"/>
        <w:bottom w:w="0" w:type="dxa"/>
        <w:right w:w="108" w:type="dxa"/>
      </w:tblCellMar>
    </w:tblPr>
  </w:style>
  <w:style w:type="paragraph" w:styleId="3">
    <w:name w:val="index 4"/>
    <w:basedOn w:val="1"/>
    <w:next w:val="1"/>
    <w:unhideWhenUsed/>
    <w:qFormat/>
    <w:uiPriority w:val="99"/>
    <w:pPr>
      <w:spacing w:before="100" w:beforeAutospacing="1" w:after="100" w:afterAutospacing="1"/>
      <w:ind w:left="600" w:leftChars="600"/>
    </w:pPr>
  </w:style>
  <w:style w:type="paragraph" w:styleId="4">
    <w:name w:val="Body Text 2"/>
    <w:basedOn w:val="1"/>
    <w:semiHidden/>
    <w:unhideWhenUsed/>
    <w:qFormat/>
    <w:uiPriority w:val="99"/>
    <w:pPr>
      <w:spacing w:after="120" w:line="480" w:lineRule="auto"/>
    </w:pPr>
  </w:style>
  <w:style w:type="paragraph" w:customStyle="1" w:styleId="7">
    <w:name w:val="列出段落1"/>
    <w:basedOn w:val="1"/>
    <w:autoRedefine/>
    <w:qFormat/>
    <w:uiPriority w:val="34"/>
    <w:pPr>
      <w:ind w:firstLine="420" w:firstLineChars="200"/>
    </w:pPr>
    <w:rPr>
      <w:rFonts w:ascii="Calibri" w:hAnsi="Calibri"/>
      <w:szCs w:val="22"/>
    </w:rPr>
  </w:style>
</w:styles>
</file>

<file path=word/_rels/document.xml.rels><?xml version="1.0" encoding="UTF-8" standalone="yes"?>
<Relationships xmlns="http://schemas.openxmlformats.org/package/2006/relationships"><Relationship Id="rId5" Type="http://schemas.openxmlformats.org/officeDocument/2006/relationships/fontTable" Target="fontTable.xml"/><Relationship Id="rId4" Type="http://schemas.openxmlformats.org/officeDocument/2006/relationships/numbering" Target="numbering.xml"/><Relationship Id="rId3" Type="http://schemas.openxmlformats.org/officeDocument/2006/relationships/theme" Target="theme/theme1.xml"/><Relationship Id="rId2" Type="http://schemas.openxmlformats.org/officeDocument/2006/relationships/settings" Target="settings.xml"/><Relationship Id="rId1" Type="http://schemas.openxmlformats.org/officeDocument/2006/relationships/styles" Target="styles.xml"/></Relationships>
</file>

<file path=word/theme/theme1.xml><?xml version="1.0" encoding="utf-8"?>
<a:theme xmlns:a="http://schemas.openxmlformats.org/drawingml/2006/main" name="WPS">
  <a:themeElements>
    <a:clrScheme name="WPS">
      <a:dk1>
        <a:sysClr val="windowText" lastClr="000000"/>
      </a:dk1>
      <a:lt1>
        <a:sysClr val="window" lastClr="FFFFFF"/>
      </a:lt1>
      <a:dk2>
        <a:srgbClr val="44546A"/>
      </a:dk2>
      <a:lt2>
        <a:srgbClr val="E7E6E6"/>
      </a:lt2>
      <a:accent1>
        <a:srgbClr val="4874CB"/>
      </a:accent1>
      <a:accent2>
        <a:srgbClr val="EE822F"/>
      </a:accent2>
      <a:accent3>
        <a:srgbClr val="F2BA02"/>
      </a:accent3>
      <a:accent4>
        <a:srgbClr val="75BD42"/>
      </a:accent4>
      <a:accent5>
        <a:srgbClr val="30C0B4"/>
      </a:accent5>
      <a:accent6>
        <a:srgbClr val="E54C5E"/>
      </a:accent6>
      <a:hlink>
        <a:srgbClr val="0026E5"/>
      </a:hlink>
      <a:folHlink>
        <a:srgbClr val="7E1FAD"/>
      </a:folHlink>
    </a:clrScheme>
    <a:fontScheme name="WPS">
      <a:majorFont>
        <a:latin typeface="Calibri Light"/>
        <a:ea typeface=""/>
        <a:cs typeface=""/>
        <a:font script="Jpan" typeface="游ゴシック Light"/>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游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WPS">
      <a:fillStyleLst>
        <a:solidFill>
          <a:schemeClr val="phClr"/>
        </a:solidFill>
        <a:gradFill>
          <a:gsLst>
            <a:gs pos="0">
              <a:schemeClr val="phClr">
                <a:lumOff val="17500"/>
              </a:schemeClr>
            </a:gs>
            <a:gs pos="100000">
              <a:schemeClr val="phClr"/>
            </a:gs>
          </a:gsLst>
          <a:lin ang="2700000" scaled="0"/>
        </a:gradFill>
        <a:gradFill>
          <a:gsLst>
            <a:gs pos="0">
              <a:schemeClr val="phClr">
                <a:hueOff val="-2520000"/>
              </a:schemeClr>
            </a:gs>
            <a:gs pos="100000">
              <a:schemeClr val="phClr"/>
            </a:gs>
          </a:gsLst>
          <a:lin ang="2700000" scaled="0"/>
        </a:gradFill>
      </a:fillStyleLst>
      <a:lnStyleLst>
        <a:ln w="12700" cap="flat" cmpd="sng" algn="ctr">
          <a:solidFill>
            <a:schemeClr val="phClr"/>
          </a:solidFill>
          <a:prstDash val="solid"/>
          <a:miter lim="800000"/>
        </a:ln>
        <a:ln w="12700" cap="flat" cmpd="sng" algn="ctr">
          <a:solidFill>
            <a:schemeClr val="phClr"/>
          </a:solidFill>
          <a:prstDash val="solid"/>
          <a:miter lim="800000"/>
        </a:ln>
        <a:ln w="12700" cap="flat" cmpd="sng" algn="ctr">
          <a:gradFill>
            <a:gsLst>
              <a:gs pos="0">
                <a:schemeClr val="phClr">
                  <a:hueOff val="-4200000"/>
                </a:schemeClr>
              </a:gs>
              <a:gs pos="100000">
                <a:schemeClr val="phClr"/>
              </a:gs>
            </a:gsLst>
            <a:lin ang="2700000" scaled="1"/>
          </a:gradFill>
          <a:prstDash val="solid"/>
          <a:miter lim="800000"/>
        </a:ln>
      </a:lnStyleLst>
      <a:effectStyleLst>
        <a:effectStyle>
          <a:effectLst>
            <a:outerShdw blurRad="101600" dist="50800" dir="5400000" algn="ctr" rotWithShape="0">
              <a:schemeClr val="phClr">
                <a:alpha val="60000"/>
              </a:schemeClr>
            </a:outerShdw>
          </a:effectLst>
        </a:effectStyle>
        <a:effectStyle>
          <a:effectLst>
            <a:reflection stA="50000" endA="300" endPos="40000" dist="25400" dir="5400000" sy="-100000" algn="bl" rotWithShape="0"/>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theme>
</file>

<file path=docProps/app.xml><?xml version="1.0" encoding="utf-8"?>
<Properties xmlns="http://schemas.openxmlformats.org/officeDocument/2006/extended-properties" xmlns:vt="http://schemas.openxmlformats.org/officeDocument/2006/docPropsVTypes">
  <Template>Normal.dotm</Template>
  <Pages>48</Pages>
  <Words>0</Words>
  <Characters>0</Characters>
  <Lines>0</Lines>
  <Paragraphs>0</Paragraphs>
  <TotalTime>0</TotalTime>
  <ScaleCrop>false</ScaleCrop>
  <LinksUpToDate>false</LinksUpToDate>
  <CharactersWithSpaces>0</CharactersWithSpaces>
  <Application>WPS Office_12.1.0.28505_F1E327BC-269C-435d-A152-05C5408002CA</Application>
  <DocSecurity>0</DocSecurity>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erms:created xsi:type="dcterms:W3CDTF">2026-09-03T02:11:41Z</dcterms:created>
  <dc:creator>zxhd2026</dc:creator>
  <cp:lastModifiedBy>用户</cp:lastModifiedBy>
  <dcterms:modified xsi:type="dcterms:W3CDTF">2026-09-03T02:12:56Z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KSOProductBuildVer">
    <vt:lpwstr>2052-12.1.0.28505</vt:lpwstr>
  </property>
  <property fmtid="{D5CDD505-2E9C-101B-9397-08002B2CF9AE}" pid="3" name="KSOTemplateDocerSaveRecord">
    <vt:lpwstr>eyJoZGlkIjoiNzdmODdjN2Y4NmFiNjdjZGFiMmRjZGU1NzVlN2NkYTMiLCJ1c2VySWQiOiIyOTI2NjUzMzQifQ==</vt:lpwstr>
  </property>
  <property fmtid="{D5CDD505-2E9C-101B-9397-08002B2CF9AE}" pid="4" name="ICV">
    <vt:lpwstr>377E4DFBB9304601858AC290B4B3A1EF_12</vt:lpwstr>
  </property>
</Properties>
</file>