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5EBBCE">
      <w:pPr>
        <w:spacing w:line="360" w:lineRule="auto"/>
        <w:ind w:firstLine="2891" w:firstLineChars="800"/>
        <w:jc w:val="both"/>
        <w:outlineLvl w:val="0"/>
        <w:rPr>
          <w:rFonts w:ascii="宋体" w:hAnsi="宋体"/>
          <w:b/>
          <w:sz w:val="36"/>
          <w:szCs w:val="36"/>
        </w:rPr>
      </w:pPr>
      <w:bookmarkStart w:id="2" w:name="_GoBack"/>
      <w:bookmarkEnd w:id="2"/>
      <w:bookmarkStart w:id="0" w:name="_Toc226646152"/>
      <w:r>
        <w:rPr>
          <w:rFonts w:hint="eastAsia" w:ascii="宋体" w:hAnsi="宋体"/>
          <w:b/>
          <w:sz w:val="36"/>
          <w:szCs w:val="36"/>
        </w:rPr>
        <w:t xml:space="preserve">  </w:t>
      </w:r>
      <w:r>
        <w:rPr>
          <w:rFonts w:ascii="宋体" w:hAnsi="宋体"/>
          <w:b/>
          <w:sz w:val="36"/>
          <w:szCs w:val="36"/>
        </w:rPr>
        <w:t>采购需求</w:t>
      </w:r>
      <w:bookmarkEnd w:id="0"/>
    </w:p>
    <w:p w14:paraId="2F579DF0">
      <w:pPr>
        <w:spacing w:line="360" w:lineRule="auto"/>
        <w:ind w:firstLine="482" w:firstLineChars="200"/>
        <w:jc w:val="left"/>
        <w:rPr>
          <w:rFonts w:ascii="宋体" w:hAnsi="宋体" w:cs="宋体"/>
          <w:b/>
          <w:bCs/>
          <w:sz w:val="24"/>
        </w:rPr>
      </w:pPr>
      <w:bookmarkStart w:id="1" w:name="_Toc199365171"/>
      <w:r>
        <w:rPr>
          <w:rFonts w:hint="eastAsia" w:ascii="宋体" w:hAnsi="宋体" w:cs="宋体"/>
          <w:b/>
          <w:bCs/>
          <w:sz w:val="24"/>
        </w:rPr>
        <w:t>一、采购标的</w:t>
      </w:r>
    </w:p>
    <w:tbl>
      <w:tblPr>
        <w:tblStyle w:val="6"/>
        <w:tblW w:w="8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12"/>
        <w:gridCol w:w="1713"/>
        <w:gridCol w:w="3528"/>
      </w:tblGrid>
      <w:tr w14:paraId="43D6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exact"/>
          <w:jc w:val="center"/>
        </w:trPr>
        <w:tc>
          <w:tcPr>
            <w:tcW w:w="765" w:type="dxa"/>
            <w:vAlign w:val="center"/>
          </w:tcPr>
          <w:p w14:paraId="5A9C943C">
            <w:pPr>
              <w:jc w:val="center"/>
              <w:rPr>
                <w:rFonts w:ascii="宋体" w:hAnsi="宋体"/>
                <w:bCs/>
                <w:sz w:val="24"/>
              </w:rPr>
            </w:pPr>
            <w:r>
              <w:rPr>
                <w:rFonts w:hint="eastAsia" w:ascii="宋体" w:hAnsi="宋体"/>
                <w:bCs/>
                <w:sz w:val="24"/>
              </w:rPr>
              <w:t>序号</w:t>
            </w:r>
          </w:p>
        </w:tc>
        <w:tc>
          <w:tcPr>
            <w:tcW w:w="2412" w:type="dxa"/>
            <w:vAlign w:val="center"/>
          </w:tcPr>
          <w:p w14:paraId="66085D54">
            <w:pPr>
              <w:jc w:val="center"/>
              <w:rPr>
                <w:rFonts w:ascii="宋体" w:hAnsi="宋体"/>
                <w:bCs/>
                <w:sz w:val="24"/>
              </w:rPr>
            </w:pPr>
            <w:r>
              <w:rPr>
                <w:rFonts w:hint="eastAsia" w:ascii="宋体" w:hAnsi="宋体"/>
                <w:bCs/>
                <w:sz w:val="24"/>
              </w:rPr>
              <w:t>标的名称</w:t>
            </w:r>
          </w:p>
        </w:tc>
        <w:tc>
          <w:tcPr>
            <w:tcW w:w="1713" w:type="dxa"/>
            <w:vAlign w:val="center"/>
          </w:tcPr>
          <w:p w14:paraId="72BC38DF">
            <w:pPr>
              <w:jc w:val="center"/>
              <w:rPr>
                <w:rFonts w:ascii="宋体" w:hAnsi="宋体"/>
                <w:bCs/>
                <w:sz w:val="24"/>
              </w:rPr>
            </w:pPr>
            <w:r>
              <w:rPr>
                <w:rFonts w:hint="eastAsia" w:ascii="宋体" w:hAnsi="宋体"/>
                <w:bCs/>
                <w:sz w:val="24"/>
              </w:rPr>
              <w:t>项目预算金额</w:t>
            </w:r>
          </w:p>
        </w:tc>
        <w:tc>
          <w:tcPr>
            <w:tcW w:w="3528" w:type="dxa"/>
            <w:vAlign w:val="center"/>
          </w:tcPr>
          <w:p w14:paraId="70AC6979">
            <w:pPr>
              <w:jc w:val="center"/>
              <w:rPr>
                <w:rFonts w:ascii="宋体" w:hAnsi="宋体"/>
                <w:bCs/>
                <w:sz w:val="24"/>
              </w:rPr>
            </w:pPr>
            <w:r>
              <w:rPr>
                <w:rFonts w:hint="eastAsia" w:ascii="宋体" w:hAnsi="宋体"/>
                <w:bCs/>
                <w:sz w:val="24"/>
              </w:rPr>
              <w:t>简要技术需求或服务要求</w:t>
            </w:r>
          </w:p>
        </w:tc>
      </w:tr>
      <w:tr w14:paraId="44BD1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exact"/>
          <w:jc w:val="center"/>
        </w:trPr>
        <w:tc>
          <w:tcPr>
            <w:tcW w:w="765" w:type="dxa"/>
            <w:vAlign w:val="center"/>
          </w:tcPr>
          <w:p w14:paraId="4393C63A">
            <w:pPr>
              <w:jc w:val="center"/>
              <w:rPr>
                <w:rFonts w:ascii="宋体" w:hAnsi="宋体"/>
                <w:bCs/>
                <w:sz w:val="24"/>
              </w:rPr>
            </w:pPr>
            <w:r>
              <w:rPr>
                <w:rFonts w:ascii="宋体" w:hAnsi="宋体"/>
                <w:sz w:val="24"/>
              </w:rPr>
              <w:t>1</w:t>
            </w:r>
          </w:p>
        </w:tc>
        <w:tc>
          <w:tcPr>
            <w:tcW w:w="2412" w:type="dxa"/>
            <w:vAlign w:val="center"/>
          </w:tcPr>
          <w:p w14:paraId="59723C2E">
            <w:pPr>
              <w:jc w:val="center"/>
              <w:rPr>
                <w:rFonts w:ascii="宋体" w:hAnsi="宋体"/>
                <w:bCs/>
                <w:sz w:val="24"/>
              </w:rPr>
            </w:pPr>
            <w:r>
              <w:rPr>
                <w:rFonts w:hint="eastAsia" w:ascii="宋体" w:hAnsi="宋体"/>
                <w:bCs/>
                <w:sz w:val="24"/>
              </w:rPr>
              <w:t>高通量靶标分析服务</w:t>
            </w:r>
          </w:p>
        </w:tc>
        <w:tc>
          <w:tcPr>
            <w:tcW w:w="1713" w:type="dxa"/>
            <w:vAlign w:val="center"/>
          </w:tcPr>
          <w:p w14:paraId="2D305699">
            <w:pPr>
              <w:jc w:val="center"/>
              <w:rPr>
                <w:rFonts w:ascii="宋体" w:hAnsi="宋体"/>
                <w:bCs/>
                <w:sz w:val="24"/>
              </w:rPr>
            </w:pPr>
            <w:r>
              <w:rPr>
                <w:rFonts w:hint="eastAsia" w:ascii="宋体" w:hAnsi="宋体"/>
                <w:bCs/>
                <w:sz w:val="24"/>
              </w:rPr>
              <w:t>880万元</w:t>
            </w:r>
          </w:p>
        </w:tc>
        <w:tc>
          <w:tcPr>
            <w:tcW w:w="3528" w:type="dxa"/>
            <w:vAlign w:val="center"/>
          </w:tcPr>
          <w:p w14:paraId="074AD632">
            <w:pPr>
              <w:rPr>
                <w:rFonts w:ascii="宋体" w:hAnsi="宋体"/>
                <w:sz w:val="24"/>
              </w:rPr>
            </w:pPr>
            <w:r>
              <w:rPr>
                <w:rFonts w:hint="eastAsia" w:ascii="宋体" w:hAnsi="宋体"/>
                <w:sz w:val="24"/>
              </w:rPr>
              <w:t>采购</w:t>
            </w:r>
            <w:r>
              <w:rPr>
                <w:rFonts w:hint="eastAsia" w:ascii="宋体" w:hAnsi="宋体"/>
                <w:sz w:val="24"/>
                <w:lang w:eastAsia="zh-CN"/>
              </w:rPr>
              <w:t>高通量靶标分析服务</w:t>
            </w:r>
            <w:r>
              <w:rPr>
                <w:rFonts w:hint="eastAsia" w:ascii="宋体" w:hAnsi="宋体"/>
                <w:sz w:val="24"/>
              </w:rPr>
              <w:t>，对2700份外周血蛋白质进行检测等。</w:t>
            </w:r>
          </w:p>
        </w:tc>
      </w:tr>
    </w:tbl>
    <w:p w14:paraId="407BEB84">
      <w:pPr>
        <w:spacing w:line="360" w:lineRule="auto"/>
        <w:ind w:firstLine="482" w:firstLineChars="200"/>
        <w:rPr>
          <w:rFonts w:ascii="宋体" w:hAnsi="宋体" w:cs="宋体"/>
          <w:b/>
          <w:bCs/>
          <w:sz w:val="24"/>
        </w:rPr>
      </w:pPr>
      <w:r>
        <w:rPr>
          <w:rFonts w:hint="eastAsia" w:ascii="宋体" w:hAnsi="宋体" w:cs="宋体"/>
          <w:b/>
          <w:bCs/>
          <w:sz w:val="24"/>
        </w:rPr>
        <w:t>二、商务要求</w:t>
      </w:r>
    </w:p>
    <w:bookmarkEnd w:id="1"/>
    <w:p w14:paraId="6D06FCE5">
      <w:pPr>
        <w:pStyle w:val="8"/>
        <w:spacing w:line="360" w:lineRule="auto"/>
        <w:ind w:firstLine="480"/>
        <w:contextualSpacing/>
        <w:jc w:val="left"/>
        <w:rPr>
          <w:rFonts w:ascii="宋体" w:hAnsi="宋体"/>
          <w:bCs/>
          <w:sz w:val="24"/>
        </w:rPr>
      </w:pPr>
      <w:r>
        <w:rPr>
          <w:rFonts w:hint="eastAsia" w:ascii="宋体" w:hAnsi="宋体"/>
          <w:bCs/>
          <w:sz w:val="24"/>
        </w:rPr>
        <w:t>（一）服务期限和地点</w:t>
      </w:r>
    </w:p>
    <w:p w14:paraId="4020C425">
      <w:pPr>
        <w:pStyle w:val="8"/>
        <w:spacing w:line="360" w:lineRule="auto"/>
        <w:ind w:firstLine="480"/>
        <w:contextualSpacing/>
        <w:jc w:val="left"/>
        <w:rPr>
          <w:rFonts w:ascii="宋体" w:hAnsi="宋体"/>
          <w:bCs/>
          <w:sz w:val="24"/>
        </w:rPr>
      </w:pPr>
      <w:r>
        <w:rPr>
          <w:rFonts w:hint="eastAsia" w:ascii="宋体" w:hAnsi="宋体"/>
          <w:bCs/>
          <w:sz w:val="24"/>
        </w:rPr>
        <w:t>1.服务期限：</w:t>
      </w:r>
      <w:r>
        <w:rPr>
          <w:rFonts w:hint="eastAsia" w:ascii="宋体" w:hAnsi="宋体"/>
          <w:bCs/>
          <w:sz w:val="24"/>
          <w:u w:val="single"/>
        </w:rPr>
        <w:t>自合同签订之日起</w:t>
      </w:r>
      <w:r>
        <w:rPr>
          <w:rFonts w:hint="eastAsia" w:ascii="宋体" w:hAnsi="宋体"/>
          <w:bCs/>
          <w:sz w:val="24"/>
          <w:u w:val="single"/>
          <w:lang w:val="en-US" w:eastAsia="zh-CN"/>
        </w:rPr>
        <w:t>4</w:t>
      </w:r>
      <w:r>
        <w:rPr>
          <w:rFonts w:hint="eastAsia" w:ascii="宋体" w:hAnsi="宋体"/>
          <w:bCs/>
          <w:sz w:val="24"/>
          <w:u w:val="single"/>
        </w:rPr>
        <w:t>个月。</w:t>
      </w:r>
    </w:p>
    <w:p w14:paraId="44118919">
      <w:pPr>
        <w:pStyle w:val="8"/>
        <w:spacing w:line="360" w:lineRule="auto"/>
        <w:ind w:firstLine="480"/>
        <w:contextualSpacing/>
        <w:jc w:val="left"/>
        <w:rPr>
          <w:rFonts w:ascii="宋体" w:hAnsi="宋体"/>
          <w:sz w:val="24"/>
          <w:u w:val="single"/>
        </w:rPr>
      </w:pPr>
      <w:r>
        <w:rPr>
          <w:rFonts w:hint="eastAsia" w:ascii="宋体" w:hAnsi="宋体"/>
          <w:bCs/>
          <w:sz w:val="24"/>
        </w:rPr>
        <w:t>2.服务地点：</w:t>
      </w:r>
      <w:r>
        <w:rPr>
          <w:rFonts w:hint="eastAsia" w:ascii="宋体" w:hAnsi="宋体"/>
          <w:sz w:val="24"/>
          <w:u w:val="single"/>
        </w:rPr>
        <w:t>采购人指定地点。</w:t>
      </w:r>
    </w:p>
    <w:p w14:paraId="6FC54CC3">
      <w:pPr>
        <w:pStyle w:val="8"/>
        <w:spacing w:line="360" w:lineRule="auto"/>
        <w:ind w:firstLine="480"/>
        <w:contextualSpacing/>
        <w:jc w:val="left"/>
        <w:rPr>
          <w:rFonts w:ascii="宋体" w:hAnsi="宋体"/>
          <w:bCs/>
          <w:sz w:val="24"/>
        </w:rPr>
      </w:pPr>
      <w:r>
        <w:rPr>
          <w:rFonts w:hint="eastAsia" w:ascii="宋体" w:hAnsi="宋体"/>
          <w:bCs/>
          <w:sz w:val="24"/>
        </w:rPr>
        <w:t>（二）付款条件（进度和方式）：详见第六章 拟签订的合同文本</w:t>
      </w:r>
    </w:p>
    <w:p w14:paraId="7F1EB605">
      <w:pPr>
        <w:pStyle w:val="8"/>
        <w:spacing w:line="360" w:lineRule="auto"/>
        <w:ind w:firstLine="480"/>
        <w:contextualSpacing/>
        <w:jc w:val="left"/>
        <w:rPr>
          <w:rFonts w:ascii="宋体" w:hAnsi="宋体"/>
          <w:b/>
          <w:sz w:val="24"/>
          <w:szCs w:val="24"/>
        </w:rPr>
      </w:pPr>
      <w:r>
        <w:rPr>
          <w:rFonts w:hint="eastAsia" w:ascii="宋体" w:hAnsi="宋体"/>
          <w:bCs/>
          <w:sz w:val="24"/>
        </w:rPr>
        <w:t>三、</w:t>
      </w:r>
      <w:r>
        <w:rPr>
          <w:rFonts w:ascii="宋体" w:hAnsi="宋体"/>
          <w:b/>
          <w:sz w:val="24"/>
          <w:szCs w:val="24"/>
        </w:rPr>
        <w:t>技术要求</w:t>
      </w:r>
    </w:p>
    <w:p w14:paraId="5839CE48">
      <w:pPr>
        <w:spacing w:line="360" w:lineRule="auto"/>
        <w:ind w:firstLine="482" w:firstLineChars="200"/>
        <w:contextualSpacing/>
        <w:rPr>
          <w:rFonts w:ascii="宋体" w:hAnsi="宋体" w:cs="宋体"/>
          <w:b/>
          <w:bCs/>
          <w:sz w:val="24"/>
        </w:rPr>
      </w:pPr>
      <w:r>
        <w:rPr>
          <w:rFonts w:hint="eastAsia" w:ascii="宋体" w:hAnsi="宋体" w:cs="宋体"/>
          <w:b/>
          <w:bCs/>
          <w:sz w:val="24"/>
        </w:rPr>
        <w:t>（一）基本要求</w:t>
      </w:r>
    </w:p>
    <w:p w14:paraId="3CAB92B9">
      <w:pPr>
        <w:spacing w:line="360" w:lineRule="auto"/>
        <w:ind w:firstLine="482" w:firstLineChars="200"/>
        <w:contextualSpacing/>
        <w:rPr>
          <w:rFonts w:ascii="宋体" w:hAnsi="宋体" w:cs="宋体"/>
          <w:b/>
          <w:bCs/>
          <w:sz w:val="24"/>
        </w:rPr>
      </w:pPr>
      <w:r>
        <w:rPr>
          <w:rFonts w:hint="eastAsia" w:ascii="宋体" w:hAnsi="宋体" w:cs="宋体"/>
          <w:b/>
          <w:bCs/>
          <w:sz w:val="24"/>
        </w:rPr>
        <w:t>1.采购标的需实现的功能或者目标</w:t>
      </w:r>
    </w:p>
    <w:p w14:paraId="1D2892A2">
      <w:pPr>
        <w:pStyle w:val="5"/>
        <w:spacing w:line="360" w:lineRule="auto"/>
        <w:ind w:firstLine="480" w:firstLineChars="200"/>
        <w:rPr>
          <w:rFonts w:hAnsi="宋体" w:cs="宋体"/>
        </w:rPr>
      </w:pPr>
      <w:r>
        <w:rPr>
          <w:rFonts w:hint="eastAsia" w:hAnsi="宋体" w:cs="宋体"/>
        </w:rPr>
        <w:t>本次招标采购的标的是“</w:t>
      </w:r>
      <w:r>
        <w:rPr>
          <w:rFonts w:hint="eastAsia" w:hAnsi="宋体"/>
          <w:lang w:eastAsia="zh-CN"/>
        </w:rPr>
        <w:t>北京安定医院采购高通量靶标分析服务项目</w:t>
      </w:r>
      <w:r>
        <w:rPr>
          <w:rFonts w:hint="eastAsia" w:hAnsi="宋体" w:cs="宋体"/>
        </w:rPr>
        <w:t>”，投标人应根据招标文件所提出的设备技术规格和服务要求，以满足招标文件要求的产品、优良的服务和优惠的价格，充分显示自己的竞争实力。</w:t>
      </w:r>
    </w:p>
    <w:p w14:paraId="388E1902">
      <w:pPr>
        <w:numPr>
          <w:ilvl w:val="0"/>
          <w:numId w:val="1"/>
        </w:numPr>
        <w:spacing w:line="360" w:lineRule="auto"/>
        <w:ind w:firstLine="482"/>
        <w:contextualSpacing/>
        <w:rPr>
          <w:rFonts w:ascii="宋体" w:hAnsi="宋体" w:cs="宋体"/>
          <w:kern w:val="0"/>
          <w:sz w:val="24"/>
        </w:rPr>
      </w:pPr>
      <w:r>
        <w:rPr>
          <w:rFonts w:hint="eastAsia" w:ascii="宋体" w:hAnsi="宋体" w:cs="宋体"/>
          <w:b/>
          <w:bCs/>
          <w:sz w:val="24"/>
        </w:rPr>
        <w:t>需满足国家相关标准、行业标准、地方标准或者其他标准、规范：</w:t>
      </w:r>
      <w:r>
        <w:rPr>
          <w:rFonts w:hint="eastAsia" w:ascii="宋体" w:hAnsi="宋体" w:cs="宋体"/>
          <w:bCs/>
          <w:sz w:val="24"/>
        </w:rPr>
        <w:t>提供的服务满足</w:t>
      </w:r>
      <w:r>
        <w:rPr>
          <w:rFonts w:hint="eastAsia" w:ascii="宋体" w:hAnsi="宋体" w:cs="宋体"/>
          <w:kern w:val="0"/>
          <w:sz w:val="24"/>
        </w:rPr>
        <w:t>国家相关标准、行业标准、地方标准或者其他标准、规范。</w:t>
      </w:r>
    </w:p>
    <w:p w14:paraId="3E62387E">
      <w:pPr>
        <w:pStyle w:val="4"/>
        <w:ind w:firstLine="482" w:firstLineChars="200"/>
        <w:jc w:val="both"/>
      </w:pPr>
      <w:r>
        <w:rPr>
          <w:rFonts w:hint="eastAsia"/>
        </w:rPr>
        <w:t>（二）具体要求</w:t>
      </w:r>
    </w:p>
    <w:p w14:paraId="4CDA63B1">
      <w:pPr>
        <w:pStyle w:val="9"/>
        <w:spacing w:line="360" w:lineRule="auto"/>
        <w:rPr>
          <w:bCs/>
        </w:rPr>
      </w:pPr>
      <w:r>
        <w:rPr>
          <w:rFonts w:hint="eastAsia"/>
          <w:bCs/>
        </w:rPr>
        <w:t>1.项目服务内容</w:t>
      </w:r>
    </w:p>
    <w:p w14:paraId="33B4414B">
      <w:pPr>
        <w:pStyle w:val="9"/>
        <w:spacing w:line="360" w:lineRule="auto"/>
        <w:rPr>
          <w:bCs/>
        </w:rPr>
      </w:pPr>
      <w:r>
        <w:rPr>
          <w:rFonts w:hint="eastAsia"/>
          <w:bCs/>
        </w:rPr>
        <w:t>采购</w:t>
      </w:r>
      <w:r>
        <w:rPr>
          <w:rFonts w:hint="eastAsia"/>
          <w:bCs/>
          <w:lang w:eastAsia="zh-CN"/>
        </w:rPr>
        <w:t>高通量靶标分析服务</w:t>
      </w:r>
      <w:r>
        <w:rPr>
          <w:rFonts w:hint="eastAsia"/>
          <w:bCs/>
        </w:rPr>
        <w:t>，分批对2700份外周血蛋白质进行检测。</w:t>
      </w:r>
      <w:r>
        <w:rPr>
          <w:rFonts w:hint="eastAsia"/>
        </w:rPr>
        <w:t>所有样本检测周期为</w:t>
      </w:r>
      <w:r>
        <w:rPr>
          <w:rFonts w:hint="eastAsia"/>
          <w:lang w:val="en-US" w:eastAsia="zh-CN"/>
        </w:rPr>
        <w:t>2</w:t>
      </w:r>
      <w:r>
        <w:rPr>
          <w:rFonts w:hint="eastAsia"/>
        </w:rPr>
        <w:t>个月，</w:t>
      </w:r>
      <w:r>
        <w:rPr>
          <w:rFonts w:hint="eastAsia"/>
          <w:bCs/>
        </w:rPr>
        <w:t>检测需按照实验流程进行，每批检测中需包含校准样本、质控样本和空白对照，检测包含项目方案确认、样本质检和前处理、芯片扫描、提取数据、生物信息学分析和技术支持服务，具体内容如下：</w:t>
      </w:r>
    </w:p>
    <w:p w14:paraId="1305E343">
      <w:pPr>
        <w:pStyle w:val="9"/>
        <w:spacing w:line="360" w:lineRule="auto"/>
        <w:rPr>
          <w:bCs/>
        </w:rPr>
      </w:pPr>
      <w:r>
        <w:rPr>
          <w:rFonts w:hint="eastAsia"/>
          <w:bCs/>
        </w:rPr>
        <w:t>1.1项目方案定制与确认</w:t>
      </w:r>
    </w:p>
    <w:p w14:paraId="6B0CAFFE">
      <w:pPr>
        <w:pStyle w:val="9"/>
        <w:spacing w:line="360" w:lineRule="auto"/>
        <w:rPr>
          <w:bCs/>
        </w:rPr>
      </w:pPr>
      <w:r>
        <w:rPr>
          <w:rFonts w:hint="eastAsia"/>
          <w:bCs/>
        </w:rPr>
        <w:t>结合本次队列的样本属性与研究设计，针对性优化样本质检标准与分组排布规则，形成初步执行方案提交采购人审核确认；对照相关技术操作规范，完成样本处理、上机检测全流程的细节核验；结合前期方案与技术细则，输出最终版标准化实验流程，全程严格按照确认后的流程开展检测工作。</w:t>
      </w:r>
    </w:p>
    <w:p w14:paraId="31C013E0">
      <w:pPr>
        <w:pStyle w:val="9"/>
        <w:spacing w:line="360" w:lineRule="auto"/>
        <w:rPr>
          <w:bCs/>
        </w:rPr>
      </w:pPr>
      <w:r>
        <w:rPr>
          <w:rFonts w:hint="eastAsia"/>
          <w:bCs/>
        </w:rPr>
        <w:t>1.2样本前处理与上机检测配置</w:t>
      </w:r>
    </w:p>
    <w:p w14:paraId="074EE447">
      <w:pPr>
        <w:pStyle w:val="9"/>
        <w:spacing w:line="360" w:lineRule="auto"/>
        <w:rPr>
          <w:bCs/>
        </w:rPr>
      </w:pPr>
      <w:r>
        <w:rPr>
          <w:rFonts w:hint="eastAsia"/>
          <w:bCs/>
        </w:rPr>
        <w:t>每块检测板均设置5个重复校准样本、3个重复质量控制样本与3个无蛋白缓冲液空白对照，待测样本要求为无溶血现象的人源血浆，单块检测板最多可承载85份独立生物学样本的同步检测。</w:t>
      </w:r>
    </w:p>
    <w:p w14:paraId="1086BDD3">
      <w:pPr>
        <w:pStyle w:val="9"/>
        <w:spacing w:line="360" w:lineRule="auto"/>
        <w:rPr>
          <w:bCs/>
        </w:rPr>
      </w:pPr>
      <w:r>
        <w:rPr>
          <w:rFonts w:hint="eastAsia"/>
          <w:bCs/>
        </w:rPr>
        <w:t>1.3芯片扫描与原始数据提取</w:t>
      </w:r>
    </w:p>
    <w:p w14:paraId="3524095A">
      <w:pPr>
        <w:pStyle w:val="9"/>
        <w:spacing w:line="360" w:lineRule="auto"/>
        <w:rPr>
          <w:bCs/>
        </w:rPr>
      </w:pPr>
      <w:r>
        <w:rPr>
          <w:rFonts w:hint="eastAsia"/>
          <w:bCs/>
        </w:rPr>
        <w:t>依托专业扫描平台采集芯片信号生成TIF格式原始图像文件，通过软件完成图像解析，输出对应蛋白靶点的RFU荧光强度矩阵，最终采用配套的软件完成数据预处理与标准化校正。</w:t>
      </w:r>
    </w:p>
    <w:p w14:paraId="7EEE1889">
      <w:pPr>
        <w:pStyle w:val="9"/>
        <w:spacing w:line="360" w:lineRule="auto"/>
        <w:rPr>
          <w:bCs/>
        </w:rPr>
      </w:pPr>
      <w:r>
        <w:rPr>
          <w:rFonts w:hint="eastAsia"/>
          <w:bCs/>
        </w:rPr>
        <w:t>1.4数据质控与生物信息学分析</w:t>
      </w:r>
    </w:p>
    <w:p w14:paraId="00D41976">
      <w:pPr>
        <w:pStyle w:val="9"/>
        <w:spacing w:line="360" w:lineRule="auto"/>
        <w:rPr>
          <w:bCs/>
        </w:rPr>
      </w:pPr>
      <w:r>
        <w:rPr>
          <w:rFonts w:hint="eastAsia"/>
          <w:bCs/>
        </w:rPr>
        <w:t>数据质控环节覆盖板间校正系数校验、校准样本尾部占比统计、SOMAmer探针信号阈值区间核验、质控样本探针尾部占比全维度分析，生物信息学分析包含蛋白靶点定性定量统计、差异表达蛋白筛选、差异蛋白功能富集解析、Gene Ontology功能注释与可视化气泡图生成、蛋白质互作调控网络构建，最终基于全量检测数据，解析外周血蛋白质的表达动态特征，筛选得到特异性强、重复性佳的潜在生物标志物组合。</w:t>
      </w:r>
    </w:p>
    <w:p w14:paraId="3DCB9CAE">
      <w:pPr>
        <w:pStyle w:val="9"/>
        <w:spacing w:line="360" w:lineRule="auto"/>
        <w:rPr>
          <w:bCs/>
        </w:rPr>
      </w:pPr>
      <w:r>
        <w:rPr>
          <w:rFonts w:hint="eastAsia"/>
          <w:bCs/>
        </w:rPr>
        <w:t>1.5全周期技术支撑与培训服务</w:t>
      </w:r>
    </w:p>
    <w:p w14:paraId="2BA8AA37">
      <w:pPr>
        <w:pStyle w:val="9"/>
        <w:spacing w:line="360" w:lineRule="auto"/>
        <w:rPr>
          <w:bCs/>
        </w:rPr>
      </w:pPr>
      <w:r>
        <w:rPr>
          <w:rFonts w:hint="eastAsia"/>
          <w:bCs/>
        </w:rPr>
        <w:t>项目全周期内提供不少于6次的线上/线下项目进展汇报与技术操作培训，在样本搜集阶段与实验执行阶段提供专属一对一技术对接服务，结合定制化实验方案提供精准化技术支撑，保障全流程实验推进与售后响应的准确性与时效性；若遇突发技术问题或实验异常，可第一时间提供远程指导或现场上门技术支持。</w:t>
      </w:r>
    </w:p>
    <w:p w14:paraId="68E36FEC">
      <w:pPr>
        <w:pStyle w:val="9"/>
        <w:spacing w:line="360" w:lineRule="auto"/>
        <w:rPr>
          <w:bCs/>
        </w:rPr>
      </w:pPr>
      <w:r>
        <w:rPr>
          <w:rFonts w:hint="eastAsia"/>
          <w:bCs/>
        </w:rPr>
        <w:t>2.技术要求</w:t>
      </w:r>
    </w:p>
    <w:p w14:paraId="276C34CE">
      <w:pPr>
        <w:pStyle w:val="9"/>
        <w:spacing w:line="360" w:lineRule="auto"/>
        <w:rPr>
          <w:bCs/>
        </w:rPr>
      </w:pPr>
      <w:r>
        <w:rPr>
          <w:rFonts w:hint="eastAsia"/>
          <w:bCs/>
        </w:rPr>
        <w:t>2.1试剂耗材要求</w:t>
      </w:r>
    </w:p>
    <w:p w14:paraId="27BE4400">
      <w:pPr>
        <w:pStyle w:val="9"/>
        <w:spacing w:line="360" w:lineRule="auto"/>
        <w:rPr>
          <w:bCs/>
        </w:rPr>
      </w:pPr>
      <w:r>
        <w:rPr>
          <w:rFonts w:hint="eastAsia"/>
          <w:bCs/>
        </w:rPr>
        <w:t>本项目所需全部实验试剂与配套耗材均由供应商全额提供；所有试剂耗材的运输、存储全流程严格匹配产品说明书要求，满足低温、避光等特定环境条件，保障试剂性能稳定。</w:t>
      </w:r>
    </w:p>
    <w:p w14:paraId="7EDAB16E">
      <w:pPr>
        <w:pStyle w:val="9"/>
        <w:spacing w:line="360" w:lineRule="auto"/>
        <w:rPr>
          <w:bCs/>
        </w:rPr>
      </w:pPr>
      <w:r>
        <w:rPr>
          <w:rFonts w:hint="eastAsia"/>
          <w:bCs/>
        </w:rPr>
        <w:t>2.2检测芯片性能要求</w:t>
      </w:r>
    </w:p>
    <w:p w14:paraId="0D130436">
      <w:pPr>
        <w:pStyle w:val="9"/>
        <w:spacing w:line="360" w:lineRule="auto"/>
        <w:rPr>
          <w:bCs/>
        </w:rPr>
      </w:pPr>
      <w:r>
        <w:rPr>
          <w:rFonts w:hint="eastAsia"/>
          <w:bCs/>
        </w:rPr>
        <w:t>芯片采用专属检测芯片，单块芯片最大可承载≥85份生物学样本同步检测，芯片生产、运输全流程具备完善的质量管理体系，确保芯片无破损、无污染，性能稳定均一。</w:t>
      </w:r>
    </w:p>
    <w:p w14:paraId="45066133">
      <w:pPr>
        <w:pStyle w:val="9"/>
        <w:spacing w:line="360" w:lineRule="auto"/>
        <w:rPr>
          <w:bCs/>
        </w:rPr>
      </w:pPr>
      <w:r>
        <w:rPr>
          <w:rFonts w:hint="eastAsia"/>
          <w:bCs/>
        </w:rPr>
        <w:t>2.3数据质控核心指标</w:t>
      </w:r>
    </w:p>
    <w:p w14:paraId="24F7FF2E">
      <w:pPr>
        <w:pStyle w:val="9"/>
        <w:spacing w:line="360" w:lineRule="auto"/>
        <w:rPr>
          <w:bCs/>
        </w:rPr>
      </w:pPr>
      <w:r>
        <w:rPr>
          <w:rFonts w:hint="eastAsia"/>
          <w:bCs/>
        </w:rPr>
        <w:t>板间校正系数需控制在0.4-2.5区间内，校准样本信号尾部占比不得高于10%，SOMAmer探针信号阈值区间需稳定在0.8-1.2范围内，质控样本探针信号尾部占比不得高于15%。</w:t>
      </w:r>
    </w:p>
    <w:p w14:paraId="55AF8B8F">
      <w:pPr>
        <w:pStyle w:val="9"/>
        <w:spacing w:line="360" w:lineRule="auto"/>
        <w:rPr>
          <w:bCs/>
        </w:rPr>
      </w:pPr>
      <w:r>
        <w:rPr>
          <w:rFonts w:hint="eastAsia"/>
          <w:bCs/>
        </w:rPr>
        <w:t>2.4数据交付与保密要求</w:t>
      </w:r>
    </w:p>
    <w:p w14:paraId="4E9A851A">
      <w:pPr>
        <w:pStyle w:val="9"/>
        <w:spacing w:line="360" w:lineRule="auto"/>
        <w:rPr>
          <w:bCs/>
        </w:rPr>
      </w:pPr>
      <w:r>
        <w:rPr>
          <w:rFonts w:hint="eastAsia"/>
          <w:bCs/>
        </w:rPr>
        <w:t>交付内容包含完整的样本质检报告、全部样本的原始检测数据文件、全套生物信息学分析结果，所有结构化数据与分析材料均以加密移动硬盘形式交付，供应商需签署正式数据保密协议，承诺对项目所有原始数据、分析结果与研究信息严格保密，不得向任何第三方泄露。</w:t>
      </w:r>
    </w:p>
    <w:p w14:paraId="5E779705">
      <w:pPr>
        <w:pStyle w:val="9"/>
        <w:spacing w:line="360" w:lineRule="auto"/>
        <w:rPr>
          <w:bCs/>
        </w:rPr>
      </w:pPr>
      <w:r>
        <w:rPr>
          <w:rFonts w:hint="eastAsia"/>
          <w:bCs/>
        </w:rPr>
        <w:t>2.5项目全流程质量管控</w:t>
      </w:r>
    </w:p>
    <w:p w14:paraId="2A5EBD5A">
      <w:pPr>
        <w:pStyle w:val="9"/>
        <w:spacing w:line="360" w:lineRule="auto"/>
        <w:rPr>
          <w:b/>
        </w:rPr>
      </w:pPr>
      <w:r>
        <w:rPr>
          <w:rFonts w:hint="eastAsia"/>
          <w:bCs/>
        </w:rPr>
        <w:t>供应商需具备万人级大队列蛋白组学检测服务经验，拥有配置完善、经验丰富的专职生物信息学分析团队，检测过程中若出现上机异常、样本质检不通过等特殊情况，需第一时间向采购人同步反馈，并在2个工作日内出具可落地的补救优化方案，保障项目整体进度不受影响。</w:t>
      </w:r>
    </w:p>
    <w:p w14:paraId="339EFD02">
      <w:pPr>
        <w:pStyle w:val="9"/>
        <w:spacing w:line="360" w:lineRule="auto"/>
      </w:pPr>
      <w:r>
        <w:rPr>
          <w:rFonts w:hint="eastAsia"/>
        </w:rPr>
        <w:t>3.成果文件</w:t>
      </w:r>
    </w:p>
    <w:p w14:paraId="439C65CE">
      <w:pPr>
        <w:pStyle w:val="9"/>
        <w:spacing w:line="360" w:lineRule="auto"/>
      </w:pPr>
      <w:r>
        <w:rPr>
          <w:rFonts w:hint="eastAsia"/>
        </w:rPr>
        <w:t>检测数据交付：样品质检合格后45个工作日内完成实验，每批次数据下机后5个工作日内交付，技术服务成果交付的形式为包括但不限于原始数据(raw data)、数据质控报告等，能清晰展示样本检测日期结果等情况。投标人将数据通过上传云平台或硬盘形式提交至采购人。</w:t>
      </w:r>
    </w:p>
    <w:p w14:paraId="788C17A7">
      <w:pPr>
        <w:pStyle w:val="9"/>
        <w:spacing w:line="360" w:lineRule="auto"/>
      </w:pPr>
      <w:r>
        <w:rPr>
          <w:rFonts w:hint="eastAsia"/>
        </w:rPr>
        <w:t>4.验收标准</w:t>
      </w:r>
    </w:p>
    <w:p w14:paraId="4EEB438F">
      <w:pPr>
        <w:pStyle w:val="9"/>
        <w:spacing w:line="360" w:lineRule="auto"/>
      </w:pPr>
      <w:r>
        <w:rPr>
          <w:rFonts w:hint="eastAsia"/>
        </w:rPr>
        <w:t>4.1能够按照采购人的要求，保质保量、高效地完成脑计划多中心大样本队列生物标记物筛选和建模项目中要求的SomaScan蛋白组学检测服务。</w:t>
      </w:r>
    </w:p>
    <w:p w14:paraId="6B630984">
      <w:pPr>
        <w:pStyle w:val="9"/>
        <w:spacing w:line="360" w:lineRule="auto"/>
      </w:pPr>
      <w:r>
        <w:rPr>
          <w:rFonts w:hint="eastAsia"/>
        </w:rPr>
        <w:t>4.2能够协助采购人，提供样本物流转运、样本检测、数据解读、项目技术咨询等项目内涵约定的一系列服务。</w:t>
      </w:r>
    </w:p>
    <w:p w14:paraId="726D40D1">
      <w:pPr>
        <w:pStyle w:val="9"/>
        <w:spacing w:line="360" w:lineRule="auto"/>
      </w:pPr>
      <w:r>
        <w:rPr>
          <w:rFonts w:hint="eastAsia"/>
        </w:rPr>
        <w:t>4.3项目数据验收标准</w:t>
      </w:r>
    </w:p>
    <w:p w14:paraId="7A550B7D">
      <w:pPr>
        <w:pStyle w:val="9"/>
        <w:spacing w:line="360" w:lineRule="auto"/>
      </w:pPr>
      <w:r>
        <w:rPr>
          <w:rFonts w:hint="eastAsia"/>
        </w:rPr>
        <w:t>4.3.1板间系数范围（Plate Scale）：0.4-2.5 ；</w:t>
      </w:r>
    </w:p>
    <w:p w14:paraId="7FAB502C">
      <w:pPr>
        <w:pStyle w:val="9"/>
        <w:spacing w:line="360" w:lineRule="auto"/>
      </w:pPr>
      <w:r>
        <w:rPr>
          <w:rFonts w:hint="eastAsia"/>
        </w:rPr>
        <w:t>4.3.2 校准样本尾端比例（Calibrator Percent In Tails） ：小于10%；</w:t>
      </w:r>
    </w:p>
    <w:p w14:paraId="7276167F">
      <w:pPr>
        <w:pStyle w:val="9"/>
        <w:spacing w:line="360" w:lineRule="auto"/>
      </w:pPr>
      <w:r>
        <w:rPr>
          <w:rFonts w:hint="eastAsia"/>
        </w:rPr>
        <w:t>4.3.3 尾端SOMAmers阈值范围：0.8-1.2；</w:t>
      </w:r>
    </w:p>
    <w:p w14:paraId="2AD1D229">
      <w:pPr>
        <w:pStyle w:val="9"/>
        <w:spacing w:line="360" w:lineRule="auto"/>
      </w:pPr>
      <w:r>
        <w:rPr>
          <w:rFonts w:hint="eastAsia"/>
        </w:rPr>
        <w:t xml:space="preserve">4.3.4质控样本SOMAmer尾端比例QC Percent In Tails ：小于15%。 </w:t>
      </w:r>
    </w:p>
    <w:p w14:paraId="45BC5B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13B98B"/>
    <w:multiLevelType w:val="singleLevel"/>
    <w:tmpl w:val="BB13B98B"/>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725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autoSpaceDE w:val="0"/>
      <w:autoSpaceDN w:val="0"/>
      <w:adjustRightInd w:val="0"/>
      <w:spacing w:line="360" w:lineRule="auto"/>
      <w:jc w:val="center"/>
      <w:outlineLvl w:val="1"/>
    </w:pPr>
    <w:rPr>
      <w:rFonts w:ascii="宋体" w:hAnsi="宋体"/>
      <w:b/>
      <w:kern w:val="0"/>
      <w:sz w:val="24"/>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line="480" w:lineRule="exact"/>
      <w:ind w:firstLine="420" w:firstLineChars="200"/>
    </w:pPr>
    <w:rPr>
      <w:szCs w:val="20"/>
    </w:rPr>
  </w:style>
  <w:style w:type="paragraph" w:styleId="3">
    <w:name w:val="Body Text Indent"/>
    <w:basedOn w:val="1"/>
    <w:unhideWhenUsed/>
    <w:qFormat/>
    <w:uiPriority w:val="99"/>
    <w:pPr>
      <w:spacing w:after="120"/>
      <w:ind w:left="420" w:leftChars="200"/>
    </w:pPr>
  </w:style>
  <w:style w:type="paragraph" w:styleId="5">
    <w:name w:val="Normal Indent"/>
    <w:basedOn w:val="1"/>
    <w:qFormat/>
    <w:uiPriority w:val="0"/>
    <w:pPr>
      <w:autoSpaceDE w:val="0"/>
      <w:autoSpaceDN w:val="0"/>
      <w:adjustRightInd w:val="0"/>
      <w:ind w:firstLine="420"/>
      <w:jc w:val="left"/>
    </w:pPr>
    <w:rPr>
      <w:rFonts w:ascii="宋体"/>
      <w:sz w:val="24"/>
    </w:rPr>
  </w:style>
  <w:style w:type="paragraph" w:customStyle="1" w:styleId="8">
    <w:name w:val="列出段落1"/>
    <w:basedOn w:val="1"/>
    <w:autoRedefine/>
    <w:qFormat/>
    <w:uiPriority w:val="34"/>
    <w:pPr>
      <w:ind w:firstLine="420" w:firstLineChars="200"/>
    </w:pPr>
    <w:rPr>
      <w:rFonts w:ascii="Calibri" w:hAnsi="Calibri"/>
      <w:szCs w:val="22"/>
    </w:rPr>
  </w:style>
  <w:style w:type="paragraph" w:customStyle="1" w:styleId="9">
    <w:name w:val="*正文"/>
    <w:basedOn w:val="1"/>
    <w:qFormat/>
    <w:uiPriority w:val="0"/>
    <w:pPr>
      <w:spacing w:line="300" w:lineRule="auto"/>
      <w:ind w:firstLine="480"/>
    </w:pPr>
    <w:rPr>
      <w:rFonts w:ascii="宋体" w:hAnsi="宋体"/>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2026-09-16T04:57:16Z</dcterms:created>
  <dc:creator>zxhd2026</dc:creator>
  <cp:lastModifiedBy>用户</cp:lastModifiedBy>
  <dcterms:modified xsi:type="dcterms:W3CDTF">2026-09-16T04:58:04Z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D3F27FA977A74B15A7095B4D31606A8B_12</vt:lpwstr>
  </property>
</Properties>
</file>