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EBF167">
      <w:pPr>
        <w:spacing w:line="360" w:lineRule="auto"/>
        <w:jc w:val="center"/>
        <w:outlineLvl w:val="0"/>
        <w:rPr>
          <w:rFonts w:ascii="Times New Roman" w:hAnsi="Times New Roman" w:cs="Times New Roman"/>
          <w:b/>
          <w:sz w:val="36"/>
          <w:szCs w:val="36"/>
          <w:highlight w:val="none"/>
        </w:rPr>
      </w:pPr>
      <w:r>
        <w:rPr>
          <w:rFonts w:ascii="Times New Roman" w:hAnsi="Times New Roman" w:cs="Times New Roman"/>
          <w:b/>
          <w:sz w:val="36"/>
          <w:szCs w:val="36"/>
          <w:highlight w:val="none"/>
        </w:rPr>
        <w:t>采购需求</w:t>
      </w:r>
    </w:p>
    <w:p w14:paraId="0247AE3C">
      <w:pPr>
        <w:keepNext/>
        <w:keepLines/>
        <w:widowControl w:val="0"/>
        <w:autoSpaceDE w:val="0"/>
        <w:autoSpaceDN w:val="0"/>
        <w:adjustRightInd w:val="0"/>
        <w:spacing w:before="120" w:after="120" w:line="300" w:lineRule="auto"/>
        <w:jc w:val="both"/>
        <w:outlineLvl w:val="1"/>
        <w:rPr>
          <w:rFonts w:ascii="Times New Roman" w:hAnsi="Times New Roman" w:eastAsia="宋体" w:cs="Times New Roman"/>
          <w:b w:val="0"/>
          <w:color w:val="auto"/>
          <w:kern w:val="0"/>
          <w:sz w:val="24"/>
          <w:szCs w:val="24"/>
          <w:highlight w:val="none"/>
          <w:lang w:val="en-US" w:eastAsia="zh-CN" w:bidi="ar-SA"/>
        </w:rPr>
      </w:pPr>
      <w:r>
        <w:rPr>
          <w:rFonts w:ascii="Times New Roman" w:hAnsi="Times New Roman" w:eastAsia="宋体" w:cs="Times New Roman"/>
          <w:b/>
          <w:color w:val="auto"/>
          <w:kern w:val="0"/>
          <w:sz w:val="24"/>
          <w:szCs w:val="24"/>
          <w:highlight w:val="none"/>
          <w:lang w:val="en-US" w:eastAsia="zh-CN" w:bidi="ar-SA"/>
        </w:rPr>
        <w:t>一、采购标的</w:t>
      </w:r>
      <w:r>
        <w:rPr>
          <w:rFonts w:ascii="Times New Roman" w:hAnsi="Times New Roman" w:eastAsia="宋体" w:cs="Times New Roman"/>
          <w:b w:val="0"/>
          <w:color w:val="auto"/>
          <w:kern w:val="0"/>
          <w:sz w:val="24"/>
          <w:szCs w:val="24"/>
          <w:highlight w:val="none"/>
          <w:lang w:val="en-US" w:eastAsia="zh-CN" w:bidi="ar-SA"/>
        </w:rPr>
        <w:t>（本项目不接受进口产品）</w:t>
      </w:r>
    </w:p>
    <w:p w14:paraId="0C00F6BB">
      <w:pPr>
        <w:spacing w:line="360" w:lineRule="auto"/>
        <w:contextualSpacing/>
        <w:outlineLvl w:val="2"/>
        <w:rPr>
          <w:rFonts w:ascii="Times New Roman" w:hAnsi="Times New Roman" w:eastAsia="宋体" w:cs="Times New Roman"/>
          <w:bCs/>
          <w:color w:val="auto"/>
          <w:sz w:val="24"/>
          <w:highlight w:val="none"/>
        </w:rPr>
      </w:pPr>
      <w:r>
        <w:rPr>
          <w:rFonts w:ascii="Times New Roman" w:hAnsi="Times New Roman" w:eastAsia="宋体" w:cs="Times New Roman"/>
          <w:bCs/>
          <w:color w:val="auto"/>
          <w:sz w:val="24"/>
          <w:highlight w:val="none"/>
        </w:rPr>
        <w:t>1. 采购标的（货物需求一览表或简要服务内容及数量）</w:t>
      </w:r>
    </w:p>
    <w:tbl>
      <w:tblPr>
        <w:tblStyle w:val="7"/>
        <w:tblW w:w="8504" w:type="dxa"/>
        <w:jc w:val="center"/>
        <w:tblLayout w:type="fixed"/>
        <w:tblCellMar>
          <w:top w:w="0" w:type="dxa"/>
          <w:left w:w="0" w:type="dxa"/>
          <w:bottom w:w="0" w:type="dxa"/>
          <w:right w:w="0" w:type="dxa"/>
        </w:tblCellMar>
      </w:tblPr>
      <w:tblGrid>
        <w:gridCol w:w="567"/>
        <w:gridCol w:w="3109"/>
        <w:gridCol w:w="576"/>
        <w:gridCol w:w="680"/>
        <w:gridCol w:w="2429"/>
        <w:gridCol w:w="1143"/>
      </w:tblGrid>
      <w:tr w14:paraId="3A7B72BA">
        <w:tblPrEx>
          <w:tblCellMar>
            <w:top w:w="0" w:type="dxa"/>
            <w:left w:w="0" w:type="dxa"/>
            <w:bottom w:w="0" w:type="dxa"/>
            <w:right w:w="0" w:type="dxa"/>
          </w:tblCellMar>
        </w:tblPrEx>
        <w:trPr>
          <w:trHeight w:val="300" w:hRule="atLeast"/>
          <w:jc w:val="center"/>
        </w:trPr>
        <w:tc>
          <w:tcPr>
            <w:tcW w:w="56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39F99E33">
            <w:pPr>
              <w:widowControl/>
              <w:jc w:val="center"/>
              <w:textAlignment w:val="center"/>
              <w:rPr>
                <w:rFonts w:ascii="Times New Roman" w:hAnsi="Times New Roman" w:eastAsia="宋体" w:cs="Times New Roman"/>
                <w:color w:val="auto"/>
                <w:sz w:val="24"/>
                <w:highlight w:val="none"/>
              </w:rPr>
            </w:pPr>
            <w:r>
              <w:rPr>
                <w:rFonts w:ascii="Times New Roman" w:hAnsi="Times New Roman" w:eastAsia="宋体" w:cs="Times New Roman"/>
                <w:color w:val="auto"/>
                <w:kern w:val="0"/>
                <w:sz w:val="24"/>
                <w:highlight w:val="none"/>
                <w:lang w:bidi="ar"/>
              </w:rPr>
              <w:t>序号</w:t>
            </w:r>
          </w:p>
        </w:tc>
        <w:tc>
          <w:tcPr>
            <w:tcW w:w="3109"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61FC5D5F">
            <w:pPr>
              <w:widowControl/>
              <w:jc w:val="center"/>
              <w:textAlignment w:val="center"/>
              <w:rPr>
                <w:rFonts w:ascii="Times New Roman" w:hAnsi="Times New Roman" w:eastAsia="宋体" w:cs="Times New Roman"/>
                <w:color w:val="auto"/>
                <w:sz w:val="24"/>
                <w:highlight w:val="none"/>
              </w:rPr>
            </w:pPr>
            <w:r>
              <w:rPr>
                <w:rFonts w:ascii="Times New Roman" w:hAnsi="Times New Roman" w:eastAsia="宋体" w:cs="Times New Roman"/>
                <w:color w:val="auto"/>
                <w:kern w:val="0"/>
                <w:sz w:val="24"/>
                <w:highlight w:val="none"/>
                <w:lang w:bidi="ar"/>
              </w:rPr>
              <w:t>采购标的名称</w:t>
            </w:r>
          </w:p>
        </w:tc>
        <w:tc>
          <w:tcPr>
            <w:tcW w:w="576"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37496720">
            <w:pPr>
              <w:widowControl/>
              <w:jc w:val="center"/>
              <w:textAlignment w:val="center"/>
              <w:rPr>
                <w:rFonts w:ascii="Times New Roman" w:hAnsi="Times New Roman" w:eastAsia="宋体" w:cs="Times New Roman"/>
                <w:color w:val="auto"/>
                <w:sz w:val="24"/>
                <w:highlight w:val="none"/>
              </w:rPr>
            </w:pPr>
            <w:r>
              <w:rPr>
                <w:rFonts w:ascii="Times New Roman" w:hAnsi="Times New Roman" w:eastAsia="宋体" w:cs="Times New Roman"/>
                <w:color w:val="auto"/>
                <w:kern w:val="0"/>
                <w:sz w:val="24"/>
                <w:highlight w:val="none"/>
                <w:lang w:bidi="ar"/>
              </w:rPr>
              <w:t>数量</w:t>
            </w:r>
          </w:p>
        </w:tc>
        <w:tc>
          <w:tcPr>
            <w:tcW w:w="6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013EFA21">
            <w:pPr>
              <w:widowControl/>
              <w:jc w:val="center"/>
              <w:textAlignment w:val="center"/>
              <w:rPr>
                <w:rFonts w:ascii="Times New Roman" w:hAnsi="Times New Roman" w:eastAsia="宋体" w:cs="Times New Roman"/>
                <w:color w:val="auto"/>
                <w:sz w:val="24"/>
                <w:highlight w:val="none"/>
              </w:rPr>
            </w:pPr>
            <w:r>
              <w:rPr>
                <w:rFonts w:ascii="Times New Roman" w:hAnsi="Times New Roman" w:eastAsia="宋体" w:cs="Times New Roman"/>
                <w:color w:val="auto"/>
                <w:kern w:val="0"/>
                <w:sz w:val="24"/>
                <w:highlight w:val="none"/>
                <w:lang w:bidi="ar"/>
              </w:rPr>
              <w:t>单位</w:t>
            </w:r>
          </w:p>
        </w:tc>
        <w:tc>
          <w:tcPr>
            <w:tcW w:w="2429" w:type="dxa"/>
            <w:tcBorders>
              <w:top w:val="single" w:color="000000" w:sz="8" w:space="0"/>
              <w:left w:val="single" w:color="000000" w:sz="8" w:space="0"/>
              <w:bottom w:val="single" w:color="000000" w:sz="8" w:space="0"/>
              <w:right w:val="single" w:color="000000" w:sz="8" w:space="0"/>
            </w:tcBorders>
            <w:vAlign w:val="center"/>
          </w:tcPr>
          <w:p w14:paraId="7201E9BE">
            <w:pPr>
              <w:widowControl/>
              <w:jc w:val="center"/>
              <w:textAlignment w:val="center"/>
              <w:rPr>
                <w:rFonts w:ascii="Times New Roman" w:hAnsi="Times New Roman" w:eastAsia="宋体" w:cs="Times New Roman"/>
                <w:color w:val="auto"/>
                <w:kern w:val="0"/>
                <w:sz w:val="24"/>
                <w:highlight w:val="none"/>
                <w:lang w:bidi="ar"/>
              </w:rPr>
            </w:pPr>
            <w:r>
              <w:rPr>
                <w:rFonts w:ascii="Times New Roman" w:hAnsi="Times New Roman" w:eastAsia="宋体" w:cs="Times New Roman"/>
                <w:bCs/>
                <w:color w:val="auto"/>
                <w:sz w:val="24"/>
                <w:highlight w:val="none"/>
              </w:rPr>
              <w:t>中小企业划分标准所属行业</w:t>
            </w:r>
          </w:p>
        </w:tc>
        <w:tc>
          <w:tcPr>
            <w:tcW w:w="1143" w:type="dxa"/>
            <w:tcBorders>
              <w:top w:val="single" w:color="000000" w:sz="8" w:space="0"/>
              <w:left w:val="single" w:color="000000" w:sz="8" w:space="0"/>
              <w:bottom w:val="single" w:color="000000" w:sz="8" w:space="0"/>
              <w:right w:val="single" w:color="000000" w:sz="8" w:space="0"/>
            </w:tcBorders>
            <w:vAlign w:val="center"/>
          </w:tcPr>
          <w:p w14:paraId="43D402FD">
            <w:pPr>
              <w:widowControl/>
              <w:jc w:val="center"/>
              <w:textAlignment w:val="center"/>
              <w:rPr>
                <w:rFonts w:ascii="Times New Roman" w:hAnsi="Times New Roman" w:eastAsia="宋体" w:cs="Times New Roman"/>
                <w:color w:val="auto"/>
                <w:kern w:val="0"/>
                <w:sz w:val="24"/>
                <w:highlight w:val="none"/>
                <w:lang w:bidi="ar"/>
              </w:rPr>
            </w:pPr>
            <w:r>
              <w:rPr>
                <w:rFonts w:ascii="Times New Roman" w:hAnsi="Times New Roman" w:eastAsia="宋体" w:cs="Times New Roman"/>
                <w:bCs/>
                <w:color w:val="auto"/>
                <w:sz w:val="24"/>
                <w:highlight w:val="none"/>
              </w:rPr>
              <w:t>备注（核心产品）</w:t>
            </w:r>
          </w:p>
        </w:tc>
      </w:tr>
      <w:tr w14:paraId="79BA48E5">
        <w:tblPrEx>
          <w:tblCellMar>
            <w:top w:w="0" w:type="dxa"/>
            <w:left w:w="0" w:type="dxa"/>
            <w:bottom w:w="0" w:type="dxa"/>
            <w:right w:w="0" w:type="dxa"/>
          </w:tblCellMar>
        </w:tblPrEx>
        <w:trPr>
          <w:trHeight w:val="781" w:hRule="atLeast"/>
          <w:jc w:val="center"/>
        </w:trPr>
        <w:tc>
          <w:tcPr>
            <w:tcW w:w="567"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66A1A599">
            <w:pPr>
              <w:spacing w:before="78" w:line="181" w:lineRule="auto"/>
              <w:jc w:val="center"/>
              <w:rPr>
                <w:rFonts w:ascii="宋体" w:hAnsi="宋体" w:cs="宋体"/>
                <w:color w:val="auto"/>
                <w:spacing w:val="-1"/>
                <w:sz w:val="24"/>
                <w:highlight w:val="none"/>
              </w:rPr>
            </w:pPr>
            <w:r>
              <w:rPr>
                <w:rFonts w:ascii="宋体" w:hAnsi="宋体" w:cs="宋体"/>
                <w:color w:val="auto"/>
                <w:spacing w:val="-1"/>
                <w:sz w:val="24"/>
                <w:highlight w:val="none"/>
              </w:rPr>
              <w:t>1</w:t>
            </w:r>
          </w:p>
        </w:tc>
        <w:tc>
          <w:tcPr>
            <w:tcW w:w="3109"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1F5A28FF">
            <w:pPr>
              <w:spacing w:before="78" w:line="181" w:lineRule="auto"/>
              <w:jc w:val="center"/>
              <w:rPr>
                <w:rFonts w:ascii="宋体" w:hAnsi="宋体" w:cs="宋体"/>
                <w:color w:val="auto"/>
                <w:spacing w:val="-1"/>
                <w:sz w:val="24"/>
                <w:highlight w:val="none"/>
              </w:rPr>
            </w:pPr>
            <w:r>
              <w:rPr>
                <w:rFonts w:ascii="宋体" w:hAnsi="宋体" w:cs="宋体"/>
                <w:color w:val="auto"/>
                <w:spacing w:val="-1"/>
                <w:sz w:val="24"/>
                <w:highlight w:val="none"/>
              </w:rPr>
              <w:t>UPS（不间断电源）</w:t>
            </w:r>
          </w:p>
        </w:tc>
        <w:tc>
          <w:tcPr>
            <w:tcW w:w="576"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2C5EDAF1">
            <w:pPr>
              <w:spacing w:before="78" w:line="181" w:lineRule="auto"/>
              <w:jc w:val="center"/>
              <w:rPr>
                <w:rFonts w:ascii="宋体" w:hAnsi="宋体" w:cs="宋体"/>
                <w:color w:val="auto"/>
                <w:spacing w:val="-1"/>
                <w:sz w:val="24"/>
                <w:highlight w:val="none"/>
              </w:rPr>
            </w:pPr>
            <w:r>
              <w:rPr>
                <w:rFonts w:hint="eastAsia" w:ascii="宋体" w:hAnsi="宋体" w:cs="宋体"/>
                <w:color w:val="auto"/>
                <w:spacing w:val="-1"/>
                <w:sz w:val="24"/>
                <w:highlight w:val="none"/>
              </w:rPr>
              <w:t>1</w:t>
            </w:r>
            <w:r>
              <w:rPr>
                <w:rFonts w:ascii="宋体" w:hAnsi="宋体" w:cs="宋体"/>
                <w:color w:val="auto"/>
                <w:spacing w:val="-1"/>
                <w:sz w:val="24"/>
                <w:highlight w:val="none"/>
              </w:rPr>
              <w:t>6</w:t>
            </w:r>
          </w:p>
        </w:tc>
        <w:tc>
          <w:tcPr>
            <w:tcW w:w="6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5AC5F938">
            <w:pPr>
              <w:spacing w:before="78" w:line="181" w:lineRule="auto"/>
              <w:jc w:val="center"/>
              <w:rPr>
                <w:rFonts w:ascii="宋体" w:hAnsi="宋体" w:cs="宋体"/>
                <w:color w:val="auto"/>
                <w:spacing w:val="-1"/>
                <w:sz w:val="24"/>
                <w:highlight w:val="none"/>
              </w:rPr>
            </w:pPr>
            <w:r>
              <w:rPr>
                <w:rFonts w:ascii="宋体" w:hAnsi="宋体" w:cs="宋体"/>
                <w:color w:val="auto"/>
                <w:spacing w:val="-1"/>
                <w:sz w:val="24"/>
                <w:highlight w:val="none"/>
              </w:rPr>
              <w:t>台</w:t>
            </w:r>
          </w:p>
        </w:tc>
        <w:tc>
          <w:tcPr>
            <w:tcW w:w="2429" w:type="dxa"/>
            <w:tcBorders>
              <w:top w:val="single" w:color="000000" w:sz="8" w:space="0"/>
              <w:left w:val="single" w:color="000000" w:sz="8" w:space="0"/>
              <w:bottom w:val="single" w:color="000000" w:sz="8" w:space="0"/>
              <w:right w:val="single" w:color="000000" w:sz="8" w:space="0"/>
            </w:tcBorders>
            <w:vAlign w:val="center"/>
          </w:tcPr>
          <w:p w14:paraId="21BADD1A">
            <w:pPr>
              <w:spacing w:before="78" w:line="181" w:lineRule="auto"/>
              <w:jc w:val="center"/>
              <w:rPr>
                <w:rFonts w:ascii="宋体" w:hAnsi="宋体" w:cs="宋体"/>
                <w:color w:val="auto"/>
                <w:spacing w:val="-1"/>
                <w:sz w:val="24"/>
                <w:highlight w:val="none"/>
              </w:rPr>
            </w:pPr>
            <w:r>
              <w:rPr>
                <w:rFonts w:ascii="宋体" w:hAnsi="宋体" w:cs="宋体"/>
                <w:color w:val="auto"/>
                <w:spacing w:val="-1"/>
                <w:sz w:val="24"/>
                <w:highlight w:val="none"/>
              </w:rPr>
              <w:t>工业</w:t>
            </w:r>
          </w:p>
        </w:tc>
        <w:tc>
          <w:tcPr>
            <w:tcW w:w="1143" w:type="dxa"/>
            <w:tcBorders>
              <w:top w:val="single" w:color="000000" w:sz="8" w:space="0"/>
              <w:left w:val="single" w:color="000000" w:sz="8" w:space="0"/>
              <w:bottom w:val="single" w:color="000000" w:sz="8" w:space="0"/>
              <w:right w:val="single" w:color="000000" w:sz="8" w:space="0"/>
            </w:tcBorders>
            <w:vAlign w:val="center"/>
          </w:tcPr>
          <w:p w14:paraId="29C93AB9">
            <w:pPr>
              <w:spacing w:before="78" w:line="181" w:lineRule="auto"/>
              <w:jc w:val="center"/>
              <w:rPr>
                <w:rFonts w:ascii="宋体" w:hAnsi="宋体" w:cs="宋体"/>
                <w:color w:val="auto"/>
                <w:spacing w:val="-1"/>
                <w:sz w:val="24"/>
                <w:highlight w:val="none"/>
              </w:rPr>
            </w:pPr>
            <w:r>
              <w:rPr>
                <w:rFonts w:hint="eastAsia" w:ascii="宋体" w:hAnsi="宋体" w:cs="宋体"/>
                <w:color w:val="auto"/>
                <w:spacing w:val="-1"/>
                <w:sz w:val="24"/>
                <w:highlight w:val="none"/>
              </w:rPr>
              <w:t>核心产品</w:t>
            </w:r>
          </w:p>
        </w:tc>
      </w:tr>
      <w:tr w14:paraId="0F4FD915">
        <w:tblPrEx>
          <w:tblCellMar>
            <w:top w:w="0" w:type="dxa"/>
            <w:left w:w="0" w:type="dxa"/>
            <w:bottom w:w="0" w:type="dxa"/>
            <w:right w:w="0" w:type="dxa"/>
          </w:tblCellMar>
        </w:tblPrEx>
        <w:trPr>
          <w:trHeight w:val="300" w:hRule="atLeast"/>
          <w:jc w:val="center"/>
        </w:trPr>
        <w:tc>
          <w:tcPr>
            <w:tcW w:w="8504" w:type="dxa"/>
            <w:gridSpan w:val="6"/>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7F092DBD">
            <w:pPr>
              <w:spacing w:line="360" w:lineRule="auto"/>
              <w:contextualSpacing/>
              <w:jc w:val="left"/>
              <w:rPr>
                <w:rFonts w:ascii="Times New Roman" w:hAnsi="Times New Roman" w:eastAsia="宋体" w:cs="Times New Roman"/>
                <w:bCs/>
                <w:color w:val="auto"/>
                <w:sz w:val="24"/>
                <w:highlight w:val="none"/>
              </w:rPr>
            </w:pPr>
            <w:r>
              <w:rPr>
                <w:rFonts w:ascii="Times New Roman" w:hAnsi="Times New Roman" w:eastAsia="宋体" w:cs="Times New Roman"/>
                <w:color w:val="auto"/>
                <w:sz w:val="24"/>
                <w:highlight w:val="none"/>
              </w:rPr>
              <w:t>投标人在本包所投的每一序号对应产品，均须为同一品牌、规格、型号及配置。</w:t>
            </w:r>
          </w:p>
        </w:tc>
      </w:tr>
    </w:tbl>
    <w:p w14:paraId="26119224">
      <w:pPr>
        <w:spacing w:line="360" w:lineRule="auto"/>
        <w:contextualSpacing/>
        <w:outlineLvl w:val="2"/>
        <w:rPr>
          <w:rFonts w:ascii="Times New Roman" w:hAnsi="Times New Roman" w:eastAsia="宋体" w:cs="Times New Roman"/>
          <w:bCs/>
          <w:color w:val="auto"/>
          <w:sz w:val="24"/>
          <w:highlight w:val="none"/>
        </w:rPr>
      </w:pPr>
      <w:r>
        <w:rPr>
          <w:rFonts w:ascii="Times New Roman" w:hAnsi="Times New Roman" w:eastAsia="宋体" w:cs="Times New Roman"/>
          <w:bCs/>
          <w:color w:val="auto"/>
          <w:sz w:val="24"/>
          <w:highlight w:val="none"/>
        </w:rPr>
        <w:t>2. 背景/项目概述</w:t>
      </w:r>
    </w:p>
    <w:p w14:paraId="072ABBCC">
      <w:pPr>
        <w:spacing w:line="360" w:lineRule="auto"/>
        <w:ind w:firstLine="482"/>
        <w:contextualSpacing/>
        <w:rPr>
          <w:rFonts w:ascii="Times New Roman" w:hAnsi="Times New Roman" w:cs="Times New Roman"/>
          <w:bCs/>
          <w:color w:val="auto"/>
          <w:sz w:val="24"/>
          <w:highlight w:val="none"/>
        </w:rPr>
      </w:pPr>
      <w:r>
        <w:rPr>
          <w:rFonts w:hint="eastAsia" w:ascii="Times New Roman" w:hAnsi="Times New Roman" w:cs="Times New Roman"/>
          <w:bCs/>
          <w:color w:val="auto"/>
          <w:sz w:val="24"/>
          <w:highlight w:val="none"/>
        </w:rPr>
        <w:t>为进一步扩充北京市公安局信息化机房资源，按照相关工作部署，通过本项目采购，为</w:t>
      </w:r>
      <w:r>
        <w:rPr>
          <w:rFonts w:hint="eastAsia" w:ascii="Times New Roman" w:hAnsi="Times New Roman" w:cs="Times New Roman"/>
          <w:bCs/>
          <w:color w:val="auto"/>
          <w:sz w:val="24"/>
          <w:highlight w:val="none"/>
          <w:lang w:eastAsia="zh-CN"/>
        </w:rPr>
        <w:t>市局</w:t>
      </w:r>
      <w:r>
        <w:rPr>
          <w:rFonts w:hint="eastAsia" w:ascii="Times New Roman" w:hAnsi="Times New Roman" w:cs="Times New Roman"/>
          <w:bCs/>
          <w:color w:val="auto"/>
          <w:sz w:val="24"/>
          <w:highlight w:val="none"/>
        </w:rPr>
        <w:t>机房</w:t>
      </w:r>
      <w:r>
        <w:rPr>
          <w:rFonts w:hint="eastAsia" w:ascii="Times New Roman" w:hAnsi="Times New Roman" w:cs="Times New Roman"/>
          <w:bCs/>
          <w:color w:val="auto"/>
          <w:sz w:val="24"/>
          <w:highlight w:val="none"/>
          <w:lang w:eastAsia="zh-CN"/>
        </w:rPr>
        <w:t>新增基础环境设施建设项目</w:t>
      </w:r>
      <w:r>
        <w:rPr>
          <w:rFonts w:hint="eastAsia" w:ascii="Times New Roman" w:hAnsi="Times New Roman" w:cs="Times New Roman"/>
          <w:bCs/>
          <w:color w:val="auto"/>
          <w:sz w:val="24"/>
          <w:highlight w:val="none"/>
        </w:rPr>
        <w:t>提供</w:t>
      </w:r>
      <w:r>
        <w:rPr>
          <w:rFonts w:hint="eastAsia" w:ascii="Times New Roman" w:hAnsi="Times New Roman" w:cs="Times New Roman"/>
          <w:bCs/>
          <w:color w:val="auto"/>
          <w:sz w:val="24"/>
          <w:highlight w:val="none"/>
          <w:lang w:val="en-US" w:eastAsia="zh-CN"/>
        </w:rPr>
        <w:t>UPS</w:t>
      </w:r>
      <w:r>
        <w:rPr>
          <w:rFonts w:hint="eastAsia" w:ascii="Times New Roman" w:hAnsi="Times New Roman" w:cs="Times New Roman"/>
          <w:bCs/>
          <w:color w:val="auto"/>
          <w:sz w:val="24"/>
          <w:highlight w:val="none"/>
        </w:rPr>
        <w:t>不间断电源设备，实现机房安全</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rPr>
        <w:t>可靠供电。</w:t>
      </w:r>
      <w:r>
        <w:rPr>
          <w:rFonts w:ascii="Times New Roman" w:hAnsi="Times New Roman" w:cs="Times New Roman"/>
          <w:bCs/>
          <w:color w:val="auto"/>
          <w:sz w:val="24"/>
          <w:highlight w:val="none"/>
        </w:rPr>
        <w:t xml:space="preserve"> </w:t>
      </w:r>
    </w:p>
    <w:p w14:paraId="448DC7E7">
      <w:pPr>
        <w:keepNext/>
        <w:keepLines/>
        <w:widowControl w:val="0"/>
        <w:autoSpaceDE w:val="0"/>
        <w:autoSpaceDN w:val="0"/>
        <w:adjustRightInd w:val="0"/>
        <w:spacing w:before="0" w:after="120" w:line="360" w:lineRule="auto"/>
        <w:jc w:val="both"/>
        <w:outlineLvl w:val="1"/>
        <w:rPr>
          <w:rFonts w:ascii="Times New Roman" w:hAnsi="Times New Roman" w:eastAsia="宋体" w:cs="Times New Roman"/>
          <w:b w:val="0"/>
          <w:color w:val="auto"/>
          <w:kern w:val="0"/>
          <w:sz w:val="24"/>
          <w:szCs w:val="24"/>
          <w:highlight w:val="none"/>
          <w:lang w:val="en-US" w:eastAsia="zh-CN" w:bidi="ar-SA"/>
        </w:rPr>
      </w:pPr>
      <w:r>
        <w:rPr>
          <w:rFonts w:ascii="Times New Roman" w:hAnsi="Times New Roman" w:eastAsia="宋体" w:cs="Times New Roman"/>
          <w:b/>
          <w:color w:val="auto"/>
          <w:kern w:val="0"/>
          <w:sz w:val="24"/>
          <w:szCs w:val="24"/>
          <w:highlight w:val="none"/>
          <w:lang w:val="en-US" w:eastAsia="zh-CN" w:bidi="ar-SA"/>
        </w:rPr>
        <w:t>二、商务要求</w:t>
      </w:r>
    </w:p>
    <w:p w14:paraId="54DF94E1">
      <w:pPr>
        <w:spacing w:line="360" w:lineRule="auto"/>
        <w:contextualSpacing/>
        <w:outlineLvl w:val="2"/>
        <w:rPr>
          <w:rFonts w:ascii="Times New Roman" w:hAnsi="Times New Roman" w:eastAsia="宋体" w:cs="Times New Roman"/>
          <w:i/>
          <w:color w:val="auto"/>
          <w:sz w:val="24"/>
          <w:highlight w:val="none"/>
        </w:rPr>
      </w:pPr>
      <w:r>
        <w:rPr>
          <w:rFonts w:ascii="Times New Roman" w:hAnsi="Times New Roman" w:eastAsia="宋体" w:cs="Times New Roman"/>
          <w:color w:val="auto"/>
          <w:sz w:val="24"/>
          <w:highlight w:val="none"/>
        </w:rPr>
        <w:t>1. 交付（实施）的时间（期限）和地点（范围）</w:t>
      </w:r>
    </w:p>
    <w:p w14:paraId="77E3DA0E">
      <w:pPr>
        <w:widowControl w:val="0"/>
        <w:adjustRightInd w:val="0"/>
        <w:spacing w:line="360" w:lineRule="auto"/>
        <w:ind w:firstLine="480" w:firstLineChars="200"/>
        <w:jc w:val="left"/>
        <w:textAlignment w:val="baseline"/>
        <w:rPr>
          <w:rFonts w:hint="eastAsia"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交货时间：</w:t>
      </w:r>
      <w:r>
        <w:rPr>
          <w:rFonts w:hint="eastAsia" w:ascii="Times New Roman" w:hAnsi="Times New Roman" w:eastAsia="宋体" w:cs="Times New Roman"/>
          <w:iCs/>
          <w:color w:val="auto"/>
          <w:kern w:val="0"/>
          <w:sz w:val="24"/>
          <w:szCs w:val="22"/>
          <w:highlight w:val="none"/>
          <w:lang w:val="en-US" w:eastAsia="zh-CN" w:bidi="ar-SA"/>
        </w:rPr>
        <w:t>本项目合同签订生效后</w:t>
      </w:r>
      <w:r>
        <w:rPr>
          <w:rFonts w:ascii="Times New Roman" w:hAnsi="Times New Roman" w:eastAsia="宋体" w:cs="Times New Roman"/>
          <w:iCs/>
          <w:color w:val="auto"/>
          <w:kern w:val="0"/>
          <w:sz w:val="24"/>
          <w:szCs w:val="22"/>
          <w:highlight w:val="none"/>
          <w:lang w:val="en-US" w:eastAsia="zh-CN" w:bidi="ar-SA"/>
        </w:rPr>
        <w:t xml:space="preserve">，在 </w:t>
      </w:r>
      <w:r>
        <w:rPr>
          <w:rFonts w:hint="eastAsia" w:ascii="Times New Roman" w:hAnsi="Times New Roman" w:eastAsia="宋体" w:cs="Times New Roman"/>
          <w:iCs/>
          <w:color w:val="auto"/>
          <w:kern w:val="0"/>
          <w:sz w:val="24"/>
          <w:szCs w:val="22"/>
          <w:highlight w:val="none"/>
          <w:lang w:val="en-US" w:eastAsia="zh-CN" w:bidi="ar-SA"/>
        </w:rPr>
        <w:t>30</w:t>
      </w:r>
      <w:r>
        <w:rPr>
          <w:rFonts w:ascii="Times New Roman" w:hAnsi="Times New Roman" w:eastAsia="宋体" w:cs="Times New Roman"/>
          <w:iCs/>
          <w:color w:val="auto"/>
          <w:kern w:val="0"/>
          <w:sz w:val="24"/>
          <w:szCs w:val="22"/>
          <w:highlight w:val="none"/>
          <w:lang w:val="en-US" w:eastAsia="zh-CN" w:bidi="ar-SA"/>
        </w:rPr>
        <w:t>个日历日</w:t>
      </w:r>
      <w:r>
        <w:rPr>
          <w:rFonts w:hint="eastAsia" w:ascii="Times New Roman" w:hAnsi="Times New Roman" w:eastAsia="宋体" w:cs="Times New Roman"/>
          <w:color w:val="auto"/>
          <w:kern w:val="0"/>
          <w:sz w:val="24"/>
          <w:szCs w:val="24"/>
          <w:highlight w:val="none"/>
          <w:lang w:val="en-US" w:eastAsia="zh-CN" w:bidi="ar-SA"/>
        </w:rPr>
        <w:t>内按照采购人要求完成交货。</w:t>
      </w:r>
    </w:p>
    <w:p w14:paraId="304A7F3F">
      <w:pPr>
        <w:spacing w:line="360" w:lineRule="auto"/>
        <w:ind w:firstLine="480" w:firstLineChars="200"/>
        <w:contextualSpacing/>
        <w:rPr>
          <w:rFonts w:ascii="Times New Roman" w:hAnsi="Times New Roman" w:eastAsia="宋体" w:cs="Times New Roman"/>
          <w:iCs/>
          <w:color w:val="auto"/>
          <w:sz w:val="24"/>
          <w:highlight w:val="none"/>
        </w:rPr>
      </w:pPr>
      <w:r>
        <w:rPr>
          <w:rFonts w:ascii="Times New Roman" w:hAnsi="Times New Roman" w:eastAsia="宋体" w:cs="Times New Roman"/>
          <w:iCs/>
          <w:color w:val="auto"/>
          <w:sz w:val="24"/>
          <w:highlight w:val="none"/>
        </w:rPr>
        <w:t>交付地点：采购人指定地点。</w:t>
      </w:r>
    </w:p>
    <w:p w14:paraId="4877E8E3">
      <w:pPr>
        <w:spacing w:line="360" w:lineRule="auto"/>
        <w:contextualSpacing/>
        <w:outlineLvl w:val="2"/>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2. 付款条件（进度和方式）</w:t>
      </w:r>
    </w:p>
    <w:p w14:paraId="672A2FEE">
      <w:pPr>
        <w:adjustRightInd w:val="0"/>
        <w:snapToGrid w:val="0"/>
        <w:spacing w:line="360" w:lineRule="auto"/>
        <w:ind w:firstLine="480" w:firstLineChars="200"/>
        <w:rPr>
          <w:rFonts w:hint="default" w:ascii="Arial" w:hAnsi="Arial" w:eastAsia="Arial" w:cs="Arial"/>
          <w:snapToGrid w:val="0"/>
          <w:color w:val="auto"/>
          <w:kern w:val="0"/>
          <w:sz w:val="24"/>
          <w:szCs w:val="24"/>
          <w:highlight w:val="none"/>
          <w:lang w:val="en-US" w:eastAsia="zh-CN" w:bidi="ar-SA"/>
        </w:rPr>
      </w:pPr>
      <w:r>
        <w:rPr>
          <w:rFonts w:hint="default" w:ascii="Arial" w:hAnsi="Arial" w:eastAsia="Arial" w:cs="Arial"/>
          <w:snapToGrid w:val="0"/>
          <w:color w:val="auto"/>
          <w:kern w:val="0"/>
          <w:sz w:val="24"/>
          <w:szCs w:val="24"/>
          <w:highlight w:val="none"/>
          <w:lang w:val="en-US" w:eastAsia="zh-CN" w:bidi="ar-SA"/>
        </w:rPr>
        <w:t>①合同签订生效后</w:t>
      </w:r>
      <w:r>
        <w:rPr>
          <w:rFonts w:hint="default" w:ascii="Arial" w:hAnsi="Arial" w:eastAsia="Arial" w:cs="Arial"/>
          <w:snapToGrid w:val="0"/>
          <w:color w:val="auto"/>
          <w:kern w:val="0"/>
          <w:sz w:val="24"/>
          <w:szCs w:val="24"/>
          <w:highlight w:val="none"/>
          <w:lang w:val="en-US" w:eastAsia="zh-CN" w:bidi="ar-SA"/>
        </w:rPr>
        <w:fldChar w:fldCharType="begin">
          <w:ffData>
            <w:name w:val="Text14"/>
            <w:enabled/>
            <w:calcOnExit w:val="0"/>
            <w:textInput>
              <w:default w:val="  "/>
            </w:textInput>
          </w:ffData>
        </w:fldChar>
      </w:r>
      <w:r>
        <w:rPr>
          <w:rFonts w:hint="default" w:ascii="Arial" w:hAnsi="Arial" w:eastAsia="Arial" w:cs="Arial"/>
          <w:snapToGrid w:val="0"/>
          <w:color w:val="auto"/>
          <w:kern w:val="0"/>
          <w:sz w:val="24"/>
          <w:szCs w:val="24"/>
          <w:highlight w:val="none"/>
          <w:lang w:val="en-US" w:eastAsia="zh-CN" w:bidi="ar-SA"/>
        </w:rPr>
        <w:instrText xml:space="preserve">FORMTEXT</w:instrText>
      </w:r>
      <w:r>
        <w:rPr>
          <w:rFonts w:hint="default" w:ascii="Arial" w:hAnsi="Arial" w:eastAsia="Arial" w:cs="Arial"/>
          <w:snapToGrid w:val="0"/>
          <w:color w:val="auto"/>
          <w:kern w:val="0"/>
          <w:sz w:val="24"/>
          <w:szCs w:val="24"/>
          <w:highlight w:val="none"/>
          <w:lang w:val="en-US" w:eastAsia="zh-CN" w:bidi="ar-SA"/>
        </w:rPr>
        <w:fldChar w:fldCharType="separate"/>
      </w:r>
      <w:r>
        <w:rPr>
          <w:rFonts w:hint="default" w:ascii="Arial" w:hAnsi="Arial" w:eastAsia="Arial" w:cs="Arial"/>
          <w:snapToGrid w:val="0"/>
          <w:color w:val="auto"/>
          <w:kern w:val="0"/>
          <w:sz w:val="24"/>
          <w:szCs w:val="24"/>
          <w:highlight w:val="none"/>
          <w:lang w:val="en-US" w:eastAsia="zh-CN" w:bidi="ar-SA"/>
        </w:rPr>
        <w:t xml:space="preserve">  </w:t>
      </w:r>
      <w:r>
        <w:rPr>
          <w:rFonts w:hint="default" w:ascii="Arial" w:hAnsi="Arial" w:eastAsia="Arial" w:cs="Arial"/>
          <w:snapToGrid w:val="0"/>
          <w:color w:val="auto"/>
          <w:kern w:val="0"/>
          <w:sz w:val="24"/>
          <w:szCs w:val="24"/>
          <w:highlight w:val="none"/>
          <w:lang w:val="en-US" w:eastAsia="zh-CN" w:bidi="ar-SA"/>
        </w:rPr>
        <w:fldChar w:fldCharType="end"/>
      </w:r>
      <w:r>
        <w:rPr>
          <w:rFonts w:hint="default" w:ascii="Arial" w:hAnsi="Arial" w:eastAsia="Arial" w:cs="Arial"/>
          <w:snapToGrid w:val="0"/>
          <w:color w:val="auto"/>
          <w:kern w:val="0"/>
          <w:sz w:val="24"/>
          <w:szCs w:val="24"/>
          <w:highlight w:val="none"/>
          <w:lang w:val="en-US" w:eastAsia="zh-CN" w:bidi="ar-SA"/>
        </w:rPr>
        <w:t>个工作日内，甲方向乙方支付</w:t>
      </w:r>
      <w:r>
        <w:rPr>
          <w:rFonts w:hint="eastAsia" w:ascii="Arial" w:hAnsi="Arial" w:eastAsia="Arial" w:cs="Arial"/>
          <w:snapToGrid w:val="0"/>
          <w:color w:val="auto"/>
          <w:kern w:val="0"/>
          <w:sz w:val="24"/>
          <w:szCs w:val="24"/>
          <w:highlight w:val="none"/>
          <w:lang w:val="en-US" w:eastAsia="zh-CN" w:bidi="ar-SA"/>
        </w:rPr>
        <w:t>合同总价</w:t>
      </w:r>
      <w:r>
        <w:rPr>
          <w:rFonts w:hint="default" w:ascii="Arial" w:hAnsi="Arial" w:eastAsia="Arial" w:cs="Arial"/>
          <w:snapToGrid w:val="0"/>
          <w:color w:val="auto"/>
          <w:kern w:val="0"/>
          <w:sz w:val="24"/>
          <w:szCs w:val="24"/>
          <w:highlight w:val="none"/>
          <w:lang w:val="en-US" w:eastAsia="zh-CN" w:bidi="ar-SA"/>
        </w:rPr>
        <w:fldChar w:fldCharType="begin">
          <w:ffData>
            <w:name w:val="Text14"/>
            <w:enabled/>
            <w:calcOnExit w:val="0"/>
            <w:textInput>
              <w:default w:val="  "/>
            </w:textInput>
          </w:ffData>
        </w:fldChar>
      </w:r>
      <w:r>
        <w:rPr>
          <w:rFonts w:hint="default" w:ascii="Arial" w:hAnsi="Arial" w:eastAsia="Arial" w:cs="Arial"/>
          <w:snapToGrid w:val="0"/>
          <w:color w:val="auto"/>
          <w:kern w:val="0"/>
          <w:sz w:val="24"/>
          <w:szCs w:val="24"/>
          <w:highlight w:val="none"/>
          <w:lang w:val="en-US" w:eastAsia="zh-CN" w:bidi="ar-SA"/>
        </w:rPr>
        <w:instrText xml:space="preserve">FORMTEXT</w:instrText>
      </w:r>
      <w:r>
        <w:rPr>
          <w:rFonts w:hint="default" w:ascii="Arial" w:hAnsi="Arial" w:eastAsia="Arial" w:cs="Arial"/>
          <w:snapToGrid w:val="0"/>
          <w:color w:val="auto"/>
          <w:kern w:val="0"/>
          <w:sz w:val="24"/>
          <w:szCs w:val="24"/>
          <w:highlight w:val="none"/>
          <w:lang w:val="en-US" w:eastAsia="zh-CN" w:bidi="ar-SA"/>
        </w:rPr>
        <w:fldChar w:fldCharType="separate"/>
      </w:r>
      <w:r>
        <w:rPr>
          <w:rFonts w:hint="default" w:ascii="Arial" w:hAnsi="Arial" w:eastAsia="Arial" w:cs="Arial"/>
          <w:snapToGrid w:val="0"/>
          <w:color w:val="auto"/>
          <w:kern w:val="0"/>
          <w:sz w:val="24"/>
          <w:szCs w:val="24"/>
          <w:highlight w:val="none"/>
          <w:lang w:val="en-US" w:eastAsia="zh-CN" w:bidi="ar-SA"/>
        </w:rPr>
        <w:t xml:space="preserve"> </w:t>
      </w:r>
      <w:r>
        <w:rPr>
          <w:rFonts w:hint="eastAsia" w:ascii="Arial" w:hAnsi="Arial" w:eastAsia="Arial" w:cs="Arial"/>
          <w:snapToGrid w:val="0"/>
          <w:color w:val="auto"/>
          <w:kern w:val="0"/>
          <w:sz w:val="24"/>
          <w:szCs w:val="24"/>
          <w:highlight w:val="none"/>
          <w:lang w:val="en-US" w:eastAsia="zh-CN" w:bidi="ar-SA"/>
        </w:rPr>
        <w:t>40</w:t>
      </w:r>
      <w:r>
        <w:rPr>
          <w:rFonts w:hint="default" w:ascii="Arial" w:hAnsi="Arial" w:eastAsia="Arial" w:cs="Arial"/>
          <w:snapToGrid w:val="0"/>
          <w:color w:val="auto"/>
          <w:kern w:val="0"/>
          <w:sz w:val="24"/>
          <w:szCs w:val="24"/>
          <w:highlight w:val="none"/>
          <w:lang w:val="en-US" w:eastAsia="zh-CN" w:bidi="ar-SA"/>
        </w:rPr>
        <w:t xml:space="preserve"> </w:t>
      </w:r>
      <w:r>
        <w:rPr>
          <w:rFonts w:hint="default" w:ascii="Arial" w:hAnsi="Arial" w:eastAsia="Arial" w:cs="Arial"/>
          <w:snapToGrid w:val="0"/>
          <w:color w:val="auto"/>
          <w:kern w:val="0"/>
          <w:sz w:val="24"/>
          <w:szCs w:val="24"/>
          <w:highlight w:val="none"/>
          <w:lang w:val="en-US" w:eastAsia="zh-CN" w:bidi="ar-SA"/>
        </w:rPr>
        <w:fldChar w:fldCharType="end"/>
      </w:r>
      <w:r>
        <w:rPr>
          <w:rFonts w:hint="default" w:ascii="Arial" w:hAnsi="Arial" w:eastAsia="Arial" w:cs="Arial"/>
          <w:snapToGrid w:val="0"/>
          <w:color w:val="auto"/>
          <w:kern w:val="0"/>
          <w:sz w:val="24"/>
          <w:szCs w:val="24"/>
          <w:highlight w:val="none"/>
          <w:lang w:val="en-US" w:eastAsia="zh-CN" w:bidi="ar-SA"/>
        </w:rPr>
        <w:t>%预付款：即人民币小写：</w:t>
      </w:r>
      <w:r>
        <w:rPr>
          <w:rFonts w:hint="default" w:ascii="Arial" w:hAnsi="Arial" w:eastAsia="Arial" w:cs="Arial"/>
          <w:snapToGrid w:val="0"/>
          <w:color w:val="auto"/>
          <w:kern w:val="0"/>
          <w:sz w:val="24"/>
          <w:szCs w:val="24"/>
          <w:highlight w:val="none"/>
          <w:lang w:val="en-US" w:eastAsia="zh-CN" w:bidi="ar-SA"/>
        </w:rPr>
        <w:fldChar w:fldCharType="begin">
          <w:ffData>
            <w:name w:val="Text12"/>
            <w:enabled/>
            <w:calcOnExit w:val="0"/>
            <w:textInput>
              <w:default w:val="            "/>
            </w:textInput>
          </w:ffData>
        </w:fldChar>
      </w:r>
      <w:r>
        <w:rPr>
          <w:rFonts w:hint="default" w:ascii="Arial" w:hAnsi="Arial" w:eastAsia="Arial" w:cs="Arial"/>
          <w:snapToGrid w:val="0"/>
          <w:color w:val="auto"/>
          <w:kern w:val="0"/>
          <w:sz w:val="24"/>
          <w:szCs w:val="24"/>
          <w:highlight w:val="none"/>
          <w:lang w:val="en-US" w:eastAsia="zh-CN" w:bidi="ar-SA"/>
        </w:rPr>
        <w:instrText xml:space="preserve">FORMTEXT</w:instrText>
      </w:r>
      <w:r>
        <w:rPr>
          <w:rFonts w:hint="default" w:ascii="Arial" w:hAnsi="Arial" w:eastAsia="Arial" w:cs="Arial"/>
          <w:snapToGrid w:val="0"/>
          <w:color w:val="auto"/>
          <w:kern w:val="0"/>
          <w:sz w:val="24"/>
          <w:szCs w:val="24"/>
          <w:highlight w:val="none"/>
          <w:lang w:val="en-US" w:eastAsia="zh-CN" w:bidi="ar-SA"/>
        </w:rPr>
        <w:fldChar w:fldCharType="separate"/>
      </w:r>
      <w:r>
        <w:rPr>
          <w:rFonts w:hint="default" w:ascii="Arial" w:hAnsi="Arial" w:eastAsia="Arial" w:cs="Arial"/>
          <w:snapToGrid w:val="0"/>
          <w:color w:val="auto"/>
          <w:kern w:val="0"/>
          <w:sz w:val="24"/>
          <w:szCs w:val="24"/>
          <w:highlight w:val="none"/>
          <w:lang w:val="en-US" w:eastAsia="zh-CN" w:bidi="ar-SA"/>
        </w:rPr>
        <w:t xml:space="preserve">            </w:t>
      </w:r>
      <w:r>
        <w:rPr>
          <w:rFonts w:hint="default" w:ascii="Arial" w:hAnsi="Arial" w:eastAsia="Arial" w:cs="Arial"/>
          <w:snapToGrid w:val="0"/>
          <w:color w:val="auto"/>
          <w:kern w:val="0"/>
          <w:sz w:val="24"/>
          <w:szCs w:val="24"/>
          <w:highlight w:val="none"/>
          <w:lang w:val="en-US" w:eastAsia="zh-CN" w:bidi="ar-SA"/>
        </w:rPr>
        <w:fldChar w:fldCharType="end"/>
      </w:r>
      <w:r>
        <w:rPr>
          <w:rFonts w:hint="default" w:ascii="Arial" w:hAnsi="Arial" w:eastAsia="Arial" w:cs="Arial"/>
          <w:snapToGrid w:val="0"/>
          <w:color w:val="auto"/>
          <w:kern w:val="0"/>
          <w:sz w:val="24"/>
          <w:szCs w:val="24"/>
          <w:highlight w:val="none"/>
          <w:lang w:val="en-US" w:eastAsia="zh-CN" w:bidi="ar-SA"/>
        </w:rPr>
        <w:t>元，人民币大写：</w:t>
      </w:r>
      <w:r>
        <w:rPr>
          <w:rFonts w:hint="default" w:ascii="Arial" w:hAnsi="Arial" w:eastAsia="Arial" w:cs="Arial"/>
          <w:snapToGrid w:val="0"/>
          <w:color w:val="auto"/>
          <w:kern w:val="0"/>
          <w:sz w:val="24"/>
          <w:szCs w:val="24"/>
          <w:highlight w:val="none"/>
          <w:lang w:val="en-US" w:eastAsia="zh-CN" w:bidi="ar-SA"/>
        </w:rPr>
        <w:fldChar w:fldCharType="begin">
          <w:ffData>
            <w:name w:val="Text13"/>
            <w:enabled/>
            <w:calcOnExit w:val="0"/>
            <w:textInput>
              <w:default w:val="          "/>
            </w:textInput>
          </w:ffData>
        </w:fldChar>
      </w:r>
      <w:r>
        <w:rPr>
          <w:rFonts w:hint="default" w:ascii="Arial" w:hAnsi="Arial" w:eastAsia="Arial" w:cs="Arial"/>
          <w:snapToGrid w:val="0"/>
          <w:color w:val="auto"/>
          <w:kern w:val="0"/>
          <w:sz w:val="24"/>
          <w:szCs w:val="24"/>
          <w:highlight w:val="none"/>
          <w:lang w:val="en-US" w:eastAsia="zh-CN" w:bidi="ar-SA"/>
        </w:rPr>
        <w:instrText xml:space="preserve">FORMTEXT</w:instrText>
      </w:r>
      <w:r>
        <w:rPr>
          <w:rFonts w:hint="default" w:ascii="Arial" w:hAnsi="Arial" w:eastAsia="Arial" w:cs="Arial"/>
          <w:snapToGrid w:val="0"/>
          <w:color w:val="auto"/>
          <w:kern w:val="0"/>
          <w:sz w:val="24"/>
          <w:szCs w:val="24"/>
          <w:highlight w:val="none"/>
          <w:lang w:val="en-US" w:eastAsia="zh-CN" w:bidi="ar-SA"/>
        </w:rPr>
        <w:fldChar w:fldCharType="separate"/>
      </w:r>
      <w:r>
        <w:rPr>
          <w:rFonts w:hint="default" w:ascii="Arial" w:hAnsi="Arial" w:eastAsia="Arial" w:cs="Arial"/>
          <w:snapToGrid w:val="0"/>
          <w:color w:val="auto"/>
          <w:kern w:val="0"/>
          <w:sz w:val="24"/>
          <w:szCs w:val="24"/>
          <w:highlight w:val="none"/>
          <w:lang w:val="en-US" w:eastAsia="zh-CN" w:bidi="ar-SA"/>
        </w:rPr>
        <w:t xml:space="preserve">          </w:t>
      </w:r>
      <w:r>
        <w:rPr>
          <w:rFonts w:hint="default" w:ascii="Arial" w:hAnsi="Arial" w:eastAsia="Arial" w:cs="Arial"/>
          <w:snapToGrid w:val="0"/>
          <w:color w:val="auto"/>
          <w:kern w:val="0"/>
          <w:sz w:val="24"/>
          <w:szCs w:val="24"/>
          <w:highlight w:val="none"/>
          <w:lang w:val="en-US" w:eastAsia="zh-CN" w:bidi="ar-SA"/>
        </w:rPr>
        <w:fldChar w:fldCharType="end"/>
      </w:r>
      <w:r>
        <w:rPr>
          <w:rFonts w:hint="default" w:ascii="Arial" w:hAnsi="Arial" w:eastAsia="Arial" w:cs="Arial"/>
          <w:snapToGrid w:val="0"/>
          <w:color w:val="auto"/>
          <w:kern w:val="0"/>
          <w:sz w:val="24"/>
          <w:szCs w:val="24"/>
          <w:highlight w:val="none"/>
          <w:lang w:val="en-US" w:eastAsia="zh-CN" w:bidi="ar-SA"/>
        </w:rPr>
        <w:t>。</w:t>
      </w:r>
    </w:p>
    <w:p w14:paraId="1CF496C2">
      <w:pPr>
        <w:adjustRightInd w:val="0"/>
        <w:snapToGrid w:val="0"/>
        <w:spacing w:line="360" w:lineRule="auto"/>
        <w:ind w:firstLine="480" w:firstLineChars="200"/>
        <w:rPr>
          <w:rFonts w:hint="default" w:ascii="Arial" w:hAnsi="Arial" w:eastAsia="Arial" w:cs="Arial"/>
          <w:snapToGrid w:val="0"/>
          <w:color w:val="auto"/>
          <w:kern w:val="0"/>
          <w:sz w:val="24"/>
          <w:szCs w:val="24"/>
          <w:highlight w:val="none"/>
          <w:lang w:val="en-US" w:eastAsia="zh-CN" w:bidi="ar-SA"/>
        </w:rPr>
      </w:pPr>
      <w:r>
        <w:rPr>
          <w:rFonts w:hint="default" w:ascii="Arial" w:hAnsi="Arial" w:eastAsia="Arial" w:cs="Arial"/>
          <w:snapToGrid w:val="0"/>
          <w:color w:val="auto"/>
          <w:kern w:val="0"/>
          <w:sz w:val="24"/>
          <w:szCs w:val="24"/>
          <w:highlight w:val="none"/>
          <w:lang w:val="en-US" w:eastAsia="zh-CN" w:bidi="ar-SA"/>
        </w:rPr>
        <w:t>②</w:t>
      </w:r>
      <w:r>
        <w:rPr>
          <w:rFonts w:hint="eastAsia" w:ascii="Arial" w:hAnsi="Arial" w:eastAsia="Arial" w:cs="Arial"/>
          <w:snapToGrid w:val="0"/>
          <w:color w:val="auto"/>
          <w:kern w:val="0"/>
          <w:sz w:val="24"/>
          <w:szCs w:val="24"/>
          <w:highlight w:val="none"/>
          <w:lang w:val="en-US" w:eastAsia="zh-CN" w:bidi="ar-SA"/>
        </w:rPr>
        <w:t>系统</w:t>
      </w:r>
      <w:r>
        <w:rPr>
          <w:rFonts w:hint="default" w:ascii="Arial" w:hAnsi="Arial" w:eastAsia="Arial" w:cs="Arial"/>
          <w:snapToGrid w:val="0"/>
          <w:color w:val="auto"/>
          <w:kern w:val="0"/>
          <w:sz w:val="24"/>
          <w:szCs w:val="24"/>
          <w:highlight w:val="none"/>
          <w:lang w:val="en-US" w:eastAsia="zh-CN" w:bidi="ar-SA"/>
        </w:rPr>
        <w:t>部署调试完成，通过项目初验后</w:t>
      </w:r>
      <w:r>
        <w:rPr>
          <w:rFonts w:hint="default" w:ascii="Arial" w:hAnsi="Arial" w:eastAsia="Arial" w:cs="Arial"/>
          <w:snapToGrid w:val="0"/>
          <w:color w:val="auto"/>
          <w:kern w:val="0"/>
          <w:sz w:val="24"/>
          <w:szCs w:val="24"/>
          <w:highlight w:val="none"/>
          <w:lang w:val="en-US" w:eastAsia="zh-CN" w:bidi="ar-SA"/>
        </w:rPr>
        <w:fldChar w:fldCharType="begin">
          <w:ffData>
            <w:name w:val="Text14"/>
            <w:enabled/>
            <w:calcOnExit w:val="0"/>
            <w:textInput>
              <w:default w:val="  "/>
            </w:textInput>
          </w:ffData>
        </w:fldChar>
      </w:r>
      <w:r>
        <w:rPr>
          <w:rFonts w:hint="default" w:ascii="Arial" w:hAnsi="Arial" w:eastAsia="Arial" w:cs="Arial"/>
          <w:snapToGrid w:val="0"/>
          <w:color w:val="auto"/>
          <w:kern w:val="0"/>
          <w:sz w:val="24"/>
          <w:szCs w:val="24"/>
          <w:highlight w:val="none"/>
          <w:lang w:val="en-US" w:eastAsia="zh-CN" w:bidi="ar-SA"/>
        </w:rPr>
        <w:instrText xml:space="preserve">FORMTEXT</w:instrText>
      </w:r>
      <w:r>
        <w:rPr>
          <w:rFonts w:hint="default" w:ascii="Arial" w:hAnsi="Arial" w:eastAsia="Arial" w:cs="Arial"/>
          <w:snapToGrid w:val="0"/>
          <w:color w:val="auto"/>
          <w:kern w:val="0"/>
          <w:sz w:val="24"/>
          <w:szCs w:val="24"/>
          <w:highlight w:val="none"/>
          <w:lang w:val="en-US" w:eastAsia="zh-CN" w:bidi="ar-SA"/>
        </w:rPr>
        <w:fldChar w:fldCharType="separate"/>
      </w:r>
      <w:r>
        <w:rPr>
          <w:rFonts w:hint="default" w:ascii="Arial" w:hAnsi="Arial" w:eastAsia="Arial" w:cs="Arial"/>
          <w:snapToGrid w:val="0"/>
          <w:color w:val="auto"/>
          <w:kern w:val="0"/>
          <w:sz w:val="24"/>
          <w:szCs w:val="24"/>
          <w:highlight w:val="none"/>
          <w:lang w:val="en-US" w:eastAsia="zh-CN" w:bidi="ar-SA"/>
        </w:rPr>
        <w:t xml:space="preserve">  </w:t>
      </w:r>
      <w:r>
        <w:rPr>
          <w:rFonts w:hint="default" w:ascii="Arial" w:hAnsi="Arial" w:eastAsia="Arial" w:cs="Arial"/>
          <w:snapToGrid w:val="0"/>
          <w:color w:val="auto"/>
          <w:kern w:val="0"/>
          <w:sz w:val="24"/>
          <w:szCs w:val="24"/>
          <w:highlight w:val="none"/>
          <w:lang w:val="en-US" w:eastAsia="zh-CN" w:bidi="ar-SA"/>
        </w:rPr>
        <w:fldChar w:fldCharType="end"/>
      </w:r>
      <w:r>
        <w:rPr>
          <w:rFonts w:hint="default" w:ascii="Arial" w:hAnsi="Arial" w:eastAsia="Arial" w:cs="Arial"/>
          <w:snapToGrid w:val="0"/>
          <w:color w:val="auto"/>
          <w:kern w:val="0"/>
          <w:sz w:val="24"/>
          <w:szCs w:val="24"/>
          <w:highlight w:val="none"/>
          <w:lang w:val="en-US" w:eastAsia="zh-CN" w:bidi="ar-SA"/>
        </w:rPr>
        <w:t>个工作日内，甲方向乙方支付</w:t>
      </w:r>
      <w:r>
        <w:rPr>
          <w:rFonts w:hint="eastAsia" w:ascii="Arial" w:hAnsi="Arial" w:eastAsia="Arial" w:cs="Arial"/>
          <w:snapToGrid w:val="0"/>
          <w:color w:val="auto"/>
          <w:kern w:val="0"/>
          <w:sz w:val="24"/>
          <w:szCs w:val="24"/>
          <w:highlight w:val="none"/>
          <w:lang w:val="en-US" w:eastAsia="zh-CN" w:bidi="ar-SA"/>
        </w:rPr>
        <w:t>合同总价</w:t>
      </w:r>
      <w:r>
        <w:rPr>
          <w:rFonts w:hint="default" w:ascii="Arial" w:hAnsi="Arial" w:eastAsia="Arial" w:cs="Arial"/>
          <w:snapToGrid w:val="0"/>
          <w:color w:val="auto"/>
          <w:kern w:val="0"/>
          <w:sz w:val="24"/>
          <w:szCs w:val="24"/>
          <w:highlight w:val="none"/>
          <w:lang w:val="en-US" w:eastAsia="zh-CN" w:bidi="ar-SA"/>
        </w:rPr>
        <w:fldChar w:fldCharType="begin">
          <w:ffData>
            <w:name w:val="Text14"/>
            <w:enabled/>
            <w:calcOnExit w:val="0"/>
            <w:textInput>
              <w:default w:val="  "/>
            </w:textInput>
          </w:ffData>
        </w:fldChar>
      </w:r>
      <w:r>
        <w:rPr>
          <w:rFonts w:hint="default" w:ascii="Arial" w:hAnsi="Arial" w:eastAsia="Arial" w:cs="Arial"/>
          <w:snapToGrid w:val="0"/>
          <w:color w:val="auto"/>
          <w:kern w:val="0"/>
          <w:sz w:val="24"/>
          <w:szCs w:val="24"/>
          <w:highlight w:val="none"/>
          <w:lang w:val="en-US" w:eastAsia="zh-CN" w:bidi="ar-SA"/>
        </w:rPr>
        <w:instrText xml:space="preserve">FORMTEXT</w:instrText>
      </w:r>
      <w:r>
        <w:rPr>
          <w:rFonts w:hint="default" w:ascii="Arial" w:hAnsi="Arial" w:eastAsia="Arial" w:cs="Arial"/>
          <w:snapToGrid w:val="0"/>
          <w:color w:val="auto"/>
          <w:kern w:val="0"/>
          <w:sz w:val="24"/>
          <w:szCs w:val="24"/>
          <w:highlight w:val="none"/>
          <w:lang w:val="en-US" w:eastAsia="zh-CN" w:bidi="ar-SA"/>
        </w:rPr>
        <w:fldChar w:fldCharType="separate"/>
      </w:r>
      <w:r>
        <w:rPr>
          <w:rFonts w:hint="default" w:ascii="Arial" w:hAnsi="Arial" w:eastAsia="Arial" w:cs="Arial"/>
          <w:snapToGrid w:val="0"/>
          <w:color w:val="auto"/>
          <w:kern w:val="0"/>
          <w:sz w:val="24"/>
          <w:szCs w:val="24"/>
          <w:highlight w:val="none"/>
          <w:lang w:val="en-US" w:eastAsia="zh-CN" w:bidi="ar-SA"/>
        </w:rPr>
        <w:t xml:space="preserve"> </w:t>
      </w:r>
      <w:r>
        <w:rPr>
          <w:rFonts w:hint="eastAsia" w:ascii="Arial" w:hAnsi="Arial" w:eastAsia="Arial" w:cs="Arial"/>
          <w:snapToGrid w:val="0"/>
          <w:color w:val="auto"/>
          <w:kern w:val="0"/>
          <w:sz w:val="24"/>
          <w:szCs w:val="24"/>
          <w:highlight w:val="none"/>
          <w:lang w:val="en-US" w:eastAsia="zh-CN" w:bidi="ar-SA"/>
        </w:rPr>
        <w:t>50</w:t>
      </w:r>
      <w:r>
        <w:rPr>
          <w:rFonts w:hint="default" w:ascii="Arial" w:hAnsi="Arial" w:eastAsia="Arial" w:cs="Arial"/>
          <w:snapToGrid w:val="0"/>
          <w:color w:val="auto"/>
          <w:kern w:val="0"/>
          <w:sz w:val="24"/>
          <w:szCs w:val="24"/>
          <w:highlight w:val="none"/>
          <w:lang w:val="en-US" w:eastAsia="zh-CN" w:bidi="ar-SA"/>
        </w:rPr>
        <w:t xml:space="preserve"> </w:t>
      </w:r>
      <w:r>
        <w:rPr>
          <w:rFonts w:hint="default" w:ascii="Arial" w:hAnsi="Arial" w:eastAsia="Arial" w:cs="Arial"/>
          <w:snapToGrid w:val="0"/>
          <w:color w:val="auto"/>
          <w:kern w:val="0"/>
          <w:sz w:val="24"/>
          <w:szCs w:val="24"/>
          <w:highlight w:val="none"/>
          <w:lang w:val="en-US" w:eastAsia="zh-CN" w:bidi="ar-SA"/>
        </w:rPr>
        <w:fldChar w:fldCharType="end"/>
      </w:r>
      <w:r>
        <w:rPr>
          <w:rFonts w:hint="default" w:ascii="Arial" w:hAnsi="Arial" w:eastAsia="Arial" w:cs="Arial"/>
          <w:snapToGrid w:val="0"/>
          <w:color w:val="auto"/>
          <w:kern w:val="0"/>
          <w:sz w:val="24"/>
          <w:szCs w:val="24"/>
          <w:highlight w:val="none"/>
          <w:lang w:val="en-US" w:eastAsia="zh-CN" w:bidi="ar-SA"/>
        </w:rPr>
        <w:t>%：即人民币小写：</w:t>
      </w:r>
      <w:r>
        <w:rPr>
          <w:rFonts w:hint="default" w:ascii="Arial" w:hAnsi="Arial" w:eastAsia="Arial" w:cs="Arial"/>
          <w:snapToGrid w:val="0"/>
          <w:color w:val="auto"/>
          <w:kern w:val="0"/>
          <w:sz w:val="24"/>
          <w:szCs w:val="24"/>
          <w:highlight w:val="none"/>
          <w:lang w:val="en-US" w:eastAsia="zh-CN" w:bidi="ar-SA"/>
        </w:rPr>
        <w:fldChar w:fldCharType="begin">
          <w:ffData>
            <w:name w:val="Text12"/>
            <w:enabled/>
            <w:calcOnExit w:val="0"/>
            <w:textInput>
              <w:default w:val="            "/>
            </w:textInput>
          </w:ffData>
        </w:fldChar>
      </w:r>
      <w:r>
        <w:rPr>
          <w:rFonts w:hint="default" w:ascii="Arial" w:hAnsi="Arial" w:eastAsia="Arial" w:cs="Arial"/>
          <w:snapToGrid w:val="0"/>
          <w:color w:val="auto"/>
          <w:kern w:val="0"/>
          <w:sz w:val="24"/>
          <w:szCs w:val="24"/>
          <w:highlight w:val="none"/>
          <w:lang w:val="en-US" w:eastAsia="zh-CN" w:bidi="ar-SA"/>
        </w:rPr>
        <w:instrText xml:space="preserve">FORMTEXT</w:instrText>
      </w:r>
      <w:r>
        <w:rPr>
          <w:rFonts w:hint="default" w:ascii="Arial" w:hAnsi="Arial" w:eastAsia="Arial" w:cs="Arial"/>
          <w:snapToGrid w:val="0"/>
          <w:color w:val="auto"/>
          <w:kern w:val="0"/>
          <w:sz w:val="24"/>
          <w:szCs w:val="24"/>
          <w:highlight w:val="none"/>
          <w:lang w:val="en-US" w:eastAsia="zh-CN" w:bidi="ar-SA"/>
        </w:rPr>
        <w:fldChar w:fldCharType="separate"/>
      </w:r>
      <w:r>
        <w:rPr>
          <w:rFonts w:hint="default" w:ascii="Arial" w:hAnsi="Arial" w:eastAsia="Arial" w:cs="Arial"/>
          <w:snapToGrid w:val="0"/>
          <w:color w:val="auto"/>
          <w:kern w:val="0"/>
          <w:sz w:val="24"/>
          <w:szCs w:val="24"/>
          <w:highlight w:val="none"/>
          <w:lang w:val="en-US" w:eastAsia="zh-CN" w:bidi="ar-SA"/>
        </w:rPr>
        <w:t xml:space="preserve">            </w:t>
      </w:r>
      <w:r>
        <w:rPr>
          <w:rFonts w:hint="default" w:ascii="Arial" w:hAnsi="Arial" w:eastAsia="Arial" w:cs="Arial"/>
          <w:snapToGrid w:val="0"/>
          <w:color w:val="auto"/>
          <w:kern w:val="0"/>
          <w:sz w:val="24"/>
          <w:szCs w:val="24"/>
          <w:highlight w:val="none"/>
          <w:lang w:val="en-US" w:eastAsia="zh-CN" w:bidi="ar-SA"/>
        </w:rPr>
        <w:fldChar w:fldCharType="end"/>
      </w:r>
      <w:r>
        <w:rPr>
          <w:rFonts w:hint="default" w:ascii="Arial" w:hAnsi="Arial" w:eastAsia="Arial" w:cs="Arial"/>
          <w:snapToGrid w:val="0"/>
          <w:color w:val="auto"/>
          <w:kern w:val="0"/>
          <w:sz w:val="24"/>
          <w:szCs w:val="24"/>
          <w:highlight w:val="none"/>
          <w:lang w:val="en-US" w:eastAsia="zh-CN" w:bidi="ar-SA"/>
        </w:rPr>
        <w:t>元，人民币大写：</w:t>
      </w:r>
      <w:r>
        <w:rPr>
          <w:rFonts w:hint="default" w:ascii="Arial" w:hAnsi="Arial" w:eastAsia="Arial" w:cs="Arial"/>
          <w:snapToGrid w:val="0"/>
          <w:color w:val="auto"/>
          <w:kern w:val="0"/>
          <w:sz w:val="24"/>
          <w:szCs w:val="24"/>
          <w:highlight w:val="none"/>
          <w:lang w:val="en-US" w:eastAsia="zh-CN" w:bidi="ar-SA"/>
        </w:rPr>
        <w:fldChar w:fldCharType="begin">
          <w:ffData>
            <w:name w:val="Text13"/>
            <w:enabled/>
            <w:calcOnExit w:val="0"/>
            <w:textInput>
              <w:default w:val="          "/>
            </w:textInput>
          </w:ffData>
        </w:fldChar>
      </w:r>
      <w:r>
        <w:rPr>
          <w:rFonts w:hint="default" w:ascii="Arial" w:hAnsi="Arial" w:eastAsia="Arial" w:cs="Arial"/>
          <w:snapToGrid w:val="0"/>
          <w:color w:val="auto"/>
          <w:kern w:val="0"/>
          <w:sz w:val="24"/>
          <w:szCs w:val="24"/>
          <w:highlight w:val="none"/>
          <w:lang w:val="en-US" w:eastAsia="zh-CN" w:bidi="ar-SA"/>
        </w:rPr>
        <w:instrText xml:space="preserve">FORMTEXT</w:instrText>
      </w:r>
      <w:r>
        <w:rPr>
          <w:rFonts w:hint="default" w:ascii="Arial" w:hAnsi="Arial" w:eastAsia="Arial" w:cs="Arial"/>
          <w:snapToGrid w:val="0"/>
          <w:color w:val="auto"/>
          <w:kern w:val="0"/>
          <w:sz w:val="24"/>
          <w:szCs w:val="24"/>
          <w:highlight w:val="none"/>
          <w:lang w:val="en-US" w:eastAsia="zh-CN" w:bidi="ar-SA"/>
        </w:rPr>
        <w:fldChar w:fldCharType="separate"/>
      </w:r>
      <w:r>
        <w:rPr>
          <w:rFonts w:hint="default" w:ascii="Arial" w:hAnsi="Arial" w:eastAsia="Arial" w:cs="Arial"/>
          <w:snapToGrid w:val="0"/>
          <w:color w:val="auto"/>
          <w:kern w:val="0"/>
          <w:sz w:val="24"/>
          <w:szCs w:val="24"/>
          <w:highlight w:val="none"/>
          <w:lang w:val="en-US" w:eastAsia="zh-CN" w:bidi="ar-SA"/>
        </w:rPr>
        <w:t xml:space="preserve">          </w:t>
      </w:r>
      <w:r>
        <w:rPr>
          <w:rFonts w:hint="default" w:ascii="Arial" w:hAnsi="Arial" w:eastAsia="Arial" w:cs="Arial"/>
          <w:snapToGrid w:val="0"/>
          <w:color w:val="auto"/>
          <w:kern w:val="0"/>
          <w:sz w:val="24"/>
          <w:szCs w:val="24"/>
          <w:highlight w:val="none"/>
          <w:lang w:val="en-US" w:eastAsia="zh-CN" w:bidi="ar-SA"/>
        </w:rPr>
        <w:fldChar w:fldCharType="end"/>
      </w:r>
      <w:r>
        <w:rPr>
          <w:rFonts w:hint="default" w:ascii="Arial" w:hAnsi="Arial" w:eastAsia="Arial" w:cs="Arial"/>
          <w:snapToGrid w:val="0"/>
          <w:color w:val="auto"/>
          <w:kern w:val="0"/>
          <w:sz w:val="24"/>
          <w:szCs w:val="24"/>
          <w:highlight w:val="none"/>
          <w:lang w:val="en-US" w:eastAsia="zh-CN" w:bidi="ar-SA"/>
        </w:rPr>
        <w:t>。</w:t>
      </w:r>
    </w:p>
    <w:p w14:paraId="723344CD">
      <w:pPr>
        <w:widowControl w:val="0"/>
        <w:adjustRightInd w:val="0"/>
        <w:snapToGrid w:val="0"/>
        <w:spacing w:line="360" w:lineRule="auto"/>
        <w:ind w:firstLine="480" w:firstLineChars="200"/>
        <w:jc w:val="left"/>
        <w:textAlignment w:val="baseline"/>
        <w:rPr>
          <w:rFonts w:hint="eastAsia" w:ascii="Arial" w:hAnsi="Arial" w:eastAsia="Arial" w:cs="Arial"/>
          <w:snapToGrid w:val="0"/>
          <w:color w:val="auto"/>
          <w:kern w:val="0"/>
          <w:sz w:val="24"/>
          <w:szCs w:val="24"/>
          <w:highlight w:val="none"/>
          <w:lang w:val="en-US" w:eastAsia="zh-CN" w:bidi="ar-SA"/>
        </w:rPr>
      </w:pPr>
      <w:r>
        <w:rPr>
          <w:rFonts w:hint="default" w:ascii="Arial" w:hAnsi="Arial" w:eastAsia="Arial" w:cs="Arial"/>
          <w:snapToGrid w:val="0"/>
          <w:color w:val="auto"/>
          <w:kern w:val="0"/>
          <w:sz w:val="24"/>
          <w:szCs w:val="24"/>
          <w:highlight w:val="none"/>
          <w:lang w:val="en-US" w:eastAsia="zh-CN" w:bidi="ar-SA"/>
        </w:rPr>
        <w:t>③</w:t>
      </w:r>
      <w:r>
        <w:rPr>
          <w:rFonts w:hint="eastAsia" w:ascii="Arial" w:hAnsi="Arial" w:eastAsia="Arial" w:cs="Arial"/>
          <w:snapToGrid w:val="0"/>
          <w:color w:val="auto"/>
          <w:kern w:val="0"/>
          <w:sz w:val="24"/>
          <w:szCs w:val="24"/>
          <w:highlight w:val="none"/>
          <w:lang w:val="en-US" w:eastAsia="zh-CN" w:bidi="ar-SA"/>
        </w:rPr>
        <w:t>项目最终验收合格且乙方向甲方提交由其开户银行出具的合同总价的5%的履约保函正本后 7 个工作日内，甲方向乙方支付合同总价的10 %，即人民币小写：       元，人民币大写：         。</w:t>
      </w:r>
    </w:p>
    <w:p w14:paraId="34591497">
      <w:pPr>
        <w:spacing w:line="360" w:lineRule="auto"/>
        <w:contextualSpacing/>
        <w:outlineLvl w:val="2"/>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3. 包装和运输（须满足《关于印发〈商品包装政府采购需求标准（试行）〉、〈快递包装政府采购需求标准（试行）〉的通知》（财办库﹝2020﹞123号））</w:t>
      </w:r>
    </w:p>
    <w:p w14:paraId="60D5312D">
      <w:pPr>
        <w:spacing w:line="360" w:lineRule="auto"/>
        <w:ind w:firstLine="482"/>
        <w:contextualSpacing/>
        <w:rPr>
          <w:rFonts w:ascii="Times New Roman" w:hAnsi="Times New Roman" w:cs="Times New Roman"/>
          <w:bCs/>
          <w:color w:val="auto"/>
          <w:sz w:val="24"/>
          <w:highlight w:val="none"/>
        </w:rPr>
      </w:pPr>
      <w:r>
        <w:rPr>
          <w:rFonts w:hint="eastAsia" w:ascii="Times New Roman" w:hAnsi="Times New Roman" w:cs="Times New Roman"/>
          <w:bCs/>
          <w:color w:val="auto"/>
          <w:sz w:val="24"/>
          <w:highlight w:val="none"/>
          <w:lang w:eastAsia="zh-CN"/>
        </w:rPr>
        <w:t>投标人</w:t>
      </w:r>
      <w:r>
        <w:rPr>
          <w:rFonts w:hint="eastAsia" w:ascii="Times New Roman" w:hAnsi="Times New Roman" w:cs="Times New Roman"/>
          <w:bCs/>
          <w:color w:val="auto"/>
          <w:sz w:val="24"/>
          <w:highlight w:val="none"/>
        </w:rPr>
        <w:t>应负责安排运输，将合同约定所供产品及合同约定的相关资料运至采购人指定的交货地点，需按照国家及行业相关包装标准对各类配件进行独立包装，包装材料需满足防潮防震、防压、防碰撞等要求，确保配件在运输过程中无损坏、无磕碰、无受潮；运输需选用正规物流运输渠道，全程做好物流跟踪，运费及货物在途风险由</w:t>
      </w:r>
      <w:r>
        <w:rPr>
          <w:rFonts w:hint="eastAsia" w:ascii="Times New Roman" w:hAnsi="Times New Roman" w:cs="Times New Roman"/>
          <w:bCs/>
          <w:color w:val="auto"/>
          <w:sz w:val="24"/>
          <w:highlight w:val="none"/>
          <w:lang w:eastAsia="zh-CN"/>
        </w:rPr>
        <w:t>投标人</w:t>
      </w:r>
      <w:r>
        <w:rPr>
          <w:rFonts w:hint="eastAsia" w:ascii="Times New Roman" w:hAnsi="Times New Roman" w:cs="Times New Roman"/>
          <w:bCs/>
          <w:color w:val="auto"/>
          <w:sz w:val="24"/>
          <w:highlight w:val="none"/>
        </w:rPr>
        <w:t>承担。采购人有权不接收未按适合包装的货物和技术文件，</w:t>
      </w:r>
      <w:r>
        <w:rPr>
          <w:rFonts w:hint="eastAsia" w:ascii="Times New Roman" w:hAnsi="Times New Roman" w:cs="Times New Roman"/>
          <w:bCs/>
          <w:color w:val="auto"/>
          <w:sz w:val="24"/>
          <w:highlight w:val="none"/>
          <w:lang w:eastAsia="zh-CN"/>
        </w:rPr>
        <w:t>投标人</w:t>
      </w:r>
      <w:r>
        <w:rPr>
          <w:rFonts w:hint="eastAsia" w:ascii="Times New Roman" w:hAnsi="Times New Roman" w:cs="Times New Roman"/>
          <w:bCs/>
          <w:color w:val="auto"/>
          <w:sz w:val="24"/>
          <w:highlight w:val="none"/>
        </w:rPr>
        <w:t>应承担任何因不适当包装所造成的一切费用和损失。</w:t>
      </w:r>
    </w:p>
    <w:p w14:paraId="77B4AE8F">
      <w:pPr>
        <w:widowControl w:val="0"/>
        <w:ind w:left="420" w:leftChars="200"/>
        <w:jc w:val="both"/>
        <w:rPr>
          <w:rFonts w:ascii="Times New Roman" w:hAnsi="Times New Roman" w:eastAsia="宋体" w:cs="Times New Roman"/>
          <w:color w:val="auto"/>
          <w:kern w:val="2"/>
          <w:sz w:val="24"/>
          <w:szCs w:val="24"/>
          <w:highlight w:val="none"/>
          <w:lang w:val="en-US" w:eastAsia="zh-CN" w:bidi="ar-SA"/>
        </w:rPr>
      </w:pPr>
    </w:p>
    <w:p w14:paraId="0F239903">
      <w:pPr>
        <w:spacing w:line="360" w:lineRule="auto"/>
        <w:contextualSpacing/>
        <w:outlineLvl w:val="2"/>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4. 售</w:t>
      </w:r>
      <w:bookmarkStart w:id="0" w:name="OLE_LINK1"/>
      <w:r>
        <w:rPr>
          <w:rFonts w:ascii="Times New Roman" w:hAnsi="Times New Roman" w:eastAsia="宋体" w:cs="Times New Roman"/>
          <w:color w:val="auto"/>
          <w:sz w:val="24"/>
          <w:highlight w:val="none"/>
        </w:rPr>
        <w:t>后服务</w:t>
      </w:r>
      <w:bookmarkEnd w:id="0"/>
      <w:r>
        <w:rPr>
          <w:rFonts w:ascii="Times New Roman" w:hAnsi="Times New Roman" w:eastAsia="宋体" w:cs="Times New Roman"/>
          <w:color w:val="auto"/>
          <w:sz w:val="24"/>
          <w:highlight w:val="none"/>
        </w:rPr>
        <w:t>（质保期）</w:t>
      </w:r>
    </w:p>
    <w:p w14:paraId="202E630B">
      <w:pPr>
        <w:tabs>
          <w:tab w:val="left" w:pos="0"/>
        </w:tabs>
        <w:spacing w:line="360" w:lineRule="auto"/>
        <w:ind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1）投标人应保证货物是全新的、未使用过的，并完全符合合同规定的质量、规格和性能的要求。投标人应保证所提供的货物经正确安装、正常运转和维护，使其在使用寿命期内应具有满意的性能。在货物质量保证期之内，投标人应对由于设计、工艺或材料的缺陷而发生的任何不足或故障负责。</w:t>
      </w:r>
    </w:p>
    <w:p w14:paraId="7C9B4A1B">
      <w:pPr>
        <w:tabs>
          <w:tab w:val="left" w:pos="0"/>
        </w:tabs>
        <w:spacing w:line="360" w:lineRule="auto"/>
        <w:ind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（2）根据技术合同约定的，或者在质量保证期内，如果货物的数量、质量或规格与合同不符，或证实货物是有缺陷的，包括潜在缺陷或使用不符合要求的材料等，采购人</w:t>
      </w:r>
      <w:r>
        <w:rPr>
          <w:rFonts w:hint="eastAsia" w:ascii="Times New Roman" w:hAnsi="Times New Roman" w:cs="Times New Roman"/>
          <w:color w:val="auto"/>
          <w:sz w:val="24"/>
          <w:highlight w:val="none"/>
          <w:lang w:eastAsia="zh-CN"/>
        </w:rPr>
        <w:t>可</w:t>
      </w:r>
      <w:r>
        <w:rPr>
          <w:rFonts w:ascii="Times New Roman" w:hAnsi="Times New Roman" w:eastAsia="宋体" w:cs="Times New Roman"/>
          <w:color w:val="auto"/>
          <w:sz w:val="24"/>
          <w:highlight w:val="none"/>
        </w:rPr>
        <w:t>以书面形式通知投标人提出索赔。</w:t>
      </w:r>
    </w:p>
    <w:p w14:paraId="4251C0FE">
      <w:pPr>
        <w:spacing w:line="360" w:lineRule="auto"/>
        <w:ind w:firstLine="480" w:firstLineChars="200"/>
        <w:contextualSpacing/>
        <w:rPr>
          <w:rFonts w:ascii="Times New Roman" w:hAnsi="Times New Roman" w:cs="Times New Roman"/>
          <w:bCs/>
          <w:color w:val="auto"/>
          <w:sz w:val="24"/>
          <w:highlight w:val="none"/>
        </w:rPr>
      </w:pP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3</w:t>
      </w:r>
      <w:r>
        <w:rPr>
          <w:rFonts w:hint="eastAsia" w:ascii="Times New Roman" w:hAnsi="Times New Roman" w:cs="Times New Roman"/>
          <w:bCs/>
          <w:color w:val="auto"/>
          <w:sz w:val="24"/>
          <w:highlight w:val="none"/>
          <w:lang w:eastAsia="zh-CN"/>
        </w:rPr>
        <w:t>）投标人</w:t>
      </w:r>
      <w:r>
        <w:rPr>
          <w:rFonts w:hint="eastAsia" w:ascii="Times New Roman" w:hAnsi="Times New Roman" w:cs="Times New Roman"/>
          <w:bCs/>
          <w:color w:val="auto"/>
          <w:sz w:val="24"/>
          <w:highlight w:val="none"/>
        </w:rPr>
        <w:t>应对本项目相关产品提供质保服务，质保期的起始时间以项目验收通过</w:t>
      </w:r>
      <w:r>
        <w:rPr>
          <w:rFonts w:hint="eastAsia" w:ascii="Times New Roman" w:hAnsi="Times New Roman" w:cs="Times New Roman"/>
          <w:bCs/>
          <w:color w:val="auto"/>
          <w:sz w:val="24"/>
          <w:highlight w:val="none"/>
          <w:lang w:eastAsia="zh-CN"/>
        </w:rPr>
        <w:t>（经采购人完成审批）</w:t>
      </w:r>
      <w:r>
        <w:rPr>
          <w:rFonts w:hint="eastAsia" w:ascii="Times New Roman" w:hAnsi="Times New Roman" w:cs="Times New Roman"/>
          <w:bCs/>
          <w:color w:val="auto"/>
          <w:sz w:val="24"/>
          <w:highlight w:val="none"/>
        </w:rPr>
        <w:t>后开始，质保期</w:t>
      </w:r>
      <w:r>
        <w:rPr>
          <w:rFonts w:hint="eastAsia" w:ascii="Times New Roman" w:hAnsi="Times New Roman" w:cs="Times New Roman"/>
          <w:bCs/>
          <w:color w:val="auto"/>
          <w:sz w:val="24"/>
          <w:highlight w:val="none"/>
          <w:lang w:eastAsia="zh-CN"/>
        </w:rPr>
        <w:t>不少于</w:t>
      </w:r>
      <w:r>
        <w:rPr>
          <w:rFonts w:hint="eastAsia" w:ascii="Times New Roman" w:hAnsi="Times New Roman" w:cs="Times New Roman"/>
          <w:bCs/>
          <w:color w:val="auto"/>
          <w:sz w:val="24"/>
          <w:highlight w:val="none"/>
        </w:rPr>
        <w:t>3年。</w:t>
      </w:r>
      <w:r>
        <w:rPr>
          <w:rFonts w:ascii="Times New Roman" w:hAnsi="Times New Roman" w:eastAsia="宋体" w:cs="Times New Roman"/>
          <w:color w:val="auto"/>
          <w:sz w:val="24"/>
          <w:highlight w:val="none"/>
        </w:rPr>
        <w:t>对于质保期内更换的设备，质量保证期从设备更换之日起重新计算。</w:t>
      </w:r>
      <w:r>
        <w:rPr>
          <w:rFonts w:hint="eastAsia" w:ascii="Times New Roman" w:hAnsi="Times New Roman" w:cs="Times New Roman"/>
          <w:bCs/>
          <w:color w:val="auto"/>
          <w:sz w:val="24"/>
          <w:highlight w:val="none"/>
        </w:rPr>
        <w:t>质保服务应包含远程服务、现场支持服务和巡检服务。</w:t>
      </w:r>
    </w:p>
    <w:p w14:paraId="0C7299A1">
      <w:pPr>
        <w:widowControl w:val="0"/>
        <w:adjustRightInd w:val="0"/>
        <w:spacing w:line="360" w:lineRule="auto"/>
        <w:ind w:firstLine="424" w:firstLineChars="177"/>
        <w:contextualSpacing/>
        <w:jc w:val="left"/>
        <w:rPr>
          <w:rFonts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1）远程技术支持服务</w:t>
      </w:r>
    </w:p>
    <w:p w14:paraId="77391808">
      <w:pPr>
        <w:widowControl w:val="0"/>
        <w:adjustRightInd w:val="0"/>
        <w:spacing w:line="360" w:lineRule="auto"/>
        <w:ind w:firstLine="424" w:firstLineChars="177"/>
        <w:contextualSpacing/>
        <w:jc w:val="left"/>
        <w:rPr>
          <w:rFonts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投标人应提供原厂7*24小时售后技术热线服务支持，设备故障报修后及时响应。</w:t>
      </w:r>
    </w:p>
    <w:p w14:paraId="28F795DA">
      <w:pPr>
        <w:widowControl w:val="0"/>
        <w:adjustRightInd w:val="0"/>
        <w:spacing w:line="360" w:lineRule="auto"/>
        <w:ind w:firstLine="424" w:firstLineChars="177"/>
        <w:contextualSpacing/>
        <w:jc w:val="left"/>
        <w:rPr>
          <w:rFonts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2）故障维修服务</w:t>
      </w:r>
    </w:p>
    <w:p w14:paraId="27C7D720">
      <w:pPr>
        <w:tabs>
          <w:tab w:val="left" w:pos="0"/>
        </w:tabs>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cs="Times New Roman"/>
          <w:color w:val="auto"/>
          <w:sz w:val="24"/>
          <w:szCs w:val="24"/>
          <w:highlight w:val="none"/>
        </w:rPr>
        <w:t>在设备出现故障时，应在</w:t>
      </w:r>
      <w:r>
        <w:rPr>
          <w:rFonts w:ascii="Times New Roman" w:hAnsi="Times New Roman" w:cs="Times New Roman"/>
          <w:color w:val="auto"/>
          <w:sz w:val="24"/>
          <w:szCs w:val="24"/>
          <w:highlight w:val="none"/>
        </w:rPr>
        <w:t>15</w:t>
      </w:r>
      <w:r>
        <w:rPr>
          <w:rFonts w:hint="eastAsia" w:ascii="Times New Roman" w:hAnsi="Times New Roman" w:cs="Times New Roman"/>
          <w:color w:val="auto"/>
          <w:sz w:val="24"/>
          <w:szCs w:val="24"/>
          <w:highlight w:val="none"/>
        </w:rPr>
        <w:t>分钟之内响应，若远程指导无法解决的，</w:t>
      </w:r>
      <w:r>
        <w:rPr>
          <w:rFonts w:hint="eastAsia" w:ascii="Times New Roman" w:hAnsi="Times New Roman" w:cs="Times New Roman"/>
          <w:color w:val="auto"/>
          <w:sz w:val="24"/>
          <w:szCs w:val="24"/>
          <w:highlight w:val="none"/>
          <w:lang w:eastAsia="zh-CN"/>
        </w:rPr>
        <w:t>投标人</w:t>
      </w:r>
      <w:r>
        <w:rPr>
          <w:rFonts w:hint="eastAsia" w:ascii="Times New Roman" w:hAnsi="Times New Roman" w:cs="Times New Roman"/>
          <w:color w:val="auto"/>
          <w:sz w:val="24"/>
          <w:szCs w:val="24"/>
          <w:highlight w:val="none"/>
        </w:rPr>
        <w:t>应安排高级技术人员</w:t>
      </w:r>
      <w:r>
        <w:rPr>
          <w:rFonts w:ascii="Times New Roman" w:hAnsi="Times New Roman" w:cs="Times New Roman"/>
          <w:color w:val="auto"/>
          <w:sz w:val="24"/>
          <w:szCs w:val="24"/>
          <w:highlight w:val="none"/>
        </w:rPr>
        <w:t>2</w:t>
      </w:r>
      <w:r>
        <w:rPr>
          <w:rFonts w:hint="eastAsia" w:ascii="Times New Roman" w:hAnsi="Times New Roman" w:cs="Times New Roman"/>
          <w:color w:val="auto"/>
          <w:sz w:val="24"/>
          <w:szCs w:val="24"/>
          <w:highlight w:val="none"/>
        </w:rPr>
        <w:t>小时内赶到现场进行故障排除。针对复杂故障应协调原厂专业技术人员现场处理，并尽快排除故障。</w:t>
      </w:r>
      <w:r>
        <w:rPr>
          <w:rFonts w:ascii="Times New Roman" w:hAnsi="Times New Roman" w:eastAsia="宋体" w:cs="Times New Roman"/>
          <w:color w:val="auto"/>
          <w:sz w:val="24"/>
          <w:highlight w:val="none"/>
        </w:rPr>
        <w:t>不能当场修复的，</w:t>
      </w:r>
      <w:r>
        <w:rPr>
          <w:rFonts w:hint="eastAsia" w:ascii="Times New Roman" w:hAnsi="Times New Roman" w:cs="Times New Roman"/>
          <w:color w:val="auto"/>
          <w:sz w:val="24"/>
          <w:highlight w:val="none"/>
          <w:lang w:eastAsia="zh-CN"/>
        </w:rPr>
        <w:t>应通过</w:t>
      </w:r>
      <w:r>
        <w:rPr>
          <w:rFonts w:ascii="Times New Roman" w:hAnsi="Times New Roman" w:eastAsia="宋体" w:cs="Times New Roman"/>
          <w:color w:val="auto"/>
          <w:sz w:val="24"/>
          <w:highlight w:val="none"/>
        </w:rPr>
        <w:t>提供备品、备件</w:t>
      </w:r>
      <w:r>
        <w:rPr>
          <w:rFonts w:hint="eastAsia" w:ascii="Times New Roman" w:hAnsi="Times New Roman" w:cs="Times New Roman"/>
          <w:color w:val="auto"/>
          <w:sz w:val="24"/>
          <w:highlight w:val="none"/>
          <w:lang w:eastAsia="zh-CN"/>
        </w:rPr>
        <w:t>完成修复。若仍不能修复，</w:t>
      </w:r>
      <w:r>
        <w:rPr>
          <w:rFonts w:ascii="Times New Roman" w:hAnsi="Times New Roman" w:eastAsia="宋体" w:cs="Times New Roman"/>
          <w:color w:val="auto"/>
          <w:sz w:val="24"/>
          <w:highlight w:val="none"/>
        </w:rPr>
        <w:t>须于2个日历日内采取</w:t>
      </w:r>
      <w:r>
        <w:rPr>
          <w:rFonts w:hint="eastAsia" w:ascii="Times New Roman" w:hAnsi="Times New Roman" w:cs="Times New Roman"/>
          <w:color w:val="auto"/>
          <w:sz w:val="24"/>
          <w:highlight w:val="none"/>
          <w:lang w:eastAsia="zh-CN"/>
        </w:rPr>
        <w:t>其他紧急</w:t>
      </w:r>
      <w:r>
        <w:rPr>
          <w:rFonts w:ascii="Times New Roman" w:hAnsi="Times New Roman" w:eastAsia="宋体" w:cs="Times New Roman"/>
          <w:color w:val="auto"/>
          <w:sz w:val="24"/>
          <w:highlight w:val="none"/>
        </w:rPr>
        <w:t>措施，以保证采购人的正常使用，相关费用应包含在投标总价中。如果投标人在收到通知后10个日历日内没有弥补缺陷，采购人可采取必要的补救措施，但风险和费用将由投标人承担。</w:t>
      </w:r>
    </w:p>
    <w:p w14:paraId="031D0B1F">
      <w:pPr>
        <w:widowControl w:val="0"/>
        <w:adjustRightInd w:val="0"/>
        <w:spacing w:line="360" w:lineRule="auto"/>
        <w:ind w:firstLine="424" w:firstLineChars="177"/>
        <w:contextualSpacing/>
        <w:jc w:val="left"/>
        <w:rPr>
          <w:rFonts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3）专业巡检服务</w:t>
      </w:r>
    </w:p>
    <w:p w14:paraId="784353FF">
      <w:pPr>
        <w:widowControl w:val="0"/>
        <w:adjustRightInd w:val="0"/>
        <w:spacing w:line="360" w:lineRule="auto"/>
        <w:ind w:firstLine="424" w:firstLineChars="177"/>
        <w:contextualSpacing/>
        <w:jc w:val="left"/>
        <w:rPr>
          <w:rFonts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投标人在质保期内应按照采购人需求选派UPS原厂配电设备专业技术检测人员对所供设备进行定期深度巡检，并出具巡检报告。</w:t>
      </w:r>
    </w:p>
    <w:tbl>
      <w:tblPr>
        <w:tblStyle w:val="8"/>
        <w:tblW w:w="7686"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5323"/>
        <w:gridCol w:w="1654"/>
      </w:tblGrid>
      <w:tr w14:paraId="2C119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19A523B7">
            <w:pPr>
              <w:widowControl w:val="0"/>
              <w:adjustRightInd w:val="0"/>
              <w:spacing w:line="360" w:lineRule="auto"/>
              <w:ind w:firstLine="0" w:firstLineChars="0"/>
              <w:contextualSpacing/>
              <w:jc w:val="center"/>
              <w:rPr>
                <w:rFonts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编号</w:t>
            </w:r>
          </w:p>
        </w:tc>
        <w:tc>
          <w:tcPr>
            <w:tcW w:w="5323" w:type="dxa"/>
          </w:tcPr>
          <w:p w14:paraId="161F3004">
            <w:pPr>
              <w:widowControl w:val="0"/>
              <w:adjustRightInd w:val="0"/>
              <w:spacing w:line="360" w:lineRule="auto"/>
              <w:ind w:firstLine="0" w:firstLineChars="0"/>
              <w:contextualSpacing/>
              <w:jc w:val="center"/>
              <w:rPr>
                <w:rFonts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维护内容</w:t>
            </w:r>
          </w:p>
        </w:tc>
        <w:tc>
          <w:tcPr>
            <w:tcW w:w="1654" w:type="dxa"/>
          </w:tcPr>
          <w:p w14:paraId="667D1318">
            <w:pPr>
              <w:widowControl w:val="0"/>
              <w:adjustRightInd w:val="0"/>
              <w:spacing w:line="360" w:lineRule="auto"/>
              <w:ind w:firstLine="0" w:firstLineChars="0"/>
              <w:contextualSpacing/>
              <w:jc w:val="center"/>
              <w:rPr>
                <w:rFonts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巡检周期</w:t>
            </w:r>
          </w:p>
        </w:tc>
      </w:tr>
      <w:tr w14:paraId="4A587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3C6EE09F">
            <w:pPr>
              <w:widowControl w:val="0"/>
              <w:adjustRightInd w:val="0"/>
              <w:spacing w:line="360" w:lineRule="auto"/>
              <w:ind w:firstLine="0" w:firstLineChars="0"/>
              <w:contextualSpacing/>
              <w:jc w:val="center"/>
              <w:rPr>
                <w:rFonts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1</w:t>
            </w:r>
          </w:p>
        </w:tc>
        <w:tc>
          <w:tcPr>
            <w:tcW w:w="5323" w:type="dxa"/>
            <w:vAlign w:val="center"/>
          </w:tcPr>
          <w:p w14:paraId="41C87E69">
            <w:pPr>
              <w:widowControl w:val="0"/>
              <w:adjustRightInd w:val="0"/>
              <w:spacing w:line="360" w:lineRule="auto"/>
              <w:ind w:firstLine="0" w:firstLineChars="0"/>
              <w:contextualSpacing/>
              <w:jc w:val="center"/>
              <w:rPr>
                <w:rFonts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针对U</w:t>
            </w:r>
            <w:r>
              <w:rPr>
                <w:rFonts w:ascii="Times New Roman" w:hAnsi="Times New Roman" w:eastAsia="宋体" w:cs="Times New Roman"/>
                <w:color w:val="auto"/>
                <w:kern w:val="2"/>
                <w:sz w:val="24"/>
                <w:szCs w:val="24"/>
                <w:highlight w:val="none"/>
                <w:lang w:val="en-US" w:eastAsia="zh-CN" w:bidi="ar-SA"/>
              </w:rPr>
              <w:t>PS</w:t>
            </w:r>
            <w:r>
              <w:rPr>
                <w:rFonts w:hint="eastAsia" w:ascii="Times New Roman" w:hAnsi="Times New Roman" w:eastAsia="宋体" w:cs="Times New Roman"/>
                <w:color w:val="auto"/>
                <w:kern w:val="2"/>
                <w:sz w:val="24"/>
                <w:szCs w:val="24"/>
                <w:highlight w:val="none"/>
                <w:lang w:val="en-US" w:eastAsia="zh-CN" w:bidi="ar-SA"/>
              </w:rPr>
              <w:t>运行环境如温度、湿度、洁净度、异常热点、检查测量，对运行信息核验。</w:t>
            </w:r>
          </w:p>
        </w:tc>
        <w:tc>
          <w:tcPr>
            <w:tcW w:w="1654" w:type="dxa"/>
            <w:vAlign w:val="center"/>
          </w:tcPr>
          <w:p w14:paraId="7042A438">
            <w:pPr>
              <w:widowControl w:val="0"/>
              <w:adjustRightInd w:val="0"/>
              <w:spacing w:line="360" w:lineRule="auto"/>
              <w:ind w:firstLine="0" w:firstLineChars="0"/>
              <w:contextualSpacing/>
              <w:jc w:val="center"/>
              <w:rPr>
                <w:rFonts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不少于每季度1次</w:t>
            </w:r>
          </w:p>
        </w:tc>
      </w:tr>
    </w:tbl>
    <w:p w14:paraId="3872FD93">
      <w:pPr>
        <w:widowControl w:val="0"/>
        <w:adjustRightInd w:val="0"/>
        <w:spacing w:line="360" w:lineRule="auto"/>
        <w:ind w:firstLine="424" w:firstLineChars="177"/>
        <w:contextualSpacing/>
        <w:jc w:val="left"/>
        <w:rPr>
          <w:rFonts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4）备品备件服务</w:t>
      </w:r>
    </w:p>
    <w:p w14:paraId="0D88BD39">
      <w:pPr>
        <w:widowControl w:val="0"/>
        <w:adjustRightInd w:val="0"/>
        <w:spacing w:line="360" w:lineRule="auto"/>
        <w:ind w:firstLine="424" w:firstLineChars="177"/>
        <w:contextualSpacing/>
        <w:jc w:val="left"/>
        <w:rPr>
          <w:rFonts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对于易出现故障的设备和重点保障设备，由供货商或U</w:t>
      </w:r>
      <w:r>
        <w:rPr>
          <w:rFonts w:ascii="Times New Roman" w:hAnsi="Times New Roman" w:eastAsia="宋体" w:cs="Times New Roman"/>
          <w:color w:val="auto"/>
          <w:kern w:val="2"/>
          <w:sz w:val="24"/>
          <w:szCs w:val="24"/>
          <w:highlight w:val="none"/>
          <w:lang w:val="en-US" w:eastAsia="zh-CN" w:bidi="ar-SA"/>
        </w:rPr>
        <w:t>PS</w:t>
      </w:r>
      <w:r>
        <w:rPr>
          <w:rFonts w:hint="eastAsia" w:ascii="Times New Roman" w:hAnsi="Times New Roman" w:eastAsia="宋体" w:cs="Times New Roman"/>
          <w:color w:val="auto"/>
          <w:kern w:val="2"/>
          <w:sz w:val="24"/>
          <w:szCs w:val="24"/>
          <w:highlight w:val="none"/>
          <w:lang w:val="en-US" w:eastAsia="zh-CN" w:bidi="ar-SA"/>
        </w:rPr>
        <w:t>原厂商在项目所在城市设立备件库，确保发生故障时，应于4小时紧急调拨备品备件至现场。</w:t>
      </w:r>
    </w:p>
    <w:p w14:paraId="27184644">
      <w:pPr>
        <w:tabs>
          <w:tab w:val="left" w:pos="0"/>
        </w:tabs>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cs="Times New Roman"/>
          <w:color w:val="auto"/>
          <w:sz w:val="24"/>
          <w:highlight w:val="none"/>
          <w:lang w:val="en-US" w:eastAsia="zh-CN"/>
        </w:rPr>
        <w:t>5</w:t>
      </w:r>
      <w:r>
        <w:rPr>
          <w:rFonts w:ascii="Times New Roman" w:hAnsi="Times New Roman" w:eastAsia="宋体" w:cs="Times New Roman"/>
          <w:color w:val="auto"/>
          <w:sz w:val="24"/>
          <w:highlight w:val="none"/>
        </w:rPr>
        <w:t>）遇节假日、重</w:t>
      </w:r>
      <w:r>
        <w:rPr>
          <w:rFonts w:hint="eastAsia" w:ascii="Times New Roman" w:hAnsi="Times New Roman" w:cs="Times New Roman"/>
          <w:color w:val="auto"/>
          <w:sz w:val="24"/>
          <w:highlight w:val="none"/>
          <w:lang w:eastAsia="zh-CN"/>
        </w:rPr>
        <w:t>大活动或采购人认为有必要</w:t>
      </w:r>
      <w:r>
        <w:rPr>
          <w:rFonts w:ascii="Times New Roman" w:hAnsi="Times New Roman" w:eastAsia="宋体" w:cs="Times New Roman"/>
          <w:color w:val="auto"/>
          <w:sz w:val="24"/>
          <w:highlight w:val="none"/>
        </w:rPr>
        <w:t>时，投标人根据采购人要求派相关人员提供现场系统维护保障服务。</w:t>
      </w:r>
    </w:p>
    <w:p w14:paraId="258A627D">
      <w:pPr>
        <w:tabs>
          <w:tab w:val="left" w:pos="0"/>
        </w:tabs>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cs="Times New Roman"/>
          <w:color w:val="auto"/>
          <w:sz w:val="24"/>
          <w:highlight w:val="none"/>
          <w:lang w:val="en-US" w:eastAsia="zh-CN"/>
        </w:rPr>
        <w:t>6</w:t>
      </w:r>
      <w:r>
        <w:rPr>
          <w:rFonts w:ascii="Times New Roman" w:hAnsi="Times New Roman" w:eastAsia="宋体" w:cs="Times New Roman"/>
          <w:color w:val="auto"/>
          <w:sz w:val="24"/>
          <w:highlight w:val="none"/>
        </w:rPr>
        <w:t>）质保期内，投标人负责对本项目所提供的</w:t>
      </w:r>
      <w:r>
        <w:rPr>
          <w:rFonts w:hint="eastAsia" w:ascii="Times New Roman" w:hAnsi="Times New Roman" w:cs="Times New Roman"/>
          <w:color w:val="auto"/>
          <w:sz w:val="24"/>
          <w:highlight w:val="none"/>
          <w:lang w:eastAsia="zh-CN"/>
        </w:rPr>
        <w:t>设备</w:t>
      </w:r>
      <w:r>
        <w:rPr>
          <w:rFonts w:ascii="Times New Roman" w:hAnsi="Times New Roman" w:eastAsia="宋体" w:cs="Times New Roman"/>
          <w:color w:val="auto"/>
          <w:sz w:val="24"/>
          <w:highlight w:val="none"/>
        </w:rPr>
        <w:t>进行</w:t>
      </w:r>
      <w:r>
        <w:rPr>
          <w:rFonts w:hint="eastAsia" w:ascii="Times New Roman" w:hAnsi="Times New Roman" w:eastAsia="宋体" w:cs="Times New Roman"/>
          <w:color w:val="auto"/>
          <w:sz w:val="24"/>
          <w:highlight w:val="none"/>
          <w:lang w:eastAsia="zh-CN"/>
        </w:rPr>
        <w:t>内部软件</w:t>
      </w:r>
      <w:r>
        <w:rPr>
          <w:rFonts w:ascii="Times New Roman" w:hAnsi="Times New Roman" w:eastAsia="宋体" w:cs="Times New Roman"/>
          <w:color w:val="auto"/>
          <w:sz w:val="24"/>
          <w:highlight w:val="none"/>
        </w:rPr>
        <w:t>升级</w:t>
      </w:r>
      <w:r>
        <w:rPr>
          <w:rFonts w:hint="eastAsia" w:ascii="Times New Roman" w:hAnsi="Times New Roman" w:eastAsia="宋体" w:cs="Times New Roman"/>
          <w:color w:val="auto"/>
          <w:sz w:val="24"/>
          <w:highlight w:val="none"/>
          <w:lang w:eastAsia="zh-CN"/>
        </w:rPr>
        <w:t>（如有）</w:t>
      </w:r>
      <w:r>
        <w:rPr>
          <w:rFonts w:ascii="Times New Roman" w:hAnsi="Times New Roman" w:eastAsia="宋体" w:cs="Times New Roman"/>
          <w:color w:val="auto"/>
          <w:sz w:val="24"/>
          <w:highlight w:val="none"/>
        </w:rPr>
        <w:t>和保修。</w:t>
      </w:r>
    </w:p>
    <w:p w14:paraId="41045EE0">
      <w:pPr>
        <w:tabs>
          <w:tab w:val="left" w:pos="0"/>
        </w:tabs>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cs="Times New Roman"/>
          <w:color w:val="auto"/>
          <w:sz w:val="24"/>
          <w:highlight w:val="none"/>
          <w:lang w:val="en-US" w:eastAsia="zh-CN"/>
        </w:rPr>
        <w:t>7</w:t>
      </w:r>
      <w:r>
        <w:rPr>
          <w:rFonts w:ascii="Times New Roman" w:hAnsi="Times New Roman" w:eastAsia="宋体" w:cs="Times New Roman"/>
          <w:color w:val="auto"/>
          <w:sz w:val="24"/>
          <w:highlight w:val="none"/>
        </w:rPr>
        <w:t>）投标人负责为采购人技术人员提供必要的培训服务及现场技术支持，相关费用应包含在投标总价中。</w:t>
      </w:r>
    </w:p>
    <w:p w14:paraId="1896DA87">
      <w:pPr>
        <w:tabs>
          <w:tab w:val="left" w:pos="0"/>
        </w:tabs>
        <w:spacing w:line="360" w:lineRule="auto"/>
        <w:ind w:firstLine="480" w:firstLineChars="200"/>
        <w:rPr>
          <w:rFonts w:ascii="Times New Roman" w:hAnsi="Times New Roman" w:eastAsia="宋体" w:cs="Times New Roman"/>
          <w:color w:val="auto"/>
          <w:sz w:val="24"/>
          <w:highlight w:val="none"/>
        </w:rPr>
      </w:pPr>
      <w:r>
        <w:rPr>
          <w:rFonts w:hint="eastAsia" w:ascii="Times New Roman" w:hAnsi="Times New Roman" w:cs="Times New Roman"/>
          <w:color w:val="auto"/>
          <w:sz w:val="24"/>
          <w:highlight w:val="none"/>
          <w:lang w:val="en-US" w:eastAsia="zh-CN"/>
        </w:rPr>
        <w:t>8</w:t>
      </w:r>
      <w:r>
        <w:rPr>
          <w:rFonts w:ascii="Times New Roman" w:hAnsi="Times New Roman" w:eastAsia="宋体" w:cs="Times New Roman"/>
          <w:color w:val="auto"/>
          <w:sz w:val="24"/>
          <w:highlight w:val="none"/>
        </w:rPr>
        <w:t>）</w:t>
      </w:r>
      <w:r>
        <w:rPr>
          <w:rFonts w:hint="eastAsia" w:ascii="Times New Roman" w:hAnsi="Times New Roman" w:cs="Times New Roman"/>
          <w:bCs/>
          <w:color w:val="auto"/>
          <w:sz w:val="24"/>
          <w:highlight w:val="none"/>
        </w:rPr>
        <w:t>针对本项目涉及原厂服务的，</w:t>
      </w:r>
      <w:r>
        <w:rPr>
          <w:rFonts w:ascii="Times New Roman" w:hAnsi="Times New Roman" w:eastAsia="宋体" w:cs="Times New Roman"/>
          <w:color w:val="auto"/>
          <w:sz w:val="24"/>
          <w:highlight w:val="none"/>
        </w:rPr>
        <w:t>中标人应自中标公告发出之日起</w:t>
      </w:r>
      <w:r>
        <w:rPr>
          <w:rFonts w:hint="eastAsia" w:ascii="Times New Roman" w:hAnsi="Times New Roman" w:cs="Times New Roman"/>
          <w:color w:val="auto"/>
          <w:sz w:val="24"/>
          <w:highlight w:val="none"/>
          <w:lang w:val="en-US" w:eastAsia="zh-CN"/>
        </w:rPr>
        <w:t>5</w:t>
      </w:r>
      <w:r>
        <w:rPr>
          <w:rFonts w:ascii="Times New Roman" w:hAnsi="Times New Roman" w:eastAsia="宋体" w:cs="Times New Roman"/>
          <w:color w:val="auto"/>
          <w:sz w:val="24"/>
          <w:highlight w:val="none"/>
        </w:rPr>
        <w:t>个工作日内，向采购人提供加盖原厂公章的原厂</w:t>
      </w:r>
      <w:r>
        <w:rPr>
          <w:rFonts w:hint="eastAsia" w:ascii="Times New Roman" w:hAnsi="Times New Roman" w:cs="Times New Roman"/>
          <w:color w:val="auto"/>
          <w:sz w:val="24"/>
          <w:highlight w:val="none"/>
          <w:lang w:eastAsia="zh-CN"/>
        </w:rPr>
        <w:t>服务</w:t>
      </w:r>
      <w:r>
        <w:rPr>
          <w:rFonts w:ascii="Times New Roman" w:hAnsi="Times New Roman" w:eastAsia="宋体" w:cs="Times New Roman"/>
          <w:color w:val="auto"/>
          <w:sz w:val="24"/>
          <w:highlight w:val="none"/>
        </w:rPr>
        <w:t>承诺函。</w:t>
      </w:r>
    </w:p>
    <w:p w14:paraId="73A632F1">
      <w:pPr>
        <w:tabs>
          <w:tab w:val="left" w:pos="0"/>
        </w:tabs>
        <w:spacing w:line="360" w:lineRule="auto"/>
        <w:outlineLvl w:val="2"/>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5.其他</w:t>
      </w:r>
    </w:p>
    <w:p w14:paraId="067C047C">
      <w:pPr>
        <w:widowControl w:val="0"/>
        <w:ind w:left="420" w:leftChars="200"/>
        <w:jc w:val="both"/>
        <w:rPr>
          <w:rFonts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完成本项目上述工作的</w:t>
      </w:r>
      <w:r>
        <w:rPr>
          <w:rFonts w:ascii="Times New Roman" w:hAnsi="Times New Roman" w:eastAsia="宋体" w:cs="Times New Roman"/>
          <w:color w:val="auto"/>
          <w:kern w:val="2"/>
          <w:sz w:val="24"/>
          <w:szCs w:val="24"/>
          <w:highlight w:val="none"/>
          <w:lang w:val="en-US" w:eastAsia="zh-CN" w:bidi="ar-SA"/>
        </w:rPr>
        <w:t>相关费用</w:t>
      </w:r>
      <w:r>
        <w:rPr>
          <w:rFonts w:hint="eastAsia" w:ascii="Times New Roman" w:hAnsi="Times New Roman" w:eastAsia="宋体" w:cs="Times New Roman"/>
          <w:color w:val="auto"/>
          <w:kern w:val="2"/>
          <w:sz w:val="24"/>
          <w:szCs w:val="24"/>
          <w:highlight w:val="none"/>
          <w:lang w:val="en-US" w:eastAsia="zh-CN" w:bidi="ar-SA"/>
        </w:rPr>
        <w:t>均</w:t>
      </w:r>
      <w:r>
        <w:rPr>
          <w:rFonts w:ascii="Times New Roman" w:hAnsi="Times New Roman" w:eastAsia="宋体" w:cs="Times New Roman"/>
          <w:color w:val="auto"/>
          <w:kern w:val="2"/>
          <w:sz w:val="24"/>
          <w:szCs w:val="24"/>
          <w:highlight w:val="none"/>
          <w:lang w:val="en-US" w:eastAsia="zh-CN" w:bidi="ar-SA"/>
        </w:rPr>
        <w:t>包含在投标总价中。</w:t>
      </w:r>
    </w:p>
    <w:p w14:paraId="7AA4383D">
      <w:pPr>
        <w:keepNext/>
        <w:keepLines/>
        <w:widowControl w:val="0"/>
        <w:autoSpaceDE w:val="0"/>
        <w:autoSpaceDN w:val="0"/>
        <w:adjustRightInd w:val="0"/>
        <w:spacing w:before="120" w:after="120" w:line="300" w:lineRule="auto"/>
        <w:jc w:val="both"/>
        <w:outlineLvl w:val="1"/>
        <w:rPr>
          <w:rFonts w:ascii="Times New Roman" w:hAnsi="Times New Roman" w:eastAsia="宋体" w:cs="Times New Roman"/>
          <w:b/>
          <w:color w:val="auto"/>
          <w:kern w:val="0"/>
          <w:sz w:val="24"/>
          <w:szCs w:val="24"/>
          <w:highlight w:val="none"/>
          <w:lang w:val="en-US" w:eastAsia="zh-CN" w:bidi="ar-SA"/>
        </w:rPr>
      </w:pPr>
      <w:r>
        <w:rPr>
          <w:rFonts w:ascii="Times New Roman" w:hAnsi="Times New Roman" w:eastAsia="宋体" w:cs="Times New Roman"/>
          <w:b/>
          <w:color w:val="auto"/>
          <w:kern w:val="0"/>
          <w:sz w:val="24"/>
          <w:szCs w:val="24"/>
          <w:highlight w:val="none"/>
          <w:lang w:val="en-US" w:eastAsia="zh-CN" w:bidi="ar-SA"/>
        </w:rPr>
        <w:t>三、技术要求</w:t>
      </w:r>
    </w:p>
    <w:p w14:paraId="25823A5F">
      <w:pPr>
        <w:spacing w:line="360" w:lineRule="auto"/>
        <w:contextualSpacing/>
        <w:outlineLvl w:val="2"/>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1. 基本要求</w:t>
      </w:r>
    </w:p>
    <w:p w14:paraId="49C4685F">
      <w:pPr>
        <w:spacing w:line="360" w:lineRule="auto"/>
        <w:ind w:firstLine="480" w:firstLineChars="200"/>
        <w:contextualSpacing/>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1.1 采购标的需实现的功能或者目标</w:t>
      </w:r>
    </w:p>
    <w:p w14:paraId="4271921D">
      <w:pPr>
        <w:spacing w:line="360" w:lineRule="auto"/>
        <w:ind w:firstLine="482"/>
        <w:contextualSpacing/>
        <w:rPr>
          <w:rFonts w:hint="eastAsia" w:ascii="Times New Roman" w:hAnsi="Times New Roman" w:cs="Times New Roman"/>
          <w:bCs/>
          <w:color w:val="auto"/>
          <w:sz w:val="24"/>
          <w:highlight w:val="none"/>
          <w:lang w:val="en-US" w:eastAsia="zh-CN"/>
        </w:rPr>
      </w:pPr>
      <w:r>
        <w:rPr>
          <w:rFonts w:hint="eastAsia" w:ascii="Times New Roman" w:hAnsi="Times New Roman" w:cs="Times New Roman"/>
          <w:bCs/>
          <w:color w:val="auto"/>
          <w:sz w:val="24"/>
          <w:highlight w:val="none"/>
          <w:lang w:val="en-US" w:eastAsia="zh-CN"/>
        </w:rPr>
        <w:t>1.1.1需实现的功能</w:t>
      </w:r>
    </w:p>
    <w:p w14:paraId="4B996A8F">
      <w:pPr>
        <w:spacing w:line="360" w:lineRule="auto"/>
        <w:ind w:firstLine="482"/>
        <w:contextualSpacing/>
        <w:rPr>
          <w:rFonts w:ascii="Times New Roman" w:hAnsi="Times New Roman" w:eastAsia="宋体" w:cs="Times New Roman"/>
          <w:bCs/>
          <w:color w:val="auto"/>
          <w:sz w:val="24"/>
          <w:highlight w:val="none"/>
        </w:rPr>
      </w:pPr>
      <w:r>
        <w:rPr>
          <w:rFonts w:ascii="Times New Roman" w:hAnsi="Times New Roman" w:eastAsia="宋体" w:cs="Times New Roman"/>
          <w:bCs/>
          <w:color w:val="auto"/>
          <w:sz w:val="24"/>
          <w:highlight w:val="none"/>
        </w:rPr>
        <w:t>★本项目</w:t>
      </w:r>
      <w:r>
        <w:rPr>
          <w:rFonts w:hint="eastAsia" w:ascii="Times New Roman" w:hAnsi="Times New Roman" w:eastAsia="宋体" w:cs="Times New Roman"/>
          <w:bCs/>
          <w:color w:val="auto"/>
          <w:sz w:val="24"/>
          <w:highlight w:val="none"/>
          <w:lang w:eastAsia="zh-CN"/>
        </w:rPr>
        <w:t>采购</w:t>
      </w:r>
      <w:r>
        <w:rPr>
          <w:rFonts w:hint="eastAsia" w:ascii="Times New Roman" w:hAnsi="Times New Roman" w:eastAsia="宋体" w:cs="Times New Roman"/>
          <w:bCs/>
          <w:color w:val="auto"/>
          <w:sz w:val="24"/>
          <w:highlight w:val="none"/>
          <w:lang w:val="en-US" w:eastAsia="zh-CN"/>
        </w:rPr>
        <w:t>16台</w:t>
      </w:r>
      <w:r>
        <w:rPr>
          <w:rFonts w:hint="eastAsia" w:ascii="Times New Roman" w:hAnsi="Times New Roman" w:eastAsia="宋体" w:cs="Times New Roman"/>
          <w:bCs/>
          <w:color w:val="auto"/>
          <w:sz w:val="24"/>
          <w:highlight w:val="none"/>
        </w:rPr>
        <w:t>在线式高频模块化UPS</w:t>
      </w:r>
      <w:r>
        <w:rPr>
          <w:rFonts w:hint="eastAsia" w:ascii="Times New Roman" w:hAnsi="Times New Roman" w:eastAsia="宋体" w:cs="Times New Roman"/>
          <w:bCs/>
          <w:color w:val="auto"/>
          <w:sz w:val="24"/>
          <w:highlight w:val="none"/>
          <w:lang w:eastAsia="zh-CN"/>
        </w:rPr>
        <w:t>（</w:t>
      </w:r>
      <w:r>
        <w:rPr>
          <w:rFonts w:hint="eastAsia" w:ascii="Times New Roman" w:hAnsi="Times New Roman" w:eastAsia="宋体" w:cs="Times New Roman"/>
          <w:bCs/>
          <w:color w:val="auto"/>
          <w:sz w:val="24"/>
          <w:highlight w:val="none"/>
        </w:rPr>
        <w:t>UPS整机容量</w:t>
      </w:r>
      <w:r>
        <w:rPr>
          <w:rFonts w:hint="eastAsia" w:ascii="Times New Roman" w:hAnsi="Times New Roman" w:cs="Times New Roman"/>
          <w:bCs/>
          <w:color w:val="auto"/>
          <w:sz w:val="24"/>
          <w:highlight w:val="none"/>
          <w:lang w:eastAsia="zh-CN"/>
        </w:rPr>
        <w:t>不低于</w:t>
      </w:r>
      <w:r>
        <w:rPr>
          <w:rFonts w:hint="eastAsia" w:ascii="Times New Roman" w:hAnsi="Times New Roman" w:eastAsia="宋体" w:cs="Times New Roman"/>
          <w:bCs/>
          <w:color w:val="auto"/>
          <w:sz w:val="24"/>
          <w:highlight w:val="none"/>
        </w:rPr>
        <w:t>600KVA，单功率模块不低于60KVA</w:t>
      </w:r>
      <w:r>
        <w:rPr>
          <w:rFonts w:hint="eastAsia" w:ascii="Times New Roman" w:hAnsi="Times New Roman" w:eastAsia="宋体" w:cs="Times New Roman"/>
          <w:bCs/>
          <w:color w:val="auto"/>
          <w:sz w:val="24"/>
          <w:highlight w:val="none"/>
          <w:lang w:val="en-US" w:eastAsia="zh-CN"/>
        </w:rPr>
        <w:t>，</w:t>
      </w:r>
      <w:r>
        <w:rPr>
          <w:rFonts w:hint="eastAsia" w:ascii="Times New Roman" w:hAnsi="Times New Roman" w:eastAsia="宋体" w:cs="Times New Roman"/>
          <w:bCs/>
          <w:color w:val="auto"/>
          <w:sz w:val="24"/>
          <w:highlight w:val="none"/>
        </w:rPr>
        <w:t>标配开关</w:t>
      </w:r>
      <w:r>
        <w:rPr>
          <w:rFonts w:hint="eastAsia" w:ascii="Times New Roman" w:hAnsi="Times New Roman" w:eastAsia="宋体" w:cs="Times New Roman"/>
          <w:bCs/>
          <w:color w:val="auto"/>
          <w:sz w:val="24"/>
          <w:highlight w:val="none"/>
          <w:lang w:eastAsia="zh-CN"/>
        </w:rPr>
        <w:t>不低于</w:t>
      </w:r>
      <w:r>
        <w:rPr>
          <w:rFonts w:hint="eastAsia" w:ascii="Times New Roman" w:hAnsi="Times New Roman" w:eastAsia="宋体" w:cs="Times New Roman"/>
          <w:bCs/>
          <w:color w:val="auto"/>
          <w:sz w:val="24"/>
          <w:highlight w:val="none"/>
        </w:rPr>
        <w:t>3</w:t>
      </w:r>
      <w:r>
        <w:rPr>
          <w:rFonts w:hint="eastAsia" w:ascii="Times New Roman" w:hAnsi="Times New Roman" w:eastAsia="宋体" w:cs="Times New Roman"/>
          <w:bCs/>
          <w:color w:val="auto"/>
          <w:sz w:val="24"/>
          <w:highlight w:val="none"/>
          <w:lang w:eastAsia="zh-CN"/>
        </w:rPr>
        <w:t>个</w:t>
      </w:r>
      <w:r>
        <w:rPr>
          <w:rFonts w:hint="eastAsia" w:ascii="Times New Roman" w:hAnsi="Times New Roman" w:eastAsia="宋体" w:cs="Times New Roman"/>
          <w:bCs/>
          <w:color w:val="auto"/>
          <w:sz w:val="24"/>
          <w:highlight w:val="none"/>
        </w:rPr>
        <w:t>，含原厂</w:t>
      </w:r>
      <w:r>
        <w:rPr>
          <w:rFonts w:hint="eastAsia" w:ascii="Times New Roman" w:hAnsi="Times New Roman" w:eastAsia="宋体" w:cs="Times New Roman"/>
          <w:bCs/>
          <w:color w:val="auto"/>
          <w:sz w:val="24"/>
          <w:highlight w:val="none"/>
          <w:lang w:eastAsia="zh-CN"/>
        </w:rPr>
        <w:t>现场</w:t>
      </w:r>
      <w:r>
        <w:rPr>
          <w:rFonts w:hint="eastAsia" w:ascii="Times New Roman" w:hAnsi="Times New Roman" w:eastAsia="宋体" w:cs="Times New Roman"/>
          <w:bCs/>
          <w:color w:val="auto"/>
          <w:sz w:val="24"/>
          <w:highlight w:val="none"/>
        </w:rPr>
        <w:t>督导</w:t>
      </w:r>
      <w:r>
        <w:rPr>
          <w:rFonts w:hint="eastAsia" w:ascii="Times New Roman" w:hAnsi="Times New Roman" w:cs="Times New Roman"/>
          <w:bCs/>
          <w:color w:val="auto"/>
          <w:sz w:val="24"/>
          <w:highlight w:val="none"/>
          <w:lang w:eastAsia="zh-CN"/>
        </w:rPr>
        <w:t>安装</w:t>
      </w:r>
      <w:r>
        <w:rPr>
          <w:rFonts w:hint="eastAsia" w:ascii="Times New Roman" w:hAnsi="Times New Roman" w:eastAsia="宋体" w:cs="Times New Roman"/>
          <w:bCs/>
          <w:color w:val="auto"/>
          <w:sz w:val="24"/>
          <w:highlight w:val="none"/>
        </w:rPr>
        <w:t>调试及维保服务</w:t>
      </w:r>
      <w:r>
        <w:rPr>
          <w:rFonts w:hint="eastAsia" w:ascii="Times New Roman" w:hAnsi="Times New Roman" w:eastAsia="宋体" w:cs="Times New Roman"/>
          <w:bCs/>
          <w:color w:val="auto"/>
          <w:sz w:val="24"/>
          <w:highlight w:val="none"/>
          <w:lang w:eastAsia="zh-CN"/>
        </w:rPr>
        <w:t>），实现北京市公安局新建机房的安全</w:t>
      </w:r>
      <w:r>
        <w:rPr>
          <w:rFonts w:hint="eastAsia" w:ascii="Times New Roman" w:hAnsi="Times New Roman" w:cs="Times New Roman"/>
          <w:bCs/>
          <w:color w:val="auto"/>
          <w:sz w:val="24"/>
          <w:highlight w:val="none"/>
          <w:lang w:eastAsia="zh-CN"/>
        </w:rPr>
        <w:t>、</w:t>
      </w:r>
      <w:r>
        <w:rPr>
          <w:rFonts w:hint="eastAsia" w:ascii="Times New Roman" w:hAnsi="Times New Roman" w:eastAsia="宋体" w:cs="Times New Roman"/>
          <w:bCs/>
          <w:color w:val="auto"/>
          <w:sz w:val="24"/>
          <w:highlight w:val="none"/>
          <w:lang w:eastAsia="zh-CN"/>
        </w:rPr>
        <w:t>稳定供电。</w:t>
      </w:r>
      <w:r>
        <w:rPr>
          <w:rFonts w:hint="eastAsia" w:ascii="Times New Roman" w:hAnsi="Times New Roman" w:eastAsia="宋体" w:cs="Times New Roman"/>
          <w:bCs/>
          <w:color w:val="auto"/>
          <w:sz w:val="24"/>
          <w:highlight w:val="none"/>
          <w:lang w:val="en-US" w:eastAsia="zh-CN"/>
        </w:rPr>
        <w:t>UPS不间断电源</w:t>
      </w:r>
      <w:r>
        <w:rPr>
          <w:rFonts w:ascii="Times New Roman" w:hAnsi="Times New Roman" w:eastAsia="宋体" w:cs="Times New Roman"/>
          <w:bCs/>
          <w:color w:val="auto"/>
          <w:sz w:val="24"/>
          <w:highlight w:val="none"/>
        </w:rPr>
        <w:t>应具有足够兼容性，</w:t>
      </w:r>
      <w:r>
        <w:rPr>
          <w:rFonts w:hint="eastAsia" w:ascii="Times New Roman" w:hAnsi="Times New Roman" w:eastAsia="宋体" w:cs="Times New Roman"/>
          <w:bCs/>
          <w:color w:val="auto"/>
          <w:sz w:val="24"/>
          <w:highlight w:val="none"/>
          <w:lang w:eastAsia="zh-CN"/>
        </w:rPr>
        <w:t>可以适配采购人机房新增基础环境设施建设项目</w:t>
      </w:r>
      <w:r>
        <w:rPr>
          <w:rFonts w:hint="eastAsia" w:ascii="Times New Roman" w:hAnsi="Times New Roman" w:cs="Times New Roman"/>
          <w:bCs/>
          <w:color w:val="auto"/>
          <w:sz w:val="24"/>
          <w:highlight w:val="none"/>
          <w:lang w:eastAsia="zh-CN"/>
        </w:rPr>
        <w:t>（</w:t>
      </w:r>
      <w:r>
        <w:rPr>
          <w:rFonts w:hint="eastAsia" w:ascii="Times New Roman" w:hAnsi="Times New Roman" w:eastAsia="宋体" w:cs="Times New Roman"/>
          <w:bCs/>
          <w:color w:val="auto"/>
          <w:sz w:val="24"/>
          <w:highlight w:val="none"/>
          <w:lang w:eastAsia="zh-CN"/>
        </w:rPr>
        <w:t>第</w:t>
      </w:r>
      <w:r>
        <w:rPr>
          <w:rFonts w:hint="eastAsia" w:ascii="Times New Roman" w:hAnsi="Times New Roman" w:eastAsia="宋体" w:cs="Times New Roman"/>
          <w:bCs/>
          <w:color w:val="auto"/>
          <w:sz w:val="24"/>
          <w:highlight w:val="none"/>
          <w:lang w:val="en-US" w:eastAsia="zh-CN"/>
        </w:rPr>
        <w:t>1</w:t>
      </w:r>
      <w:r>
        <w:rPr>
          <w:rFonts w:hint="eastAsia" w:ascii="Times New Roman" w:hAnsi="Times New Roman" w:eastAsia="宋体" w:cs="Times New Roman"/>
          <w:bCs/>
          <w:color w:val="auto"/>
          <w:sz w:val="24"/>
          <w:highlight w:val="none"/>
          <w:lang w:eastAsia="zh-CN"/>
        </w:rPr>
        <w:t>包</w:t>
      </w:r>
      <w:r>
        <w:rPr>
          <w:rFonts w:hint="eastAsia" w:ascii="Times New Roman" w:hAnsi="Times New Roman" w:cs="Times New Roman"/>
          <w:bCs/>
          <w:color w:val="auto"/>
          <w:sz w:val="24"/>
          <w:highlight w:val="none"/>
          <w:lang w:eastAsia="zh-CN"/>
        </w:rPr>
        <w:t>）</w:t>
      </w:r>
      <w:r>
        <w:rPr>
          <w:rFonts w:hint="eastAsia" w:ascii="Times New Roman" w:hAnsi="Times New Roman" w:eastAsia="宋体" w:cs="Times New Roman"/>
          <w:bCs/>
          <w:color w:val="auto"/>
          <w:sz w:val="24"/>
          <w:highlight w:val="none"/>
          <w:lang w:eastAsia="zh-CN"/>
        </w:rPr>
        <w:t>中配电柜、蓄电池、电缆等设备</w:t>
      </w:r>
      <w:r>
        <w:rPr>
          <w:rFonts w:hint="eastAsia" w:ascii="Times New Roman" w:hAnsi="Times New Roman" w:cs="Times New Roman"/>
          <w:bCs/>
          <w:color w:val="auto"/>
          <w:sz w:val="24"/>
          <w:highlight w:val="none"/>
          <w:lang w:eastAsia="zh-CN"/>
        </w:rPr>
        <w:t>，适配现场安装环境</w:t>
      </w:r>
      <w:r>
        <w:rPr>
          <w:rFonts w:hint="eastAsia" w:ascii="Times New Roman" w:hAnsi="Times New Roman" w:eastAsia="宋体" w:cs="Times New Roman"/>
          <w:bCs/>
          <w:color w:val="auto"/>
          <w:sz w:val="24"/>
          <w:highlight w:val="none"/>
          <w:lang w:eastAsia="zh-CN"/>
        </w:rPr>
        <w:t>，</w:t>
      </w:r>
      <w:r>
        <w:rPr>
          <w:rFonts w:ascii="Times New Roman" w:hAnsi="Times New Roman" w:eastAsia="宋体" w:cs="Times New Roman"/>
          <w:bCs/>
          <w:color w:val="auto"/>
          <w:sz w:val="24"/>
          <w:highlight w:val="none"/>
        </w:rPr>
        <w:t>并</w:t>
      </w:r>
      <w:r>
        <w:rPr>
          <w:rFonts w:hint="eastAsia" w:ascii="Times New Roman" w:hAnsi="Times New Roman" w:eastAsia="宋体" w:cs="Times New Roman"/>
          <w:bCs/>
          <w:color w:val="auto"/>
          <w:sz w:val="24"/>
          <w:highlight w:val="none"/>
          <w:lang w:eastAsia="zh-CN"/>
        </w:rPr>
        <w:t>可接入采购人动环检测系统实现</w:t>
      </w:r>
      <w:r>
        <w:rPr>
          <w:rFonts w:hint="eastAsia" w:ascii="Times New Roman" w:hAnsi="Times New Roman" w:cs="Times New Roman"/>
          <w:bCs/>
          <w:color w:val="auto"/>
          <w:sz w:val="24"/>
          <w:highlight w:val="none"/>
          <w:lang w:val="en-US" w:eastAsia="zh-CN"/>
        </w:rPr>
        <w:t>UPS</w:t>
      </w:r>
      <w:r>
        <w:rPr>
          <w:rFonts w:ascii="Times New Roman" w:hAnsi="Times New Roman" w:eastAsia="宋体" w:cs="Times New Roman"/>
          <w:bCs/>
          <w:color w:val="auto"/>
          <w:sz w:val="24"/>
          <w:highlight w:val="none"/>
        </w:rPr>
        <w:t>设备</w:t>
      </w:r>
      <w:r>
        <w:rPr>
          <w:rFonts w:hint="eastAsia" w:ascii="Times New Roman" w:hAnsi="Times New Roman" w:eastAsia="宋体" w:cs="Times New Roman"/>
          <w:bCs/>
          <w:color w:val="auto"/>
          <w:sz w:val="24"/>
          <w:highlight w:val="none"/>
          <w:lang w:eastAsia="zh-CN"/>
        </w:rPr>
        <w:t>的</w:t>
      </w:r>
      <w:r>
        <w:rPr>
          <w:rFonts w:ascii="Times New Roman" w:hAnsi="Times New Roman" w:eastAsia="宋体" w:cs="Times New Roman"/>
          <w:bCs/>
          <w:color w:val="auto"/>
          <w:sz w:val="24"/>
          <w:highlight w:val="none"/>
        </w:rPr>
        <w:t>统一管理</w:t>
      </w:r>
      <w:r>
        <w:rPr>
          <w:rFonts w:hint="eastAsia" w:ascii="Times New Roman" w:hAnsi="Times New Roman" w:eastAsia="宋体" w:cs="Times New Roman"/>
          <w:bCs/>
          <w:color w:val="auto"/>
          <w:sz w:val="24"/>
          <w:highlight w:val="none"/>
          <w:lang w:eastAsia="zh-CN"/>
        </w:rPr>
        <w:t>。</w:t>
      </w:r>
      <w:r>
        <w:rPr>
          <w:rFonts w:ascii="Times New Roman" w:hAnsi="Times New Roman" w:eastAsia="宋体" w:cs="Times New Roman"/>
          <w:bCs/>
          <w:color w:val="auto"/>
          <w:sz w:val="24"/>
          <w:highlight w:val="none"/>
        </w:rPr>
        <w:t>投标人须提供承诺函并加盖投标人公章。</w:t>
      </w:r>
    </w:p>
    <w:p w14:paraId="5EE3E3FE">
      <w:pPr>
        <w:widowControl w:val="0"/>
        <w:ind w:left="420" w:leftChars="200"/>
        <w:jc w:val="both"/>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1.1.2需实现的目标</w:t>
      </w:r>
    </w:p>
    <w:p w14:paraId="2B07E2F9">
      <w:pPr>
        <w:spacing w:line="360" w:lineRule="auto"/>
        <w:ind w:firstLine="482"/>
        <w:contextualSpacing/>
        <w:rPr>
          <w:rFonts w:hint="eastAsia" w:ascii="Times New Roman" w:hAnsi="Times New Roman" w:eastAsia="宋体" w:cs="Times New Roman"/>
          <w:bCs/>
          <w:color w:val="auto"/>
          <w:sz w:val="24"/>
          <w:highlight w:val="none"/>
          <w:lang w:eastAsia="zh-CN"/>
        </w:rPr>
      </w:pPr>
      <w:r>
        <w:rPr>
          <w:rFonts w:hint="eastAsia" w:ascii="Times New Roman" w:hAnsi="Times New Roman" w:cs="Times New Roman"/>
          <w:bCs/>
          <w:color w:val="auto"/>
          <w:sz w:val="24"/>
          <w:highlight w:val="none"/>
        </w:rPr>
        <w:t>（</w:t>
      </w:r>
      <w:r>
        <w:rPr>
          <w:rFonts w:ascii="Times New Roman" w:hAnsi="Times New Roman" w:cs="Times New Roman"/>
          <w:bCs/>
          <w:color w:val="auto"/>
          <w:sz w:val="24"/>
          <w:highlight w:val="none"/>
        </w:rPr>
        <w:t>1</w:t>
      </w:r>
      <w:r>
        <w:rPr>
          <w:rFonts w:hint="eastAsia" w:ascii="Times New Roman" w:hAnsi="Times New Roman" w:cs="Times New Roman"/>
          <w:bCs/>
          <w:color w:val="auto"/>
          <w:sz w:val="24"/>
          <w:highlight w:val="none"/>
        </w:rPr>
        <w:t>）高可靠</w:t>
      </w:r>
      <w:r>
        <w:rPr>
          <w:rFonts w:hint="eastAsia" w:ascii="Times New Roman" w:hAnsi="Times New Roman" w:cs="Times New Roman"/>
          <w:bCs/>
          <w:color w:val="auto"/>
          <w:sz w:val="24"/>
          <w:highlight w:val="none"/>
          <w:lang w:eastAsia="zh-CN"/>
        </w:rPr>
        <w:t>性</w:t>
      </w:r>
    </w:p>
    <w:p w14:paraId="3A10C2E0">
      <w:pPr>
        <w:spacing w:line="360" w:lineRule="auto"/>
        <w:ind w:firstLine="480" w:firstLineChars="200"/>
        <w:contextualSpacing/>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应具有高可靠性、可用性，确保机房7×24小时连续不间断的可靠运行。UPS应具有容错或冗余设计，最大程度减少单点故障的存在，降低单点问题影响机房整体使用的概率。</w:t>
      </w:r>
    </w:p>
    <w:p w14:paraId="6A593613">
      <w:pPr>
        <w:spacing w:line="360" w:lineRule="auto"/>
        <w:ind w:firstLine="482"/>
        <w:contextualSpacing/>
        <w:rPr>
          <w:rFonts w:ascii="Times New Roman" w:hAnsi="Times New Roman" w:cs="Times New Roman"/>
          <w:bCs/>
          <w:color w:val="auto"/>
          <w:sz w:val="24"/>
          <w:highlight w:val="none"/>
        </w:rPr>
      </w:pPr>
      <w:r>
        <w:rPr>
          <w:rFonts w:hint="eastAsia" w:ascii="Times New Roman" w:hAnsi="Times New Roman" w:cs="Times New Roman"/>
          <w:bCs/>
          <w:color w:val="auto"/>
          <w:sz w:val="24"/>
          <w:highlight w:val="none"/>
        </w:rPr>
        <w:t>（</w:t>
      </w:r>
      <w:r>
        <w:rPr>
          <w:rFonts w:ascii="Times New Roman" w:hAnsi="Times New Roman" w:cs="Times New Roman"/>
          <w:bCs/>
          <w:color w:val="auto"/>
          <w:sz w:val="24"/>
          <w:highlight w:val="none"/>
        </w:rPr>
        <w:t>2</w:t>
      </w:r>
      <w:r>
        <w:rPr>
          <w:rFonts w:hint="eastAsia" w:ascii="Times New Roman" w:hAnsi="Times New Roman" w:cs="Times New Roman"/>
          <w:bCs/>
          <w:color w:val="auto"/>
          <w:sz w:val="24"/>
          <w:highlight w:val="none"/>
        </w:rPr>
        <w:t>）可扩展性</w:t>
      </w:r>
    </w:p>
    <w:p w14:paraId="0DB0E034">
      <w:pPr>
        <w:spacing w:line="360" w:lineRule="auto"/>
        <w:ind w:firstLine="480" w:firstLineChars="200"/>
        <w:contextualSpacing/>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应具备良好的灵活性和可扩展性，可根据机房业务发展的需要，扩大机房容量。UPS应支持容量扩展，采用并机方式增加功率容量，保证后期通过最小化改动达到机房灵活扩展的目标。</w:t>
      </w:r>
    </w:p>
    <w:p w14:paraId="0271A597">
      <w:pPr>
        <w:spacing w:line="360" w:lineRule="auto"/>
        <w:ind w:firstLine="482"/>
        <w:contextualSpacing/>
        <w:rPr>
          <w:rFonts w:ascii="Times New Roman" w:hAnsi="Times New Roman" w:cs="Times New Roman"/>
          <w:bCs/>
          <w:color w:val="auto"/>
          <w:sz w:val="24"/>
          <w:highlight w:val="none"/>
        </w:rPr>
      </w:pPr>
      <w:r>
        <w:rPr>
          <w:rFonts w:hint="eastAsia" w:ascii="Times New Roman" w:hAnsi="Times New Roman" w:cs="Times New Roman"/>
          <w:bCs/>
          <w:color w:val="auto"/>
          <w:sz w:val="24"/>
          <w:highlight w:val="none"/>
        </w:rPr>
        <w:t>（</w:t>
      </w:r>
      <w:r>
        <w:rPr>
          <w:rFonts w:ascii="Times New Roman" w:hAnsi="Times New Roman" w:cs="Times New Roman"/>
          <w:bCs/>
          <w:color w:val="auto"/>
          <w:sz w:val="24"/>
          <w:highlight w:val="none"/>
        </w:rPr>
        <w:t>3</w:t>
      </w:r>
      <w:r>
        <w:rPr>
          <w:rFonts w:hint="eastAsia" w:ascii="Times New Roman" w:hAnsi="Times New Roman" w:cs="Times New Roman"/>
          <w:bCs/>
          <w:color w:val="auto"/>
          <w:sz w:val="24"/>
          <w:highlight w:val="none"/>
        </w:rPr>
        <w:t>）智能性</w:t>
      </w:r>
    </w:p>
    <w:p w14:paraId="00706749">
      <w:pPr>
        <w:spacing w:line="360" w:lineRule="auto"/>
        <w:ind w:firstLine="480" w:firstLineChars="200"/>
        <w:contextualSpacing/>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应具备智能化特性，可通过智能化管理实现故障快速定位及部件老化主动预警。具备良好的人机交互界面，帮助运维人员高效的完成设备维护工作。</w:t>
      </w:r>
    </w:p>
    <w:p w14:paraId="51A8D79C">
      <w:pPr>
        <w:spacing w:line="360" w:lineRule="auto"/>
        <w:ind w:firstLine="482"/>
        <w:contextualSpacing/>
        <w:rPr>
          <w:rFonts w:ascii="Times New Roman" w:hAnsi="Times New Roman" w:cs="Times New Roman"/>
          <w:bCs/>
          <w:color w:val="auto"/>
          <w:sz w:val="24"/>
          <w:highlight w:val="none"/>
        </w:rPr>
      </w:pPr>
      <w:r>
        <w:rPr>
          <w:rFonts w:hint="eastAsia" w:ascii="Times New Roman" w:hAnsi="Times New Roman" w:cs="Times New Roman"/>
          <w:bCs/>
          <w:color w:val="auto"/>
          <w:sz w:val="24"/>
          <w:highlight w:val="none"/>
        </w:rPr>
        <w:t>（</w:t>
      </w:r>
      <w:r>
        <w:rPr>
          <w:rFonts w:ascii="Times New Roman" w:hAnsi="Times New Roman" w:cs="Times New Roman"/>
          <w:bCs/>
          <w:color w:val="auto"/>
          <w:sz w:val="24"/>
          <w:highlight w:val="none"/>
        </w:rPr>
        <w:t>4</w:t>
      </w:r>
      <w:r>
        <w:rPr>
          <w:rFonts w:hint="eastAsia" w:ascii="Times New Roman" w:hAnsi="Times New Roman" w:cs="Times New Roman"/>
          <w:bCs/>
          <w:color w:val="auto"/>
          <w:sz w:val="24"/>
          <w:highlight w:val="none"/>
        </w:rPr>
        <w:t>）绿色节能</w:t>
      </w:r>
    </w:p>
    <w:p w14:paraId="4BF7E3EC">
      <w:pPr>
        <w:spacing w:line="360" w:lineRule="auto"/>
        <w:ind w:firstLine="480" w:firstLineChars="200"/>
        <w:contextualSpacing/>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本项目建设应参照国家和北京市的节能相关标准，从电气、散热等多维度优化用能结构，降低能源消耗。所采用的设备和材料，应符合对应的国家标准环保要求，实现机房绿色、高效、低碳运行。</w:t>
      </w:r>
    </w:p>
    <w:p w14:paraId="09D900F0">
      <w:pPr>
        <w:spacing w:line="360" w:lineRule="auto"/>
        <w:ind w:firstLine="480" w:firstLineChars="200"/>
        <w:contextualSpacing/>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1.2 需执行的国家相关标准、行业标准、地方标准或者其他标准、规范</w:t>
      </w:r>
    </w:p>
    <w:p w14:paraId="1E868515">
      <w:pPr>
        <w:spacing w:line="360" w:lineRule="auto"/>
        <w:ind w:firstLine="480" w:firstLineChars="200"/>
        <w:contextualSpacing/>
        <w:rPr>
          <w:rFonts w:ascii="Times New Roman" w:hAnsi="Times New Roman" w:cs="Times New Roman"/>
          <w:color w:val="auto"/>
          <w:sz w:val="24"/>
          <w:highlight w:val="none"/>
        </w:rPr>
      </w:pPr>
      <w:r>
        <w:rPr>
          <w:rFonts w:ascii="Times New Roman" w:hAnsi="Times New Roman" w:cs="Times New Roman"/>
          <w:color w:val="auto"/>
          <w:sz w:val="24"/>
          <w:highlight w:val="none"/>
        </w:rPr>
        <w:t>国家相关标准、行业标准、地方标准或者其他标准、规范</w:t>
      </w:r>
    </w:p>
    <w:p w14:paraId="500FFA82">
      <w:pPr>
        <w:widowControl/>
        <w:shd w:val="clear" w:color="auto" w:fill="FFFFFF"/>
        <w:spacing w:line="360" w:lineRule="auto"/>
        <w:ind w:firstLine="450"/>
        <w:jc w:val="left"/>
        <w:rPr>
          <w:rFonts w:ascii="宋体" w:hAnsi="宋体" w:cs="宋体"/>
          <w:color w:val="auto"/>
          <w:kern w:val="0"/>
          <w:sz w:val="24"/>
          <w:highlight w:val="none"/>
        </w:rPr>
      </w:pPr>
      <w:r>
        <w:rPr>
          <w:rFonts w:hint="eastAsia" w:ascii="宋体" w:hAnsi="宋体" w:cs="宋体"/>
          <w:color w:val="auto"/>
          <w:kern w:val="0"/>
          <w:sz w:val="24"/>
          <w:highlight w:val="none"/>
        </w:rPr>
        <w:t>YD/T 2165-2017   《通信用模块化交流不间断电源》</w:t>
      </w:r>
    </w:p>
    <w:p w14:paraId="758EFAEE">
      <w:pPr>
        <w:widowControl/>
        <w:shd w:val="clear" w:color="auto" w:fill="FFFFFF"/>
        <w:spacing w:line="360" w:lineRule="auto"/>
        <w:ind w:firstLine="450"/>
        <w:jc w:val="left"/>
        <w:rPr>
          <w:rFonts w:ascii="宋体" w:hAnsi="宋体" w:cs="宋体"/>
          <w:color w:val="auto"/>
          <w:kern w:val="0"/>
          <w:sz w:val="24"/>
          <w:highlight w:val="none"/>
        </w:rPr>
      </w:pPr>
      <w:r>
        <w:rPr>
          <w:rFonts w:hint="eastAsia" w:ascii="宋体" w:hAnsi="宋体" w:cs="宋体"/>
          <w:color w:val="auto"/>
          <w:kern w:val="0"/>
          <w:sz w:val="24"/>
          <w:highlight w:val="none"/>
        </w:rPr>
        <w:t>YD/T 585-2010    《通信用配电设备》</w:t>
      </w:r>
    </w:p>
    <w:p w14:paraId="3C85AE31">
      <w:pPr>
        <w:widowControl/>
        <w:shd w:val="clear" w:color="auto" w:fill="FFFFFF"/>
        <w:spacing w:line="360" w:lineRule="auto"/>
        <w:ind w:firstLine="450"/>
        <w:jc w:val="left"/>
        <w:rPr>
          <w:rFonts w:ascii="宋体" w:hAnsi="宋体" w:cs="宋体"/>
          <w:color w:val="auto"/>
          <w:kern w:val="0"/>
          <w:sz w:val="24"/>
          <w:highlight w:val="none"/>
        </w:rPr>
      </w:pPr>
      <w:r>
        <w:rPr>
          <w:rFonts w:hint="eastAsia" w:ascii="宋体" w:hAnsi="宋体" w:cs="宋体"/>
          <w:color w:val="auto"/>
          <w:kern w:val="0"/>
          <w:sz w:val="24"/>
          <w:highlight w:val="none"/>
        </w:rPr>
        <w:t>YD/T 1095-2018   《通信用交流不间断电源（UPS）》</w:t>
      </w:r>
    </w:p>
    <w:p w14:paraId="561CAD71">
      <w:pPr>
        <w:widowControl/>
        <w:shd w:val="clear" w:color="auto" w:fill="FFFFFF"/>
        <w:spacing w:line="360" w:lineRule="auto"/>
        <w:ind w:firstLine="450"/>
        <w:jc w:val="left"/>
        <w:rPr>
          <w:rFonts w:ascii="宋体" w:hAnsi="宋体" w:cs="宋体"/>
          <w:color w:val="auto"/>
          <w:kern w:val="0"/>
          <w:sz w:val="24"/>
          <w:highlight w:val="none"/>
        </w:rPr>
      </w:pPr>
      <w:r>
        <w:rPr>
          <w:rFonts w:hint="eastAsia" w:ascii="宋体" w:hAnsi="宋体" w:cs="宋体"/>
          <w:color w:val="auto"/>
          <w:kern w:val="0"/>
          <w:sz w:val="24"/>
          <w:highlight w:val="none"/>
        </w:rPr>
        <w:t>YD/T 1051-2018   《通信局（站）电源系统总技术要求》</w:t>
      </w:r>
    </w:p>
    <w:p w14:paraId="5BE62B01">
      <w:pPr>
        <w:widowControl/>
        <w:shd w:val="clear" w:color="auto" w:fill="FFFFFF"/>
        <w:spacing w:line="360" w:lineRule="auto"/>
        <w:ind w:firstLine="450"/>
        <w:jc w:val="left"/>
        <w:rPr>
          <w:rFonts w:ascii="宋体" w:hAnsi="宋体" w:cs="宋体"/>
          <w:color w:val="auto"/>
          <w:kern w:val="0"/>
          <w:sz w:val="24"/>
          <w:highlight w:val="none"/>
        </w:rPr>
      </w:pPr>
      <w:r>
        <w:rPr>
          <w:rFonts w:hint="eastAsia" w:ascii="宋体" w:hAnsi="宋体" w:cs="宋体"/>
          <w:color w:val="auto"/>
          <w:kern w:val="0"/>
          <w:sz w:val="24"/>
          <w:highlight w:val="none"/>
        </w:rPr>
        <w:t>GB 51194-2016    《通信电源设备安装工程设计规范》</w:t>
      </w:r>
    </w:p>
    <w:p w14:paraId="213D3DAC">
      <w:pPr>
        <w:widowControl/>
        <w:shd w:val="clear" w:color="auto" w:fill="FFFFFF"/>
        <w:spacing w:line="360" w:lineRule="auto"/>
        <w:ind w:firstLine="450"/>
        <w:jc w:val="left"/>
        <w:rPr>
          <w:rFonts w:ascii="宋体" w:hAnsi="宋体" w:cs="宋体"/>
          <w:color w:val="auto"/>
          <w:kern w:val="0"/>
          <w:sz w:val="24"/>
          <w:highlight w:val="none"/>
        </w:rPr>
      </w:pPr>
      <w:r>
        <w:rPr>
          <w:rFonts w:hint="eastAsia" w:ascii="宋体" w:hAnsi="宋体" w:cs="宋体"/>
          <w:color w:val="auto"/>
          <w:kern w:val="0"/>
          <w:sz w:val="24"/>
          <w:highlight w:val="none"/>
        </w:rPr>
        <w:t>YD/T 983-2018    《通信电源设备电磁兼容性要求及测量方法》</w:t>
      </w:r>
    </w:p>
    <w:p w14:paraId="4D6E4065">
      <w:pPr>
        <w:widowControl/>
        <w:shd w:val="clear" w:color="auto" w:fill="FFFFFF"/>
        <w:spacing w:line="360" w:lineRule="auto"/>
        <w:ind w:firstLine="450"/>
        <w:jc w:val="left"/>
        <w:rPr>
          <w:rFonts w:ascii="宋体" w:hAnsi="宋体" w:cs="宋体"/>
          <w:color w:val="auto"/>
          <w:kern w:val="0"/>
          <w:sz w:val="24"/>
          <w:highlight w:val="none"/>
        </w:rPr>
      </w:pPr>
      <w:r>
        <w:rPr>
          <w:rFonts w:hint="eastAsia" w:ascii="宋体" w:hAnsi="宋体" w:cs="宋体"/>
          <w:color w:val="auto"/>
          <w:kern w:val="0"/>
          <w:sz w:val="24"/>
          <w:highlight w:val="none"/>
        </w:rPr>
        <w:t>YD/T 944-2007    《通信电源设备的防雷技术要求和测试方法》</w:t>
      </w:r>
    </w:p>
    <w:p w14:paraId="61858A55">
      <w:pPr>
        <w:widowControl/>
        <w:shd w:val="clear" w:color="auto" w:fill="FFFFFF"/>
        <w:spacing w:line="360" w:lineRule="auto"/>
        <w:ind w:firstLine="450"/>
        <w:jc w:val="left"/>
        <w:rPr>
          <w:rFonts w:ascii="宋体" w:hAnsi="宋体" w:cs="宋体"/>
          <w:color w:val="auto"/>
          <w:kern w:val="0"/>
          <w:sz w:val="24"/>
          <w:highlight w:val="none"/>
        </w:rPr>
      </w:pPr>
      <w:r>
        <w:rPr>
          <w:rFonts w:hint="eastAsia" w:ascii="宋体" w:hAnsi="宋体" w:cs="宋体"/>
          <w:color w:val="auto"/>
          <w:kern w:val="0"/>
          <w:sz w:val="24"/>
          <w:highlight w:val="none"/>
        </w:rPr>
        <w:t>GB/T 17045-2020 《电击防护 装置和设备的通用部分》</w:t>
      </w:r>
    </w:p>
    <w:p w14:paraId="1D5CA1CA">
      <w:pPr>
        <w:widowControl/>
        <w:shd w:val="clear" w:color="auto" w:fill="FFFFFF"/>
        <w:spacing w:line="360" w:lineRule="auto"/>
        <w:ind w:firstLine="450"/>
        <w:jc w:val="left"/>
        <w:rPr>
          <w:rFonts w:ascii="宋体" w:hAnsi="宋体" w:cs="宋体"/>
          <w:color w:val="auto"/>
          <w:kern w:val="0"/>
          <w:sz w:val="24"/>
          <w:highlight w:val="none"/>
        </w:rPr>
      </w:pPr>
      <w:r>
        <w:rPr>
          <w:rFonts w:hint="eastAsia" w:ascii="宋体" w:hAnsi="宋体" w:cs="宋体"/>
          <w:color w:val="auto"/>
          <w:kern w:val="0"/>
          <w:sz w:val="24"/>
          <w:highlight w:val="none"/>
        </w:rPr>
        <w:t>GB 17285-20</w:t>
      </w:r>
      <w:r>
        <w:rPr>
          <w:rFonts w:hint="eastAsia" w:ascii="宋体" w:hAnsi="宋体" w:eastAsia="宋体" w:cs="宋体"/>
          <w:color w:val="auto"/>
          <w:kern w:val="0"/>
          <w:sz w:val="24"/>
          <w:highlight w:val="none"/>
          <w:lang w:val="en-US" w:eastAsia="zh-CN"/>
        </w:rPr>
        <w:t>22</w:t>
      </w:r>
      <w:r>
        <w:rPr>
          <w:rFonts w:hint="eastAsia" w:ascii="宋体" w:hAnsi="宋体" w:cs="宋体"/>
          <w:color w:val="auto"/>
          <w:kern w:val="0"/>
          <w:sz w:val="24"/>
          <w:highlight w:val="none"/>
        </w:rPr>
        <w:t xml:space="preserve">   《电气设备电源特性的标记 安全要求》</w:t>
      </w:r>
    </w:p>
    <w:p w14:paraId="24B49CD7">
      <w:pPr>
        <w:widowControl/>
        <w:shd w:val="clear" w:color="auto" w:fill="FFFFFF"/>
        <w:spacing w:line="360" w:lineRule="auto"/>
        <w:ind w:firstLine="450"/>
        <w:jc w:val="left"/>
        <w:rPr>
          <w:rFonts w:ascii="宋体" w:hAnsi="宋体" w:cs="宋体"/>
          <w:color w:val="auto"/>
          <w:kern w:val="0"/>
          <w:sz w:val="24"/>
          <w:highlight w:val="none"/>
        </w:rPr>
      </w:pPr>
      <w:r>
        <w:rPr>
          <w:rFonts w:hint="eastAsia" w:ascii="宋体" w:hAnsi="宋体" w:cs="宋体"/>
          <w:color w:val="auto"/>
          <w:kern w:val="0"/>
          <w:sz w:val="24"/>
          <w:highlight w:val="none"/>
        </w:rPr>
        <w:t>GB 19517-20</w:t>
      </w:r>
      <w:r>
        <w:rPr>
          <w:rFonts w:hint="eastAsia" w:ascii="宋体" w:hAnsi="宋体" w:eastAsia="宋体" w:cs="宋体"/>
          <w:color w:val="auto"/>
          <w:kern w:val="0"/>
          <w:sz w:val="24"/>
          <w:highlight w:val="none"/>
          <w:lang w:val="en-US" w:eastAsia="zh-CN"/>
        </w:rPr>
        <w:t>23</w:t>
      </w:r>
      <w:r>
        <w:rPr>
          <w:rFonts w:hint="eastAsia" w:ascii="宋体" w:hAnsi="宋体" w:cs="宋体"/>
          <w:color w:val="auto"/>
          <w:kern w:val="0"/>
          <w:sz w:val="24"/>
          <w:highlight w:val="none"/>
        </w:rPr>
        <w:t xml:space="preserve">   《国家电气设备安全技术规范》</w:t>
      </w:r>
    </w:p>
    <w:p w14:paraId="594A6AB3">
      <w:pPr>
        <w:widowControl/>
        <w:shd w:val="clear" w:color="auto" w:fill="FFFFFF"/>
        <w:spacing w:line="360" w:lineRule="auto"/>
        <w:ind w:firstLine="450"/>
        <w:jc w:val="left"/>
        <w:rPr>
          <w:rFonts w:ascii="宋体" w:hAnsi="宋体" w:cs="宋体"/>
          <w:color w:val="auto"/>
          <w:kern w:val="0"/>
          <w:sz w:val="24"/>
          <w:highlight w:val="none"/>
        </w:rPr>
      </w:pPr>
      <w:r>
        <w:rPr>
          <w:rFonts w:hint="eastAsia" w:ascii="宋体" w:hAnsi="宋体" w:cs="宋体"/>
          <w:color w:val="auto"/>
          <w:kern w:val="0"/>
          <w:sz w:val="24"/>
          <w:highlight w:val="none"/>
        </w:rPr>
        <w:t>GB/T 2423-2008  《电工电子产品环境试验》</w:t>
      </w:r>
    </w:p>
    <w:p w14:paraId="120ABBDB">
      <w:pPr>
        <w:widowControl/>
        <w:shd w:val="clear" w:color="auto" w:fill="FFFFFF"/>
        <w:spacing w:line="360" w:lineRule="auto"/>
        <w:ind w:firstLine="450"/>
        <w:jc w:val="left"/>
        <w:rPr>
          <w:rFonts w:ascii="宋体" w:hAnsi="宋体" w:cs="宋体"/>
          <w:color w:val="auto"/>
          <w:kern w:val="0"/>
          <w:sz w:val="24"/>
          <w:highlight w:val="none"/>
        </w:rPr>
      </w:pPr>
      <w:r>
        <w:rPr>
          <w:rFonts w:hint="eastAsia" w:ascii="宋体" w:hAnsi="宋体" w:cs="宋体"/>
          <w:color w:val="auto"/>
          <w:kern w:val="0"/>
          <w:sz w:val="24"/>
          <w:highlight w:val="none"/>
        </w:rPr>
        <w:t>GB/T 3797-2016  《电气控制设备》</w:t>
      </w:r>
    </w:p>
    <w:p w14:paraId="082BDAFB">
      <w:pPr>
        <w:widowControl/>
        <w:shd w:val="clear" w:color="auto" w:fill="FFFFFF"/>
        <w:spacing w:line="360" w:lineRule="auto"/>
        <w:ind w:firstLine="450"/>
        <w:jc w:val="left"/>
        <w:rPr>
          <w:rFonts w:ascii="宋体" w:hAnsi="宋体" w:cs="宋体"/>
          <w:color w:val="auto"/>
          <w:kern w:val="0"/>
          <w:sz w:val="24"/>
          <w:highlight w:val="none"/>
        </w:rPr>
      </w:pPr>
      <w:r>
        <w:rPr>
          <w:rFonts w:hint="eastAsia" w:ascii="宋体" w:hAnsi="宋体" w:cs="宋体"/>
          <w:color w:val="auto"/>
          <w:kern w:val="0"/>
          <w:sz w:val="24"/>
          <w:highlight w:val="none"/>
        </w:rPr>
        <w:t>GB/T 20438.1-2017 《电气/电子/可编程电子安全相关系统的功能安全 第1部分: 一般要求》</w:t>
      </w:r>
    </w:p>
    <w:p w14:paraId="59B32E5F">
      <w:pPr>
        <w:widowControl/>
        <w:shd w:val="clear" w:color="auto" w:fill="FFFFFF"/>
        <w:spacing w:line="360" w:lineRule="auto"/>
        <w:ind w:firstLine="45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GB/T 20438.2-2017 《电气/电子/可编程电子安全相关系统的功能安全 第2部分: 电气/电子/可编程电子安全相关系统的要求》                                                                                                                                          </w:t>
      </w:r>
    </w:p>
    <w:p w14:paraId="2B3736AB">
      <w:pPr>
        <w:widowControl/>
        <w:shd w:val="clear" w:color="auto" w:fill="FFFFFF"/>
        <w:spacing w:line="360" w:lineRule="auto"/>
        <w:ind w:firstLine="450"/>
        <w:jc w:val="left"/>
        <w:rPr>
          <w:rFonts w:ascii="宋体" w:hAnsi="宋体" w:cs="宋体"/>
          <w:color w:val="auto"/>
          <w:kern w:val="0"/>
          <w:sz w:val="24"/>
          <w:highlight w:val="none"/>
        </w:rPr>
      </w:pPr>
      <w:r>
        <w:rPr>
          <w:rFonts w:hint="eastAsia" w:ascii="宋体" w:hAnsi="宋体" w:cs="宋体"/>
          <w:color w:val="auto"/>
          <w:kern w:val="0"/>
          <w:sz w:val="24"/>
          <w:highlight w:val="none"/>
        </w:rPr>
        <w:t>GB/T 20438.3-2017 《电气/电子/可编程电子安全相关系统的功能安全 第3部分: 软件要求》</w:t>
      </w:r>
    </w:p>
    <w:p w14:paraId="01D51965">
      <w:pPr>
        <w:widowControl/>
        <w:shd w:val="clear" w:color="auto" w:fill="FFFFFF"/>
        <w:spacing w:line="360" w:lineRule="auto"/>
        <w:ind w:firstLine="450"/>
        <w:jc w:val="left"/>
        <w:rPr>
          <w:rFonts w:ascii="宋体" w:hAnsi="宋体" w:cs="宋体"/>
          <w:color w:val="auto"/>
          <w:kern w:val="0"/>
          <w:sz w:val="24"/>
          <w:highlight w:val="none"/>
        </w:rPr>
      </w:pPr>
      <w:r>
        <w:rPr>
          <w:rFonts w:hint="eastAsia" w:ascii="宋体" w:hAnsi="宋体" w:cs="宋体"/>
          <w:color w:val="auto"/>
          <w:kern w:val="0"/>
          <w:sz w:val="24"/>
          <w:highlight w:val="none"/>
        </w:rPr>
        <w:t>GB/T 4208-2017   《外壳防护等级（IP代码）》</w:t>
      </w:r>
    </w:p>
    <w:p w14:paraId="433943C6">
      <w:pPr>
        <w:widowControl/>
        <w:shd w:val="clear" w:color="auto" w:fill="FFFFFF"/>
        <w:spacing w:line="360" w:lineRule="auto"/>
        <w:ind w:firstLine="450"/>
        <w:jc w:val="left"/>
        <w:rPr>
          <w:rFonts w:ascii="宋体" w:hAnsi="宋体" w:cs="宋体"/>
          <w:color w:val="auto"/>
          <w:kern w:val="0"/>
          <w:sz w:val="24"/>
          <w:highlight w:val="none"/>
        </w:rPr>
      </w:pPr>
      <w:r>
        <w:rPr>
          <w:rFonts w:hint="eastAsia" w:ascii="宋体" w:hAnsi="宋体" w:cs="宋体"/>
          <w:color w:val="auto"/>
          <w:kern w:val="0"/>
          <w:sz w:val="24"/>
          <w:highlight w:val="none"/>
        </w:rPr>
        <w:t>GB/T 2887-2011 　《电子计算机场地通用规范》</w:t>
      </w:r>
    </w:p>
    <w:p w14:paraId="00A7C3A2">
      <w:pPr>
        <w:widowControl/>
        <w:shd w:val="clear" w:color="auto" w:fill="FFFFFF"/>
        <w:spacing w:line="360" w:lineRule="auto"/>
        <w:ind w:firstLine="450"/>
        <w:jc w:val="left"/>
        <w:rPr>
          <w:rFonts w:ascii="宋体" w:hAnsi="宋体" w:cs="宋体"/>
          <w:color w:val="auto"/>
          <w:kern w:val="0"/>
          <w:sz w:val="24"/>
          <w:highlight w:val="none"/>
        </w:rPr>
      </w:pPr>
      <w:r>
        <w:rPr>
          <w:rFonts w:hint="eastAsia" w:ascii="宋体" w:hAnsi="宋体" w:cs="宋体"/>
          <w:color w:val="auto"/>
          <w:kern w:val="0"/>
          <w:sz w:val="24"/>
          <w:highlight w:val="none"/>
        </w:rPr>
        <w:t>GB 50174-2017    《数据中心设计规范》</w:t>
      </w:r>
    </w:p>
    <w:p w14:paraId="0D860B34">
      <w:pPr>
        <w:widowControl/>
        <w:shd w:val="clear" w:color="auto" w:fill="FFFFFF"/>
        <w:spacing w:line="360" w:lineRule="auto"/>
        <w:ind w:firstLine="450"/>
        <w:jc w:val="left"/>
        <w:rPr>
          <w:rFonts w:ascii="宋体" w:hAnsi="宋体" w:cs="宋体"/>
          <w:color w:val="auto"/>
          <w:kern w:val="0"/>
          <w:sz w:val="24"/>
          <w:highlight w:val="none"/>
        </w:rPr>
      </w:pPr>
      <w:r>
        <w:rPr>
          <w:rFonts w:hint="eastAsia" w:ascii="宋体" w:hAnsi="宋体" w:cs="宋体"/>
          <w:color w:val="auto"/>
          <w:kern w:val="0"/>
          <w:sz w:val="24"/>
          <w:highlight w:val="none"/>
        </w:rPr>
        <w:t>GB 50150-2016    《电气装置安装工程电力设备交接试验标准》</w:t>
      </w:r>
    </w:p>
    <w:p w14:paraId="5770913B">
      <w:pPr>
        <w:widowControl/>
        <w:shd w:val="clear" w:color="auto" w:fill="FFFFFF"/>
        <w:spacing w:line="360" w:lineRule="auto"/>
        <w:ind w:firstLine="450"/>
        <w:jc w:val="left"/>
        <w:rPr>
          <w:rFonts w:ascii="宋体" w:hAnsi="宋体" w:cs="宋体"/>
          <w:color w:val="auto"/>
          <w:kern w:val="0"/>
          <w:sz w:val="24"/>
          <w:highlight w:val="none"/>
        </w:rPr>
      </w:pPr>
      <w:r>
        <w:rPr>
          <w:rFonts w:hint="eastAsia" w:ascii="宋体" w:hAnsi="宋体" w:cs="宋体"/>
          <w:color w:val="auto"/>
          <w:kern w:val="0"/>
          <w:sz w:val="24"/>
          <w:highlight w:val="none"/>
        </w:rPr>
        <w:t>GB/T 14048</w:t>
      </w:r>
      <w:r>
        <w:rPr>
          <w:rFonts w:hint="eastAsia" w:ascii="宋体" w:hAnsi="宋体" w:eastAsia="宋体" w:cs="宋体"/>
          <w:color w:val="auto"/>
          <w:kern w:val="0"/>
          <w:sz w:val="24"/>
          <w:highlight w:val="none"/>
          <w:lang w:val="en-US" w:eastAsia="zh-CN"/>
        </w:rPr>
        <w:t>.1</w:t>
      </w:r>
      <w:r>
        <w:rPr>
          <w:rFonts w:hint="eastAsia" w:ascii="宋体" w:hAnsi="宋体" w:cs="宋体"/>
          <w:color w:val="auto"/>
          <w:kern w:val="0"/>
          <w:sz w:val="24"/>
          <w:highlight w:val="none"/>
        </w:rPr>
        <w:t>-20</w:t>
      </w:r>
      <w:r>
        <w:rPr>
          <w:rFonts w:hint="eastAsia" w:ascii="宋体" w:hAnsi="宋体" w:eastAsia="宋体" w:cs="宋体"/>
          <w:color w:val="auto"/>
          <w:kern w:val="0"/>
          <w:sz w:val="24"/>
          <w:highlight w:val="none"/>
          <w:lang w:val="en-US" w:eastAsia="zh-CN"/>
        </w:rPr>
        <w:t>23</w:t>
      </w:r>
      <w:r>
        <w:rPr>
          <w:rFonts w:hint="eastAsia" w:ascii="宋体" w:hAnsi="宋体" w:cs="宋体"/>
          <w:color w:val="auto"/>
          <w:kern w:val="0"/>
          <w:sz w:val="24"/>
          <w:highlight w:val="none"/>
        </w:rPr>
        <w:t>《低压开关设备和控制设备》</w:t>
      </w:r>
    </w:p>
    <w:p w14:paraId="0A20C53B">
      <w:pPr>
        <w:widowControl/>
        <w:spacing w:line="360" w:lineRule="auto"/>
        <w:ind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以上规范如有更新，以国家、地方、行业最新标准为准。</w:t>
      </w:r>
    </w:p>
    <w:p w14:paraId="587F8465">
      <w:pPr>
        <w:spacing w:line="360" w:lineRule="auto"/>
        <w:contextualSpacing/>
        <w:outlineLvl w:val="2"/>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2. 服务内容及要求/货物技术要求</w:t>
      </w:r>
    </w:p>
    <w:p w14:paraId="1E0C32FE">
      <w:pPr>
        <w:widowControl/>
        <w:spacing w:line="360" w:lineRule="auto"/>
        <w:ind w:firstLine="480" w:firstLineChars="200"/>
        <w:contextualSpacing/>
        <w:outlineLvl w:val="3"/>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2.1采购标的需满足的性能、材料、结构、外观、质量、安全、技术规格、物理特性等要求；</w:t>
      </w:r>
    </w:p>
    <w:p w14:paraId="6FF9D742">
      <w:pPr>
        <w:widowControl/>
        <w:spacing w:line="360" w:lineRule="auto"/>
        <w:ind w:firstLine="480" w:firstLineChars="200"/>
        <w:contextualSpacing/>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本项目采购标的应符合YD/T 2165-2017《通信用模块化交流不间断电源》和GB/T 7260.1~3《不间断电源系统设备》的规定，具体参数详见UPS技术参数需求表。</w:t>
      </w:r>
    </w:p>
    <w:p w14:paraId="4F912F74">
      <w:pPr>
        <w:widowControl/>
        <w:spacing w:line="360" w:lineRule="auto"/>
        <w:ind w:firstLine="480" w:firstLineChars="200"/>
        <w:contextualSpacing/>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2.1.1指标按重要性分为“★”、 “△”和“#”。★代表实质性指标，不满足该指标项将导致投标被拒绝，△代表重要指标项，#则代表一般指标项。</w:t>
      </w:r>
    </w:p>
    <w:p w14:paraId="097822A4">
      <w:pPr>
        <w:widowControl/>
        <w:spacing w:line="360" w:lineRule="auto"/>
        <w:ind w:firstLine="480" w:firstLineChars="200"/>
        <w:contextualSpacing/>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2.1.2“证明材料要求”项填“是”的，投标人须提供包含相关指标项的证明材料，未提供有效证明材料或证明材料中内容与所填报指标不一致的，该指标按不满足处理。</w:t>
      </w:r>
    </w:p>
    <w:p w14:paraId="079030FE">
      <w:pPr>
        <w:widowControl/>
        <w:spacing w:line="360" w:lineRule="auto"/>
        <w:ind w:firstLine="480" w:firstLineChars="200"/>
        <w:contextualSpacing/>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2.1.3</w:t>
      </w:r>
      <w:r>
        <w:rPr>
          <w:rFonts w:hint="eastAsia" w:ascii="Times New Roman" w:hAnsi="Times New Roman" w:cs="Times New Roman"/>
          <w:color w:val="auto"/>
          <w:sz w:val="24"/>
          <w:highlight w:val="none"/>
          <w:lang w:eastAsia="zh-CN"/>
        </w:rPr>
        <w:t>投标人</w:t>
      </w:r>
      <w:r>
        <w:rPr>
          <w:rFonts w:hint="eastAsia" w:ascii="Times New Roman" w:hAnsi="Times New Roman" w:cs="Times New Roman"/>
          <w:color w:val="auto"/>
          <w:sz w:val="24"/>
          <w:highlight w:val="none"/>
        </w:rPr>
        <w:t>中标后应进行产品功能现场测试，如发现与投标材料不符</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rPr>
        <w:t>低于投标材料描述</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rPr>
        <w:t>，</w:t>
      </w:r>
      <w:r>
        <w:rPr>
          <w:rFonts w:ascii="Times New Roman" w:hAnsi="Times New Roman" w:eastAsia="宋体" w:cs="Times New Roman"/>
          <w:b/>
          <w:bCs/>
          <w:color w:val="auto"/>
          <w:sz w:val="24"/>
          <w:highlight w:val="none"/>
        </w:rPr>
        <w:t>若中标后发现有虚假应答，依法追究相应责任。给采购人造成损失的，投标人依法承担赔偿责任</w:t>
      </w:r>
      <w:r>
        <w:rPr>
          <w:rFonts w:hint="eastAsia" w:ascii="Times New Roman" w:hAnsi="Times New Roman" w:cs="Times New Roman"/>
          <w:b/>
          <w:bCs/>
          <w:color w:val="auto"/>
          <w:sz w:val="24"/>
          <w:highlight w:val="none"/>
        </w:rPr>
        <w:t>。</w:t>
      </w:r>
    </w:p>
    <w:p w14:paraId="32BC54DF">
      <w:pPr>
        <w:widowControl w:val="0"/>
        <w:numPr>
          <w:ilvl w:val="0"/>
          <w:numId w:val="1"/>
        </w:numPr>
        <w:ind w:left="420" w:leftChars="200"/>
        <w:jc w:val="both"/>
        <w:rPr>
          <w:rFonts w:hint="eastAsia" w:ascii="Times New Roman" w:hAnsi="Times New Roman" w:eastAsia="宋体" w:cs="Times New Roman"/>
          <w:b/>
          <w:bCs/>
          <w:color w:val="auto"/>
          <w:kern w:val="2"/>
          <w:sz w:val="24"/>
          <w:szCs w:val="24"/>
          <w:highlight w:val="none"/>
          <w:lang w:val="en-US" w:eastAsia="zh-CN" w:bidi="ar-SA"/>
        </w:rPr>
      </w:pPr>
      <w:r>
        <w:rPr>
          <w:rFonts w:ascii="Times New Roman" w:hAnsi="Times New Roman" w:eastAsia="宋体" w:cs="Times New Roman"/>
          <w:b/>
          <w:bCs/>
          <w:color w:val="auto"/>
          <w:kern w:val="2"/>
          <w:sz w:val="24"/>
          <w:szCs w:val="24"/>
          <w:highlight w:val="none"/>
          <w:lang w:val="en-US" w:eastAsia="zh-CN" w:bidi="ar-SA"/>
        </w:rPr>
        <w:t>UPS</w:t>
      </w:r>
      <w:r>
        <w:rPr>
          <w:rFonts w:hint="eastAsia" w:ascii="Times New Roman" w:hAnsi="Times New Roman" w:eastAsia="宋体" w:cs="Times New Roman"/>
          <w:b/>
          <w:bCs/>
          <w:color w:val="auto"/>
          <w:kern w:val="2"/>
          <w:sz w:val="24"/>
          <w:szCs w:val="24"/>
          <w:highlight w:val="none"/>
          <w:lang w:val="en-US" w:eastAsia="zh-CN" w:bidi="ar-SA"/>
        </w:rPr>
        <w:t>不间断电源</w:t>
      </w:r>
    </w:p>
    <w:p w14:paraId="3B2B088A">
      <w:pPr>
        <w:rPr>
          <w:rFonts w:hint="eastAsia" w:ascii="Times New Roman" w:hAnsi="Times New Roman" w:cs="Times New Roman"/>
          <w:b/>
          <w:bCs/>
          <w:color w:val="auto"/>
          <w:sz w:val="24"/>
          <w:highlight w:val="none"/>
          <w:lang w:eastAsia="zh-CN"/>
        </w:rPr>
      </w:pPr>
    </w:p>
    <w:tbl>
      <w:tblPr>
        <w:tblStyle w:val="26"/>
        <w:tblpPr w:leftFromText="180" w:rightFromText="180" w:vertAnchor="text" w:tblpXSpec="center" w:tblpY="1"/>
        <w:tblOverlap w:val="never"/>
        <w:tblW w:w="900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8"/>
        <w:gridCol w:w="508"/>
        <w:gridCol w:w="508"/>
        <w:gridCol w:w="888"/>
        <w:gridCol w:w="6411"/>
      </w:tblGrid>
      <w:tr w14:paraId="302D87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88" w:type="dxa"/>
            <w:tcBorders>
              <w:bottom w:val="single" w:color="auto" w:sz="4" w:space="0"/>
            </w:tcBorders>
            <w:vAlign w:val="center"/>
          </w:tcPr>
          <w:p w14:paraId="1363008B">
            <w:pPr>
              <w:autoSpaceDE w:val="0"/>
              <w:autoSpaceDN w:val="0"/>
              <w:spacing w:before="78" w:line="252" w:lineRule="auto"/>
              <w:ind w:right="129"/>
              <w:jc w:val="center"/>
              <w:rPr>
                <w:rFonts w:ascii="宋体" w:hAnsi="宋体" w:cs="宋体"/>
                <w:color w:val="auto"/>
                <w:sz w:val="24"/>
                <w:highlight w:val="none"/>
              </w:rPr>
            </w:pPr>
            <w:r>
              <w:rPr>
                <w:rFonts w:hint="eastAsia" w:ascii="宋体" w:hAnsi="宋体" w:cs="宋体"/>
                <w:b/>
                <w:bCs/>
                <w:color w:val="auto"/>
                <w:spacing w:val="-7"/>
                <w:sz w:val="24"/>
                <w:highlight w:val="none"/>
                <w:lang w:eastAsia="zh-CN"/>
              </w:rPr>
              <w:t>产品</w:t>
            </w:r>
            <w:r>
              <w:rPr>
                <w:rFonts w:ascii="宋体" w:hAnsi="宋体" w:cs="宋体"/>
                <w:b/>
                <w:bCs/>
                <w:color w:val="auto"/>
                <w:spacing w:val="-7"/>
                <w:sz w:val="24"/>
                <w:highlight w:val="none"/>
              </w:rPr>
              <w:t>名称</w:t>
            </w:r>
          </w:p>
        </w:tc>
        <w:tc>
          <w:tcPr>
            <w:tcW w:w="508" w:type="dxa"/>
            <w:tcBorders>
              <w:bottom w:val="single" w:color="auto" w:sz="4" w:space="0"/>
            </w:tcBorders>
            <w:vAlign w:val="center"/>
          </w:tcPr>
          <w:p w14:paraId="62D74325">
            <w:pPr>
              <w:autoSpaceDE w:val="0"/>
              <w:autoSpaceDN w:val="0"/>
              <w:spacing w:before="78" w:line="254" w:lineRule="auto"/>
              <w:ind w:right="106"/>
              <w:jc w:val="center"/>
              <w:rPr>
                <w:rFonts w:ascii="宋体" w:hAnsi="宋体" w:cs="宋体"/>
                <w:b/>
                <w:bCs/>
                <w:color w:val="auto"/>
                <w:spacing w:val="-8"/>
                <w:sz w:val="24"/>
                <w:highlight w:val="none"/>
              </w:rPr>
            </w:pPr>
            <w:r>
              <w:rPr>
                <w:rFonts w:hint="eastAsia" w:ascii="宋体" w:hAnsi="宋体" w:cs="宋体"/>
                <w:b/>
                <w:bCs/>
                <w:color w:val="auto"/>
                <w:spacing w:val="-8"/>
                <w:sz w:val="24"/>
                <w:highlight w:val="none"/>
                <w:lang w:eastAsia="zh-CN"/>
              </w:rPr>
              <w:t>序号</w:t>
            </w:r>
          </w:p>
        </w:tc>
        <w:tc>
          <w:tcPr>
            <w:tcW w:w="508" w:type="dxa"/>
            <w:tcBorders>
              <w:bottom w:val="single" w:color="auto" w:sz="4" w:space="0"/>
            </w:tcBorders>
            <w:vAlign w:val="center"/>
          </w:tcPr>
          <w:p w14:paraId="2AEBF79F">
            <w:pPr>
              <w:autoSpaceDE w:val="0"/>
              <w:autoSpaceDN w:val="0"/>
              <w:spacing w:before="78" w:line="254" w:lineRule="auto"/>
              <w:ind w:right="120" w:rightChars="57"/>
              <w:jc w:val="center"/>
              <w:rPr>
                <w:rFonts w:ascii="宋体" w:hAnsi="宋体" w:cs="宋体"/>
                <w:color w:val="auto"/>
                <w:sz w:val="24"/>
                <w:highlight w:val="none"/>
              </w:rPr>
            </w:pPr>
            <w:r>
              <w:rPr>
                <w:rFonts w:ascii="宋体" w:hAnsi="宋体" w:cs="宋体"/>
                <w:b/>
                <w:bCs/>
                <w:color w:val="auto"/>
                <w:spacing w:val="-8"/>
                <w:sz w:val="24"/>
                <w:highlight w:val="none"/>
              </w:rPr>
              <w:t>重要</w:t>
            </w:r>
            <w:r>
              <w:rPr>
                <w:rFonts w:ascii="宋体" w:hAnsi="宋体" w:cs="宋体"/>
                <w:b/>
                <w:bCs/>
                <w:color w:val="auto"/>
                <w:spacing w:val="-3"/>
                <w:sz w:val="24"/>
                <w:highlight w:val="none"/>
              </w:rPr>
              <w:t>性</w:t>
            </w:r>
          </w:p>
        </w:tc>
        <w:tc>
          <w:tcPr>
            <w:tcW w:w="888" w:type="dxa"/>
            <w:vAlign w:val="center"/>
          </w:tcPr>
          <w:p w14:paraId="78365EA4">
            <w:pPr>
              <w:autoSpaceDE w:val="0"/>
              <w:autoSpaceDN w:val="0"/>
              <w:spacing w:before="78" w:line="220" w:lineRule="auto"/>
              <w:jc w:val="center"/>
              <w:rPr>
                <w:rFonts w:ascii="宋体" w:hAnsi="宋体" w:cs="宋体"/>
                <w:color w:val="auto"/>
                <w:sz w:val="24"/>
                <w:highlight w:val="none"/>
              </w:rPr>
            </w:pPr>
            <w:r>
              <w:rPr>
                <w:rFonts w:ascii="宋体" w:hAnsi="宋体" w:cs="宋体"/>
                <w:b/>
                <w:bCs/>
                <w:color w:val="auto"/>
                <w:spacing w:val="-6"/>
                <w:sz w:val="24"/>
                <w:highlight w:val="none"/>
              </w:rPr>
              <w:t>指标项</w:t>
            </w:r>
          </w:p>
        </w:tc>
        <w:tc>
          <w:tcPr>
            <w:tcW w:w="6411" w:type="dxa"/>
            <w:vAlign w:val="center"/>
          </w:tcPr>
          <w:p w14:paraId="3A6423E8">
            <w:pPr>
              <w:autoSpaceDE w:val="0"/>
              <w:autoSpaceDN w:val="0"/>
              <w:spacing w:before="78" w:line="220" w:lineRule="auto"/>
              <w:jc w:val="center"/>
              <w:rPr>
                <w:rFonts w:ascii="宋体" w:hAnsi="宋体" w:cs="宋体"/>
                <w:color w:val="auto"/>
                <w:sz w:val="24"/>
                <w:highlight w:val="none"/>
              </w:rPr>
            </w:pPr>
            <w:r>
              <w:rPr>
                <w:rFonts w:ascii="宋体" w:hAnsi="宋体" w:cs="宋体"/>
                <w:b/>
                <w:bCs/>
                <w:color w:val="auto"/>
                <w:spacing w:val="-5"/>
                <w:sz w:val="24"/>
                <w:highlight w:val="none"/>
              </w:rPr>
              <w:t>指标要求</w:t>
            </w:r>
          </w:p>
        </w:tc>
      </w:tr>
      <w:tr w14:paraId="586F16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3" w:hRule="atLeast"/>
          <w:jc w:val="center"/>
        </w:trPr>
        <w:tc>
          <w:tcPr>
            <w:tcW w:w="688" w:type="dxa"/>
            <w:vMerge w:val="restart"/>
            <w:tcBorders>
              <w:top w:val="single" w:color="auto" w:sz="4" w:space="0"/>
              <w:left w:val="single" w:color="auto" w:sz="4" w:space="0"/>
              <w:right w:val="single" w:color="auto" w:sz="4" w:space="0"/>
            </w:tcBorders>
            <w:vAlign w:val="center"/>
          </w:tcPr>
          <w:p w14:paraId="1042A65E">
            <w:pPr>
              <w:autoSpaceDE w:val="0"/>
              <w:autoSpaceDN w:val="0"/>
              <w:spacing w:before="69" w:line="196" w:lineRule="auto"/>
              <w:jc w:val="center"/>
              <w:rPr>
                <w:rFonts w:ascii="宋体" w:hAnsi="宋体" w:cs="Times New Roman"/>
                <w:color w:val="auto"/>
                <w:spacing w:val="-5"/>
                <w:sz w:val="28"/>
                <w:szCs w:val="28"/>
                <w:highlight w:val="none"/>
              </w:rPr>
            </w:pPr>
            <w:r>
              <w:rPr>
                <w:rFonts w:ascii="宋体" w:hAnsi="宋体" w:cs="Times New Roman"/>
                <w:color w:val="auto"/>
                <w:spacing w:val="-5"/>
                <w:sz w:val="28"/>
                <w:szCs w:val="28"/>
                <w:highlight w:val="none"/>
              </w:rPr>
              <w:t>UPS</w:t>
            </w:r>
          </w:p>
          <w:p w14:paraId="6AA90588">
            <w:pPr>
              <w:autoSpaceDE w:val="0"/>
              <w:autoSpaceDN w:val="0"/>
              <w:spacing w:before="69" w:line="196" w:lineRule="auto"/>
              <w:jc w:val="center"/>
              <w:rPr>
                <w:rFonts w:hint="eastAsia" w:ascii="宋体" w:hAnsi="宋体" w:eastAsia="宋体" w:cs="Times New Roman"/>
                <w:color w:val="auto"/>
                <w:sz w:val="28"/>
                <w:szCs w:val="28"/>
                <w:highlight w:val="none"/>
                <w:lang w:eastAsia="zh-CN"/>
              </w:rPr>
            </w:pPr>
            <w:r>
              <w:rPr>
                <w:rFonts w:hint="eastAsia" w:ascii="宋体" w:hAnsi="宋体" w:cs="Times New Roman"/>
                <w:color w:val="auto"/>
                <w:spacing w:val="-3"/>
                <w:sz w:val="28"/>
                <w:szCs w:val="28"/>
                <w:highlight w:val="none"/>
                <w:lang w:eastAsia="zh-CN"/>
              </w:rPr>
              <w:t>不间断电源</w:t>
            </w:r>
          </w:p>
        </w:tc>
        <w:tc>
          <w:tcPr>
            <w:tcW w:w="508" w:type="dxa"/>
            <w:tcBorders>
              <w:top w:val="single" w:color="auto" w:sz="4" w:space="0"/>
              <w:left w:val="single" w:color="auto" w:sz="4" w:space="0"/>
              <w:bottom w:val="single" w:color="auto" w:sz="4" w:space="0"/>
              <w:right w:val="single" w:color="auto" w:sz="4" w:space="0"/>
            </w:tcBorders>
            <w:vAlign w:val="center"/>
          </w:tcPr>
          <w:p w14:paraId="48D15076">
            <w:pPr>
              <w:autoSpaceDE w:val="0"/>
              <w:autoSpaceDN w:val="0"/>
              <w:spacing w:before="24" w:line="209" w:lineRule="auto"/>
              <w:ind w:left="111"/>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w:t>
            </w:r>
          </w:p>
        </w:tc>
        <w:tc>
          <w:tcPr>
            <w:tcW w:w="508" w:type="dxa"/>
            <w:tcBorders>
              <w:top w:val="single" w:color="auto" w:sz="4" w:space="0"/>
              <w:left w:val="single" w:color="auto" w:sz="4" w:space="0"/>
              <w:bottom w:val="single" w:color="auto" w:sz="4" w:space="0"/>
              <w:right w:val="single" w:color="auto" w:sz="4" w:space="0"/>
            </w:tcBorders>
            <w:vAlign w:val="center"/>
          </w:tcPr>
          <w:p w14:paraId="632BED5D">
            <w:pPr>
              <w:autoSpaceDE w:val="0"/>
              <w:autoSpaceDN w:val="0"/>
              <w:spacing w:before="24" w:line="209" w:lineRule="auto"/>
              <w:ind w:left="111" w:right="120" w:rightChars="57"/>
              <w:jc w:val="center"/>
              <w:rPr>
                <w:rFonts w:ascii="宋体" w:hAnsi="宋体" w:cs="宋体"/>
                <w:color w:val="auto"/>
                <w:sz w:val="24"/>
                <w:highlight w:val="none"/>
              </w:rPr>
            </w:pPr>
            <w:r>
              <w:rPr>
                <w:rFonts w:ascii="宋体" w:hAnsi="宋体" w:cs="宋体"/>
                <w:color w:val="auto"/>
                <w:sz w:val="24"/>
                <w:highlight w:val="none"/>
              </w:rPr>
              <w:t>★</w:t>
            </w:r>
          </w:p>
        </w:tc>
        <w:tc>
          <w:tcPr>
            <w:tcW w:w="888" w:type="dxa"/>
            <w:tcBorders>
              <w:left w:val="single" w:color="auto" w:sz="4" w:space="0"/>
            </w:tcBorders>
            <w:vAlign w:val="center"/>
          </w:tcPr>
          <w:p w14:paraId="717A7A77">
            <w:pPr>
              <w:autoSpaceDE w:val="0"/>
              <w:autoSpaceDN w:val="0"/>
              <w:spacing w:before="78" w:line="253" w:lineRule="auto"/>
              <w:ind w:right="105"/>
              <w:jc w:val="center"/>
              <w:rPr>
                <w:rFonts w:ascii="宋体" w:hAnsi="宋体" w:cs="宋体"/>
                <w:color w:val="auto"/>
                <w:sz w:val="24"/>
                <w:highlight w:val="none"/>
              </w:rPr>
            </w:pPr>
            <w:r>
              <w:rPr>
                <w:rFonts w:hint="eastAsia" w:ascii="宋体" w:hAnsi="宋体" w:cs="宋体"/>
                <w:color w:val="auto"/>
                <w:spacing w:val="-5"/>
                <w:sz w:val="24"/>
                <w:highlight w:val="none"/>
              </w:rPr>
              <w:t>规格</w:t>
            </w:r>
          </w:p>
        </w:tc>
        <w:tc>
          <w:tcPr>
            <w:tcW w:w="6411" w:type="dxa"/>
          </w:tcPr>
          <w:p w14:paraId="2862301E">
            <w:pPr>
              <w:widowControl w:val="0"/>
              <w:autoSpaceDE w:val="0"/>
              <w:autoSpaceDN w:val="0"/>
              <w:jc w:val="left"/>
              <w:rPr>
                <w:rFonts w:ascii="宋体" w:hAnsi="宋体" w:eastAsia="宋体" w:cs="宋体"/>
                <w:color w:val="auto"/>
                <w:spacing w:val="-2"/>
                <w:kern w:val="2"/>
                <w:sz w:val="24"/>
                <w:szCs w:val="24"/>
                <w:highlight w:val="none"/>
                <w:lang w:val="en-US" w:eastAsia="zh-CN" w:bidi="ar-SA"/>
              </w:rPr>
            </w:pPr>
            <w:r>
              <w:rPr>
                <w:rFonts w:hint="eastAsia" w:ascii="宋体" w:hAnsi="宋体" w:eastAsia="宋体" w:cs="宋体"/>
                <w:color w:val="auto"/>
                <w:spacing w:val="-2"/>
                <w:kern w:val="2"/>
                <w:sz w:val="24"/>
                <w:szCs w:val="24"/>
                <w:highlight w:val="none"/>
                <w:lang w:val="en-US" w:eastAsia="zh-CN" w:bidi="ar-SA"/>
              </w:rPr>
              <w:t>投标的UPS容量不低于600kVA，单个功率模块容量不低于60kVA，UPS应为在线式双转换设备，采用高频模块化UPS，UPS系统配置主路、旁路、输出切换开关；</w:t>
            </w:r>
          </w:p>
          <w:p w14:paraId="4A5435E4">
            <w:pPr>
              <w:autoSpaceDE w:val="0"/>
              <w:autoSpaceDN w:val="0"/>
              <w:spacing w:line="276" w:lineRule="auto"/>
              <w:rPr>
                <w:rFonts w:ascii="宋体" w:hAnsi="宋体" w:cs="宋体"/>
                <w:color w:val="auto"/>
                <w:sz w:val="24"/>
                <w:highlight w:val="none"/>
              </w:rPr>
            </w:pPr>
            <w:r>
              <w:rPr>
                <w:rFonts w:hint="eastAsia" w:ascii="宋体" w:hAnsi="宋体" w:cs="宋体"/>
                <w:b/>
                <w:bCs/>
                <w:color w:val="auto"/>
                <w:spacing w:val="-2"/>
                <w:sz w:val="24"/>
                <w:highlight w:val="none"/>
              </w:rPr>
              <w:t>提供所投产品的彩页、用户手册或其他证明材料，并加盖投标人公章。</w:t>
            </w:r>
          </w:p>
        </w:tc>
      </w:tr>
      <w:tr w14:paraId="14F913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jc w:val="center"/>
        </w:trPr>
        <w:tc>
          <w:tcPr>
            <w:tcW w:w="688" w:type="dxa"/>
            <w:vMerge w:val="continue"/>
            <w:tcBorders>
              <w:left w:val="single" w:color="auto" w:sz="4" w:space="0"/>
              <w:right w:val="single" w:color="auto" w:sz="4" w:space="0"/>
            </w:tcBorders>
            <w:vAlign w:val="center"/>
          </w:tcPr>
          <w:p w14:paraId="2F1124FE">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49024014">
            <w:pPr>
              <w:autoSpaceDE w:val="0"/>
              <w:autoSpaceDN w:val="0"/>
              <w:spacing w:before="24" w:line="209" w:lineRule="auto"/>
              <w:ind w:left="111"/>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w:t>
            </w:r>
          </w:p>
        </w:tc>
        <w:tc>
          <w:tcPr>
            <w:tcW w:w="508" w:type="dxa"/>
            <w:tcBorders>
              <w:top w:val="single" w:color="auto" w:sz="4" w:space="0"/>
              <w:left w:val="single" w:color="auto" w:sz="4" w:space="0"/>
              <w:bottom w:val="single" w:color="auto" w:sz="4" w:space="0"/>
              <w:right w:val="single" w:color="auto" w:sz="4" w:space="0"/>
            </w:tcBorders>
            <w:vAlign w:val="center"/>
          </w:tcPr>
          <w:p w14:paraId="1CC793A4">
            <w:pPr>
              <w:autoSpaceDE w:val="0"/>
              <w:autoSpaceDN w:val="0"/>
              <w:spacing w:before="24" w:line="209" w:lineRule="auto"/>
              <w:ind w:left="111" w:right="120" w:rightChars="57"/>
              <w:jc w:val="center"/>
              <w:rPr>
                <w:rFonts w:ascii="宋体" w:hAnsi="宋体" w:cs="宋体"/>
                <w:color w:val="auto"/>
                <w:sz w:val="24"/>
                <w:highlight w:val="none"/>
              </w:rPr>
            </w:pPr>
            <w:r>
              <w:rPr>
                <w:rFonts w:hint="eastAsia" w:ascii="宋体" w:hAnsi="宋体" w:cs="宋体"/>
                <w:color w:val="auto"/>
                <w:sz w:val="22"/>
                <w:szCs w:val="22"/>
                <w:highlight w:val="none"/>
                <w:lang w:bidi="ar"/>
              </w:rPr>
              <w:t>△</w:t>
            </w:r>
          </w:p>
        </w:tc>
        <w:tc>
          <w:tcPr>
            <w:tcW w:w="888" w:type="dxa"/>
            <w:tcBorders>
              <w:left w:val="single" w:color="auto" w:sz="4" w:space="0"/>
            </w:tcBorders>
            <w:vAlign w:val="center"/>
          </w:tcPr>
          <w:p w14:paraId="71BB1125">
            <w:pPr>
              <w:autoSpaceDE w:val="0"/>
              <w:autoSpaceDN w:val="0"/>
              <w:spacing w:before="78" w:line="253" w:lineRule="auto"/>
              <w:ind w:right="105"/>
              <w:jc w:val="center"/>
              <w:rPr>
                <w:rFonts w:ascii="宋体" w:hAnsi="宋体" w:cs="宋体"/>
                <w:color w:val="auto"/>
                <w:spacing w:val="-5"/>
                <w:sz w:val="24"/>
                <w:highlight w:val="none"/>
              </w:rPr>
            </w:pPr>
            <w:r>
              <w:rPr>
                <w:rFonts w:hint="eastAsia" w:ascii="宋体" w:hAnsi="宋体" w:cs="宋体"/>
                <w:color w:val="auto"/>
                <w:spacing w:val="-5"/>
                <w:sz w:val="24"/>
                <w:highlight w:val="none"/>
              </w:rPr>
              <w:t>基本功能</w:t>
            </w:r>
          </w:p>
        </w:tc>
        <w:tc>
          <w:tcPr>
            <w:tcW w:w="6411" w:type="dxa"/>
          </w:tcPr>
          <w:p w14:paraId="57323113">
            <w:pPr>
              <w:autoSpaceDE w:val="0"/>
              <w:autoSpaceDN w:val="0"/>
              <w:spacing w:line="276" w:lineRule="auto"/>
              <w:ind w:left="111"/>
              <w:rPr>
                <w:rFonts w:ascii="宋体" w:hAnsi="宋体" w:cs="宋体"/>
                <w:color w:val="auto"/>
                <w:spacing w:val="-2"/>
                <w:sz w:val="24"/>
                <w:highlight w:val="none"/>
              </w:rPr>
            </w:pPr>
            <w:r>
              <w:rPr>
                <w:rFonts w:hint="eastAsia" w:ascii="宋体" w:hAnsi="宋体" w:cs="宋体"/>
                <w:color w:val="auto"/>
                <w:spacing w:val="-2"/>
                <w:sz w:val="24"/>
                <w:highlight w:val="none"/>
              </w:rPr>
              <w:t>工作模式应包含：双变换模式，旁路模式，电池模式，</w:t>
            </w:r>
          </w:p>
          <w:p w14:paraId="509352D6">
            <w:pPr>
              <w:autoSpaceDE w:val="0"/>
              <w:autoSpaceDN w:val="0"/>
              <w:spacing w:line="276" w:lineRule="auto"/>
              <w:rPr>
                <w:rFonts w:ascii="宋体" w:hAnsi="宋体" w:cs="宋体"/>
                <w:color w:val="auto"/>
                <w:spacing w:val="-2"/>
                <w:sz w:val="24"/>
                <w:highlight w:val="none"/>
              </w:rPr>
            </w:pPr>
            <w:r>
              <w:rPr>
                <w:rFonts w:hint="eastAsia" w:ascii="宋体" w:hAnsi="宋体" w:cs="宋体"/>
                <w:color w:val="auto"/>
                <w:spacing w:val="-2"/>
                <w:sz w:val="24"/>
                <w:highlight w:val="none"/>
                <w:lang w:eastAsia="zh-CN"/>
              </w:rPr>
              <w:t>（</w:t>
            </w:r>
            <w:r>
              <w:rPr>
                <w:rFonts w:hint="eastAsia" w:ascii="宋体" w:hAnsi="宋体" w:cs="宋体"/>
                <w:color w:val="auto"/>
                <w:spacing w:val="-2"/>
                <w:sz w:val="24"/>
                <w:highlight w:val="none"/>
                <w:lang w:val="en-US" w:eastAsia="zh-CN"/>
              </w:rPr>
              <w:t>1</w:t>
            </w:r>
            <w:r>
              <w:rPr>
                <w:rFonts w:hint="eastAsia" w:ascii="宋体" w:hAnsi="宋体" w:cs="宋体"/>
                <w:color w:val="auto"/>
                <w:spacing w:val="-2"/>
                <w:sz w:val="24"/>
                <w:highlight w:val="none"/>
                <w:lang w:eastAsia="zh-CN"/>
              </w:rPr>
              <w:t>）</w:t>
            </w:r>
            <w:r>
              <w:rPr>
                <w:rFonts w:hint="eastAsia" w:ascii="宋体" w:hAnsi="宋体" w:cs="宋体"/>
                <w:color w:val="auto"/>
                <w:spacing w:val="-2"/>
                <w:sz w:val="24"/>
                <w:highlight w:val="none"/>
              </w:rPr>
              <w:t>双变换模式：UPS正常工作模式，交流市电输入经过整流器整流，由交流变换成直流，再经逆变器逆变，由直流变换成交流输出，同时整流器通过充电器为电池充电。</w:t>
            </w:r>
          </w:p>
          <w:p w14:paraId="3A7C406D">
            <w:pPr>
              <w:autoSpaceDE w:val="0"/>
              <w:autoSpaceDN w:val="0"/>
              <w:spacing w:line="276" w:lineRule="auto"/>
              <w:rPr>
                <w:rFonts w:ascii="宋体" w:hAnsi="宋体" w:cs="宋体"/>
                <w:color w:val="auto"/>
                <w:spacing w:val="-2"/>
                <w:sz w:val="24"/>
                <w:highlight w:val="none"/>
              </w:rPr>
            </w:pPr>
            <w:r>
              <w:rPr>
                <w:rFonts w:hint="eastAsia" w:ascii="宋体" w:hAnsi="宋体" w:cs="宋体"/>
                <w:color w:val="auto"/>
                <w:spacing w:val="-2"/>
                <w:sz w:val="24"/>
                <w:highlight w:val="none"/>
                <w:lang w:eastAsia="zh-CN"/>
              </w:rPr>
              <w:t>（</w:t>
            </w:r>
            <w:r>
              <w:rPr>
                <w:rFonts w:hint="eastAsia" w:ascii="宋体" w:hAnsi="宋体" w:cs="宋体"/>
                <w:color w:val="auto"/>
                <w:spacing w:val="-2"/>
                <w:sz w:val="24"/>
                <w:highlight w:val="none"/>
                <w:lang w:val="en-US" w:eastAsia="zh-CN"/>
              </w:rPr>
              <w:t>2</w:t>
            </w:r>
            <w:r>
              <w:rPr>
                <w:rFonts w:hint="eastAsia" w:ascii="宋体" w:hAnsi="宋体" w:cs="宋体"/>
                <w:color w:val="auto"/>
                <w:spacing w:val="-2"/>
                <w:sz w:val="24"/>
                <w:highlight w:val="none"/>
                <w:lang w:eastAsia="zh-CN"/>
              </w:rPr>
              <w:t>）</w:t>
            </w:r>
            <w:r>
              <w:rPr>
                <w:rFonts w:hint="eastAsia" w:ascii="宋体" w:hAnsi="宋体" w:cs="宋体"/>
                <w:color w:val="auto"/>
                <w:spacing w:val="-2"/>
                <w:sz w:val="24"/>
                <w:highlight w:val="none"/>
              </w:rPr>
              <w:t>旁路模式：旁路模式是市电经U</w:t>
            </w:r>
            <w:r>
              <w:rPr>
                <w:rFonts w:ascii="宋体" w:hAnsi="宋体" w:cs="宋体"/>
                <w:color w:val="auto"/>
                <w:spacing w:val="-2"/>
                <w:sz w:val="24"/>
                <w:highlight w:val="none"/>
              </w:rPr>
              <w:t>PS</w:t>
            </w:r>
            <w:r>
              <w:rPr>
                <w:rFonts w:hint="eastAsia" w:ascii="宋体" w:hAnsi="宋体" w:cs="宋体"/>
                <w:color w:val="auto"/>
                <w:spacing w:val="-2"/>
                <w:sz w:val="24"/>
                <w:highlight w:val="none"/>
              </w:rPr>
              <w:t>直接为供电，UPS因过载，或自身故障引起工作异常，自动转到旁路模式为负载供电。</w:t>
            </w:r>
            <w:r>
              <w:rPr>
                <w:rFonts w:ascii="宋体" w:hAnsi="宋体" w:cs="宋体"/>
                <w:color w:val="auto"/>
                <w:spacing w:val="-2"/>
                <w:sz w:val="24"/>
                <w:highlight w:val="none"/>
              </w:rPr>
              <w:t xml:space="preserve"> </w:t>
            </w:r>
          </w:p>
          <w:p w14:paraId="667FB890">
            <w:pPr>
              <w:autoSpaceDE w:val="0"/>
              <w:autoSpaceDN w:val="0"/>
              <w:spacing w:line="276" w:lineRule="auto"/>
              <w:rPr>
                <w:rFonts w:hint="eastAsia" w:ascii="宋体" w:hAnsi="宋体" w:cs="宋体"/>
                <w:color w:val="auto"/>
                <w:spacing w:val="-2"/>
                <w:sz w:val="24"/>
                <w:highlight w:val="none"/>
              </w:rPr>
            </w:pPr>
            <w:r>
              <w:rPr>
                <w:rFonts w:hint="eastAsia" w:ascii="宋体" w:hAnsi="宋体" w:cs="宋体"/>
                <w:color w:val="auto"/>
                <w:spacing w:val="-2"/>
                <w:sz w:val="24"/>
                <w:highlight w:val="none"/>
                <w:lang w:eastAsia="zh-CN"/>
              </w:rPr>
              <w:t>（</w:t>
            </w:r>
            <w:r>
              <w:rPr>
                <w:rFonts w:hint="eastAsia" w:ascii="宋体" w:hAnsi="宋体" w:cs="宋体"/>
                <w:color w:val="auto"/>
                <w:spacing w:val="-2"/>
                <w:sz w:val="24"/>
                <w:highlight w:val="none"/>
                <w:lang w:val="en-US" w:eastAsia="zh-CN"/>
              </w:rPr>
              <w:t>3</w:t>
            </w:r>
            <w:r>
              <w:rPr>
                <w:rFonts w:hint="eastAsia" w:ascii="宋体" w:hAnsi="宋体" w:cs="宋体"/>
                <w:color w:val="auto"/>
                <w:spacing w:val="-2"/>
                <w:sz w:val="24"/>
                <w:highlight w:val="none"/>
                <w:lang w:eastAsia="zh-CN"/>
              </w:rPr>
              <w:t>）</w:t>
            </w:r>
            <w:r>
              <w:rPr>
                <w:rFonts w:hint="eastAsia" w:ascii="宋体" w:hAnsi="宋体" w:cs="宋体"/>
                <w:color w:val="auto"/>
                <w:spacing w:val="-2"/>
                <w:sz w:val="24"/>
                <w:highlight w:val="none"/>
              </w:rPr>
              <w:t>电池模式：当市电输入异常或者整流器发生异常时，UPS转电池模式工作，此时UPS从电池获取能量，经逆变器变换成交流以后输出。</w:t>
            </w:r>
          </w:p>
          <w:p w14:paraId="12774269">
            <w:pPr>
              <w:autoSpaceDE w:val="0"/>
              <w:autoSpaceDN w:val="0"/>
              <w:spacing w:line="276" w:lineRule="auto"/>
              <w:rPr>
                <w:rFonts w:ascii="宋体" w:hAnsi="宋体" w:cs="宋体"/>
                <w:color w:val="auto"/>
                <w:spacing w:val="-2"/>
                <w:sz w:val="24"/>
                <w:highlight w:val="none"/>
              </w:rPr>
            </w:pPr>
            <w:r>
              <w:rPr>
                <w:rFonts w:hint="eastAsia" w:ascii="宋体" w:hAnsi="宋体" w:cs="宋体"/>
                <w:b/>
                <w:bCs/>
                <w:color w:val="auto"/>
                <w:spacing w:val="-2"/>
                <w:sz w:val="24"/>
                <w:highlight w:val="none"/>
              </w:rPr>
              <w:t>提供所投产品的彩页、用户手册或其他证明材料，并加盖投标人公章。</w:t>
            </w:r>
          </w:p>
        </w:tc>
      </w:tr>
      <w:tr w14:paraId="4CBF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jc w:val="center"/>
        </w:trPr>
        <w:tc>
          <w:tcPr>
            <w:tcW w:w="688" w:type="dxa"/>
            <w:vMerge w:val="continue"/>
            <w:tcBorders>
              <w:left w:val="single" w:color="auto" w:sz="4" w:space="0"/>
              <w:right w:val="single" w:color="auto" w:sz="4" w:space="0"/>
            </w:tcBorders>
            <w:vAlign w:val="center"/>
          </w:tcPr>
          <w:p w14:paraId="1CC42DFD">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219D7DDA">
            <w:pPr>
              <w:autoSpaceDE w:val="0"/>
              <w:autoSpaceDN w:val="0"/>
              <w:jc w:val="center"/>
              <w:textAlignment w:val="center"/>
              <w:rPr>
                <w:rFonts w:hint="eastAsia"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3</w:t>
            </w:r>
          </w:p>
        </w:tc>
        <w:tc>
          <w:tcPr>
            <w:tcW w:w="508" w:type="dxa"/>
            <w:tcBorders>
              <w:top w:val="single" w:color="auto" w:sz="4" w:space="0"/>
              <w:left w:val="single" w:color="auto" w:sz="4" w:space="0"/>
              <w:bottom w:val="single" w:color="auto" w:sz="4" w:space="0"/>
              <w:right w:val="single" w:color="auto" w:sz="4" w:space="0"/>
            </w:tcBorders>
            <w:vAlign w:val="center"/>
          </w:tcPr>
          <w:p w14:paraId="04D8D4BC">
            <w:pPr>
              <w:autoSpaceDE w:val="0"/>
              <w:autoSpaceDN w:val="0"/>
              <w:ind w:right="120" w:rightChars="57"/>
              <w:jc w:val="center"/>
              <w:textAlignment w:val="center"/>
              <w:rPr>
                <w:rFonts w:ascii="Times New Roman" w:hAnsi="Times New Roman" w:cs="Times New Roman"/>
                <w:color w:val="auto"/>
                <w:highlight w:val="none"/>
              </w:rPr>
            </w:pPr>
            <w:r>
              <w:rPr>
                <w:rFonts w:hint="eastAsia" w:ascii="宋体" w:hAnsi="宋体" w:cs="宋体"/>
                <w:color w:val="auto"/>
                <w:sz w:val="22"/>
                <w:szCs w:val="22"/>
                <w:highlight w:val="none"/>
                <w:lang w:bidi="ar"/>
              </w:rPr>
              <w:t>#</w:t>
            </w:r>
          </w:p>
        </w:tc>
        <w:tc>
          <w:tcPr>
            <w:tcW w:w="888" w:type="dxa"/>
            <w:tcBorders>
              <w:left w:val="single" w:color="auto" w:sz="4" w:space="0"/>
            </w:tcBorders>
            <w:vAlign w:val="center"/>
          </w:tcPr>
          <w:p w14:paraId="43982CA5">
            <w:pPr>
              <w:autoSpaceDE w:val="0"/>
              <w:autoSpaceDN w:val="0"/>
              <w:jc w:val="center"/>
              <w:textAlignment w:val="center"/>
              <w:rPr>
                <w:rFonts w:ascii="Times New Roman" w:hAnsi="Times New Roman" w:cs="Times New Roman"/>
                <w:color w:val="auto"/>
                <w:spacing w:val="-5"/>
                <w:highlight w:val="none"/>
              </w:rPr>
            </w:pPr>
            <w:r>
              <w:rPr>
                <w:rFonts w:hint="eastAsia" w:ascii="宋体" w:hAnsi="宋体" w:cs="宋体"/>
                <w:color w:val="auto"/>
                <w:sz w:val="22"/>
                <w:szCs w:val="22"/>
                <w:highlight w:val="none"/>
                <w:lang w:bidi="ar"/>
              </w:rPr>
              <w:t>功率模块</w:t>
            </w:r>
          </w:p>
        </w:tc>
        <w:tc>
          <w:tcPr>
            <w:tcW w:w="6411" w:type="dxa"/>
            <w:vAlign w:val="center"/>
          </w:tcPr>
          <w:p w14:paraId="2C857212">
            <w:pPr>
              <w:autoSpaceDE w:val="0"/>
              <w:autoSpaceDN w:val="0"/>
              <w:adjustRightInd w:val="0"/>
              <w:jc w:val="left"/>
              <w:rPr>
                <w:rFonts w:ascii="SimSun,Bold" w:hAnsi="Times New Roman" w:eastAsia="SimSun,Bold" w:cs="SimSun,Bold"/>
                <w:b/>
                <w:bCs/>
                <w:color w:val="auto"/>
                <w:kern w:val="0"/>
                <w:sz w:val="22"/>
                <w:szCs w:val="22"/>
                <w:highlight w:val="none"/>
              </w:rPr>
            </w:pPr>
            <w:r>
              <w:rPr>
                <w:rFonts w:hint="eastAsia" w:ascii="宋体" w:hAnsi="宋体" w:cs="宋体"/>
                <w:color w:val="auto"/>
                <w:sz w:val="22"/>
                <w:szCs w:val="22"/>
                <w:highlight w:val="none"/>
                <w:lang w:bidi="ar"/>
              </w:rPr>
              <w:t>UPS功率模块、旁路模块、控制模块需支持在线热插拔功能</w:t>
            </w:r>
            <w:r>
              <w:rPr>
                <w:rFonts w:hint="eastAsia" w:ascii="宋体" w:hAnsi="宋体" w:cs="宋体"/>
                <w:color w:val="auto"/>
                <w:sz w:val="22"/>
                <w:szCs w:val="22"/>
                <w:highlight w:val="none"/>
                <w:lang w:eastAsia="zh-CN" w:bidi="ar"/>
              </w:rPr>
              <w:t>；</w:t>
            </w:r>
            <w:r>
              <w:rPr>
                <w:rFonts w:hint="eastAsia" w:ascii="宋体" w:hAnsi="宋体" w:cs="宋体"/>
                <w:color w:val="auto"/>
                <w:sz w:val="22"/>
                <w:szCs w:val="22"/>
                <w:highlight w:val="none"/>
                <w:lang w:bidi="ar"/>
              </w:rPr>
              <w:br w:type="textWrapping"/>
            </w:r>
            <w:r>
              <w:rPr>
                <w:rFonts w:hint="eastAsia" w:ascii="SimSun,Bold" w:hAnsi="Times New Roman" w:eastAsia="SimSun,Bold" w:cs="SimSun,Bold"/>
                <w:b/>
                <w:bCs/>
                <w:color w:val="auto"/>
                <w:kern w:val="0"/>
                <w:sz w:val="22"/>
                <w:szCs w:val="22"/>
                <w:highlight w:val="none"/>
              </w:rPr>
              <w:t>提供国家认可的检测（认证）机构出具的检测报告</w:t>
            </w:r>
            <w:r>
              <w:rPr>
                <w:rFonts w:ascii="SimSun,Bold" w:hAnsi="Times New Roman" w:eastAsia="SimSun,Bold" w:cs="SimSun,Bold"/>
                <w:b/>
                <w:bCs/>
                <w:color w:val="auto"/>
                <w:kern w:val="0"/>
                <w:sz w:val="22"/>
                <w:szCs w:val="22"/>
                <w:highlight w:val="none"/>
              </w:rPr>
              <w:t>,</w:t>
            </w:r>
            <w:r>
              <w:rPr>
                <w:rFonts w:hint="eastAsia" w:ascii="宋体" w:hAnsi="宋体" w:cs="宋体"/>
                <w:b/>
                <w:bCs/>
                <w:color w:val="auto"/>
                <w:sz w:val="22"/>
                <w:szCs w:val="22"/>
                <w:highlight w:val="none"/>
                <w:lang w:bidi="ar"/>
              </w:rPr>
              <w:t xml:space="preserve"> 报告需具备</w:t>
            </w:r>
            <w:r>
              <w:rPr>
                <w:rFonts w:ascii="宋体" w:hAnsi="宋体" w:cs="宋体"/>
                <w:b/>
                <w:bCs/>
                <w:color w:val="auto"/>
                <w:sz w:val="22"/>
                <w:szCs w:val="22"/>
                <w:highlight w:val="none"/>
                <w:lang w:bidi="ar"/>
              </w:rPr>
              <w:t>CMA</w:t>
            </w:r>
            <w:r>
              <w:rPr>
                <w:rFonts w:hint="eastAsia" w:ascii="宋体" w:hAnsi="宋体" w:cs="宋体"/>
                <w:b/>
                <w:bCs/>
                <w:color w:val="auto"/>
                <w:sz w:val="22"/>
                <w:szCs w:val="22"/>
                <w:highlight w:val="none"/>
                <w:lang w:bidi="ar"/>
              </w:rPr>
              <w:t>标志，</w:t>
            </w:r>
            <w:r>
              <w:rPr>
                <w:rFonts w:hint="eastAsia" w:ascii="SimSun,Bold" w:hAnsi="Times New Roman" w:eastAsia="SimSun,Bold" w:cs="SimSun,Bold"/>
                <w:b/>
                <w:bCs/>
                <w:color w:val="auto"/>
                <w:kern w:val="0"/>
                <w:sz w:val="22"/>
                <w:szCs w:val="22"/>
                <w:highlight w:val="none"/>
              </w:rPr>
              <w:t>并加盖投标人公章</w:t>
            </w:r>
            <w:r>
              <w:rPr>
                <w:rFonts w:hint="eastAsia" w:ascii="宋体" w:hAnsi="宋体" w:cs="宋体"/>
                <w:b/>
                <w:bCs/>
                <w:color w:val="auto"/>
                <w:spacing w:val="-2"/>
                <w:sz w:val="24"/>
                <w:highlight w:val="none"/>
              </w:rPr>
              <w:t>。</w:t>
            </w:r>
          </w:p>
        </w:tc>
      </w:tr>
      <w:tr w14:paraId="76420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jc w:val="center"/>
        </w:trPr>
        <w:tc>
          <w:tcPr>
            <w:tcW w:w="688" w:type="dxa"/>
            <w:vMerge w:val="continue"/>
            <w:tcBorders>
              <w:left w:val="single" w:color="auto" w:sz="4" w:space="0"/>
              <w:right w:val="single" w:color="auto" w:sz="4" w:space="0"/>
            </w:tcBorders>
            <w:vAlign w:val="center"/>
          </w:tcPr>
          <w:p w14:paraId="00FE3E08">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27E51E3E">
            <w:pPr>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4</w:t>
            </w:r>
          </w:p>
        </w:tc>
        <w:tc>
          <w:tcPr>
            <w:tcW w:w="508" w:type="dxa"/>
            <w:tcBorders>
              <w:top w:val="single" w:color="auto" w:sz="4" w:space="0"/>
              <w:left w:val="single" w:color="auto" w:sz="4" w:space="0"/>
              <w:bottom w:val="single" w:color="auto" w:sz="4" w:space="0"/>
              <w:right w:val="single" w:color="auto" w:sz="4" w:space="0"/>
            </w:tcBorders>
            <w:vAlign w:val="center"/>
          </w:tcPr>
          <w:p w14:paraId="00C383E3">
            <w:pPr>
              <w:autoSpaceDE w:val="0"/>
              <w:autoSpaceDN w:val="0"/>
              <w:ind w:right="120" w:rightChars="57"/>
              <w:jc w:val="center"/>
              <w:rPr>
                <w:rFonts w:ascii="Times New Roman" w:hAnsi="Times New Roman" w:cs="Times New Roman"/>
                <w:color w:val="auto"/>
                <w:highlight w:val="none"/>
              </w:rPr>
            </w:pPr>
          </w:p>
        </w:tc>
        <w:tc>
          <w:tcPr>
            <w:tcW w:w="888" w:type="dxa"/>
            <w:tcBorders>
              <w:left w:val="single" w:color="auto" w:sz="4" w:space="0"/>
            </w:tcBorders>
            <w:vAlign w:val="center"/>
          </w:tcPr>
          <w:p w14:paraId="0E9E7AFD">
            <w:pPr>
              <w:autoSpaceDE w:val="0"/>
              <w:autoSpaceDN w:val="0"/>
              <w:jc w:val="center"/>
              <w:textAlignment w:val="center"/>
              <w:rPr>
                <w:rFonts w:ascii="Times New Roman" w:hAnsi="Times New Roman" w:cs="Times New Roman"/>
                <w:color w:val="auto"/>
                <w:spacing w:val="-5"/>
                <w:highlight w:val="none"/>
              </w:rPr>
            </w:pPr>
            <w:r>
              <w:rPr>
                <w:rFonts w:hint="eastAsia" w:ascii="宋体" w:hAnsi="宋体" w:cs="宋体"/>
                <w:color w:val="auto"/>
                <w:sz w:val="22"/>
                <w:szCs w:val="22"/>
                <w:highlight w:val="none"/>
                <w:lang w:bidi="ar"/>
              </w:rPr>
              <w:t>外观</w:t>
            </w:r>
          </w:p>
        </w:tc>
        <w:tc>
          <w:tcPr>
            <w:tcW w:w="6411" w:type="dxa"/>
            <w:vAlign w:val="center"/>
          </w:tcPr>
          <w:p w14:paraId="3B960B11">
            <w:pPr>
              <w:autoSpaceDE w:val="0"/>
              <w:autoSpaceDN w:val="0"/>
              <w:textAlignment w:val="center"/>
              <w:rPr>
                <w:rFonts w:ascii="Times New Roman" w:hAnsi="Times New Roman" w:cs="Times New Roman"/>
                <w:color w:val="auto"/>
                <w:spacing w:val="-2"/>
                <w:highlight w:val="none"/>
              </w:rPr>
            </w:pPr>
            <w:r>
              <w:rPr>
                <w:rFonts w:hint="eastAsia" w:ascii="宋体" w:hAnsi="宋体" w:cs="宋体"/>
                <w:color w:val="auto"/>
                <w:sz w:val="22"/>
                <w:szCs w:val="22"/>
                <w:highlight w:val="none"/>
                <w:lang w:bidi="ar"/>
              </w:rPr>
              <w:t>机箱镀层牢固，漆面匀称，无剥落、锈蚀及裂痕等现象；机箱表面平整，所有标牌、标记、文字符号应清晰、正确、整齐；</w:t>
            </w:r>
          </w:p>
        </w:tc>
      </w:tr>
      <w:tr w14:paraId="0E5F8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1" w:hRule="atLeast"/>
          <w:jc w:val="center"/>
        </w:trPr>
        <w:tc>
          <w:tcPr>
            <w:tcW w:w="688" w:type="dxa"/>
            <w:vMerge w:val="continue"/>
            <w:tcBorders>
              <w:left w:val="single" w:color="auto" w:sz="4" w:space="0"/>
              <w:right w:val="single" w:color="auto" w:sz="4" w:space="0"/>
            </w:tcBorders>
            <w:vAlign w:val="center"/>
          </w:tcPr>
          <w:p w14:paraId="2A593FBA">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43E577B5">
            <w:pPr>
              <w:autoSpaceDE w:val="0"/>
              <w:autoSpaceDN w:val="0"/>
              <w:jc w:val="center"/>
              <w:textAlignment w:val="center"/>
              <w:rPr>
                <w:rFonts w:hint="eastAsia"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5</w:t>
            </w:r>
          </w:p>
        </w:tc>
        <w:tc>
          <w:tcPr>
            <w:tcW w:w="508" w:type="dxa"/>
            <w:tcBorders>
              <w:top w:val="single" w:color="auto" w:sz="4" w:space="0"/>
              <w:left w:val="single" w:color="auto" w:sz="4" w:space="0"/>
              <w:bottom w:val="single" w:color="auto" w:sz="4" w:space="0"/>
              <w:right w:val="single" w:color="auto" w:sz="4" w:space="0"/>
            </w:tcBorders>
            <w:vAlign w:val="center"/>
          </w:tcPr>
          <w:p w14:paraId="23E4C159">
            <w:pPr>
              <w:autoSpaceDE w:val="0"/>
              <w:autoSpaceDN w:val="0"/>
              <w:ind w:right="120" w:rightChars="57"/>
              <w:jc w:val="center"/>
              <w:textAlignment w:val="center"/>
              <w:rPr>
                <w:rFonts w:ascii="Times New Roman" w:hAnsi="Times New Roman" w:cs="Times New Roman"/>
                <w:color w:val="auto"/>
                <w:highlight w:val="none"/>
              </w:rPr>
            </w:pPr>
            <w:r>
              <w:rPr>
                <w:rFonts w:hint="eastAsia" w:ascii="宋体" w:hAnsi="宋体" w:cs="宋体"/>
                <w:color w:val="auto"/>
                <w:sz w:val="22"/>
                <w:szCs w:val="22"/>
                <w:highlight w:val="none"/>
                <w:lang w:bidi="ar"/>
              </w:rPr>
              <w:t>△</w:t>
            </w:r>
          </w:p>
        </w:tc>
        <w:tc>
          <w:tcPr>
            <w:tcW w:w="888" w:type="dxa"/>
            <w:tcBorders>
              <w:left w:val="single" w:color="auto" w:sz="4" w:space="0"/>
            </w:tcBorders>
            <w:vAlign w:val="center"/>
          </w:tcPr>
          <w:p w14:paraId="489DB695">
            <w:pPr>
              <w:autoSpaceDE w:val="0"/>
              <w:autoSpaceDN w:val="0"/>
              <w:jc w:val="center"/>
              <w:textAlignment w:val="center"/>
              <w:rPr>
                <w:rFonts w:ascii="Times New Roman" w:hAnsi="Times New Roman" w:cs="Times New Roman"/>
                <w:color w:val="auto"/>
                <w:spacing w:val="-5"/>
                <w:highlight w:val="none"/>
              </w:rPr>
            </w:pPr>
            <w:r>
              <w:rPr>
                <w:rFonts w:hint="eastAsia" w:ascii="宋体" w:hAnsi="宋体" w:cs="宋体"/>
                <w:color w:val="auto"/>
                <w:sz w:val="22"/>
                <w:szCs w:val="22"/>
                <w:highlight w:val="none"/>
                <w:lang w:bidi="ar"/>
              </w:rPr>
              <w:t>环境适应性</w:t>
            </w:r>
          </w:p>
        </w:tc>
        <w:tc>
          <w:tcPr>
            <w:tcW w:w="6411" w:type="dxa"/>
            <w:vAlign w:val="center"/>
          </w:tcPr>
          <w:p w14:paraId="26C11DE6">
            <w:pPr>
              <w:autoSpaceDE w:val="0"/>
              <w:autoSpaceDN w:val="0"/>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不间断电源主机满足以下运行条件：</w:t>
            </w:r>
            <w:r>
              <w:rPr>
                <w:rFonts w:hint="eastAsia" w:ascii="宋体" w:hAnsi="宋体" w:cs="宋体"/>
                <w:color w:val="auto"/>
                <w:sz w:val="22"/>
                <w:szCs w:val="22"/>
                <w:highlight w:val="none"/>
                <w:lang w:bidi="ar"/>
              </w:rPr>
              <w:br w:type="textWrapping"/>
            </w:r>
            <w:r>
              <w:rPr>
                <w:rFonts w:hint="eastAsia" w:ascii="宋体" w:hAnsi="宋体" w:cs="宋体"/>
                <w:color w:val="auto"/>
                <w:sz w:val="22"/>
                <w:szCs w:val="22"/>
                <w:highlight w:val="none"/>
                <w:lang w:bidi="ar"/>
              </w:rPr>
              <w:t>-环境相对湿度：0%~95%（无凝露）；</w:t>
            </w:r>
            <w:r>
              <w:rPr>
                <w:rFonts w:hint="eastAsia" w:ascii="宋体" w:hAnsi="宋体" w:cs="宋体"/>
                <w:color w:val="auto"/>
                <w:sz w:val="22"/>
                <w:szCs w:val="22"/>
                <w:highlight w:val="none"/>
                <w:lang w:bidi="ar"/>
              </w:rPr>
              <w:br w:type="textWrapping"/>
            </w:r>
            <w:r>
              <w:rPr>
                <w:rFonts w:hint="eastAsia" w:ascii="宋体" w:hAnsi="宋体" w:cs="宋体"/>
                <w:color w:val="auto"/>
                <w:sz w:val="22"/>
                <w:szCs w:val="22"/>
                <w:highlight w:val="none"/>
                <w:lang w:bidi="ar"/>
              </w:rPr>
              <w:t>-防护等级：IP20或以上；</w:t>
            </w:r>
          </w:p>
          <w:p w14:paraId="5F19FA17">
            <w:pPr>
              <w:autoSpaceDE w:val="0"/>
              <w:autoSpaceDN w:val="0"/>
              <w:textAlignment w:val="center"/>
              <w:rPr>
                <w:rFonts w:ascii="宋体" w:hAnsi="宋体" w:cs="宋体"/>
                <w:color w:val="auto"/>
                <w:sz w:val="22"/>
                <w:szCs w:val="22"/>
                <w:highlight w:val="none"/>
                <w:lang w:bidi="ar"/>
              </w:rPr>
            </w:pPr>
            <w:r>
              <w:rPr>
                <w:rFonts w:hint="eastAsia" w:ascii="宋体" w:hAnsi="宋体" w:cs="宋体"/>
                <w:color w:val="auto"/>
                <w:sz w:val="22"/>
                <w:highlight w:val="none"/>
                <w:lang w:bidi="ar"/>
              </w:rPr>
              <w:t>-海拔1000M以下不降额；</w:t>
            </w:r>
          </w:p>
          <w:p w14:paraId="1D36C32D">
            <w:pPr>
              <w:widowControl w:val="0"/>
              <w:autoSpaceDE w:val="0"/>
              <w:autoSpaceDN w:val="0"/>
              <w:jc w:val="left"/>
              <w:rPr>
                <w:rFonts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b/>
                <w:bCs/>
                <w:color w:val="auto"/>
                <w:kern w:val="2"/>
                <w:sz w:val="21"/>
                <w:szCs w:val="24"/>
                <w:highlight w:val="none"/>
                <w:lang w:val="en-US" w:eastAsia="zh-CN" w:bidi="ar-SA"/>
              </w:rPr>
              <w:t>提供所投产品的彩页、用户手册或其他证明材料，并加盖投标人公章。</w:t>
            </w:r>
          </w:p>
        </w:tc>
      </w:tr>
      <w:tr w14:paraId="4DD8E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88" w:type="dxa"/>
            <w:vMerge w:val="continue"/>
            <w:tcBorders>
              <w:left w:val="single" w:color="auto" w:sz="4" w:space="0"/>
              <w:right w:val="single" w:color="auto" w:sz="4" w:space="0"/>
            </w:tcBorders>
            <w:vAlign w:val="center"/>
          </w:tcPr>
          <w:p w14:paraId="3E9B51F5">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65F5E4E6">
            <w:pPr>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6</w:t>
            </w:r>
          </w:p>
        </w:tc>
        <w:tc>
          <w:tcPr>
            <w:tcW w:w="508" w:type="dxa"/>
            <w:tcBorders>
              <w:top w:val="single" w:color="auto" w:sz="4" w:space="0"/>
              <w:left w:val="single" w:color="auto" w:sz="4" w:space="0"/>
              <w:bottom w:val="single" w:color="auto" w:sz="4" w:space="0"/>
              <w:right w:val="single" w:color="auto" w:sz="4" w:space="0"/>
            </w:tcBorders>
            <w:vAlign w:val="center"/>
          </w:tcPr>
          <w:p w14:paraId="5CFA4979">
            <w:pPr>
              <w:autoSpaceDE w:val="0"/>
              <w:autoSpaceDN w:val="0"/>
              <w:ind w:right="120" w:rightChars="57"/>
              <w:jc w:val="center"/>
              <w:rPr>
                <w:rFonts w:ascii="Times New Roman" w:hAnsi="Times New Roman" w:cs="Times New Roman"/>
                <w:color w:val="auto"/>
                <w:highlight w:val="none"/>
              </w:rPr>
            </w:pPr>
          </w:p>
        </w:tc>
        <w:tc>
          <w:tcPr>
            <w:tcW w:w="888" w:type="dxa"/>
            <w:tcBorders>
              <w:left w:val="single" w:color="auto" w:sz="4" w:space="0"/>
            </w:tcBorders>
            <w:vAlign w:val="center"/>
          </w:tcPr>
          <w:p w14:paraId="7715F5A6">
            <w:pPr>
              <w:autoSpaceDE w:val="0"/>
              <w:autoSpaceDN w:val="0"/>
              <w:jc w:val="center"/>
              <w:textAlignment w:val="center"/>
              <w:rPr>
                <w:rFonts w:ascii="Times New Roman" w:hAnsi="Times New Roman" w:cs="Times New Roman"/>
                <w:color w:val="auto"/>
                <w:spacing w:val="-5"/>
                <w:highlight w:val="none"/>
              </w:rPr>
            </w:pPr>
            <w:r>
              <w:rPr>
                <w:rFonts w:hint="eastAsia" w:ascii="宋体" w:hAnsi="宋体" w:cs="宋体"/>
                <w:color w:val="auto"/>
                <w:sz w:val="22"/>
                <w:szCs w:val="22"/>
                <w:highlight w:val="none"/>
                <w:lang w:bidi="ar"/>
              </w:rPr>
              <w:t>电气规格</w:t>
            </w:r>
          </w:p>
        </w:tc>
        <w:tc>
          <w:tcPr>
            <w:tcW w:w="6411" w:type="dxa"/>
            <w:vAlign w:val="center"/>
          </w:tcPr>
          <w:p w14:paraId="4020B974">
            <w:pPr>
              <w:autoSpaceDE w:val="0"/>
              <w:autoSpaceDN w:val="0"/>
              <w:textAlignment w:val="center"/>
              <w:rPr>
                <w:rFonts w:hint="eastAsia" w:ascii="宋体" w:hAnsi="宋体" w:cs="宋体"/>
                <w:color w:val="auto"/>
                <w:sz w:val="22"/>
                <w:szCs w:val="22"/>
                <w:highlight w:val="none"/>
                <w:lang w:eastAsia="zh-CN" w:bidi="ar"/>
              </w:rPr>
            </w:pPr>
            <w:r>
              <w:rPr>
                <w:rFonts w:hint="eastAsia" w:ascii="宋体" w:hAnsi="宋体" w:cs="宋体"/>
                <w:color w:val="auto"/>
                <w:sz w:val="22"/>
                <w:szCs w:val="22"/>
                <w:highlight w:val="none"/>
                <w:lang w:bidi="ar"/>
              </w:rPr>
              <w:t>输入制式：3PH+N+PE</w:t>
            </w:r>
            <w:r>
              <w:rPr>
                <w:rFonts w:hint="eastAsia" w:ascii="宋体" w:hAnsi="宋体" w:cs="宋体"/>
                <w:color w:val="auto"/>
                <w:sz w:val="22"/>
                <w:szCs w:val="22"/>
                <w:highlight w:val="none"/>
                <w:lang w:eastAsia="zh-CN" w:bidi="ar"/>
              </w:rPr>
              <w:t>；</w:t>
            </w:r>
          </w:p>
          <w:p w14:paraId="6F762080">
            <w:pPr>
              <w:autoSpaceDE w:val="0"/>
              <w:autoSpaceDN w:val="0"/>
              <w:textAlignment w:val="center"/>
              <w:rPr>
                <w:rFonts w:hint="eastAsia" w:ascii="Times New Roman" w:hAnsi="Times New Roman" w:eastAsia="宋体" w:cs="Times New Roman"/>
                <w:color w:val="auto"/>
                <w:spacing w:val="-2"/>
                <w:highlight w:val="none"/>
                <w:lang w:eastAsia="zh-CN"/>
              </w:rPr>
            </w:pPr>
            <w:r>
              <w:rPr>
                <w:rFonts w:hint="eastAsia" w:ascii="宋体" w:hAnsi="宋体" w:cs="宋体"/>
                <w:color w:val="auto"/>
                <w:sz w:val="22"/>
                <w:szCs w:val="22"/>
                <w:highlight w:val="none"/>
                <w:lang w:bidi="ar"/>
              </w:rPr>
              <w:t>额定电压：380/400/415Vac</w:t>
            </w:r>
            <w:r>
              <w:rPr>
                <w:rFonts w:hint="eastAsia" w:ascii="宋体" w:hAnsi="宋体" w:cs="宋体"/>
                <w:color w:val="auto"/>
                <w:sz w:val="22"/>
                <w:szCs w:val="22"/>
                <w:highlight w:val="none"/>
                <w:lang w:eastAsia="zh-CN" w:bidi="ar"/>
              </w:rPr>
              <w:t>；</w:t>
            </w:r>
            <w:r>
              <w:rPr>
                <w:rFonts w:hint="eastAsia" w:ascii="宋体" w:hAnsi="宋体" w:cs="宋体"/>
                <w:color w:val="auto"/>
                <w:sz w:val="22"/>
                <w:szCs w:val="22"/>
                <w:highlight w:val="none"/>
                <w:lang w:bidi="ar"/>
              </w:rPr>
              <w:br w:type="textWrapping"/>
            </w:r>
            <w:r>
              <w:rPr>
                <w:rFonts w:hint="eastAsia" w:ascii="宋体" w:hAnsi="宋体" w:cs="宋体"/>
                <w:color w:val="auto"/>
                <w:sz w:val="22"/>
                <w:szCs w:val="22"/>
                <w:highlight w:val="none"/>
                <w:lang w:bidi="ar"/>
              </w:rPr>
              <w:t>额定频率：50HZ</w:t>
            </w:r>
            <w:r>
              <w:rPr>
                <w:rFonts w:hint="eastAsia" w:ascii="宋体" w:hAnsi="宋体" w:cs="宋体"/>
                <w:color w:val="auto"/>
                <w:sz w:val="22"/>
                <w:szCs w:val="22"/>
                <w:highlight w:val="none"/>
                <w:lang w:eastAsia="zh-CN" w:bidi="ar"/>
              </w:rPr>
              <w:t>；</w:t>
            </w:r>
          </w:p>
        </w:tc>
      </w:tr>
      <w:tr w14:paraId="1CDB5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jc w:val="center"/>
        </w:trPr>
        <w:tc>
          <w:tcPr>
            <w:tcW w:w="688" w:type="dxa"/>
            <w:vMerge w:val="continue"/>
            <w:tcBorders>
              <w:left w:val="single" w:color="auto" w:sz="4" w:space="0"/>
              <w:right w:val="single" w:color="auto" w:sz="4" w:space="0"/>
            </w:tcBorders>
            <w:vAlign w:val="center"/>
          </w:tcPr>
          <w:p w14:paraId="25D43814">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5F03BE0B">
            <w:pPr>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7</w:t>
            </w:r>
          </w:p>
        </w:tc>
        <w:tc>
          <w:tcPr>
            <w:tcW w:w="508" w:type="dxa"/>
            <w:tcBorders>
              <w:top w:val="single" w:color="auto" w:sz="4" w:space="0"/>
              <w:left w:val="single" w:color="auto" w:sz="4" w:space="0"/>
              <w:bottom w:val="single" w:color="auto" w:sz="4" w:space="0"/>
              <w:right w:val="single" w:color="auto" w:sz="4" w:space="0"/>
            </w:tcBorders>
            <w:vAlign w:val="center"/>
          </w:tcPr>
          <w:p w14:paraId="397CE1FE">
            <w:pPr>
              <w:autoSpaceDE w:val="0"/>
              <w:autoSpaceDN w:val="0"/>
              <w:ind w:right="120" w:rightChars="57"/>
              <w:jc w:val="center"/>
              <w:rPr>
                <w:rFonts w:ascii="Times New Roman" w:hAnsi="Times New Roman" w:cs="Times New Roman"/>
                <w:color w:val="auto"/>
                <w:highlight w:val="none"/>
              </w:rPr>
            </w:pPr>
          </w:p>
        </w:tc>
        <w:tc>
          <w:tcPr>
            <w:tcW w:w="888" w:type="dxa"/>
            <w:tcBorders>
              <w:left w:val="single" w:color="auto" w:sz="4" w:space="0"/>
            </w:tcBorders>
            <w:vAlign w:val="center"/>
          </w:tcPr>
          <w:p w14:paraId="2D189479">
            <w:pPr>
              <w:autoSpaceDE w:val="0"/>
              <w:autoSpaceDN w:val="0"/>
              <w:jc w:val="center"/>
              <w:textAlignment w:val="center"/>
              <w:rPr>
                <w:rFonts w:ascii="Times New Roman" w:hAnsi="Times New Roman" w:cs="Times New Roman"/>
                <w:color w:val="auto"/>
                <w:spacing w:val="-5"/>
                <w:highlight w:val="none"/>
              </w:rPr>
            </w:pPr>
            <w:r>
              <w:rPr>
                <w:rFonts w:hint="eastAsia" w:ascii="宋体" w:hAnsi="宋体" w:cs="宋体"/>
                <w:color w:val="auto"/>
                <w:sz w:val="22"/>
                <w:szCs w:val="22"/>
                <w:highlight w:val="none"/>
                <w:lang w:bidi="ar"/>
              </w:rPr>
              <w:t>输入电压范围</w:t>
            </w:r>
          </w:p>
        </w:tc>
        <w:tc>
          <w:tcPr>
            <w:tcW w:w="6411" w:type="dxa"/>
            <w:vAlign w:val="center"/>
          </w:tcPr>
          <w:p w14:paraId="7298E505">
            <w:pPr>
              <w:autoSpaceDE w:val="0"/>
              <w:autoSpaceDN w:val="0"/>
              <w:textAlignment w:val="center"/>
              <w:rPr>
                <w:rFonts w:hint="eastAsia" w:ascii="Times New Roman" w:hAnsi="Times New Roman" w:eastAsia="宋体" w:cs="Times New Roman"/>
                <w:color w:val="auto"/>
                <w:spacing w:val="-2"/>
                <w:highlight w:val="none"/>
                <w:lang w:eastAsia="zh-CN"/>
              </w:rPr>
            </w:pPr>
            <w:r>
              <w:rPr>
                <w:rFonts w:hint="eastAsia" w:ascii="宋体" w:hAnsi="宋体" w:cs="宋体"/>
                <w:color w:val="auto"/>
                <w:sz w:val="22"/>
                <w:szCs w:val="22"/>
                <w:highlight w:val="none"/>
                <w:lang w:bidi="ar"/>
              </w:rPr>
              <w:t>380AC±15%</w:t>
            </w:r>
            <w:r>
              <w:rPr>
                <w:rFonts w:hint="eastAsia" w:ascii="宋体" w:hAnsi="宋体" w:cs="宋体"/>
                <w:color w:val="auto"/>
                <w:sz w:val="22"/>
                <w:szCs w:val="22"/>
                <w:highlight w:val="none"/>
                <w:lang w:eastAsia="zh-CN" w:bidi="ar"/>
              </w:rPr>
              <w:t>；</w:t>
            </w:r>
          </w:p>
        </w:tc>
      </w:tr>
      <w:tr w14:paraId="2891B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3" w:hRule="atLeast"/>
          <w:jc w:val="center"/>
        </w:trPr>
        <w:tc>
          <w:tcPr>
            <w:tcW w:w="688" w:type="dxa"/>
            <w:vMerge w:val="continue"/>
            <w:tcBorders>
              <w:left w:val="single" w:color="auto" w:sz="4" w:space="0"/>
              <w:right w:val="single" w:color="auto" w:sz="4" w:space="0"/>
            </w:tcBorders>
            <w:vAlign w:val="center"/>
          </w:tcPr>
          <w:p w14:paraId="739FB7CF">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21EC3616">
            <w:pPr>
              <w:autoSpaceDE w:val="0"/>
              <w:autoSpaceDN w:val="0"/>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8</w:t>
            </w:r>
          </w:p>
        </w:tc>
        <w:tc>
          <w:tcPr>
            <w:tcW w:w="508" w:type="dxa"/>
            <w:tcBorders>
              <w:top w:val="single" w:color="auto" w:sz="4" w:space="0"/>
              <w:left w:val="single" w:color="auto" w:sz="4" w:space="0"/>
              <w:bottom w:val="single" w:color="auto" w:sz="4" w:space="0"/>
              <w:right w:val="single" w:color="auto" w:sz="4" w:space="0"/>
            </w:tcBorders>
            <w:vAlign w:val="center"/>
          </w:tcPr>
          <w:p w14:paraId="37795BF7">
            <w:pPr>
              <w:autoSpaceDE w:val="0"/>
              <w:autoSpaceDN w:val="0"/>
              <w:ind w:right="120" w:rightChars="57"/>
              <w:jc w:val="center"/>
              <w:rPr>
                <w:rFonts w:ascii="Times New Roman" w:hAnsi="Times New Roman" w:cs="Times New Roman"/>
                <w:color w:val="auto"/>
                <w:highlight w:val="none"/>
              </w:rPr>
            </w:pPr>
          </w:p>
        </w:tc>
        <w:tc>
          <w:tcPr>
            <w:tcW w:w="888" w:type="dxa"/>
            <w:tcBorders>
              <w:left w:val="single" w:color="auto" w:sz="4" w:space="0"/>
            </w:tcBorders>
            <w:vAlign w:val="center"/>
          </w:tcPr>
          <w:p w14:paraId="2FABE2E5">
            <w:pPr>
              <w:autoSpaceDE w:val="0"/>
              <w:autoSpaceDN w:val="0"/>
              <w:jc w:val="center"/>
              <w:textAlignment w:val="center"/>
              <w:rPr>
                <w:rFonts w:ascii="Times New Roman" w:hAnsi="Times New Roman" w:cs="Times New Roman"/>
                <w:color w:val="auto"/>
                <w:spacing w:val="-5"/>
                <w:highlight w:val="none"/>
              </w:rPr>
            </w:pPr>
            <w:r>
              <w:rPr>
                <w:rFonts w:hint="eastAsia" w:ascii="宋体" w:hAnsi="宋体" w:cs="宋体"/>
                <w:color w:val="auto"/>
                <w:sz w:val="22"/>
                <w:szCs w:val="22"/>
                <w:highlight w:val="none"/>
                <w:lang w:bidi="ar"/>
              </w:rPr>
              <w:t>输入频率范围</w:t>
            </w:r>
          </w:p>
        </w:tc>
        <w:tc>
          <w:tcPr>
            <w:tcW w:w="6411" w:type="dxa"/>
            <w:vAlign w:val="center"/>
          </w:tcPr>
          <w:p w14:paraId="491C9E21">
            <w:pPr>
              <w:autoSpaceDE w:val="0"/>
              <w:autoSpaceDN w:val="0"/>
              <w:textAlignment w:val="center"/>
              <w:rPr>
                <w:rFonts w:hint="eastAsia" w:ascii="Times New Roman" w:hAnsi="Times New Roman" w:eastAsia="宋体" w:cs="Times New Roman"/>
                <w:color w:val="auto"/>
                <w:spacing w:val="-2"/>
                <w:highlight w:val="none"/>
                <w:lang w:eastAsia="zh-CN"/>
              </w:rPr>
            </w:pPr>
            <w:r>
              <w:rPr>
                <w:rFonts w:hint="eastAsia" w:ascii="宋体" w:hAnsi="宋体" w:cs="宋体"/>
                <w:color w:val="auto"/>
                <w:sz w:val="22"/>
                <w:szCs w:val="22"/>
                <w:highlight w:val="none"/>
                <w:lang w:bidi="ar"/>
              </w:rPr>
              <w:t>40-70HZ</w:t>
            </w:r>
            <w:r>
              <w:rPr>
                <w:rFonts w:hint="eastAsia" w:ascii="宋体" w:hAnsi="宋体" w:cs="宋体"/>
                <w:color w:val="auto"/>
                <w:sz w:val="22"/>
                <w:szCs w:val="22"/>
                <w:highlight w:val="none"/>
                <w:lang w:eastAsia="zh-CN" w:bidi="ar"/>
              </w:rPr>
              <w:t>；</w:t>
            </w:r>
          </w:p>
        </w:tc>
      </w:tr>
      <w:tr w14:paraId="7886E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3" w:hRule="atLeast"/>
          <w:jc w:val="center"/>
        </w:trPr>
        <w:tc>
          <w:tcPr>
            <w:tcW w:w="688" w:type="dxa"/>
            <w:vMerge w:val="continue"/>
            <w:tcBorders>
              <w:left w:val="single" w:color="auto" w:sz="4" w:space="0"/>
              <w:right w:val="single" w:color="auto" w:sz="4" w:space="0"/>
            </w:tcBorders>
            <w:vAlign w:val="center"/>
          </w:tcPr>
          <w:p w14:paraId="1E0A1FD7">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3FC86D4E">
            <w:pPr>
              <w:autoSpaceDE w:val="0"/>
              <w:autoSpaceDN w:val="0"/>
              <w:jc w:val="center"/>
              <w:textAlignment w:val="center"/>
              <w:rPr>
                <w:rFonts w:hint="eastAsia"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9</w:t>
            </w:r>
          </w:p>
        </w:tc>
        <w:tc>
          <w:tcPr>
            <w:tcW w:w="508" w:type="dxa"/>
            <w:tcBorders>
              <w:top w:val="single" w:color="auto" w:sz="4" w:space="0"/>
              <w:left w:val="single" w:color="auto" w:sz="4" w:space="0"/>
              <w:bottom w:val="single" w:color="auto" w:sz="4" w:space="0"/>
              <w:right w:val="single" w:color="auto" w:sz="4" w:space="0"/>
            </w:tcBorders>
            <w:vAlign w:val="center"/>
          </w:tcPr>
          <w:p w14:paraId="1C060999">
            <w:pPr>
              <w:autoSpaceDE w:val="0"/>
              <w:autoSpaceDN w:val="0"/>
              <w:ind w:right="120" w:rightChars="57"/>
              <w:jc w:val="center"/>
              <w:textAlignment w:val="center"/>
              <w:rPr>
                <w:rFonts w:ascii="Times New Roman" w:hAnsi="Times New Roman" w:cs="Times New Roman"/>
                <w:color w:val="auto"/>
                <w:highlight w:val="none"/>
              </w:rPr>
            </w:pPr>
            <w:r>
              <w:rPr>
                <w:rFonts w:hint="eastAsia" w:ascii="宋体" w:hAnsi="宋体" w:cs="宋体"/>
                <w:color w:val="auto"/>
                <w:sz w:val="22"/>
                <w:szCs w:val="22"/>
                <w:highlight w:val="none"/>
                <w:lang w:bidi="ar"/>
              </w:rPr>
              <w:t>#</w:t>
            </w:r>
          </w:p>
        </w:tc>
        <w:tc>
          <w:tcPr>
            <w:tcW w:w="888" w:type="dxa"/>
            <w:tcBorders>
              <w:left w:val="single" w:color="auto" w:sz="4" w:space="0"/>
            </w:tcBorders>
            <w:vAlign w:val="center"/>
          </w:tcPr>
          <w:p w14:paraId="27BEC033">
            <w:pPr>
              <w:autoSpaceDE w:val="0"/>
              <w:autoSpaceDN w:val="0"/>
              <w:jc w:val="center"/>
              <w:textAlignment w:val="center"/>
              <w:rPr>
                <w:rFonts w:ascii="Times New Roman" w:hAnsi="Times New Roman" w:cs="Times New Roman"/>
                <w:color w:val="auto"/>
                <w:spacing w:val="-5"/>
                <w:highlight w:val="none"/>
              </w:rPr>
            </w:pPr>
            <w:r>
              <w:rPr>
                <w:rFonts w:hint="eastAsia" w:ascii="宋体" w:hAnsi="宋体" w:cs="宋体"/>
                <w:color w:val="auto"/>
                <w:sz w:val="22"/>
                <w:szCs w:val="22"/>
                <w:highlight w:val="none"/>
                <w:lang w:bidi="ar"/>
              </w:rPr>
              <w:t>频率跟踪范围</w:t>
            </w:r>
          </w:p>
        </w:tc>
        <w:tc>
          <w:tcPr>
            <w:tcW w:w="6411" w:type="dxa"/>
            <w:vAlign w:val="center"/>
          </w:tcPr>
          <w:p w14:paraId="27291A99">
            <w:pPr>
              <w:autoSpaceDE w:val="0"/>
              <w:autoSpaceDN w:val="0"/>
              <w:textAlignment w:val="center"/>
              <w:rPr>
                <w:rFonts w:ascii="Times New Roman" w:hAnsi="Times New Roman" w:cs="Times New Roman"/>
                <w:color w:val="auto"/>
                <w:spacing w:val="-2"/>
                <w:highlight w:val="none"/>
              </w:rPr>
            </w:pPr>
            <w:r>
              <w:rPr>
                <w:rFonts w:hint="eastAsia" w:ascii="宋体" w:hAnsi="宋体" w:cs="宋体"/>
                <w:color w:val="auto"/>
                <w:sz w:val="22"/>
                <w:szCs w:val="22"/>
                <w:highlight w:val="none"/>
                <w:lang w:bidi="ar"/>
              </w:rPr>
              <w:t>50HZ±3可调；</w:t>
            </w:r>
            <w:r>
              <w:rPr>
                <w:rFonts w:hint="eastAsia" w:ascii="宋体" w:hAnsi="宋体" w:cs="宋体"/>
                <w:color w:val="auto"/>
                <w:sz w:val="22"/>
                <w:szCs w:val="22"/>
                <w:highlight w:val="none"/>
                <w:lang w:bidi="ar"/>
              </w:rPr>
              <w:br w:type="textWrapping"/>
            </w:r>
            <w:r>
              <w:rPr>
                <w:rFonts w:hint="eastAsia" w:ascii="SimSun,Bold" w:hAnsi="Times New Roman" w:eastAsia="SimSun,Bold" w:cs="SimSun,Bold"/>
                <w:b/>
                <w:bCs/>
                <w:color w:val="auto"/>
                <w:kern w:val="0"/>
                <w:sz w:val="22"/>
                <w:szCs w:val="22"/>
                <w:highlight w:val="none"/>
              </w:rPr>
              <w:t>提供国家认可的检测（认证）机构出具的检测报告</w:t>
            </w:r>
            <w:r>
              <w:rPr>
                <w:rFonts w:ascii="SimSun,Bold" w:hAnsi="Times New Roman" w:eastAsia="SimSun,Bold" w:cs="SimSun,Bold"/>
                <w:b/>
                <w:bCs/>
                <w:color w:val="auto"/>
                <w:kern w:val="0"/>
                <w:sz w:val="22"/>
                <w:szCs w:val="22"/>
                <w:highlight w:val="none"/>
              </w:rPr>
              <w:t>,</w:t>
            </w:r>
            <w:r>
              <w:rPr>
                <w:rFonts w:hint="eastAsia" w:ascii="宋体" w:hAnsi="宋体" w:cs="宋体"/>
                <w:b/>
                <w:bCs/>
                <w:color w:val="auto"/>
                <w:sz w:val="22"/>
                <w:szCs w:val="22"/>
                <w:highlight w:val="none"/>
                <w:lang w:bidi="ar"/>
              </w:rPr>
              <w:t xml:space="preserve"> 报告需具备</w:t>
            </w:r>
            <w:r>
              <w:rPr>
                <w:rFonts w:ascii="宋体" w:hAnsi="宋体" w:cs="宋体"/>
                <w:b/>
                <w:bCs/>
                <w:color w:val="auto"/>
                <w:sz w:val="22"/>
                <w:szCs w:val="22"/>
                <w:highlight w:val="none"/>
                <w:lang w:bidi="ar"/>
              </w:rPr>
              <w:t>CMA</w:t>
            </w:r>
            <w:r>
              <w:rPr>
                <w:rFonts w:hint="eastAsia" w:ascii="宋体" w:hAnsi="宋体" w:cs="宋体"/>
                <w:b/>
                <w:bCs/>
                <w:color w:val="auto"/>
                <w:sz w:val="22"/>
                <w:szCs w:val="22"/>
                <w:highlight w:val="none"/>
                <w:lang w:bidi="ar"/>
              </w:rPr>
              <w:t>标志，</w:t>
            </w:r>
            <w:r>
              <w:rPr>
                <w:rFonts w:hint="eastAsia" w:ascii="SimSun,Bold" w:hAnsi="Times New Roman" w:eastAsia="SimSun,Bold" w:cs="SimSun,Bold"/>
                <w:b/>
                <w:bCs/>
                <w:color w:val="auto"/>
                <w:kern w:val="0"/>
                <w:sz w:val="22"/>
                <w:szCs w:val="22"/>
                <w:highlight w:val="none"/>
              </w:rPr>
              <w:t>并加盖投标人公章</w:t>
            </w:r>
            <w:r>
              <w:rPr>
                <w:rFonts w:hint="eastAsia" w:ascii="宋体" w:hAnsi="宋体" w:cs="宋体"/>
                <w:b/>
                <w:bCs/>
                <w:color w:val="auto"/>
                <w:spacing w:val="-2"/>
                <w:sz w:val="24"/>
                <w:highlight w:val="none"/>
              </w:rPr>
              <w:t>。</w:t>
            </w:r>
          </w:p>
        </w:tc>
      </w:tr>
      <w:tr w14:paraId="7185A7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7" w:hRule="atLeast"/>
          <w:jc w:val="center"/>
        </w:trPr>
        <w:tc>
          <w:tcPr>
            <w:tcW w:w="688" w:type="dxa"/>
            <w:vMerge w:val="continue"/>
            <w:tcBorders>
              <w:left w:val="single" w:color="auto" w:sz="4" w:space="0"/>
              <w:right w:val="single" w:color="auto" w:sz="4" w:space="0"/>
            </w:tcBorders>
            <w:vAlign w:val="center"/>
          </w:tcPr>
          <w:p w14:paraId="16EB93EB">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2EE74355">
            <w:pPr>
              <w:autoSpaceDE w:val="0"/>
              <w:autoSpaceDN w:val="0"/>
              <w:jc w:val="center"/>
              <w:textAlignment w:val="center"/>
              <w:rPr>
                <w:rFonts w:hint="default"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10</w:t>
            </w:r>
          </w:p>
        </w:tc>
        <w:tc>
          <w:tcPr>
            <w:tcW w:w="508" w:type="dxa"/>
            <w:tcBorders>
              <w:top w:val="single" w:color="auto" w:sz="4" w:space="0"/>
              <w:left w:val="single" w:color="auto" w:sz="4" w:space="0"/>
              <w:bottom w:val="single" w:color="auto" w:sz="4" w:space="0"/>
              <w:right w:val="single" w:color="auto" w:sz="4" w:space="0"/>
            </w:tcBorders>
            <w:vAlign w:val="center"/>
          </w:tcPr>
          <w:p w14:paraId="56F18323">
            <w:pPr>
              <w:autoSpaceDE w:val="0"/>
              <w:autoSpaceDN w:val="0"/>
              <w:ind w:right="120" w:rightChars="57"/>
              <w:jc w:val="center"/>
              <w:textAlignment w:val="center"/>
              <w:rPr>
                <w:rFonts w:ascii="Times New Roman" w:hAnsi="Times New Roman" w:cs="Times New Roman"/>
                <w:color w:val="auto"/>
                <w:highlight w:val="none"/>
              </w:rPr>
            </w:pPr>
            <w:r>
              <w:rPr>
                <w:rFonts w:hint="eastAsia" w:ascii="宋体" w:hAnsi="宋体" w:cs="宋体"/>
                <w:color w:val="auto"/>
                <w:sz w:val="22"/>
                <w:szCs w:val="22"/>
                <w:highlight w:val="none"/>
                <w:lang w:bidi="ar"/>
              </w:rPr>
              <w:t>#</w:t>
            </w:r>
          </w:p>
        </w:tc>
        <w:tc>
          <w:tcPr>
            <w:tcW w:w="888" w:type="dxa"/>
            <w:tcBorders>
              <w:left w:val="single" w:color="auto" w:sz="4" w:space="0"/>
            </w:tcBorders>
            <w:vAlign w:val="center"/>
          </w:tcPr>
          <w:p w14:paraId="4880A394">
            <w:pPr>
              <w:autoSpaceDE w:val="0"/>
              <w:autoSpaceDN w:val="0"/>
              <w:jc w:val="center"/>
              <w:textAlignment w:val="center"/>
              <w:rPr>
                <w:rFonts w:ascii="Times New Roman" w:hAnsi="Times New Roman" w:cs="Times New Roman"/>
                <w:color w:val="auto"/>
                <w:spacing w:val="-5"/>
                <w:highlight w:val="none"/>
              </w:rPr>
            </w:pPr>
            <w:r>
              <w:rPr>
                <w:rFonts w:hint="eastAsia" w:ascii="宋体" w:hAnsi="宋体" w:cs="宋体"/>
                <w:color w:val="auto"/>
                <w:sz w:val="22"/>
                <w:szCs w:val="22"/>
                <w:highlight w:val="none"/>
                <w:lang w:bidi="ar"/>
              </w:rPr>
              <w:t>输入功率因数</w:t>
            </w:r>
          </w:p>
        </w:tc>
        <w:tc>
          <w:tcPr>
            <w:tcW w:w="6411" w:type="dxa"/>
            <w:vAlign w:val="center"/>
          </w:tcPr>
          <w:p w14:paraId="766EFA32">
            <w:pPr>
              <w:autoSpaceDE w:val="0"/>
              <w:autoSpaceDN w:val="0"/>
              <w:textAlignment w:val="center"/>
              <w:rPr>
                <w:rFonts w:ascii="Times New Roman" w:hAnsi="Times New Roman" w:cs="Times New Roman"/>
                <w:color w:val="auto"/>
                <w:spacing w:val="-2"/>
                <w:highlight w:val="none"/>
              </w:rPr>
            </w:pPr>
            <w:r>
              <w:rPr>
                <w:rFonts w:hint="eastAsia" w:ascii="宋体" w:hAnsi="宋体" w:cs="宋体"/>
                <w:color w:val="auto"/>
                <w:sz w:val="22"/>
                <w:szCs w:val="22"/>
                <w:highlight w:val="none"/>
                <w:lang w:bidi="ar"/>
              </w:rPr>
              <w:t>≥0.999（100%额定非线性负载）</w:t>
            </w:r>
            <w:r>
              <w:rPr>
                <w:rFonts w:hint="eastAsia" w:ascii="宋体" w:hAnsi="宋体" w:cs="宋体"/>
                <w:color w:val="auto"/>
                <w:sz w:val="22"/>
                <w:szCs w:val="22"/>
                <w:highlight w:val="none"/>
                <w:lang w:bidi="ar"/>
              </w:rPr>
              <w:br w:type="textWrapping"/>
            </w:r>
            <w:r>
              <w:rPr>
                <w:rFonts w:hint="eastAsia" w:ascii="宋体" w:hAnsi="宋体" w:cs="宋体"/>
                <w:color w:val="auto"/>
                <w:sz w:val="22"/>
                <w:szCs w:val="22"/>
                <w:highlight w:val="none"/>
                <w:lang w:bidi="ar"/>
              </w:rPr>
              <w:t>≥0.999（50%额定非线性负载）</w:t>
            </w:r>
            <w:r>
              <w:rPr>
                <w:rFonts w:hint="eastAsia" w:ascii="宋体" w:hAnsi="宋体" w:cs="宋体"/>
                <w:color w:val="auto"/>
                <w:sz w:val="22"/>
                <w:szCs w:val="22"/>
                <w:highlight w:val="none"/>
                <w:lang w:bidi="ar"/>
              </w:rPr>
              <w:br w:type="textWrapping"/>
            </w:r>
            <w:r>
              <w:rPr>
                <w:rFonts w:hint="eastAsia" w:ascii="宋体" w:hAnsi="宋体" w:cs="宋体"/>
                <w:color w:val="auto"/>
                <w:sz w:val="22"/>
                <w:szCs w:val="22"/>
                <w:highlight w:val="none"/>
                <w:lang w:bidi="ar"/>
              </w:rPr>
              <w:t>≥0.999（30%额定非线性负载）</w:t>
            </w:r>
            <w:r>
              <w:rPr>
                <w:rFonts w:hint="eastAsia" w:ascii="宋体" w:hAnsi="宋体" w:cs="宋体"/>
                <w:color w:val="auto"/>
                <w:sz w:val="22"/>
                <w:szCs w:val="22"/>
                <w:highlight w:val="none"/>
                <w:lang w:bidi="ar"/>
              </w:rPr>
              <w:br w:type="textWrapping"/>
            </w:r>
            <w:r>
              <w:rPr>
                <w:rFonts w:hint="eastAsia" w:ascii="SimSun,Bold" w:hAnsi="Times New Roman" w:eastAsia="SimSun,Bold" w:cs="SimSun,Bold"/>
                <w:b/>
                <w:bCs/>
                <w:color w:val="auto"/>
                <w:kern w:val="0"/>
                <w:sz w:val="22"/>
                <w:szCs w:val="22"/>
                <w:highlight w:val="none"/>
              </w:rPr>
              <w:t>提供国家认可的检测（认证）机构出具的检测报告</w:t>
            </w:r>
            <w:r>
              <w:rPr>
                <w:rFonts w:ascii="SimSun,Bold" w:hAnsi="Times New Roman" w:eastAsia="SimSun,Bold" w:cs="SimSun,Bold"/>
                <w:b/>
                <w:bCs/>
                <w:color w:val="auto"/>
                <w:kern w:val="0"/>
                <w:sz w:val="22"/>
                <w:szCs w:val="22"/>
                <w:highlight w:val="none"/>
              </w:rPr>
              <w:t>,</w:t>
            </w:r>
            <w:r>
              <w:rPr>
                <w:rFonts w:hint="eastAsia" w:ascii="宋体" w:hAnsi="宋体" w:cs="宋体"/>
                <w:b/>
                <w:bCs/>
                <w:color w:val="auto"/>
                <w:sz w:val="22"/>
                <w:szCs w:val="22"/>
                <w:highlight w:val="none"/>
                <w:lang w:bidi="ar"/>
              </w:rPr>
              <w:t xml:space="preserve"> 报告需具备</w:t>
            </w:r>
            <w:r>
              <w:rPr>
                <w:rFonts w:ascii="宋体" w:hAnsi="宋体" w:cs="宋体"/>
                <w:b/>
                <w:bCs/>
                <w:color w:val="auto"/>
                <w:sz w:val="22"/>
                <w:szCs w:val="22"/>
                <w:highlight w:val="none"/>
                <w:lang w:bidi="ar"/>
              </w:rPr>
              <w:t>CMA</w:t>
            </w:r>
            <w:r>
              <w:rPr>
                <w:rFonts w:hint="eastAsia" w:ascii="宋体" w:hAnsi="宋体" w:cs="宋体"/>
                <w:b/>
                <w:bCs/>
                <w:color w:val="auto"/>
                <w:sz w:val="22"/>
                <w:szCs w:val="22"/>
                <w:highlight w:val="none"/>
                <w:lang w:bidi="ar"/>
              </w:rPr>
              <w:t>标志，</w:t>
            </w:r>
            <w:r>
              <w:rPr>
                <w:rFonts w:hint="eastAsia" w:ascii="SimSun,Bold" w:hAnsi="Times New Roman" w:eastAsia="SimSun,Bold" w:cs="SimSun,Bold"/>
                <w:b/>
                <w:bCs/>
                <w:color w:val="auto"/>
                <w:kern w:val="0"/>
                <w:sz w:val="22"/>
                <w:szCs w:val="22"/>
                <w:highlight w:val="none"/>
              </w:rPr>
              <w:t>并加盖投标人公章</w:t>
            </w:r>
            <w:r>
              <w:rPr>
                <w:rFonts w:hint="eastAsia" w:ascii="宋体" w:hAnsi="宋体" w:cs="宋体"/>
                <w:b/>
                <w:bCs/>
                <w:color w:val="auto"/>
                <w:spacing w:val="-2"/>
                <w:sz w:val="24"/>
                <w:highlight w:val="none"/>
              </w:rPr>
              <w:t>。</w:t>
            </w:r>
          </w:p>
        </w:tc>
      </w:tr>
      <w:tr w14:paraId="53456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0" w:hRule="atLeast"/>
          <w:jc w:val="center"/>
        </w:trPr>
        <w:tc>
          <w:tcPr>
            <w:tcW w:w="688" w:type="dxa"/>
            <w:vMerge w:val="continue"/>
            <w:tcBorders>
              <w:left w:val="single" w:color="auto" w:sz="4" w:space="0"/>
              <w:right w:val="single" w:color="auto" w:sz="4" w:space="0"/>
            </w:tcBorders>
            <w:vAlign w:val="center"/>
          </w:tcPr>
          <w:p w14:paraId="43F96928">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350F36B1">
            <w:pPr>
              <w:autoSpaceDE w:val="0"/>
              <w:autoSpaceDN w:val="0"/>
              <w:jc w:val="center"/>
              <w:textAlignment w:val="center"/>
              <w:rPr>
                <w:rFonts w:hint="default"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11</w:t>
            </w:r>
          </w:p>
        </w:tc>
        <w:tc>
          <w:tcPr>
            <w:tcW w:w="508" w:type="dxa"/>
            <w:tcBorders>
              <w:top w:val="single" w:color="auto" w:sz="4" w:space="0"/>
              <w:left w:val="single" w:color="auto" w:sz="4" w:space="0"/>
              <w:bottom w:val="single" w:color="auto" w:sz="4" w:space="0"/>
              <w:right w:val="single" w:color="auto" w:sz="4" w:space="0"/>
            </w:tcBorders>
            <w:vAlign w:val="center"/>
          </w:tcPr>
          <w:p w14:paraId="265D3ED3">
            <w:pPr>
              <w:autoSpaceDE w:val="0"/>
              <w:autoSpaceDN w:val="0"/>
              <w:ind w:right="120" w:rightChars="57"/>
              <w:jc w:val="center"/>
              <w:textAlignment w:val="center"/>
              <w:rPr>
                <w:rFonts w:ascii="Times New Roman" w:hAnsi="Times New Roman" w:cs="Times New Roman"/>
                <w:color w:val="auto"/>
                <w:highlight w:val="none"/>
              </w:rPr>
            </w:pPr>
            <w:r>
              <w:rPr>
                <w:rFonts w:hint="eastAsia" w:ascii="宋体" w:hAnsi="宋体" w:cs="宋体"/>
                <w:color w:val="auto"/>
                <w:sz w:val="22"/>
                <w:szCs w:val="22"/>
                <w:highlight w:val="none"/>
                <w:lang w:bidi="ar"/>
              </w:rPr>
              <w:t>#</w:t>
            </w:r>
          </w:p>
        </w:tc>
        <w:tc>
          <w:tcPr>
            <w:tcW w:w="888" w:type="dxa"/>
            <w:tcBorders>
              <w:left w:val="single" w:color="auto" w:sz="4" w:space="0"/>
            </w:tcBorders>
            <w:vAlign w:val="center"/>
          </w:tcPr>
          <w:p w14:paraId="2B38977F">
            <w:pPr>
              <w:autoSpaceDE w:val="0"/>
              <w:autoSpaceDN w:val="0"/>
              <w:jc w:val="center"/>
              <w:textAlignment w:val="center"/>
              <w:rPr>
                <w:rFonts w:ascii="Times New Roman" w:hAnsi="Times New Roman" w:cs="Times New Roman"/>
                <w:color w:val="auto"/>
                <w:spacing w:val="-5"/>
                <w:highlight w:val="none"/>
              </w:rPr>
            </w:pPr>
            <w:r>
              <w:rPr>
                <w:rFonts w:hint="eastAsia" w:ascii="宋体" w:hAnsi="宋体" w:cs="宋体"/>
                <w:color w:val="auto"/>
                <w:sz w:val="22"/>
                <w:szCs w:val="22"/>
                <w:highlight w:val="none"/>
                <w:lang w:bidi="ar"/>
              </w:rPr>
              <w:t>输入电流谐波</w:t>
            </w:r>
          </w:p>
        </w:tc>
        <w:tc>
          <w:tcPr>
            <w:tcW w:w="6411" w:type="dxa"/>
            <w:vAlign w:val="center"/>
          </w:tcPr>
          <w:p w14:paraId="767AAF71">
            <w:pPr>
              <w:autoSpaceDE w:val="0"/>
              <w:autoSpaceDN w:val="0"/>
              <w:textAlignment w:val="center"/>
              <w:rPr>
                <w:rFonts w:ascii="Times New Roman" w:hAnsi="Times New Roman" w:cs="Times New Roman"/>
                <w:color w:val="auto"/>
                <w:spacing w:val="-2"/>
                <w:highlight w:val="none"/>
              </w:rPr>
            </w:pPr>
            <w:r>
              <w:rPr>
                <w:rFonts w:hint="eastAsia" w:ascii="宋体" w:hAnsi="宋体" w:cs="宋体"/>
                <w:color w:val="auto"/>
                <w:sz w:val="22"/>
                <w:szCs w:val="22"/>
                <w:highlight w:val="none"/>
                <w:lang w:bidi="ar"/>
              </w:rPr>
              <w:t>2～39次谐波：</w:t>
            </w:r>
            <w:r>
              <w:rPr>
                <w:rFonts w:hint="eastAsia" w:ascii="宋体" w:hAnsi="宋体" w:cs="宋体"/>
                <w:color w:val="auto"/>
                <w:sz w:val="22"/>
                <w:szCs w:val="22"/>
                <w:highlight w:val="none"/>
                <w:lang w:bidi="ar"/>
              </w:rPr>
              <w:br w:type="textWrapping"/>
            </w:r>
            <w:r>
              <w:rPr>
                <w:rFonts w:hint="eastAsia" w:ascii="宋体" w:hAnsi="宋体" w:cs="宋体"/>
                <w:color w:val="auto"/>
                <w:sz w:val="22"/>
                <w:szCs w:val="22"/>
                <w:highlight w:val="none"/>
                <w:lang w:bidi="ar"/>
              </w:rPr>
              <w:t>≤1.4%（100%额定非线性负载）</w:t>
            </w:r>
            <w:r>
              <w:rPr>
                <w:rFonts w:hint="eastAsia" w:ascii="宋体" w:hAnsi="宋体" w:cs="宋体"/>
                <w:color w:val="auto"/>
                <w:sz w:val="22"/>
                <w:szCs w:val="22"/>
                <w:highlight w:val="none"/>
                <w:lang w:bidi="ar"/>
              </w:rPr>
              <w:br w:type="textWrapping"/>
            </w:r>
            <w:r>
              <w:rPr>
                <w:rFonts w:hint="eastAsia" w:ascii="宋体" w:hAnsi="宋体" w:cs="宋体"/>
                <w:color w:val="auto"/>
                <w:sz w:val="22"/>
                <w:szCs w:val="22"/>
                <w:highlight w:val="none"/>
                <w:lang w:bidi="ar"/>
              </w:rPr>
              <w:t>≤1.7%（50%额定非线性负载）</w:t>
            </w:r>
            <w:r>
              <w:rPr>
                <w:rFonts w:hint="eastAsia" w:ascii="宋体" w:hAnsi="宋体" w:cs="宋体"/>
                <w:color w:val="auto"/>
                <w:sz w:val="22"/>
                <w:szCs w:val="22"/>
                <w:highlight w:val="none"/>
                <w:lang w:bidi="ar"/>
              </w:rPr>
              <w:br w:type="textWrapping"/>
            </w:r>
            <w:r>
              <w:rPr>
                <w:rFonts w:hint="eastAsia" w:ascii="宋体" w:hAnsi="宋体" w:cs="宋体"/>
                <w:color w:val="auto"/>
                <w:sz w:val="22"/>
                <w:szCs w:val="22"/>
                <w:highlight w:val="none"/>
                <w:lang w:bidi="ar"/>
              </w:rPr>
              <w:t>≤3.5%（30%额定非线性负载）</w:t>
            </w:r>
            <w:r>
              <w:rPr>
                <w:rFonts w:hint="eastAsia" w:ascii="宋体" w:hAnsi="宋体" w:cs="宋体"/>
                <w:color w:val="auto"/>
                <w:sz w:val="22"/>
                <w:szCs w:val="22"/>
                <w:highlight w:val="none"/>
                <w:lang w:bidi="ar"/>
              </w:rPr>
              <w:br w:type="textWrapping"/>
            </w:r>
            <w:r>
              <w:rPr>
                <w:rFonts w:hint="eastAsia" w:ascii="SimSun,Bold" w:hAnsi="Times New Roman" w:eastAsia="SimSun,Bold" w:cs="SimSun,Bold"/>
                <w:b/>
                <w:bCs/>
                <w:color w:val="auto"/>
                <w:kern w:val="0"/>
                <w:sz w:val="22"/>
                <w:szCs w:val="22"/>
                <w:highlight w:val="none"/>
              </w:rPr>
              <w:t>提供国家认可的检测（认证）机构出具的检测报告</w:t>
            </w:r>
            <w:r>
              <w:rPr>
                <w:rFonts w:ascii="SimSun,Bold" w:hAnsi="Times New Roman" w:eastAsia="SimSun,Bold" w:cs="SimSun,Bold"/>
                <w:b/>
                <w:bCs/>
                <w:color w:val="auto"/>
                <w:kern w:val="0"/>
                <w:sz w:val="22"/>
                <w:szCs w:val="22"/>
                <w:highlight w:val="none"/>
              </w:rPr>
              <w:t>,</w:t>
            </w:r>
            <w:r>
              <w:rPr>
                <w:rFonts w:hint="eastAsia" w:ascii="宋体" w:hAnsi="宋体" w:cs="宋体"/>
                <w:b/>
                <w:bCs/>
                <w:color w:val="auto"/>
                <w:sz w:val="22"/>
                <w:szCs w:val="22"/>
                <w:highlight w:val="none"/>
                <w:lang w:bidi="ar"/>
              </w:rPr>
              <w:t xml:space="preserve"> 报告需具备</w:t>
            </w:r>
            <w:r>
              <w:rPr>
                <w:rFonts w:ascii="宋体" w:hAnsi="宋体" w:cs="宋体"/>
                <w:b/>
                <w:bCs/>
                <w:color w:val="auto"/>
                <w:sz w:val="22"/>
                <w:szCs w:val="22"/>
                <w:highlight w:val="none"/>
                <w:lang w:bidi="ar"/>
              </w:rPr>
              <w:t>CMA</w:t>
            </w:r>
            <w:r>
              <w:rPr>
                <w:rFonts w:hint="eastAsia" w:ascii="宋体" w:hAnsi="宋体" w:cs="宋体"/>
                <w:b/>
                <w:bCs/>
                <w:color w:val="auto"/>
                <w:sz w:val="22"/>
                <w:szCs w:val="22"/>
                <w:highlight w:val="none"/>
                <w:lang w:bidi="ar"/>
              </w:rPr>
              <w:t>标志，</w:t>
            </w:r>
            <w:r>
              <w:rPr>
                <w:rFonts w:hint="eastAsia" w:ascii="SimSun,Bold" w:hAnsi="Times New Roman" w:eastAsia="SimSun,Bold" w:cs="SimSun,Bold"/>
                <w:b/>
                <w:bCs/>
                <w:color w:val="auto"/>
                <w:kern w:val="0"/>
                <w:sz w:val="22"/>
                <w:szCs w:val="22"/>
                <w:highlight w:val="none"/>
              </w:rPr>
              <w:t>并加盖投标人公章</w:t>
            </w:r>
            <w:r>
              <w:rPr>
                <w:rFonts w:hint="eastAsia" w:ascii="宋体" w:hAnsi="宋体" w:cs="宋体"/>
                <w:b/>
                <w:bCs/>
                <w:color w:val="auto"/>
                <w:spacing w:val="-2"/>
                <w:sz w:val="24"/>
                <w:highlight w:val="none"/>
              </w:rPr>
              <w:t>。</w:t>
            </w:r>
          </w:p>
        </w:tc>
      </w:tr>
      <w:tr w14:paraId="288D0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jc w:val="center"/>
        </w:trPr>
        <w:tc>
          <w:tcPr>
            <w:tcW w:w="688" w:type="dxa"/>
            <w:vMerge w:val="continue"/>
            <w:tcBorders>
              <w:left w:val="single" w:color="auto" w:sz="4" w:space="0"/>
              <w:right w:val="single" w:color="auto" w:sz="4" w:space="0"/>
            </w:tcBorders>
            <w:vAlign w:val="center"/>
          </w:tcPr>
          <w:p w14:paraId="1781DE76">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3C34303B">
            <w:pPr>
              <w:autoSpaceDE w:val="0"/>
              <w:autoSpaceDN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12</w:t>
            </w:r>
          </w:p>
        </w:tc>
        <w:tc>
          <w:tcPr>
            <w:tcW w:w="508" w:type="dxa"/>
            <w:tcBorders>
              <w:top w:val="single" w:color="auto" w:sz="4" w:space="0"/>
              <w:left w:val="single" w:color="auto" w:sz="4" w:space="0"/>
              <w:bottom w:val="single" w:color="auto" w:sz="4" w:space="0"/>
              <w:right w:val="single" w:color="auto" w:sz="4" w:space="0"/>
            </w:tcBorders>
            <w:vAlign w:val="center"/>
          </w:tcPr>
          <w:p w14:paraId="258882B0">
            <w:pPr>
              <w:autoSpaceDE w:val="0"/>
              <w:autoSpaceDN w:val="0"/>
              <w:ind w:right="120" w:rightChars="57"/>
              <w:jc w:val="center"/>
              <w:rPr>
                <w:rFonts w:ascii="Times New Roman" w:hAnsi="Times New Roman" w:cs="Times New Roman"/>
                <w:color w:val="auto"/>
                <w:highlight w:val="none"/>
              </w:rPr>
            </w:pPr>
          </w:p>
        </w:tc>
        <w:tc>
          <w:tcPr>
            <w:tcW w:w="888" w:type="dxa"/>
            <w:tcBorders>
              <w:left w:val="single" w:color="auto" w:sz="4" w:space="0"/>
            </w:tcBorders>
            <w:vAlign w:val="center"/>
          </w:tcPr>
          <w:p w14:paraId="444DC165">
            <w:pPr>
              <w:autoSpaceDE w:val="0"/>
              <w:autoSpaceDN w:val="0"/>
              <w:jc w:val="center"/>
              <w:textAlignment w:val="center"/>
              <w:rPr>
                <w:rFonts w:ascii="Times New Roman" w:hAnsi="Times New Roman" w:cs="Times New Roman"/>
                <w:color w:val="auto"/>
                <w:spacing w:val="-5"/>
                <w:highlight w:val="none"/>
              </w:rPr>
            </w:pPr>
            <w:r>
              <w:rPr>
                <w:rFonts w:hint="eastAsia" w:ascii="宋体" w:hAnsi="宋体" w:cs="宋体"/>
                <w:color w:val="auto"/>
                <w:sz w:val="22"/>
                <w:szCs w:val="22"/>
                <w:highlight w:val="none"/>
                <w:lang w:bidi="ar"/>
              </w:rPr>
              <w:t>输出频率</w:t>
            </w:r>
          </w:p>
        </w:tc>
        <w:tc>
          <w:tcPr>
            <w:tcW w:w="6411" w:type="dxa"/>
            <w:vAlign w:val="center"/>
          </w:tcPr>
          <w:p w14:paraId="2C1D8076">
            <w:pPr>
              <w:autoSpaceDE w:val="0"/>
              <w:autoSpaceDN w:val="0"/>
              <w:textAlignment w:val="center"/>
              <w:rPr>
                <w:rFonts w:hint="eastAsia" w:ascii="Times New Roman" w:hAnsi="Times New Roman" w:eastAsia="宋体" w:cs="Times New Roman"/>
                <w:color w:val="auto"/>
                <w:spacing w:val="-2"/>
                <w:highlight w:val="none"/>
                <w:lang w:eastAsia="zh-CN"/>
              </w:rPr>
            </w:pPr>
            <w:r>
              <w:rPr>
                <w:rFonts w:hint="eastAsia" w:ascii="宋体" w:hAnsi="宋体" w:cs="宋体"/>
                <w:color w:val="auto"/>
                <w:sz w:val="22"/>
                <w:szCs w:val="22"/>
                <w:highlight w:val="none"/>
                <w:lang w:bidi="ar"/>
              </w:rPr>
              <w:t>50HZ</w:t>
            </w:r>
            <w:r>
              <w:rPr>
                <w:rFonts w:hint="eastAsia" w:ascii="宋体" w:hAnsi="宋体" w:cs="宋体"/>
                <w:color w:val="auto"/>
                <w:sz w:val="22"/>
                <w:szCs w:val="22"/>
                <w:highlight w:val="none"/>
                <w:lang w:eastAsia="zh-CN" w:bidi="ar"/>
              </w:rPr>
              <w:t>；</w:t>
            </w:r>
          </w:p>
        </w:tc>
      </w:tr>
      <w:tr w14:paraId="2D58D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jc w:val="center"/>
        </w:trPr>
        <w:tc>
          <w:tcPr>
            <w:tcW w:w="688" w:type="dxa"/>
            <w:vMerge w:val="continue"/>
            <w:tcBorders>
              <w:left w:val="single" w:color="auto" w:sz="4" w:space="0"/>
              <w:right w:val="single" w:color="auto" w:sz="4" w:space="0"/>
            </w:tcBorders>
            <w:vAlign w:val="center"/>
          </w:tcPr>
          <w:p w14:paraId="4C53C431">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36596D91">
            <w:pPr>
              <w:autoSpaceDE w:val="0"/>
              <w:autoSpaceDN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13</w:t>
            </w:r>
          </w:p>
        </w:tc>
        <w:tc>
          <w:tcPr>
            <w:tcW w:w="508" w:type="dxa"/>
            <w:tcBorders>
              <w:top w:val="single" w:color="auto" w:sz="4" w:space="0"/>
              <w:left w:val="single" w:color="auto" w:sz="4" w:space="0"/>
              <w:bottom w:val="single" w:color="auto" w:sz="4" w:space="0"/>
              <w:right w:val="single" w:color="auto" w:sz="4" w:space="0"/>
            </w:tcBorders>
            <w:vAlign w:val="center"/>
          </w:tcPr>
          <w:p w14:paraId="3CB9CA81">
            <w:pPr>
              <w:autoSpaceDE w:val="0"/>
              <w:autoSpaceDN w:val="0"/>
              <w:ind w:right="120" w:rightChars="57"/>
              <w:jc w:val="center"/>
              <w:rPr>
                <w:rFonts w:ascii="Times New Roman" w:hAnsi="Times New Roman" w:cs="Times New Roman"/>
                <w:color w:val="auto"/>
                <w:highlight w:val="none"/>
              </w:rPr>
            </w:pPr>
          </w:p>
        </w:tc>
        <w:tc>
          <w:tcPr>
            <w:tcW w:w="888" w:type="dxa"/>
            <w:tcBorders>
              <w:left w:val="single" w:color="auto" w:sz="4" w:space="0"/>
            </w:tcBorders>
            <w:vAlign w:val="center"/>
          </w:tcPr>
          <w:p w14:paraId="6C5DD14B">
            <w:pPr>
              <w:autoSpaceDE w:val="0"/>
              <w:autoSpaceDN w:val="0"/>
              <w:jc w:val="center"/>
              <w:textAlignment w:val="center"/>
              <w:rPr>
                <w:rFonts w:ascii="Times New Roman" w:hAnsi="Times New Roman" w:cs="Times New Roman"/>
                <w:color w:val="auto"/>
                <w:spacing w:val="-5"/>
                <w:highlight w:val="none"/>
              </w:rPr>
            </w:pPr>
            <w:r>
              <w:rPr>
                <w:rFonts w:hint="eastAsia" w:ascii="宋体" w:hAnsi="宋体" w:cs="宋体"/>
                <w:color w:val="auto"/>
                <w:sz w:val="22"/>
                <w:szCs w:val="22"/>
                <w:highlight w:val="none"/>
                <w:lang w:bidi="ar"/>
              </w:rPr>
              <w:t>频率跟踪速率</w:t>
            </w:r>
          </w:p>
        </w:tc>
        <w:tc>
          <w:tcPr>
            <w:tcW w:w="6411" w:type="dxa"/>
            <w:vAlign w:val="center"/>
          </w:tcPr>
          <w:p w14:paraId="5DD65D3C">
            <w:pPr>
              <w:autoSpaceDE w:val="0"/>
              <w:autoSpaceDN w:val="0"/>
              <w:textAlignment w:val="center"/>
              <w:rPr>
                <w:rFonts w:hint="eastAsia" w:ascii="Times New Roman" w:hAnsi="Times New Roman" w:eastAsia="宋体" w:cs="Times New Roman"/>
                <w:color w:val="auto"/>
                <w:spacing w:val="-2"/>
                <w:highlight w:val="none"/>
                <w:lang w:eastAsia="zh-CN"/>
              </w:rPr>
            </w:pPr>
            <w:r>
              <w:rPr>
                <w:rFonts w:hint="eastAsia" w:ascii="宋体" w:hAnsi="宋体" w:cs="宋体"/>
                <w:color w:val="auto"/>
                <w:sz w:val="22"/>
                <w:szCs w:val="22"/>
                <w:highlight w:val="none"/>
                <w:lang w:bidi="ar"/>
              </w:rPr>
              <w:t>≥1HZ/s</w:t>
            </w:r>
            <w:r>
              <w:rPr>
                <w:rFonts w:hint="eastAsia" w:ascii="宋体" w:hAnsi="宋体" w:cs="宋体"/>
                <w:color w:val="auto"/>
                <w:sz w:val="22"/>
                <w:szCs w:val="22"/>
                <w:highlight w:val="none"/>
                <w:lang w:eastAsia="zh-CN" w:bidi="ar"/>
              </w:rPr>
              <w:t>；</w:t>
            </w:r>
          </w:p>
        </w:tc>
      </w:tr>
      <w:tr w14:paraId="49434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0" w:hRule="atLeast"/>
          <w:jc w:val="center"/>
        </w:trPr>
        <w:tc>
          <w:tcPr>
            <w:tcW w:w="688" w:type="dxa"/>
            <w:vMerge w:val="continue"/>
            <w:tcBorders>
              <w:left w:val="single" w:color="auto" w:sz="4" w:space="0"/>
              <w:right w:val="single" w:color="auto" w:sz="4" w:space="0"/>
            </w:tcBorders>
            <w:vAlign w:val="center"/>
          </w:tcPr>
          <w:p w14:paraId="090F0EB7">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3D64E016">
            <w:pPr>
              <w:autoSpaceDE w:val="0"/>
              <w:autoSpaceDN w:val="0"/>
              <w:jc w:val="center"/>
              <w:textAlignment w:val="center"/>
              <w:rPr>
                <w:rFonts w:hint="default"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14</w:t>
            </w:r>
          </w:p>
        </w:tc>
        <w:tc>
          <w:tcPr>
            <w:tcW w:w="508" w:type="dxa"/>
            <w:tcBorders>
              <w:top w:val="single" w:color="auto" w:sz="4" w:space="0"/>
              <w:left w:val="single" w:color="auto" w:sz="4" w:space="0"/>
              <w:bottom w:val="single" w:color="auto" w:sz="4" w:space="0"/>
              <w:right w:val="single" w:color="auto" w:sz="4" w:space="0"/>
            </w:tcBorders>
            <w:vAlign w:val="center"/>
          </w:tcPr>
          <w:p w14:paraId="352BF832">
            <w:pPr>
              <w:autoSpaceDE w:val="0"/>
              <w:autoSpaceDN w:val="0"/>
              <w:ind w:right="120" w:rightChars="57"/>
              <w:jc w:val="center"/>
              <w:textAlignment w:val="center"/>
              <w:rPr>
                <w:rFonts w:ascii="Times New Roman" w:hAnsi="Times New Roman" w:cs="Times New Roman"/>
                <w:color w:val="auto"/>
                <w:highlight w:val="none"/>
              </w:rPr>
            </w:pPr>
            <w:r>
              <w:rPr>
                <w:rFonts w:hint="eastAsia" w:ascii="宋体" w:hAnsi="宋体" w:cs="宋体"/>
                <w:color w:val="auto"/>
                <w:sz w:val="22"/>
                <w:szCs w:val="22"/>
                <w:highlight w:val="none"/>
                <w:lang w:bidi="ar"/>
              </w:rPr>
              <w:t>#</w:t>
            </w:r>
          </w:p>
        </w:tc>
        <w:tc>
          <w:tcPr>
            <w:tcW w:w="888" w:type="dxa"/>
            <w:tcBorders>
              <w:left w:val="single" w:color="auto" w:sz="4" w:space="0"/>
            </w:tcBorders>
            <w:vAlign w:val="center"/>
          </w:tcPr>
          <w:p w14:paraId="537764F8">
            <w:pPr>
              <w:autoSpaceDE w:val="0"/>
              <w:autoSpaceDN w:val="0"/>
              <w:jc w:val="center"/>
              <w:textAlignment w:val="center"/>
              <w:rPr>
                <w:rFonts w:ascii="Times New Roman" w:hAnsi="Times New Roman" w:cs="Times New Roman"/>
                <w:color w:val="auto"/>
                <w:spacing w:val="-5"/>
                <w:highlight w:val="none"/>
              </w:rPr>
            </w:pPr>
            <w:r>
              <w:rPr>
                <w:rFonts w:hint="eastAsia" w:ascii="宋体" w:hAnsi="宋体" w:cs="宋体"/>
                <w:color w:val="auto"/>
                <w:sz w:val="22"/>
                <w:szCs w:val="22"/>
                <w:highlight w:val="none"/>
                <w:lang w:bidi="ar"/>
              </w:rPr>
              <w:t>电压波形失真度</w:t>
            </w:r>
          </w:p>
        </w:tc>
        <w:tc>
          <w:tcPr>
            <w:tcW w:w="6411" w:type="dxa"/>
            <w:vAlign w:val="center"/>
          </w:tcPr>
          <w:p w14:paraId="09E601F6">
            <w:pPr>
              <w:autoSpaceDE w:val="0"/>
              <w:autoSpaceDN w:val="0"/>
              <w:textAlignment w:val="center"/>
              <w:rPr>
                <w:rFonts w:ascii="Times New Roman" w:hAnsi="Times New Roman" w:cs="Times New Roman"/>
                <w:color w:val="auto"/>
                <w:spacing w:val="-2"/>
                <w:highlight w:val="none"/>
              </w:rPr>
            </w:pPr>
            <w:r>
              <w:rPr>
                <w:rFonts w:hint="eastAsia" w:ascii="宋体" w:hAnsi="宋体" w:cs="宋体"/>
                <w:color w:val="auto"/>
                <w:sz w:val="22"/>
                <w:szCs w:val="22"/>
                <w:highlight w:val="none"/>
                <w:lang w:bidi="ar"/>
              </w:rPr>
              <w:t>阻性负载：</w:t>
            </w:r>
            <w:r>
              <w:rPr>
                <w:rFonts w:hint="eastAsia" w:ascii="宋体" w:hAnsi="宋体" w:cs="宋体"/>
                <w:color w:val="auto"/>
                <w:sz w:val="22"/>
                <w:szCs w:val="22"/>
                <w:highlight w:val="none"/>
                <w:lang w:bidi="ar"/>
              </w:rPr>
              <w:br w:type="textWrapping"/>
            </w:r>
            <w:r>
              <w:rPr>
                <w:rFonts w:hint="eastAsia" w:ascii="宋体" w:hAnsi="宋体" w:cs="宋体"/>
                <w:color w:val="auto"/>
                <w:sz w:val="22"/>
                <w:szCs w:val="22"/>
                <w:highlight w:val="none"/>
                <w:lang w:bidi="ar"/>
              </w:rPr>
              <w:t>市电:≤0.7%</w:t>
            </w:r>
            <w:r>
              <w:rPr>
                <w:rFonts w:hint="eastAsia" w:ascii="宋体" w:hAnsi="宋体" w:cs="宋体"/>
                <w:color w:val="auto"/>
                <w:sz w:val="22"/>
                <w:szCs w:val="22"/>
                <w:highlight w:val="none"/>
                <w:lang w:bidi="ar"/>
              </w:rPr>
              <w:br w:type="textWrapping"/>
            </w:r>
            <w:r>
              <w:rPr>
                <w:rFonts w:hint="eastAsia" w:ascii="宋体" w:hAnsi="宋体" w:cs="宋体"/>
                <w:color w:val="auto"/>
                <w:sz w:val="22"/>
                <w:szCs w:val="22"/>
                <w:highlight w:val="none"/>
                <w:lang w:bidi="ar"/>
              </w:rPr>
              <w:t>电池:≤0.7%</w:t>
            </w:r>
            <w:r>
              <w:rPr>
                <w:rFonts w:hint="eastAsia" w:ascii="宋体" w:hAnsi="宋体" w:cs="宋体"/>
                <w:color w:val="auto"/>
                <w:sz w:val="22"/>
                <w:szCs w:val="22"/>
                <w:highlight w:val="none"/>
                <w:lang w:bidi="ar"/>
              </w:rPr>
              <w:br w:type="textWrapping"/>
            </w:r>
            <w:r>
              <w:rPr>
                <w:rFonts w:hint="eastAsia" w:ascii="宋体" w:hAnsi="宋体" w:cs="宋体"/>
                <w:color w:val="auto"/>
                <w:sz w:val="22"/>
                <w:szCs w:val="22"/>
                <w:highlight w:val="none"/>
                <w:lang w:bidi="ar"/>
              </w:rPr>
              <w:t>非线性</w:t>
            </w:r>
            <w:r>
              <w:rPr>
                <w:rFonts w:hint="eastAsia" w:ascii="宋体" w:hAnsi="宋体" w:cs="宋体"/>
                <w:color w:val="auto"/>
                <w:sz w:val="22"/>
                <w:szCs w:val="22"/>
                <w:highlight w:val="none"/>
                <w:lang w:bidi="ar"/>
              </w:rPr>
              <w:br w:type="textWrapping"/>
            </w:r>
            <w:r>
              <w:rPr>
                <w:rFonts w:hint="eastAsia" w:ascii="宋体" w:hAnsi="宋体" w:cs="宋体"/>
                <w:color w:val="auto"/>
                <w:sz w:val="22"/>
                <w:szCs w:val="22"/>
                <w:highlight w:val="none"/>
                <w:lang w:bidi="ar"/>
              </w:rPr>
              <w:t>市电:≤1%</w:t>
            </w:r>
            <w:r>
              <w:rPr>
                <w:rFonts w:hint="eastAsia" w:ascii="宋体" w:hAnsi="宋体" w:cs="宋体"/>
                <w:color w:val="auto"/>
                <w:sz w:val="22"/>
                <w:szCs w:val="22"/>
                <w:highlight w:val="none"/>
                <w:lang w:bidi="ar"/>
              </w:rPr>
              <w:br w:type="textWrapping"/>
            </w:r>
            <w:r>
              <w:rPr>
                <w:rFonts w:hint="eastAsia" w:ascii="宋体" w:hAnsi="宋体" w:cs="宋体"/>
                <w:color w:val="auto"/>
                <w:sz w:val="22"/>
                <w:szCs w:val="22"/>
                <w:highlight w:val="none"/>
                <w:lang w:bidi="ar"/>
              </w:rPr>
              <w:t>电池:≤1%</w:t>
            </w:r>
            <w:r>
              <w:rPr>
                <w:rFonts w:hint="eastAsia" w:ascii="宋体" w:hAnsi="宋体" w:cs="宋体"/>
                <w:color w:val="auto"/>
                <w:sz w:val="22"/>
                <w:szCs w:val="22"/>
                <w:highlight w:val="none"/>
                <w:lang w:bidi="ar"/>
              </w:rPr>
              <w:br w:type="textWrapping"/>
            </w:r>
            <w:r>
              <w:rPr>
                <w:rFonts w:hint="eastAsia" w:ascii="SimSun,Bold" w:hAnsi="Times New Roman" w:eastAsia="SimSun,Bold" w:cs="SimSun,Bold"/>
                <w:b/>
                <w:bCs/>
                <w:color w:val="auto"/>
                <w:kern w:val="0"/>
                <w:sz w:val="22"/>
                <w:szCs w:val="22"/>
                <w:highlight w:val="none"/>
              </w:rPr>
              <w:t>提供国家认可的检测（认证）机构出具的检测报告</w:t>
            </w:r>
            <w:r>
              <w:rPr>
                <w:rFonts w:ascii="SimSun,Bold" w:hAnsi="Times New Roman" w:eastAsia="SimSun,Bold" w:cs="SimSun,Bold"/>
                <w:b/>
                <w:bCs/>
                <w:color w:val="auto"/>
                <w:kern w:val="0"/>
                <w:sz w:val="22"/>
                <w:szCs w:val="22"/>
                <w:highlight w:val="none"/>
              </w:rPr>
              <w:t>,</w:t>
            </w:r>
            <w:r>
              <w:rPr>
                <w:rFonts w:hint="eastAsia" w:ascii="宋体" w:hAnsi="宋体" w:cs="宋体"/>
                <w:b/>
                <w:bCs/>
                <w:color w:val="auto"/>
                <w:sz w:val="22"/>
                <w:szCs w:val="22"/>
                <w:highlight w:val="none"/>
                <w:lang w:bidi="ar"/>
              </w:rPr>
              <w:t xml:space="preserve"> 报告需具备</w:t>
            </w:r>
            <w:r>
              <w:rPr>
                <w:rFonts w:ascii="宋体" w:hAnsi="宋体" w:cs="宋体"/>
                <w:b/>
                <w:bCs/>
                <w:color w:val="auto"/>
                <w:sz w:val="22"/>
                <w:szCs w:val="22"/>
                <w:highlight w:val="none"/>
                <w:lang w:bidi="ar"/>
              </w:rPr>
              <w:t>CMA</w:t>
            </w:r>
            <w:r>
              <w:rPr>
                <w:rFonts w:hint="eastAsia" w:ascii="宋体" w:hAnsi="宋体" w:cs="宋体"/>
                <w:b/>
                <w:bCs/>
                <w:color w:val="auto"/>
                <w:sz w:val="22"/>
                <w:szCs w:val="22"/>
                <w:highlight w:val="none"/>
                <w:lang w:bidi="ar"/>
              </w:rPr>
              <w:t>标志，</w:t>
            </w:r>
            <w:r>
              <w:rPr>
                <w:rFonts w:hint="eastAsia" w:ascii="SimSun,Bold" w:hAnsi="Times New Roman" w:eastAsia="SimSun,Bold" w:cs="SimSun,Bold"/>
                <w:b/>
                <w:bCs/>
                <w:color w:val="auto"/>
                <w:kern w:val="0"/>
                <w:sz w:val="22"/>
                <w:szCs w:val="22"/>
                <w:highlight w:val="none"/>
              </w:rPr>
              <w:t>并加盖投标人公章</w:t>
            </w:r>
            <w:r>
              <w:rPr>
                <w:rFonts w:hint="eastAsia" w:ascii="宋体" w:hAnsi="宋体" w:cs="宋体"/>
                <w:b/>
                <w:bCs/>
                <w:color w:val="auto"/>
                <w:spacing w:val="-2"/>
                <w:sz w:val="24"/>
                <w:highlight w:val="none"/>
              </w:rPr>
              <w:t>。</w:t>
            </w:r>
          </w:p>
        </w:tc>
      </w:tr>
      <w:tr w14:paraId="1525C1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9" w:hRule="atLeast"/>
          <w:jc w:val="center"/>
        </w:trPr>
        <w:tc>
          <w:tcPr>
            <w:tcW w:w="688" w:type="dxa"/>
            <w:vMerge w:val="continue"/>
            <w:tcBorders>
              <w:left w:val="single" w:color="auto" w:sz="4" w:space="0"/>
              <w:right w:val="single" w:color="auto" w:sz="4" w:space="0"/>
            </w:tcBorders>
            <w:vAlign w:val="center"/>
          </w:tcPr>
          <w:p w14:paraId="6C5CB440">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2D305B16">
            <w:pPr>
              <w:autoSpaceDE w:val="0"/>
              <w:autoSpaceDN w:val="0"/>
              <w:jc w:val="center"/>
              <w:textAlignment w:val="center"/>
              <w:rPr>
                <w:rFonts w:hint="default"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15</w:t>
            </w:r>
          </w:p>
        </w:tc>
        <w:tc>
          <w:tcPr>
            <w:tcW w:w="508" w:type="dxa"/>
            <w:tcBorders>
              <w:top w:val="single" w:color="auto" w:sz="4" w:space="0"/>
              <w:left w:val="single" w:color="auto" w:sz="4" w:space="0"/>
              <w:bottom w:val="single" w:color="auto" w:sz="4" w:space="0"/>
              <w:right w:val="single" w:color="auto" w:sz="4" w:space="0"/>
            </w:tcBorders>
            <w:vAlign w:val="center"/>
          </w:tcPr>
          <w:p w14:paraId="1BF18013">
            <w:pPr>
              <w:autoSpaceDE w:val="0"/>
              <w:autoSpaceDN w:val="0"/>
              <w:ind w:right="120" w:rightChars="57"/>
              <w:jc w:val="center"/>
              <w:textAlignment w:val="center"/>
              <w:rPr>
                <w:rFonts w:ascii="Times New Roman" w:hAnsi="Times New Roman" w:cs="Times New Roman"/>
                <w:color w:val="auto"/>
                <w:highlight w:val="none"/>
              </w:rPr>
            </w:pPr>
            <w:r>
              <w:rPr>
                <w:rFonts w:hint="eastAsia" w:ascii="宋体" w:hAnsi="宋体" w:cs="宋体"/>
                <w:color w:val="auto"/>
                <w:sz w:val="22"/>
                <w:szCs w:val="22"/>
                <w:highlight w:val="none"/>
                <w:lang w:bidi="ar"/>
              </w:rPr>
              <w:t>#</w:t>
            </w:r>
          </w:p>
        </w:tc>
        <w:tc>
          <w:tcPr>
            <w:tcW w:w="888" w:type="dxa"/>
            <w:tcBorders>
              <w:left w:val="single" w:color="auto" w:sz="4" w:space="0"/>
            </w:tcBorders>
            <w:vAlign w:val="center"/>
          </w:tcPr>
          <w:p w14:paraId="4F773F5D">
            <w:pPr>
              <w:autoSpaceDE w:val="0"/>
              <w:autoSpaceDN w:val="0"/>
              <w:jc w:val="center"/>
              <w:textAlignment w:val="center"/>
              <w:rPr>
                <w:rFonts w:ascii="Times New Roman" w:hAnsi="Times New Roman" w:cs="Times New Roman"/>
                <w:color w:val="auto"/>
                <w:spacing w:val="-5"/>
                <w:highlight w:val="none"/>
              </w:rPr>
            </w:pPr>
            <w:r>
              <w:rPr>
                <w:rFonts w:hint="eastAsia" w:ascii="宋体" w:hAnsi="宋体" w:cs="宋体"/>
                <w:color w:val="auto"/>
                <w:sz w:val="22"/>
                <w:szCs w:val="22"/>
                <w:highlight w:val="none"/>
                <w:lang w:bidi="ar"/>
              </w:rPr>
              <w:t>三相电压不平衡度</w:t>
            </w:r>
          </w:p>
        </w:tc>
        <w:tc>
          <w:tcPr>
            <w:tcW w:w="6411" w:type="dxa"/>
            <w:vAlign w:val="center"/>
          </w:tcPr>
          <w:p w14:paraId="58BD891E">
            <w:pPr>
              <w:autoSpaceDE w:val="0"/>
              <w:autoSpaceDN w:val="0"/>
              <w:textAlignment w:val="center"/>
              <w:rPr>
                <w:rFonts w:ascii="Times New Roman" w:hAnsi="Times New Roman" w:cs="Times New Roman"/>
                <w:color w:val="auto"/>
                <w:spacing w:val="-2"/>
                <w:highlight w:val="none"/>
              </w:rPr>
            </w:pPr>
            <w:r>
              <w:rPr>
                <w:rFonts w:hint="eastAsia" w:ascii="宋体" w:hAnsi="宋体" w:cs="宋体"/>
                <w:color w:val="auto"/>
                <w:sz w:val="22"/>
                <w:szCs w:val="22"/>
                <w:highlight w:val="none"/>
                <w:lang w:bidi="ar"/>
              </w:rPr>
              <w:t>平衡负载：≤0.1%</w:t>
            </w:r>
            <w:r>
              <w:rPr>
                <w:rFonts w:hint="eastAsia" w:ascii="宋体" w:hAnsi="宋体" w:cs="宋体"/>
                <w:color w:val="auto"/>
                <w:sz w:val="22"/>
                <w:szCs w:val="22"/>
                <w:highlight w:val="none"/>
                <w:lang w:bidi="ar"/>
              </w:rPr>
              <w:br w:type="textWrapping"/>
            </w:r>
            <w:r>
              <w:rPr>
                <w:rFonts w:hint="eastAsia" w:ascii="宋体" w:hAnsi="宋体" w:cs="宋体"/>
                <w:color w:val="auto"/>
                <w:sz w:val="22"/>
                <w:szCs w:val="22"/>
                <w:highlight w:val="none"/>
                <w:lang w:bidi="ar"/>
              </w:rPr>
              <w:t>不平衡负载：≤0.80%；</w:t>
            </w:r>
            <w:r>
              <w:rPr>
                <w:rFonts w:hint="eastAsia" w:ascii="宋体" w:hAnsi="宋体" w:cs="宋体"/>
                <w:color w:val="auto"/>
                <w:sz w:val="22"/>
                <w:szCs w:val="22"/>
                <w:highlight w:val="none"/>
                <w:lang w:bidi="ar"/>
              </w:rPr>
              <w:br w:type="textWrapping"/>
            </w:r>
            <w:r>
              <w:rPr>
                <w:rFonts w:hint="eastAsia" w:ascii="SimSun,Bold" w:hAnsi="Times New Roman" w:eastAsia="SimSun,Bold" w:cs="SimSun,Bold"/>
                <w:b/>
                <w:bCs/>
                <w:color w:val="auto"/>
                <w:kern w:val="0"/>
                <w:sz w:val="22"/>
                <w:szCs w:val="22"/>
                <w:highlight w:val="none"/>
              </w:rPr>
              <w:t>提供国家认可的检测（认证）机构出具的检测报告</w:t>
            </w:r>
            <w:r>
              <w:rPr>
                <w:rFonts w:ascii="SimSun,Bold" w:hAnsi="Times New Roman" w:eastAsia="SimSun,Bold" w:cs="SimSun,Bold"/>
                <w:b/>
                <w:bCs/>
                <w:color w:val="auto"/>
                <w:kern w:val="0"/>
                <w:sz w:val="22"/>
                <w:szCs w:val="22"/>
                <w:highlight w:val="none"/>
              </w:rPr>
              <w:t>,</w:t>
            </w:r>
            <w:r>
              <w:rPr>
                <w:rFonts w:hint="eastAsia" w:ascii="宋体" w:hAnsi="宋体" w:cs="宋体"/>
                <w:b/>
                <w:bCs/>
                <w:color w:val="auto"/>
                <w:sz w:val="22"/>
                <w:szCs w:val="22"/>
                <w:highlight w:val="none"/>
                <w:lang w:bidi="ar"/>
              </w:rPr>
              <w:t xml:space="preserve"> 报告需具备</w:t>
            </w:r>
            <w:r>
              <w:rPr>
                <w:rFonts w:ascii="宋体" w:hAnsi="宋体" w:cs="宋体"/>
                <w:b/>
                <w:bCs/>
                <w:color w:val="auto"/>
                <w:sz w:val="22"/>
                <w:szCs w:val="22"/>
                <w:highlight w:val="none"/>
                <w:lang w:bidi="ar"/>
              </w:rPr>
              <w:t>CMA</w:t>
            </w:r>
            <w:r>
              <w:rPr>
                <w:rFonts w:hint="eastAsia" w:ascii="宋体" w:hAnsi="宋体" w:cs="宋体"/>
                <w:b/>
                <w:bCs/>
                <w:color w:val="auto"/>
                <w:sz w:val="22"/>
                <w:szCs w:val="22"/>
                <w:highlight w:val="none"/>
                <w:lang w:bidi="ar"/>
              </w:rPr>
              <w:t>标志，</w:t>
            </w:r>
            <w:r>
              <w:rPr>
                <w:rFonts w:hint="eastAsia" w:ascii="SimSun,Bold" w:hAnsi="Times New Roman" w:eastAsia="SimSun,Bold" w:cs="SimSun,Bold"/>
                <w:b/>
                <w:bCs/>
                <w:color w:val="auto"/>
                <w:kern w:val="0"/>
                <w:sz w:val="22"/>
                <w:szCs w:val="22"/>
                <w:highlight w:val="none"/>
              </w:rPr>
              <w:t>并加盖投标人公章</w:t>
            </w:r>
            <w:r>
              <w:rPr>
                <w:rFonts w:hint="eastAsia" w:ascii="宋体" w:hAnsi="宋体" w:cs="宋体"/>
                <w:b/>
                <w:bCs/>
                <w:color w:val="auto"/>
                <w:spacing w:val="-2"/>
                <w:sz w:val="24"/>
                <w:highlight w:val="none"/>
              </w:rPr>
              <w:t>。</w:t>
            </w:r>
          </w:p>
        </w:tc>
      </w:tr>
      <w:tr w14:paraId="60995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6" w:hRule="atLeast"/>
          <w:jc w:val="center"/>
        </w:trPr>
        <w:tc>
          <w:tcPr>
            <w:tcW w:w="688" w:type="dxa"/>
            <w:vMerge w:val="continue"/>
            <w:tcBorders>
              <w:left w:val="single" w:color="auto" w:sz="4" w:space="0"/>
              <w:right w:val="single" w:color="auto" w:sz="4" w:space="0"/>
            </w:tcBorders>
            <w:vAlign w:val="center"/>
          </w:tcPr>
          <w:p w14:paraId="56698277">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0501BD1B">
            <w:pPr>
              <w:autoSpaceDE w:val="0"/>
              <w:autoSpaceDN w:val="0"/>
              <w:jc w:val="center"/>
              <w:textAlignment w:val="center"/>
              <w:rPr>
                <w:rFonts w:hint="default"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16</w:t>
            </w:r>
          </w:p>
        </w:tc>
        <w:tc>
          <w:tcPr>
            <w:tcW w:w="508" w:type="dxa"/>
            <w:tcBorders>
              <w:top w:val="single" w:color="auto" w:sz="4" w:space="0"/>
              <w:left w:val="single" w:color="auto" w:sz="4" w:space="0"/>
              <w:bottom w:val="single" w:color="auto" w:sz="4" w:space="0"/>
              <w:right w:val="single" w:color="auto" w:sz="4" w:space="0"/>
            </w:tcBorders>
            <w:vAlign w:val="center"/>
          </w:tcPr>
          <w:p w14:paraId="2C85B13A">
            <w:pPr>
              <w:autoSpaceDE w:val="0"/>
              <w:autoSpaceDN w:val="0"/>
              <w:ind w:right="120" w:rightChars="57"/>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w:t>
            </w:r>
          </w:p>
        </w:tc>
        <w:tc>
          <w:tcPr>
            <w:tcW w:w="888" w:type="dxa"/>
            <w:tcBorders>
              <w:left w:val="single" w:color="auto" w:sz="4" w:space="0"/>
            </w:tcBorders>
            <w:vAlign w:val="center"/>
          </w:tcPr>
          <w:p w14:paraId="406BFB7F">
            <w:pPr>
              <w:autoSpaceDE w:val="0"/>
              <w:autoSpaceDN w:val="0"/>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电压动态瞬变范围</w:t>
            </w:r>
          </w:p>
        </w:tc>
        <w:tc>
          <w:tcPr>
            <w:tcW w:w="6411" w:type="dxa"/>
            <w:vAlign w:val="center"/>
          </w:tcPr>
          <w:p w14:paraId="1FAB9D0E">
            <w:pPr>
              <w:autoSpaceDE w:val="0"/>
              <w:autoSpaceDN w:val="0"/>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空载→满载：≤-2%</w:t>
            </w:r>
            <w:r>
              <w:rPr>
                <w:rFonts w:hint="eastAsia" w:ascii="宋体" w:hAnsi="宋体" w:cs="宋体"/>
                <w:color w:val="auto"/>
                <w:sz w:val="22"/>
                <w:szCs w:val="22"/>
                <w:highlight w:val="none"/>
                <w:lang w:bidi="ar"/>
              </w:rPr>
              <w:br w:type="textWrapping"/>
            </w:r>
            <w:r>
              <w:rPr>
                <w:rFonts w:hint="eastAsia" w:ascii="宋体" w:hAnsi="宋体" w:cs="宋体"/>
                <w:color w:val="auto"/>
                <w:sz w:val="22"/>
                <w:szCs w:val="22"/>
                <w:highlight w:val="none"/>
                <w:lang w:bidi="ar"/>
              </w:rPr>
              <w:t>满载→空载：≤1.5%</w:t>
            </w:r>
            <w:r>
              <w:rPr>
                <w:rFonts w:hint="eastAsia" w:ascii="宋体" w:hAnsi="宋体" w:cs="宋体"/>
                <w:color w:val="auto"/>
                <w:sz w:val="22"/>
                <w:szCs w:val="22"/>
                <w:highlight w:val="none"/>
                <w:lang w:bidi="ar"/>
              </w:rPr>
              <w:br w:type="textWrapping"/>
            </w:r>
            <w:r>
              <w:rPr>
                <w:rFonts w:hint="eastAsia" w:ascii="宋体" w:hAnsi="宋体" w:cs="宋体"/>
                <w:color w:val="auto"/>
                <w:sz w:val="22"/>
                <w:szCs w:val="22"/>
                <w:highlight w:val="none"/>
                <w:lang w:bidi="ar"/>
              </w:rPr>
              <w:t>恢复时间</w:t>
            </w:r>
            <w:r>
              <w:rPr>
                <w:rFonts w:hint="eastAsia" w:ascii="宋体" w:hAnsi="宋体" w:cs="宋体"/>
                <w:color w:val="auto"/>
                <w:sz w:val="22"/>
                <w:szCs w:val="22"/>
                <w:highlight w:val="none"/>
                <w:lang w:eastAsia="zh-CN" w:bidi="ar"/>
              </w:rPr>
              <w:t>：</w:t>
            </w:r>
            <w:r>
              <w:rPr>
                <w:rFonts w:hint="eastAsia" w:ascii="宋体" w:hAnsi="宋体" w:cs="宋体"/>
                <w:color w:val="auto"/>
                <w:sz w:val="22"/>
                <w:szCs w:val="22"/>
                <w:highlight w:val="none"/>
                <w:lang w:bidi="ar"/>
              </w:rPr>
              <w:t>0ms</w:t>
            </w:r>
            <w:r>
              <w:rPr>
                <w:rFonts w:hint="eastAsia" w:ascii="宋体" w:hAnsi="宋体" w:cs="宋体"/>
                <w:color w:val="auto"/>
                <w:sz w:val="22"/>
                <w:szCs w:val="22"/>
                <w:highlight w:val="none"/>
                <w:lang w:bidi="ar"/>
              </w:rPr>
              <w:br w:type="textWrapping"/>
            </w:r>
            <w:r>
              <w:rPr>
                <w:rFonts w:hint="eastAsia" w:ascii="SimSun,Bold" w:hAnsi="Times New Roman" w:eastAsia="SimSun,Bold" w:cs="SimSun,Bold"/>
                <w:b/>
                <w:bCs/>
                <w:color w:val="auto"/>
                <w:kern w:val="0"/>
                <w:sz w:val="22"/>
                <w:szCs w:val="22"/>
                <w:highlight w:val="none"/>
              </w:rPr>
              <w:t>提供国家认可的检测（认证）机构出具的检测报告</w:t>
            </w:r>
            <w:r>
              <w:rPr>
                <w:rFonts w:ascii="SimSun,Bold" w:hAnsi="Times New Roman" w:eastAsia="SimSun,Bold" w:cs="SimSun,Bold"/>
                <w:b/>
                <w:bCs/>
                <w:color w:val="auto"/>
                <w:kern w:val="0"/>
                <w:sz w:val="22"/>
                <w:szCs w:val="22"/>
                <w:highlight w:val="none"/>
              </w:rPr>
              <w:t>,</w:t>
            </w:r>
            <w:r>
              <w:rPr>
                <w:rFonts w:hint="eastAsia" w:ascii="宋体" w:hAnsi="宋体" w:cs="宋体"/>
                <w:b/>
                <w:bCs/>
                <w:color w:val="auto"/>
                <w:sz w:val="22"/>
                <w:szCs w:val="22"/>
                <w:highlight w:val="none"/>
                <w:lang w:bidi="ar"/>
              </w:rPr>
              <w:t xml:space="preserve"> 报告需具备</w:t>
            </w:r>
            <w:r>
              <w:rPr>
                <w:rFonts w:ascii="宋体" w:hAnsi="宋体" w:cs="宋体"/>
                <w:b/>
                <w:bCs/>
                <w:color w:val="auto"/>
                <w:sz w:val="22"/>
                <w:szCs w:val="22"/>
                <w:highlight w:val="none"/>
                <w:lang w:bidi="ar"/>
              </w:rPr>
              <w:t>CMA</w:t>
            </w:r>
            <w:r>
              <w:rPr>
                <w:rFonts w:hint="eastAsia" w:ascii="宋体" w:hAnsi="宋体" w:cs="宋体"/>
                <w:b/>
                <w:bCs/>
                <w:color w:val="auto"/>
                <w:sz w:val="22"/>
                <w:szCs w:val="22"/>
                <w:highlight w:val="none"/>
                <w:lang w:bidi="ar"/>
              </w:rPr>
              <w:t>标志，</w:t>
            </w:r>
            <w:r>
              <w:rPr>
                <w:rFonts w:hint="eastAsia" w:ascii="SimSun,Bold" w:hAnsi="Times New Roman" w:eastAsia="SimSun,Bold" w:cs="SimSun,Bold"/>
                <w:b/>
                <w:bCs/>
                <w:color w:val="auto"/>
                <w:kern w:val="0"/>
                <w:sz w:val="22"/>
                <w:szCs w:val="22"/>
                <w:highlight w:val="none"/>
              </w:rPr>
              <w:t>并加盖投标人公章</w:t>
            </w:r>
            <w:r>
              <w:rPr>
                <w:rFonts w:hint="eastAsia" w:ascii="宋体" w:hAnsi="宋体" w:cs="宋体"/>
                <w:b/>
                <w:bCs/>
                <w:color w:val="auto"/>
                <w:spacing w:val="-2"/>
                <w:sz w:val="24"/>
                <w:highlight w:val="none"/>
              </w:rPr>
              <w:t>。</w:t>
            </w:r>
          </w:p>
        </w:tc>
      </w:tr>
      <w:tr w14:paraId="57561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3" w:hRule="atLeast"/>
          <w:jc w:val="center"/>
        </w:trPr>
        <w:tc>
          <w:tcPr>
            <w:tcW w:w="688" w:type="dxa"/>
            <w:vMerge w:val="continue"/>
            <w:tcBorders>
              <w:left w:val="single" w:color="auto" w:sz="4" w:space="0"/>
              <w:right w:val="single" w:color="auto" w:sz="4" w:space="0"/>
            </w:tcBorders>
            <w:vAlign w:val="center"/>
          </w:tcPr>
          <w:p w14:paraId="30C3A00E">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11F5A04E">
            <w:pPr>
              <w:autoSpaceDE w:val="0"/>
              <w:autoSpaceDN w:val="0"/>
              <w:jc w:val="center"/>
              <w:textAlignment w:val="center"/>
              <w:rPr>
                <w:rFonts w:hint="default"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17</w:t>
            </w:r>
          </w:p>
        </w:tc>
        <w:tc>
          <w:tcPr>
            <w:tcW w:w="508" w:type="dxa"/>
            <w:tcBorders>
              <w:top w:val="single" w:color="auto" w:sz="4" w:space="0"/>
              <w:left w:val="single" w:color="auto" w:sz="4" w:space="0"/>
              <w:bottom w:val="single" w:color="auto" w:sz="4" w:space="0"/>
              <w:right w:val="single" w:color="auto" w:sz="4" w:space="0"/>
            </w:tcBorders>
            <w:vAlign w:val="center"/>
          </w:tcPr>
          <w:p w14:paraId="155C15B3">
            <w:pPr>
              <w:autoSpaceDE w:val="0"/>
              <w:autoSpaceDN w:val="0"/>
              <w:ind w:right="120" w:rightChars="57"/>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w:t>
            </w:r>
          </w:p>
        </w:tc>
        <w:tc>
          <w:tcPr>
            <w:tcW w:w="888" w:type="dxa"/>
            <w:tcBorders>
              <w:left w:val="single" w:color="auto" w:sz="4" w:space="0"/>
            </w:tcBorders>
            <w:vAlign w:val="center"/>
          </w:tcPr>
          <w:p w14:paraId="2D5EB331">
            <w:pPr>
              <w:autoSpaceDE w:val="0"/>
              <w:autoSpaceDN w:val="0"/>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三相电压相位偏差</w:t>
            </w:r>
          </w:p>
        </w:tc>
        <w:tc>
          <w:tcPr>
            <w:tcW w:w="6411" w:type="dxa"/>
            <w:vAlign w:val="center"/>
          </w:tcPr>
          <w:p w14:paraId="4823D66D">
            <w:pPr>
              <w:autoSpaceDE w:val="0"/>
              <w:autoSpaceDN w:val="0"/>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≤1°</w:t>
            </w:r>
            <w:r>
              <w:rPr>
                <w:rFonts w:hint="eastAsia" w:ascii="宋体" w:hAnsi="宋体" w:cs="宋体"/>
                <w:color w:val="auto"/>
                <w:sz w:val="22"/>
                <w:szCs w:val="22"/>
                <w:highlight w:val="none"/>
                <w:lang w:bidi="ar"/>
              </w:rPr>
              <w:br w:type="textWrapping"/>
            </w:r>
            <w:r>
              <w:rPr>
                <w:rFonts w:hint="eastAsia" w:ascii="SimSun,Bold" w:hAnsi="Times New Roman" w:eastAsia="SimSun,Bold" w:cs="SimSun,Bold"/>
                <w:b/>
                <w:bCs/>
                <w:color w:val="auto"/>
                <w:kern w:val="0"/>
                <w:sz w:val="22"/>
                <w:szCs w:val="22"/>
                <w:highlight w:val="none"/>
              </w:rPr>
              <w:t>提供国家认可的检测（认证）机构出具的检测报告</w:t>
            </w:r>
            <w:r>
              <w:rPr>
                <w:rFonts w:ascii="SimSun,Bold" w:hAnsi="Times New Roman" w:eastAsia="SimSun,Bold" w:cs="SimSun,Bold"/>
                <w:b/>
                <w:bCs/>
                <w:color w:val="auto"/>
                <w:kern w:val="0"/>
                <w:sz w:val="22"/>
                <w:szCs w:val="22"/>
                <w:highlight w:val="none"/>
              </w:rPr>
              <w:t>,</w:t>
            </w:r>
            <w:r>
              <w:rPr>
                <w:rFonts w:hint="eastAsia" w:ascii="宋体" w:hAnsi="宋体" w:cs="宋体"/>
                <w:b/>
                <w:bCs/>
                <w:color w:val="auto"/>
                <w:sz w:val="22"/>
                <w:szCs w:val="22"/>
                <w:highlight w:val="none"/>
                <w:lang w:bidi="ar"/>
              </w:rPr>
              <w:t xml:space="preserve"> 报告需具备</w:t>
            </w:r>
            <w:r>
              <w:rPr>
                <w:rFonts w:ascii="宋体" w:hAnsi="宋体" w:cs="宋体"/>
                <w:b/>
                <w:bCs/>
                <w:color w:val="auto"/>
                <w:sz w:val="22"/>
                <w:szCs w:val="22"/>
                <w:highlight w:val="none"/>
                <w:lang w:bidi="ar"/>
              </w:rPr>
              <w:t>CMA</w:t>
            </w:r>
            <w:r>
              <w:rPr>
                <w:rFonts w:hint="eastAsia" w:ascii="宋体" w:hAnsi="宋体" w:cs="宋体"/>
                <w:b/>
                <w:bCs/>
                <w:color w:val="auto"/>
                <w:sz w:val="22"/>
                <w:szCs w:val="22"/>
                <w:highlight w:val="none"/>
                <w:lang w:bidi="ar"/>
              </w:rPr>
              <w:t>标志，</w:t>
            </w:r>
            <w:r>
              <w:rPr>
                <w:rFonts w:hint="eastAsia" w:ascii="SimSun,Bold" w:hAnsi="Times New Roman" w:eastAsia="SimSun,Bold" w:cs="SimSun,Bold"/>
                <w:b/>
                <w:bCs/>
                <w:color w:val="auto"/>
                <w:kern w:val="0"/>
                <w:sz w:val="22"/>
                <w:szCs w:val="22"/>
                <w:highlight w:val="none"/>
              </w:rPr>
              <w:t>并加盖投标人公章</w:t>
            </w:r>
            <w:r>
              <w:rPr>
                <w:rFonts w:hint="eastAsia" w:ascii="宋体" w:hAnsi="宋体" w:cs="宋体"/>
                <w:b/>
                <w:bCs/>
                <w:color w:val="auto"/>
                <w:spacing w:val="-2"/>
                <w:sz w:val="24"/>
                <w:highlight w:val="none"/>
              </w:rPr>
              <w:t>。</w:t>
            </w:r>
          </w:p>
        </w:tc>
      </w:tr>
      <w:tr w14:paraId="75143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688" w:type="dxa"/>
            <w:vMerge w:val="continue"/>
            <w:tcBorders>
              <w:left w:val="single" w:color="auto" w:sz="4" w:space="0"/>
              <w:right w:val="single" w:color="auto" w:sz="4" w:space="0"/>
            </w:tcBorders>
            <w:vAlign w:val="center"/>
          </w:tcPr>
          <w:p w14:paraId="37412A63">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2CDF028F">
            <w:pPr>
              <w:autoSpaceDE w:val="0"/>
              <w:autoSpaceDN w:val="0"/>
              <w:jc w:val="center"/>
              <w:rPr>
                <w:rFonts w:hint="default"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18</w:t>
            </w:r>
          </w:p>
        </w:tc>
        <w:tc>
          <w:tcPr>
            <w:tcW w:w="508" w:type="dxa"/>
            <w:tcBorders>
              <w:top w:val="single" w:color="auto" w:sz="4" w:space="0"/>
              <w:left w:val="single" w:color="auto" w:sz="4" w:space="0"/>
              <w:bottom w:val="single" w:color="auto" w:sz="4" w:space="0"/>
              <w:right w:val="single" w:color="auto" w:sz="4" w:space="0"/>
            </w:tcBorders>
            <w:vAlign w:val="center"/>
          </w:tcPr>
          <w:p w14:paraId="0D30FF67">
            <w:pPr>
              <w:autoSpaceDE w:val="0"/>
              <w:autoSpaceDN w:val="0"/>
              <w:ind w:right="120" w:rightChars="57"/>
              <w:jc w:val="center"/>
              <w:rPr>
                <w:rFonts w:ascii="宋体" w:hAnsi="宋体" w:cs="宋体"/>
                <w:color w:val="auto"/>
                <w:sz w:val="22"/>
                <w:szCs w:val="22"/>
                <w:highlight w:val="none"/>
                <w:lang w:bidi="ar"/>
              </w:rPr>
            </w:pPr>
          </w:p>
        </w:tc>
        <w:tc>
          <w:tcPr>
            <w:tcW w:w="888" w:type="dxa"/>
            <w:tcBorders>
              <w:left w:val="single" w:color="auto" w:sz="4" w:space="0"/>
            </w:tcBorders>
            <w:vAlign w:val="center"/>
          </w:tcPr>
          <w:p w14:paraId="5EFFC697">
            <w:pPr>
              <w:autoSpaceDE w:val="0"/>
              <w:autoSpaceDN w:val="0"/>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转换时间</w:t>
            </w:r>
          </w:p>
        </w:tc>
        <w:tc>
          <w:tcPr>
            <w:tcW w:w="6411" w:type="dxa"/>
            <w:vAlign w:val="center"/>
          </w:tcPr>
          <w:p w14:paraId="3D3D5F48">
            <w:pPr>
              <w:autoSpaceDE w:val="0"/>
              <w:autoSpaceDN w:val="0"/>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市电电池模式转换/逆变旁路转换时间≤0ms；</w:t>
            </w:r>
          </w:p>
        </w:tc>
      </w:tr>
      <w:tr w14:paraId="59BD7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jc w:val="center"/>
        </w:trPr>
        <w:tc>
          <w:tcPr>
            <w:tcW w:w="688" w:type="dxa"/>
            <w:vMerge w:val="continue"/>
            <w:tcBorders>
              <w:left w:val="single" w:color="auto" w:sz="4" w:space="0"/>
              <w:right w:val="single" w:color="auto" w:sz="4" w:space="0"/>
            </w:tcBorders>
            <w:vAlign w:val="center"/>
          </w:tcPr>
          <w:p w14:paraId="2270171F">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3B1668F9">
            <w:pPr>
              <w:autoSpaceDE w:val="0"/>
              <w:autoSpaceDN w:val="0"/>
              <w:jc w:val="center"/>
              <w:rPr>
                <w:rFonts w:hint="default"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19</w:t>
            </w:r>
          </w:p>
        </w:tc>
        <w:tc>
          <w:tcPr>
            <w:tcW w:w="508" w:type="dxa"/>
            <w:tcBorders>
              <w:top w:val="single" w:color="auto" w:sz="4" w:space="0"/>
              <w:left w:val="single" w:color="auto" w:sz="4" w:space="0"/>
              <w:bottom w:val="single" w:color="auto" w:sz="4" w:space="0"/>
              <w:right w:val="single" w:color="auto" w:sz="4" w:space="0"/>
            </w:tcBorders>
            <w:vAlign w:val="center"/>
          </w:tcPr>
          <w:p w14:paraId="1CD2C359">
            <w:pPr>
              <w:autoSpaceDE w:val="0"/>
              <w:autoSpaceDN w:val="0"/>
              <w:ind w:right="120" w:rightChars="57"/>
              <w:jc w:val="center"/>
              <w:rPr>
                <w:rFonts w:ascii="宋体" w:hAnsi="宋体" w:cs="宋体"/>
                <w:color w:val="auto"/>
                <w:sz w:val="22"/>
                <w:szCs w:val="22"/>
                <w:highlight w:val="none"/>
                <w:lang w:bidi="ar"/>
              </w:rPr>
            </w:pPr>
          </w:p>
        </w:tc>
        <w:tc>
          <w:tcPr>
            <w:tcW w:w="888" w:type="dxa"/>
            <w:tcBorders>
              <w:left w:val="single" w:color="auto" w:sz="4" w:space="0"/>
            </w:tcBorders>
            <w:vAlign w:val="center"/>
          </w:tcPr>
          <w:p w14:paraId="2DD31F01">
            <w:pPr>
              <w:autoSpaceDE w:val="0"/>
              <w:autoSpaceDN w:val="0"/>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输出电流峰值系数</w:t>
            </w:r>
          </w:p>
        </w:tc>
        <w:tc>
          <w:tcPr>
            <w:tcW w:w="6411" w:type="dxa"/>
            <w:vAlign w:val="center"/>
          </w:tcPr>
          <w:p w14:paraId="512363A0">
            <w:pPr>
              <w:autoSpaceDE w:val="0"/>
              <w:autoSpaceDN w:val="0"/>
              <w:textAlignment w:val="center"/>
              <w:rPr>
                <w:rFonts w:hint="eastAsia" w:ascii="宋体" w:hAnsi="宋体" w:eastAsia="宋体" w:cs="宋体"/>
                <w:color w:val="auto"/>
                <w:sz w:val="22"/>
                <w:szCs w:val="22"/>
                <w:highlight w:val="none"/>
                <w:lang w:eastAsia="zh-CN" w:bidi="ar"/>
              </w:rPr>
            </w:pPr>
            <w:r>
              <w:rPr>
                <w:rFonts w:hint="eastAsia" w:ascii="宋体" w:hAnsi="宋体" w:cs="宋体"/>
                <w:color w:val="auto"/>
                <w:sz w:val="22"/>
                <w:szCs w:val="22"/>
                <w:highlight w:val="none"/>
                <w:lang w:bidi="ar"/>
              </w:rPr>
              <w:t>3:1</w:t>
            </w:r>
            <w:r>
              <w:rPr>
                <w:rFonts w:hint="eastAsia" w:ascii="宋体" w:hAnsi="宋体" w:cs="宋体"/>
                <w:color w:val="auto"/>
                <w:sz w:val="22"/>
                <w:szCs w:val="22"/>
                <w:highlight w:val="none"/>
                <w:lang w:eastAsia="zh-CN" w:bidi="ar"/>
              </w:rPr>
              <w:t>；</w:t>
            </w:r>
          </w:p>
        </w:tc>
      </w:tr>
      <w:tr w14:paraId="20E57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3" w:hRule="atLeast"/>
          <w:jc w:val="center"/>
        </w:trPr>
        <w:tc>
          <w:tcPr>
            <w:tcW w:w="688" w:type="dxa"/>
            <w:vMerge w:val="continue"/>
            <w:tcBorders>
              <w:left w:val="single" w:color="auto" w:sz="4" w:space="0"/>
              <w:right w:val="single" w:color="auto" w:sz="4" w:space="0"/>
            </w:tcBorders>
            <w:vAlign w:val="center"/>
          </w:tcPr>
          <w:p w14:paraId="78B1DD02">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0BF5F13A">
            <w:pPr>
              <w:autoSpaceDE w:val="0"/>
              <w:autoSpaceDN w:val="0"/>
              <w:jc w:val="center"/>
              <w:textAlignment w:val="center"/>
              <w:rPr>
                <w:rFonts w:hint="default"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20</w:t>
            </w:r>
          </w:p>
        </w:tc>
        <w:tc>
          <w:tcPr>
            <w:tcW w:w="508" w:type="dxa"/>
            <w:tcBorders>
              <w:top w:val="single" w:color="auto" w:sz="4" w:space="0"/>
              <w:left w:val="single" w:color="auto" w:sz="4" w:space="0"/>
              <w:bottom w:val="single" w:color="auto" w:sz="4" w:space="0"/>
              <w:right w:val="single" w:color="auto" w:sz="4" w:space="0"/>
            </w:tcBorders>
            <w:vAlign w:val="center"/>
          </w:tcPr>
          <w:p w14:paraId="2B03EAEB">
            <w:pPr>
              <w:autoSpaceDE w:val="0"/>
              <w:autoSpaceDN w:val="0"/>
              <w:ind w:right="120" w:rightChars="57"/>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w:t>
            </w:r>
          </w:p>
        </w:tc>
        <w:tc>
          <w:tcPr>
            <w:tcW w:w="888" w:type="dxa"/>
            <w:tcBorders>
              <w:left w:val="single" w:color="auto" w:sz="4" w:space="0"/>
            </w:tcBorders>
            <w:vAlign w:val="center"/>
          </w:tcPr>
          <w:p w14:paraId="2CC80134">
            <w:pPr>
              <w:autoSpaceDE w:val="0"/>
              <w:autoSpaceDN w:val="0"/>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系统效率</w:t>
            </w:r>
          </w:p>
        </w:tc>
        <w:tc>
          <w:tcPr>
            <w:tcW w:w="6411" w:type="dxa"/>
            <w:vAlign w:val="center"/>
          </w:tcPr>
          <w:p w14:paraId="4DE337B6">
            <w:pPr>
              <w:autoSpaceDE w:val="0"/>
              <w:autoSpaceDN w:val="0"/>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额定负载：≥96%</w:t>
            </w:r>
            <w:r>
              <w:rPr>
                <w:rFonts w:hint="eastAsia" w:ascii="宋体" w:hAnsi="宋体" w:cs="宋体"/>
                <w:color w:val="auto"/>
                <w:sz w:val="22"/>
                <w:szCs w:val="22"/>
                <w:highlight w:val="none"/>
                <w:lang w:bidi="ar"/>
              </w:rPr>
              <w:br w:type="textWrapping"/>
            </w:r>
            <w:r>
              <w:rPr>
                <w:rFonts w:hint="eastAsia" w:ascii="宋体" w:hAnsi="宋体" w:cs="宋体"/>
                <w:color w:val="auto"/>
                <w:sz w:val="22"/>
                <w:szCs w:val="22"/>
                <w:highlight w:val="none"/>
                <w:lang w:bidi="ar"/>
              </w:rPr>
              <w:t>50%负载：≥97%</w:t>
            </w:r>
            <w:r>
              <w:rPr>
                <w:rFonts w:hint="eastAsia" w:ascii="宋体" w:hAnsi="宋体" w:cs="宋体"/>
                <w:color w:val="auto"/>
                <w:sz w:val="22"/>
                <w:szCs w:val="22"/>
                <w:highlight w:val="none"/>
                <w:lang w:bidi="ar"/>
              </w:rPr>
              <w:br w:type="textWrapping"/>
            </w:r>
            <w:r>
              <w:rPr>
                <w:rFonts w:hint="eastAsia" w:ascii="宋体" w:hAnsi="宋体" w:cs="宋体"/>
                <w:color w:val="auto"/>
                <w:sz w:val="22"/>
                <w:szCs w:val="22"/>
                <w:highlight w:val="none"/>
                <w:lang w:bidi="ar"/>
              </w:rPr>
              <w:t>30%负载：≥97.5%</w:t>
            </w:r>
            <w:r>
              <w:rPr>
                <w:rFonts w:hint="eastAsia" w:ascii="宋体" w:hAnsi="宋体" w:cs="宋体"/>
                <w:color w:val="auto"/>
                <w:sz w:val="22"/>
                <w:szCs w:val="22"/>
                <w:highlight w:val="none"/>
                <w:lang w:bidi="ar"/>
              </w:rPr>
              <w:br w:type="textWrapping"/>
            </w:r>
            <w:r>
              <w:rPr>
                <w:rFonts w:hint="eastAsia" w:ascii="SimSun,Bold" w:hAnsi="Times New Roman" w:eastAsia="SimSun,Bold" w:cs="SimSun,Bold"/>
                <w:b/>
                <w:bCs/>
                <w:color w:val="auto"/>
                <w:kern w:val="0"/>
                <w:sz w:val="22"/>
                <w:szCs w:val="22"/>
                <w:highlight w:val="none"/>
              </w:rPr>
              <w:t>提供国家认可的检测（认证）机构出具的检测报告</w:t>
            </w:r>
            <w:r>
              <w:rPr>
                <w:rFonts w:ascii="SimSun,Bold" w:hAnsi="Times New Roman" w:eastAsia="SimSun,Bold" w:cs="SimSun,Bold"/>
                <w:b/>
                <w:bCs/>
                <w:color w:val="auto"/>
                <w:kern w:val="0"/>
                <w:sz w:val="22"/>
                <w:szCs w:val="22"/>
                <w:highlight w:val="none"/>
              </w:rPr>
              <w:t>,</w:t>
            </w:r>
            <w:r>
              <w:rPr>
                <w:rFonts w:hint="eastAsia" w:ascii="宋体" w:hAnsi="宋体" w:cs="宋体"/>
                <w:b/>
                <w:bCs/>
                <w:color w:val="auto"/>
                <w:sz w:val="22"/>
                <w:szCs w:val="22"/>
                <w:highlight w:val="none"/>
                <w:lang w:bidi="ar"/>
              </w:rPr>
              <w:t xml:space="preserve"> 报告需具备</w:t>
            </w:r>
            <w:r>
              <w:rPr>
                <w:rFonts w:ascii="宋体" w:hAnsi="宋体" w:cs="宋体"/>
                <w:b/>
                <w:bCs/>
                <w:color w:val="auto"/>
                <w:sz w:val="22"/>
                <w:szCs w:val="22"/>
                <w:highlight w:val="none"/>
                <w:lang w:bidi="ar"/>
              </w:rPr>
              <w:t>CMA</w:t>
            </w:r>
            <w:r>
              <w:rPr>
                <w:rFonts w:hint="eastAsia" w:ascii="宋体" w:hAnsi="宋体" w:cs="宋体"/>
                <w:b/>
                <w:bCs/>
                <w:color w:val="auto"/>
                <w:sz w:val="22"/>
                <w:szCs w:val="22"/>
                <w:highlight w:val="none"/>
                <w:lang w:bidi="ar"/>
              </w:rPr>
              <w:t>标志，</w:t>
            </w:r>
            <w:r>
              <w:rPr>
                <w:rFonts w:hint="eastAsia" w:ascii="SimSun,Bold" w:hAnsi="Times New Roman" w:eastAsia="SimSun,Bold" w:cs="SimSun,Bold"/>
                <w:b/>
                <w:bCs/>
                <w:color w:val="auto"/>
                <w:kern w:val="0"/>
                <w:sz w:val="22"/>
                <w:szCs w:val="22"/>
                <w:highlight w:val="none"/>
              </w:rPr>
              <w:t>并加盖投标人公章</w:t>
            </w:r>
            <w:r>
              <w:rPr>
                <w:rFonts w:hint="eastAsia" w:ascii="宋体" w:hAnsi="宋体" w:cs="宋体"/>
                <w:b/>
                <w:bCs/>
                <w:color w:val="auto"/>
                <w:spacing w:val="-2"/>
                <w:sz w:val="24"/>
                <w:highlight w:val="none"/>
              </w:rPr>
              <w:t>。</w:t>
            </w:r>
          </w:p>
        </w:tc>
      </w:tr>
      <w:tr w14:paraId="4891A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0" w:hRule="atLeast"/>
          <w:jc w:val="center"/>
        </w:trPr>
        <w:tc>
          <w:tcPr>
            <w:tcW w:w="688" w:type="dxa"/>
            <w:vMerge w:val="continue"/>
            <w:tcBorders>
              <w:left w:val="single" w:color="auto" w:sz="4" w:space="0"/>
              <w:right w:val="single" w:color="auto" w:sz="4" w:space="0"/>
            </w:tcBorders>
            <w:vAlign w:val="center"/>
          </w:tcPr>
          <w:p w14:paraId="5A774D5D">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2AD1434C">
            <w:pPr>
              <w:autoSpaceDE w:val="0"/>
              <w:autoSpaceDN w:val="0"/>
              <w:jc w:val="center"/>
              <w:rPr>
                <w:rFonts w:hint="default"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21</w:t>
            </w:r>
          </w:p>
        </w:tc>
        <w:tc>
          <w:tcPr>
            <w:tcW w:w="508" w:type="dxa"/>
            <w:tcBorders>
              <w:top w:val="single" w:color="auto" w:sz="4" w:space="0"/>
              <w:left w:val="single" w:color="auto" w:sz="4" w:space="0"/>
              <w:bottom w:val="single" w:color="auto" w:sz="4" w:space="0"/>
              <w:right w:val="single" w:color="auto" w:sz="4" w:space="0"/>
            </w:tcBorders>
            <w:vAlign w:val="center"/>
          </w:tcPr>
          <w:p w14:paraId="227C61C3">
            <w:pPr>
              <w:autoSpaceDE w:val="0"/>
              <w:autoSpaceDN w:val="0"/>
              <w:ind w:right="120" w:rightChars="57"/>
              <w:jc w:val="center"/>
              <w:rPr>
                <w:rFonts w:ascii="宋体" w:hAnsi="宋体" w:cs="宋体"/>
                <w:color w:val="auto"/>
                <w:sz w:val="22"/>
                <w:szCs w:val="22"/>
                <w:highlight w:val="none"/>
                <w:lang w:bidi="ar"/>
              </w:rPr>
            </w:pPr>
          </w:p>
        </w:tc>
        <w:tc>
          <w:tcPr>
            <w:tcW w:w="888" w:type="dxa"/>
            <w:tcBorders>
              <w:left w:val="single" w:color="auto" w:sz="4" w:space="0"/>
            </w:tcBorders>
            <w:vAlign w:val="center"/>
          </w:tcPr>
          <w:p w14:paraId="3B9D6C1D">
            <w:pPr>
              <w:autoSpaceDE w:val="0"/>
              <w:autoSpaceDN w:val="0"/>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过载能力</w:t>
            </w:r>
          </w:p>
        </w:tc>
        <w:tc>
          <w:tcPr>
            <w:tcW w:w="6411" w:type="dxa"/>
            <w:vAlign w:val="center"/>
          </w:tcPr>
          <w:p w14:paraId="4B918AA4">
            <w:pPr>
              <w:autoSpaceDE w:val="0"/>
              <w:autoSpaceDN w:val="0"/>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过载 110%：不小于60min</w:t>
            </w:r>
            <w:r>
              <w:rPr>
                <w:rFonts w:hint="eastAsia" w:ascii="宋体" w:hAnsi="宋体" w:cs="宋体"/>
                <w:color w:val="auto"/>
                <w:sz w:val="22"/>
                <w:szCs w:val="22"/>
                <w:highlight w:val="none"/>
                <w:lang w:bidi="ar"/>
              </w:rPr>
              <w:br w:type="textWrapping"/>
            </w:r>
            <w:r>
              <w:rPr>
                <w:rFonts w:hint="eastAsia" w:ascii="宋体" w:hAnsi="宋体" w:cs="宋体"/>
                <w:color w:val="auto"/>
                <w:sz w:val="22"/>
                <w:szCs w:val="22"/>
                <w:highlight w:val="none"/>
                <w:lang w:bidi="ar"/>
              </w:rPr>
              <w:t>过载 125%：不小于10min</w:t>
            </w:r>
            <w:r>
              <w:rPr>
                <w:rFonts w:hint="eastAsia" w:ascii="宋体" w:hAnsi="宋体" w:cs="宋体"/>
                <w:color w:val="auto"/>
                <w:sz w:val="22"/>
                <w:szCs w:val="22"/>
                <w:highlight w:val="none"/>
                <w:lang w:bidi="ar"/>
              </w:rPr>
              <w:br w:type="textWrapping"/>
            </w:r>
            <w:r>
              <w:rPr>
                <w:rFonts w:hint="eastAsia" w:ascii="宋体" w:hAnsi="宋体" w:cs="宋体"/>
                <w:color w:val="auto"/>
                <w:sz w:val="22"/>
                <w:szCs w:val="22"/>
                <w:highlight w:val="none"/>
                <w:lang w:bidi="ar"/>
              </w:rPr>
              <w:t>过载 150%：不小于1min</w:t>
            </w:r>
          </w:p>
        </w:tc>
      </w:tr>
      <w:tr w14:paraId="5E889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1" w:hRule="atLeast"/>
          <w:jc w:val="center"/>
        </w:trPr>
        <w:tc>
          <w:tcPr>
            <w:tcW w:w="688" w:type="dxa"/>
            <w:vMerge w:val="continue"/>
            <w:tcBorders>
              <w:left w:val="single" w:color="auto" w:sz="4" w:space="0"/>
              <w:right w:val="single" w:color="auto" w:sz="4" w:space="0"/>
            </w:tcBorders>
            <w:vAlign w:val="center"/>
          </w:tcPr>
          <w:p w14:paraId="38683C3E">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0FD6A2EB">
            <w:pPr>
              <w:autoSpaceDE w:val="0"/>
              <w:autoSpaceDN w:val="0"/>
              <w:jc w:val="center"/>
              <w:textAlignment w:val="center"/>
              <w:rPr>
                <w:rFonts w:hint="default"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22</w:t>
            </w:r>
          </w:p>
        </w:tc>
        <w:tc>
          <w:tcPr>
            <w:tcW w:w="508" w:type="dxa"/>
            <w:tcBorders>
              <w:top w:val="single" w:color="auto" w:sz="4" w:space="0"/>
              <w:left w:val="single" w:color="auto" w:sz="4" w:space="0"/>
              <w:bottom w:val="single" w:color="auto" w:sz="4" w:space="0"/>
              <w:right w:val="single" w:color="auto" w:sz="4" w:space="0"/>
            </w:tcBorders>
            <w:vAlign w:val="center"/>
          </w:tcPr>
          <w:p w14:paraId="755990A1">
            <w:pPr>
              <w:autoSpaceDE w:val="0"/>
              <w:autoSpaceDN w:val="0"/>
              <w:ind w:right="120" w:rightChars="57"/>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w:t>
            </w:r>
          </w:p>
        </w:tc>
        <w:tc>
          <w:tcPr>
            <w:tcW w:w="888" w:type="dxa"/>
            <w:tcBorders>
              <w:left w:val="single" w:color="auto" w:sz="4" w:space="0"/>
            </w:tcBorders>
            <w:vAlign w:val="center"/>
          </w:tcPr>
          <w:p w14:paraId="500DDA4F">
            <w:pPr>
              <w:autoSpaceDE w:val="0"/>
              <w:autoSpaceDN w:val="0"/>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控制逻辑</w:t>
            </w:r>
          </w:p>
        </w:tc>
        <w:tc>
          <w:tcPr>
            <w:tcW w:w="6411" w:type="dxa"/>
            <w:vAlign w:val="center"/>
          </w:tcPr>
          <w:p w14:paraId="5A6F00A5">
            <w:pPr>
              <w:autoSpaceDE w:val="0"/>
              <w:autoSpaceDN w:val="0"/>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UPS应采用集中控制的逻辑，集中控制单元的控制器应采用冗余架构设计，互为备份，避免单点故障。</w:t>
            </w:r>
            <w:r>
              <w:rPr>
                <w:rFonts w:hint="eastAsia" w:ascii="宋体" w:hAnsi="宋体" w:cs="宋体"/>
                <w:b/>
                <w:bCs/>
                <w:color w:val="auto"/>
                <w:sz w:val="22"/>
                <w:szCs w:val="22"/>
                <w:highlight w:val="none"/>
                <w:lang w:bidi="ar"/>
              </w:rPr>
              <w:t>提供原理说明，并加盖投标人公章。</w:t>
            </w:r>
          </w:p>
        </w:tc>
      </w:tr>
      <w:tr w14:paraId="7B0E1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2" w:hRule="atLeast"/>
          <w:jc w:val="center"/>
        </w:trPr>
        <w:tc>
          <w:tcPr>
            <w:tcW w:w="688" w:type="dxa"/>
            <w:vMerge w:val="continue"/>
            <w:tcBorders>
              <w:left w:val="single" w:color="auto" w:sz="4" w:space="0"/>
              <w:right w:val="single" w:color="auto" w:sz="4" w:space="0"/>
            </w:tcBorders>
            <w:vAlign w:val="center"/>
          </w:tcPr>
          <w:p w14:paraId="6169205C">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3D19F671">
            <w:pPr>
              <w:autoSpaceDE w:val="0"/>
              <w:autoSpaceDN w:val="0"/>
              <w:jc w:val="center"/>
              <w:textAlignment w:val="center"/>
              <w:rPr>
                <w:rFonts w:hint="default"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23</w:t>
            </w:r>
          </w:p>
        </w:tc>
        <w:tc>
          <w:tcPr>
            <w:tcW w:w="508" w:type="dxa"/>
            <w:tcBorders>
              <w:top w:val="single" w:color="auto" w:sz="4" w:space="0"/>
              <w:left w:val="single" w:color="auto" w:sz="4" w:space="0"/>
              <w:bottom w:val="single" w:color="auto" w:sz="4" w:space="0"/>
              <w:right w:val="single" w:color="auto" w:sz="4" w:space="0"/>
            </w:tcBorders>
            <w:vAlign w:val="center"/>
          </w:tcPr>
          <w:p w14:paraId="7FC33F2A">
            <w:pPr>
              <w:autoSpaceDE w:val="0"/>
              <w:autoSpaceDN w:val="0"/>
              <w:ind w:right="120" w:rightChars="57"/>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w:t>
            </w:r>
          </w:p>
        </w:tc>
        <w:tc>
          <w:tcPr>
            <w:tcW w:w="888" w:type="dxa"/>
            <w:tcBorders>
              <w:left w:val="single" w:color="auto" w:sz="4" w:space="0"/>
            </w:tcBorders>
            <w:vAlign w:val="center"/>
          </w:tcPr>
          <w:p w14:paraId="7B6C1F2B">
            <w:pPr>
              <w:autoSpaceDE w:val="0"/>
              <w:autoSpaceDN w:val="0"/>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输出电流不均衡度</w:t>
            </w:r>
          </w:p>
        </w:tc>
        <w:tc>
          <w:tcPr>
            <w:tcW w:w="6411" w:type="dxa"/>
            <w:vAlign w:val="center"/>
          </w:tcPr>
          <w:p w14:paraId="1CF2AB3A">
            <w:pPr>
              <w:autoSpaceDE w:val="0"/>
              <w:autoSpaceDN w:val="0"/>
              <w:textAlignment w:val="center"/>
              <w:rPr>
                <w:rFonts w:ascii="宋体" w:hAnsi="宋体" w:cs="宋体"/>
                <w:color w:val="auto"/>
                <w:sz w:val="22"/>
                <w:szCs w:val="22"/>
                <w:highlight w:val="none"/>
                <w:lang w:bidi="ar"/>
              </w:rPr>
            </w:pPr>
            <w:r>
              <w:rPr>
                <w:rFonts w:ascii="宋体" w:hAnsi="宋体" w:cs="宋体"/>
                <w:color w:val="auto"/>
                <w:sz w:val="22"/>
                <w:szCs w:val="22"/>
                <w:highlight w:val="none"/>
                <w:lang w:bidi="ar"/>
              </w:rPr>
              <w:t>1</w:t>
            </w:r>
            <w:r>
              <w:rPr>
                <w:rFonts w:hint="eastAsia" w:ascii="宋体" w:hAnsi="宋体" w:cs="宋体"/>
                <w:color w:val="auto"/>
                <w:sz w:val="22"/>
                <w:szCs w:val="22"/>
                <w:highlight w:val="none"/>
                <w:lang w:bidi="ar"/>
              </w:rPr>
              <w:t>00%负载：≤0.9%</w:t>
            </w:r>
          </w:p>
          <w:p w14:paraId="413D4CAD">
            <w:pPr>
              <w:autoSpaceDE w:val="0"/>
              <w:autoSpaceDN w:val="0"/>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50%负载：≤0.9%</w:t>
            </w:r>
          </w:p>
          <w:p w14:paraId="44AF9B4D">
            <w:pPr>
              <w:autoSpaceDE w:val="0"/>
              <w:autoSpaceDN w:val="0"/>
              <w:textAlignment w:val="center"/>
              <w:rPr>
                <w:rFonts w:ascii="宋体" w:hAnsi="宋体" w:cs="宋体"/>
                <w:color w:val="auto"/>
                <w:sz w:val="22"/>
                <w:szCs w:val="22"/>
                <w:highlight w:val="none"/>
                <w:lang w:bidi="ar"/>
              </w:rPr>
            </w:pPr>
            <w:r>
              <w:rPr>
                <w:rFonts w:hint="eastAsia" w:ascii="SimSun,Bold" w:hAnsi="Times New Roman" w:eastAsia="SimSun,Bold" w:cs="SimSun,Bold"/>
                <w:b/>
                <w:bCs/>
                <w:color w:val="auto"/>
                <w:kern w:val="0"/>
                <w:sz w:val="22"/>
                <w:szCs w:val="22"/>
                <w:highlight w:val="none"/>
              </w:rPr>
              <w:t>提供国家认可的检测（认证）机构出具的检测报告</w:t>
            </w:r>
            <w:r>
              <w:rPr>
                <w:rFonts w:ascii="SimSun,Bold" w:hAnsi="Times New Roman" w:eastAsia="SimSun,Bold" w:cs="SimSun,Bold"/>
                <w:b/>
                <w:bCs/>
                <w:color w:val="auto"/>
                <w:kern w:val="0"/>
                <w:sz w:val="22"/>
                <w:szCs w:val="22"/>
                <w:highlight w:val="none"/>
              </w:rPr>
              <w:t>,</w:t>
            </w:r>
            <w:r>
              <w:rPr>
                <w:rFonts w:hint="eastAsia" w:ascii="宋体" w:hAnsi="宋体" w:cs="宋体"/>
                <w:b/>
                <w:bCs/>
                <w:color w:val="auto"/>
                <w:sz w:val="22"/>
                <w:szCs w:val="22"/>
                <w:highlight w:val="none"/>
                <w:lang w:bidi="ar"/>
              </w:rPr>
              <w:t xml:space="preserve"> 报告需具备</w:t>
            </w:r>
            <w:r>
              <w:rPr>
                <w:rFonts w:ascii="宋体" w:hAnsi="宋体" w:cs="宋体"/>
                <w:b/>
                <w:bCs/>
                <w:color w:val="auto"/>
                <w:sz w:val="22"/>
                <w:szCs w:val="22"/>
                <w:highlight w:val="none"/>
                <w:lang w:bidi="ar"/>
              </w:rPr>
              <w:t>CMA</w:t>
            </w:r>
            <w:r>
              <w:rPr>
                <w:rFonts w:hint="eastAsia" w:ascii="宋体" w:hAnsi="宋体" w:cs="宋体"/>
                <w:b/>
                <w:bCs/>
                <w:color w:val="auto"/>
                <w:sz w:val="22"/>
                <w:szCs w:val="22"/>
                <w:highlight w:val="none"/>
                <w:lang w:bidi="ar"/>
              </w:rPr>
              <w:t>标志，</w:t>
            </w:r>
            <w:r>
              <w:rPr>
                <w:rFonts w:hint="eastAsia" w:ascii="SimSun,Bold" w:hAnsi="Times New Roman" w:eastAsia="SimSun,Bold" w:cs="SimSun,Bold"/>
                <w:b/>
                <w:bCs/>
                <w:color w:val="auto"/>
                <w:kern w:val="0"/>
                <w:sz w:val="22"/>
                <w:szCs w:val="22"/>
                <w:highlight w:val="none"/>
              </w:rPr>
              <w:t>并加盖投标人公章</w:t>
            </w:r>
            <w:r>
              <w:rPr>
                <w:rFonts w:hint="eastAsia" w:ascii="宋体" w:hAnsi="宋体" w:cs="宋体"/>
                <w:b/>
                <w:bCs/>
                <w:color w:val="auto"/>
                <w:spacing w:val="-2"/>
                <w:sz w:val="24"/>
                <w:highlight w:val="none"/>
              </w:rPr>
              <w:t>。</w:t>
            </w:r>
          </w:p>
        </w:tc>
      </w:tr>
      <w:tr w14:paraId="78538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7" w:hRule="atLeast"/>
          <w:jc w:val="center"/>
        </w:trPr>
        <w:tc>
          <w:tcPr>
            <w:tcW w:w="688" w:type="dxa"/>
            <w:vMerge w:val="continue"/>
            <w:tcBorders>
              <w:left w:val="single" w:color="auto" w:sz="4" w:space="0"/>
              <w:right w:val="single" w:color="auto" w:sz="4" w:space="0"/>
            </w:tcBorders>
            <w:vAlign w:val="center"/>
          </w:tcPr>
          <w:p w14:paraId="538E2648">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05C1BE3C">
            <w:pPr>
              <w:autoSpaceDE w:val="0"/>
              <w:autoSpaceDN w:val="0"/>
              <w:jc w:val="center"/>
              <w:rPr>
                <w:rFonts w:hint="default"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24</w:t>
            </w:r>
          </w:p>
        </w:tc>
        <w:tc>
          <w:tcPr>
            <w:tcW w:w="508" w:type="dxa"/>
            <w:tcBorders>
              <w:top w:val="single" w:color="auto" w:sz="4" w:space="0"/>
              <w:left w:val="single" w:color="auto" w:sz="4" w:space="0"/>
              <w:bottom w:val="single" w:color="auto" w:sz="4" w:space="0"/>
              <w:right w:val="single" w:color="auto" w:sz="4" w:space="0"/>
            </w:tcBorders>
            <w:vAlign w:val="center"/>
          </w:tcPr>
          <w:p w14:paraId="7DA3CC06">
            <w:pPr>
              <w:autoSpaceDE w:val="0"/>
              <w:autoSpaceDN w:val="0"/>
              <w:ind w:right="120" w:rightChars="57"/>
              <w:jc w:val="center"/>
              <w:rPr>
                <w:rFonts w:ascii="宋体" w:hAnsi="宋体" w:cs="宋体"/>
                <w:color w:val="auto"/>
                <w:sz w:val="22"/>
                <w:szCs w:val="22"/>
                <w:highlight w:val="none"/>
                <w:lang w:bidi="ar"/>
              </w:rPr>
            </w:pPr>
          </w:p>
        </w:tc>
        <w:tc>
          <w:tcPr>
            <w:tcW w:w="888" w:type="dxa"/>
            <w:tcBorders>
              <w:left w:val="single" w:color="auto" w:sz="4" w:space="0"/>
            </w:tcBorders>
            <w:vAlign w:val="center"/>
          </w:tcPr>
          <w:p w14:paraId="664A20AC">
            <w:pPr>
              <w:autoSpaceDE w:val="0"/>
              <w:autoSpaceDN w:val="0"/>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电池无中线设计</w:t>
            </w:r>
          </w:p>
        </w:tc>
        <w:tc>
          <w:tcPr>
            <w:tcW w:w="6411" w:type="dxa"/>
            <w:vAlign w:val="center"/>
          </w:tcPr>
          <w:p w14:paraId="7D73BF66">
            <w:pPr>
              <w:autoSpaceDE w:val="0"/>
              <w:autoSpaceDN w:val="0"/>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为减少电池线缆投资，电池需采用无中线设计，如不满足因此导致的费用增加将由</w:t>
            </w:r>
            <w:r>
              <w:rPr>
                <w:rFonts w:hint="eastAsia" w:ascii="宋体" w:hAnsi="宋体" w:cs="宋体"/>
                <w:color w:val="auto"/>
                <w:sz w:val="22"/>
                <w:szCs w:val="22"/>
                <w:highlight w:val="none"/>
                <w:lang w:eastAsia="zh-CN" w:bidi="ar"/>
              </w:rPr>
              <w:t>投标人</w:t>
            </w:r>
            <w:r>
              <w:rPr>
                <w:rFonts w:hint="eastAsia" w:ascii="宋体" w:hAnsi="宋体" w:cs="宋体"/>
                <w:color w:val="auto"/>
                <w:sz w:val="22"/>
                <w:szCs w:val="22"/>
                <w:highlight w:val="none"/>
                <w:lang w:bidi="ar"/>
              </w:rPr>
              <w:t>承担；</w:t>
            </w:r>
          </w:p>
        </w:tc>
      </w:tr>
      <w:tr w14:paraId="7CC49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4" w:hRule="atLeast"/>
          <w:jc w:val="center"/>
        </w:trPr>
        <w:tc>
          <w:tcPr>
            <w:tcW w:w="688" w:type="dxa"/>
            <w:vMerge w:val="continue"/>
            <w:tcBorders>
              <w:left w:val="single" w:color="auto" w:sz="4" w:space="0"/>
              <w:right w:val="single" w:color="auto" w:sz="4" w:space="0"/>
            </w:tcBorders>
            <w:vAlign w:val="center"/>
          </w:tcPr>
          <w:p w14:paraId="43ACF618">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497868FD">
            <w:pPr>
              <w:autoSpaceDE w:val="0"/>
              <w:autoSpaceDN w:val="0"/>
              <w:jc w:val="center"/>
              <w:textAlignment w:val="center"/>
              <w:rPr>
                <w:rFonts w:hint="default"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25</w:t>
            </w:r>
          </w:p>
        </w:tc>
        <w:tc>
          <w:tcPr>
            <w:tcW w:w="508" w:type="dxa"/>
            <w:tcBorders>
              <w:top w:val="single" w:color="auto" w:sz="4" w:space="0"/>
              <w:left w:val="single" w:color="auto" w:sz="4" w:space="0"/>
              <w:bottom w:val="single" w:color="auto" w:sz="4" w:space="0"/>
              <w:right w:val="single" w:color="auto" w:sz="4" w:space="0"/>
            </w:tcBorders>
            <w:vAlign w:val="center"/>
          </w:tcPr>
          <w:p w14:paraId="56A5ADF5">
            <w:pPr>
              <w:autoSpaceDE w:val="0"/>
              <w:autoSpaceDN w:val="0"/>
              <w:ind w:right="120" w:rightChars="57"/>
              <w:jc w:val="center"/>
              <w:textAlignment w:val="center"/>
              <w:rPr>
                <w:rFonts w:ascii="宋体" w:hAnsi="宋体" w:cs="宋体"/>
                <w:color w:val="auto"/>
                <w:sz w:val="22"/>
                <w:szCs w:val="22"/>
                <w:highlight w:val="none"/>
                <w:lang w:bidi="ar"/>
              </w:rPr>
            </w:pPr>
          </w:p>
        </w:tc>
        <w:tc>
          <w:tcPr>
            <w:tcW w:w="888" w:type="dxa"/>
            <w:tcBorders>
              <w:left w:val="single" w:color="auto" w:sz="4" w:space="0"/>
            </w:tcBorders>
            <w:vAlign w:val="center"/>
          </w:tcPr>
          <w:p w14:paraId="0A366428">
            <w:pPr>
              <w:autoSpaceDE w:val="0"/>
              <w:autoSpaceDN w:val="0"/>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核心器件</w:t>
            </w:r>
          </w:p>
        </w:tc>
        <w:tc>
          <w:tcPr>
            <w:tcW w:w="6411" w:type="dxa"/>
            <w:vAlign w:val="center"/>
          </w:tcPr>
          <w:p w14:paraId="77E25F80">
            <w:pPr>
              <w:autoSpaceDE w:val="0"/>
              <w:autoSpaceDN w:val="0"/>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保证UPS生命周期的安全可靠使用，以及发生故障时避免故障半径扩大以防影响到其他周边设备，UPS功率模块内的输出滤波电容采用干式电容器，不允许使用油浸式电容；</w:t>
            </w:r>
          </w:p>
        </w:tc>
      </w:tr>
      <w:tr w14:paraId="02DBE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jc w:val="center"/>
        </w:trPr>
        <w:tc>
          <w:tcPr>
            <w:tcW w:w="688" w:type="dxa"/>
            <w:vMerge w:val="continue"/>
            <w:tcBorders>
              <w:left w:val="single" w:color="auto" w:sz="4" w:space="0"/>
              <w:right w:val="single" w:color="auto" w:sz="4" w:space="0"/>
            </w:tcBorders>
            <w:vAlign w:val="center"/>
          </w:tcPr>
          <w:p w14:paraId="530242D8">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3B808098">
            <w:pPr>
              <w:autoSpaceDE w:val="0"/>
              <w:autoSpaceDN w:val="0"/>
              <w:jc w:val="center"/>
              <w:textAlignment w:val="center"/>
              <w:rPr>
                <w:rFonts w:hint="default"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26</w:t>
            </w:r>
          </w:p>
        </w:tc>
        <w:tc>
          <w:tcPr>
            <w:tcW w:w="508" w:type="dxa"/>
            <w:tcBorders>
              <w:top w:val="single" w:color="auto" w:sz="4" w:space="0"/>
              <w:left w:val="single" w:color="auto" w:sz="4" w:space="0"/>
              <w:bottom w:val="single" w:color="auto" w:sz="4" w:space="0"/>
              <w:right w:val="single" w:color="auto" w:sz="4" w:space="0"/>
            </w:tcBorders>
            <w:vAlign w:val="center"/>
          </w:tcPr>
          <w:p w14:paraId="30C0C49C">
            <w:pPr>
              <w:autoSpaceDE w:val="0"/>
              <w:autoSpaceDN w:val="0"/>
              <w:ind w:right="120" w:rightChars="57"/>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w:t>
            </w:r>
          </w:p>
        </w:tc>
        <w:tc>
          <w:tcPr>
            <w:tcW w:w="888" w:type="dxa"/>
            <w:tcBorders>
              <w:left w:val="single" w:color="auto" w:sz="4" w:space="0"/>
            </w:tcBorders>
            <w:vAlign w:val="center"/>
          </w:tcPr>
          <w:p w14:paraId="6AC7128A">
            <w:pPr>
              <w:autoSpaceDE w:val="0"/>
              <w:autoSpaceDN w:val="0"/>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母线电容在线检测</w:t>
            </w:r>
          </w:p>
        </w:tc>
        <w:tc>
          <w:tcPr>
            <w:tcW w:w="6411" w:type="dxa"/>
            <w:vAlign w:val="center"/>
          </w:tcPr>
          <w:p w14:paraId="30525222">
            <w:pPr>
              <w:widowControl w:val="0"/>
              <w:autoSpaceDE w:val="0"/>
              <w:autoSpaceDN w:val="0"/>
              <w:jc w:val="left"/>
              <w:rPr>
                <w:rFonts w:ascii="宋体" w:hAnsi="宋体" w:eastAsia="宋体" w:cs="宋体"/>
                <w:color w:val="auto"/>
                <w:kern w:val="2"/>
                <w:sz w:val="22"/>
                <w:szCs w:val="22"/>
                <w:highlight w:val="none"/>
                <w:lang w:val="en-US" w:eastAsia="zh-CN" w:bidi="ar"/>
              </w:rPr>
            </w:pPr>
            <w:r>
              <w:rPr>
                <w:rFonts w:hint="eastAsia" w:ascii="宋体" w:hAnsi="宋体" w:eastAsia="宋体" w:cs="宋体"/>
                <w:color w:val="auto"/>
                <w:kern w:val="2"/>
                <w:sz w:val="22"/>
                <w:szCs w:val="22"/>
                <w:highlight w:val="none"/>
                <w:lang w:val="en-US" w:eastAsia="zh-CN" w:bidi="ar"/>
              </w:rPr>
              <w:t>UPS产品应具备母线电容状态监控功能，</w:t>
            </w:r>
            <w:r>
              <w:rPr>
                <w:rFonts w:hint="eastAsia" w:ascii="Times New Roman" w:hAnsi="Times New Roman" w:eastAsia="宋体" w:cs="Times New Roman"/>
                <w:b/>
                <w:bCs/>
                <w:color w:val="auto"/>
                <w:kern w:val="2"/>
                <w:sz w:val="21"/>
                <w:szCs w:val="24"/>
                <w:highlight w:val="none"/>
                <w:lang w:val="en-US" w:eastAsia="zh-CN" w:bidi="ar-SA"/>
              </w:rPr>
              <w:t>提供所投产品的彩页、用户手册或其他证明材料，并加盖投标人公章。</w:t>
            </w:r>
          </w:p>
        </w:tc>
      </w:tr>
      <w:tr w14:paraId="2717D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jc w:val="center"/>
        </w:trPr>
        <w:tc>
          <w:tcPr>
            <w:tcW w:w="688" w:type="dxa"/>
            <w:vMerge w:val="continue"/>
            <w:tcBorders>
              <w:left w:val="single" w:color="auto" w:sz="4" w:space="0"/>
              <w:right w:val="single" w:color="auto" w:sz="4" w:space="0"/>
            </w:tcBorders>
            <w:vAlign w:val="center"/>
          </w:tcPr>
          <w:p w14:paraId="15BCE6C4">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28DBB98E">
            <w:pPr>
              <w:autoSpaceDE w:val="0"/>
              <w:autoSpaceDN w:val="0"/>
              <w:jc w:val="center"/>
              <w:rPr>
                <w:rFonts w:hint="default"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27</w:t>
            </w:r>
          </w:p>
        </w:tc>
        <w:tc>
          <w:tcPr>
            <w:tcW w:w="508" w:type="dxa"/>
            <w:tcBorders>
              <w:top w:val="single" w:color="auto" w:sz="4" w:space="0"/>
              <w:left w:val="single" w:color="auto" w:sz="4" w:space="0"/>
              <w:bottom w:val="single" w:color="auto" w:sz="4" w:space="0"/>
              <w:right w:val="single" w:color="auto" w:sz="4" w:space="0"/>
            </w:tcBorders>
            <w:vAlign w:val="center"/>
          </w:tcPr>
          <w:p w14:paraId="0B2D8A8B">
            <w:pPr>
              <w:autoSpaceDE w:val="0"/>
              <w:autoSpaceDN w:val="0"/>
              <w:ind w:right="120" w:rightChars="57"/>
              <w:jc w:val="center"/>
              <w:rPr>
                <w:rFonts w:ascii="宋体" w:hAnsi="宋体" w:cs="宋体"/>
                <w:color w:val="auto"/>
                <w:sz w:val="22"/>
                <w:szCs w:val="22"/>
                <w:highlight w:val="none"/>
                <w:lang w:bidi="ar"/>
              </w:rPr>
            </w:pPr>
          </w:p>
        </w:tc>
        <w:tc>
          <w:tcPr>
            <w:tcW w:w="888" w:type="dxa"/>
            <w:tcBorders>
              <w:left w:val="single" w:color="auto" w:sz="4" w:space="0"/>
            </w:tcBorders>
            <w:vAlign w:val="center"/>
          </w:tcPr>
          <w:p w14:paraId="3B10C8F8">
            <w:pPr>
              <w:autoSpaceDE w:val="0"/>
              <w:autoSpaceDN w:val="0"/>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通讯板</w:t>
            </w:r>
          </w:p>
        </w:tc>
        <w:tc>
          <w:tcPr>
            <w:tcW w:w="6411" w:type="dxa"/>
            <w:vAlign w:val="center"/>
          </w:tcPr>
          <w:p w14:paraId="361CE0F8">
            <w:pPr>
              <w:autoSpaceDE w:val="0"/>
              <w:autoSpaceDN w:val="0"/>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UPS 主机标配 RS485 通讯口，支持 Modbus或 SNMP通讯协议。</w:t>
            </w:r>
          </w:p>
        </w:tc>
      </w:tr>
      <w:tr w14:paraId="17039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28" w:hRule="atLeast"/>
          <w:jc w:val="center"/>
        </w:trPr>
        <w:tc>
          <w:tcPr>
            <w:tcW w:w="688" w:type="dxa"/>
            <w:vMerge w:val="continue"/>
            <w:tcBorders>
              <w:left w:val="single" w:color="auto" w:sz="4" w:space="0"/>
              <w:right w:val="single" w:color="auto" w:sz="4" w:space="0"/>
            </w:tcBorders>
            <w:vAlign w:val="center"/>
          </w:tcPr>
          <w:p w14:paraId="7297B9CA">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1E1A37C0">
            <w:pPr>
              <w:autoSpaceDE w:val="0"/>
              <w:autoSpaceDN w:val="0"/>
              <w:jc w:val="center"/>
              <w:textAlignment w:val="center"/>
              <w:rPr>
                <w:rFonts w:hint="default"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28</w:t>
            </w:r>
          </w:p>
        </w:tc>
        <w:tc>
          <w:tcPr>
            <w:tcW w:w="508" w:type="dxa"/>
            <w:tcBorders>
              <w:top w:val="single" w:color="auto" w:sz="4" w:space="0"/>
              <w:left w:val="single" w:color="auto" w:sz="4" w:space="0"/>
              <w:bottom w:val="single" w:color="auto" w:sz="4" w:space="0"/>
              <w:right w:val="single" w:color="auto" w:sz="4" w:space="0"/>
            </w:tcBorders>
            <w:vAlign w:val="center"/>
          </w:tcPr>
          <w:p w14:paraId="1147EC1F">
            <w:pPr>
              <w:autoSpaceDE w:val="0"/>
              <w:autoSpaceDN w:val="0"/>
              <w:ind w:right="120" w:rightChars="57"/>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w:t>
            </w:r>
          </w:p>
        </w:tc>
        <w:tc>
          <w:tcPr>
            <w:tcW w:w="888" w:type="dxa"/>
            <w:tcBorders>
              <w:left w:val="single" w:color="auto" w:sz="4" w:space="0"/>
            </w:tcBorders>
            <w:vAlign w:val="center"/>
          </w:tcPr>
          <w:p w14:paraId="6BB0C23F">
            <w:pPr>
              <w:autoSpaceDE w:val="0"/>
              <w:autoSpaceDN w:val="0"/>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电池智能管理</w:t>
            </w:r>
          </w:p>
        </w:tc>
        <w:tc>
          <w:tcPr>
            <w:tcW w:w="6411" w:type="dxa"/>
            <w:vAlign w:val="center"/>
          </w:tcPr>
          <w:p w14:paraId="7F993CC4">
            <w:pPr>
              <w:autoSpaceDE w:val="0"/>
              <w:autoSpaceDN w:val="0"/>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应具备对蓄电池均充充电及浮充充电状态进行手动或自动转换功能。在对蓄电池进行充电时，应具有限流充电功能，并且限流值应能根据需要进行调整。应能根据蓄电池环境温度，对设备的充电电压进行温度补偿或保护。在蓄电池放电及均充时，应具备充放电记录功能，并具有对蓄电池容量进行估算的功能。</w:t>
            </w:r>
            <w:r>
              <w:rPr>
                <w:rFonts w:hint="eastAsia" w:ascii="宋体" w:hAnsi="宋体" w:cs="宋体"/>
                <w:color w:val="auto"/>
                <w:sz w:val="22"/>
                <w:szCs w:val="22"/>
                <w:highlight w:val="none"/>
                <w:lang w:bidi="ar"/>
              </w:rPr>
              <w:br w:type="textWrapping"/>
            </w:r>
            <w:r>
              <w:rPr>
                <w:rFonts w:hint="eastAsia" w:ascii="SimSun,Bold" w:hAnsi="Times New Roman" w:eastAsia="SimSun,Bold" w:cs="SimSun,Bold"/>
                <w:b/>
                <w:bCs/>
                <w:color w:val="auto"/>
                <w:kern w:val="0"/>
                <w:sz w:val="22"/>
                <w:szCs w:val="22"/>
                <w:highlight w:val="none"/>
              </w:rPr>
              <w:t>提供国家认可的检测（认证）机构出具的检测报告</w:t>
            </w:r>
            <w:r>
              <w:rPr>
                <w:rFonts w:ascii="SimSun,Bold" w:hAnsi="Times New Roman" w:eastAsia="SimSun,Bold" w:cs="SimSun,Bold"/>
                <w:b/>
                <w:bCs/>
                <w:color w:val="auto"/>
                <w:kern w:val="0"/>
                <w:sz w:val="22"/>
                <w:szCs w:val="22"/>
                <w:highlight w:val="none"/>
              </w:rPr>
              <w:t>,</w:t>
            </w:r>
            <w:r>
              <w:rPr>
                <w:rFonts w:hint="eastAsia" w:ascii="宋体" w:hAnsi="宋体" w:cs="宋体"/>
                <w:b/>
                <w:bCs/>
                <w:color w:val="auto"/>
                <w:sz w:val="22"/>
                <w:szCs w:val="22"/>
                <w:highlight w:val="none"/>
                <w:lang w:bidi="ar"/>
              </w:rPr>
              <w:t xml:space="preserve"> 报告需具备</w:t>
            </w:r>
            <w:r>
              <w:rPr>
                <w:rFonts w:ascii="宋体" w:hAnsi="宋体" w:cs="宋体"/>
                <w:b/>
                <w:bCs/>
                <w:color w:val="auto"/>
                <w:sz w:val="22"/>
                <w:szCs w:val="22"/>
                <w:highlight w:val="none"/>
                <w:lang w:bidi="ar"/>
              </w:rPr>
              <w:t>CMA</w:t>
            </w:r>
            <w:r>
              <w:rPr>
                <w:rFonts w:hint="eastAsia" w:ascii="宋体" w:hAnsi="宋体" w:cs="宋体"/>
                <w:b/>
                <w:bCs/>
                <w:color w:val="auto"/>
                <w:sz w:val="22"/>
                <w:szCs w:val="22"/>
                <w:highlight w:val="none"/>
                <w:lang w:bidi="ar"/>
              </w:rPr>
              <w:t>标志，</w:t>
            </w:r>
            <w:r>
              <w:rPr>
                <w:rFonts w:hint="eastAsia" w:ascii="SimSun,Bold" w:hAnsi="Times New Roman" w:eastAsia="SimSun,Bold" w:cs="SimSun,Bold"/>
                <w:b/>
                <w:bCs/>
                <w:color w:val="auto"/>
                <w:kern w:val="0"/>
                <w:sz w:val="22"/>
                <w:szCs w:val="22"/>
                <w:highlight w:val="none"/>
              </w:rPr>
              <w:t>并加盖投标人公章</w:t>
            </w:r>
            <w:r>
              <w:rPr>
                <w:rFonts w:hint="eastAsia" w:ascii="宋体" w:hAnsi="宋体" w:cs="宋体"/>
                <w:b/>
                <w:bCs/>
                <w:color w:val="auto"/>
                <w:spacing w:val="-2"/>
                <w:sz w:val="24"/>
                <w:highlight w:val="none"/>
              </w:rPr>
              <w:t>。</w:t>
            </w:r>
          </w:p>
        </w:tc>
      </w:tr>
      <w:tr w14:paraId="080378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0" w:hRule="atLeast"/>
          <w:jc w:val="center"/>
        </w:trPr>
        <w:tc>
          <w:tcPr>
            <w:tcW w:w="688" w:type="dxa"/>
            <w:vMerge w:val="continue"/>
            <w:tcBorders>
              <w:left w:val="single" w:color="auto" w:sz="4" w:space="0"/>
              <w:right w:val="single" w:color="auto" w:sz="4" w:space="0"/>
            </w:tcBorders>
            <w:vAlign w:val="center"/>
          </w:tcPr>
          <w:p w14:paraId="755D0268">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221FA5A1">
            <w:pPr>
              <w:autoSpaceDE w:val="0"/>
              <w:autoSpaceDN w:val="0"/>
              <w:jc w:val="center"/>
              <w:textAlignment w:val="center"/>
              <w:rPr>
                <w:rFonts w:hint="default"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29</w:t>
            </w:r>
          </w:p>
        </w:tc>
        <w:tc>
          <w:tcPr>
            <w:tcW w:w="508" w:type="dxa"/>
            <w:tcBorders>
              <w:top w:val="single" w:color="auto" w:sz="4" w:space="0"/>
              <w:left w:val="single" w:color="auto" w:sz="4" w:space="0"/>
              <w:bottom w:val="single" w:color="auto" w:sz="4" w:space="0"/>
              <w:right w:val="single" w:color="auto" w:sz="4" w:space="0"/>
            </w:tcBorders>
            <w:vAlign w:val="center"/>
          </w:tcPr>
          <w:p w14:paraId="62170794">
            <w:pPr>
              <w:autoSpaceDE w:val="0"/>
              <w:autoSpaceDN w:val="0"/>
              <w:ind w:right="120" w:rightChars="57"/>
              <w:jc w:val="center"/>
              <w:textAlignment w:val="center"/>
              <w:rPr>
                <w:rFonts w:ascii="宋体" w:hAnsi="宋体" w:cs="宋体"/>
                <w:color w:val="auto"/>
                <w:sz w:val="22"/>
                <w:szCs w:val="22"/>
                <w:highlight w:val="none"/>
                <w:lang w:bidi="ar"/>
              </w:rPr>
            </w:pPr>
          </w:p>
        </w:tc>
        <w:tc>
          <w:tcPr>
            <w:tcW w:w="888" w:type="dxa"/>
            <w:tcBorders>
              <w:left w:val="single" w:color="auto" w:sz="4" w:space="0"/>
            </w:tcBorders>
            <w:vAlign w:val="center"/>
          </w:tcPr>
          <w:p w14:paraId="2AA55632">
            <w:pPr>
              <w:autoSpaceDE w:val="0"/>
              <w:autoSpaceDN w:val="0"/>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安全- 接触电流和保护导体电流</w:t>
            </w:r>
          </w:p>
        </w:tc>
        <w:tc>
          <w:tcPr>
            <w:tcW w:w="6411" w:type="dxa"/>
            <w:vAlign w:val="center"/>
          </w:tcPr>
          <w:p w14:paraId="0243A1EB">
            <w:pPr>
              <w:autoSpaceDE w:val="0"/>
              <w:autoSpaceDN w:val="0"/>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UPS系统的保护地(PE)对输入的中性线(N)的接触电流应不大于3.5mA。当接触电流大于3.5mA时，保护导体电流的有效值不应超过每相输入电流的5%，如果负载不平衡，则应采用三个相电流的最大值来计算。在保护导体大电流通路上，保护导体的截面积不应小于1.0mm</w:t>
            </w:r>
            <w:r>
              <w:rPr>
                <w:rFonts w:hint="eastAsia" w:ascii="宋体" w:hAnsi="宋体" w:cs="宋体"/>
                <w:color w:val="auto"/>
                <w:sz w:val="22"/>
                <w:szCs w:val="22"/>
                <w:highlight w:val="none"/>
                <w:vertAlign w:val="superscript"/>
                <w:lang w:bidi="ar"/>
              </w:rPr>
              <w:t>2</w:t>
            </w:r>
            <w:r>
              <w:rPr>
                <w:rFonts w:hint="eastAsia" w:ascii="宋体" w:hAnsi="宋体" w:cs="宋体"/>
                <w:color w:val="auto"/>
                <w:sz w:val="22"/>
                <w:szCs w:val="22"/>
                <w:highlight w:val="none"/>
                <w:lang w:bidi="ar"/>
              </w:rPr>
              <w:t>。在靠近设备的一次电源连接端处，应设置标有警告语或类似词语的标牌。</w:t>
            </w:r>
          </w:p>
        </w:tc>
      </w:tr>
      <w:tr w14:paraId="18B41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8" w:hRule="atLeast"/>
          <w:jc w:val="center"/>
        </w:trPr>
        <w:tc>
          <w:tcPr>
            <w:tcW w:w="688" w:type="dxa"/>
            <w:vMerge w:val="continue"/>
            <w:tcBorders>
              <w:left w:val="single" w:color="auto" w:sz="4" w:space="0"/>
              <w:right w:val="single" w:color="auto" w:sz="4" w:space="0"/>
            </w:tcBorders>
            <w:vAlign w:val="center"/>
          </w:tcPr>
          <w:p w14:paraId="447622A9">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3927D4FC">
            <w:pPr>
              <w:autoSpaceDE w:val="0"/>
              <w:autoSpaceDN w:val="0"/>
              <w:jc w:val="center"/>
              <w:textAlignment w:val="center"/>
              <w:rPr>
                <w:rFonts w:hint="default"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30</w:t>
            </w:r>
          </w:p>
        </w:tc>
        <w:tc>
          <w:tcPr>
            <w:tcW w:w="508" w:type="dxa"/>
            <w:tcBorders>
              <w:top w:val="single" w:color="auto" w:sz="4" w:space="0"/>
              <w:left w:val="single" w:color="auto" w:sz="4" w:space="0"/>
              <w:bottom w:val="single" w:color="auto" w:sz="4" w:space="0"/>
              <w:right w:val="single" w:color="auto" w:sz="4" w:space="0"/>
            </w:tcBorders>
            <w:vAlign w:val="center"/>
          </w:tcPr>
          <w:p w14:paraId="35929852">
            <w:pPr>
              <w:autoSpaceDE w:val="0"/>
              <w:autoSpaceDN w:val="0"/>
              <w:ind w:right="120" w:rightChars="57"/>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w:t>
            </w:r>
          </w:p>
        </w:tc>
        <w:tc>
          <w:tcPr>
            <w:tcW w:w="888" w:type="dxa"/>
            <w:tcBorders>
              <w:left w:val="single" w:color="auto" w:sz="4" w:space="0"/>
            </w:tcBorders>
            <w:vAlign w:val="center"/>
          </w:tcPr>
          <w:p w14:paraId="0D485A9D">
            <w:pPr>
              <w:autoSpaceDE w:val="0"/>
              <w:autoSpaceDN w:val="0"/>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安全-绝缘电阻</w:t>
            </w:r>
          </w:p>
        </w:tc>
        <w:tc>
          <w:tcPr>
            <w:tcW w:w="6411" w:type="dxa"/>
            <w:vAlign w:val="center"/>
          </w:tcPr>
          <w:p w14:paraId="6331CA28">
            <w:pPr>
              <w:autoSpaceDE w:val="0"/>
              <w:autoSpaceDN w:val="0"/>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试验电压为直流500V时，输入端、输出端、电池正负接线端对外壳，绝缘电阻应大于2M</w:t>
            </w:r>
            <w:r>
              <w:rPr>
                <w:rFonts w:ascii="Calibri" w:hAnsi="Calibri" w:cs="Calibri"/>
                <w:color w:val="auto"/>
                <w:sz w:val="22"/>
                <w:szCs w:val="22"/>
                <w:highlight w:val="none"/>
                <w:lang w:bidi="ar"/>
              </w:rPr>
              <w:t>Ω</w:t>
            </w:r>
            <w:r>
              <w:rPr>
                <w:rFonts w:hint="eastAsia" w:ascii="宋体" w:hAnsi="宋体" w:cs="宋体"/>
                <w:color w:val="auto"/>
                <w:sz w:val="22"/>
                <w:szCs w:val="22"/>
                <w:highlight w:val="none"/>
                <w:lang w:bidi="ar"/>
              </w:rPr>
              <w:t>。</w:t>
            </w:r>
            <w:r>
              <w:rPr>
                <w:rFonts w:hint="eastAsia" w:ascii="宋体" w:hAnsi="宋体" w:cs="宋体"/>
                <w:color w:val="auto"/>
                <w:sz w:val="22"/>
                <w:szCs w:val="22"/>
                <w:highlight w:val="none"/>
                <w:lang w:bidi="ar"/>
              </w:rPr>
              <w:br w:type="textWrapping"/>
            </w:r>
            <w:r>
              <w:rPr>
                <w:rFonts w:hint="eastAsia" w:ascii="SimSun,Bold" w:hAnsi="Times New Roman" w:eastAsia="SimSun,Bold" w:cs="SimSun,Bold"/>
                <w:b/>
                <w:bCs/>
                <w:color w:val="auto"/>
                <w:kern w:val="0"/>
                <w:sz w:val="22"/>
                <w:szCs w:val="22"/>
                <w:highlight w:val="none"/>
              </w:rPr>
              <w:t>提供国家认可的检测（认证）机构出具的检测报告</w:t>
            </w:r>
            <w:r>
              <w:rPr>
                <w:rFonts w:ascii="SimSun,Bold" w:hAnsi="Times New Roman" w:eastAsia="SimSun,Bold" w:cs="SimSun,Bold"/>
                <w:b/>
                <w:bCs/>
                <w:color w:val="auto"/>
                <w:kern w:val="0"/>
                <w:sz w:val="22"/>
                <w:szCs w:val="22"/>
                <w:highlight w:val="none"/>
              </w:rPr>
              <w:t>,</w:t>
            </w:r>
            <w:r>
              <w:rPr>
                <w:rFonts w:hint="eastAsia" w:ascii="宋体" w:hAnsi="宋体" w:cs="宋体"/>
                <w:b/>
                <w:bCs/>
                <w:color w:val="auto"/>
                <w:sz w:val="22"/>
                <w:szCs w:val="22"/>
                <w:highlight w:val="none"/>
                <w:lang w:bidi="ar"/>
              </w:rPr>
              <w:t xml:space="preserve"> 报告需具备</w:t>
            </w:r>
            <w:r>
              <w:rPr>
                <w:rFonts w:ascii="宋体" w:hAnsi="宋体" w:cs="宋体"/>
                <w:b/>
                <w:bCs/>
                <w:color w:val="auto"/>
                <w:sz w:val="22"/>
                <w:szCs w:val="22"/>
                <w:highlight w:val="none"/>
                <w:lang w:bidi="ar"/>
              </w:rPr>
              <w:t>CMA</w:t>
            </w:r>
            <w:r>
              <w:rPr>
                <w:rFonts w:hint="eastAsia" w:ascii="宋体" w:hAnsi="宋体" w:cs="宋体"/>
                <w:b/>
                <w:bCs/>
                <w:color w:val="auto"/>
                <w:sz w:val="22"/>
                <w:szCs w:val="22"/>
                <w:highlight w:val="none"/>
                <w:lang w:bidi="ar"/>
              </w:rPr>
              <w:t>标志，</w:t>
            </w:r>
            <w:r>
              <w:rPr>
                <w:rFonts w:hint="eastAsia" w:ascii="SimSun,Bold" w:hAnsi="Times New Roman" w:eastAsia="SimSun,Bold" w:cs="SimSun,Bold"/>
                <w:b/>
                <w:bCs/>
                <w:color w:val="auto"/>
                <w:kern w:val="0"/>
                <w:sz w:val="22"/>
                <w:szCs w:val="22"/>
                <w:highlight w:val="none"/>
              </w:rPr>
              <w:t>并加盖投标人公章</w:t>
            </w:r>
            <w:r>
              <w:rPr>
                <w:rFonts w:hint="eastAsia" w:ascii="宋体" w:hAnsi="宋体" w:cs="宋体"/>
                <w:b/>
                <w:bCs/>
                <w:color w:val="auto"/>
                <w:spacing w:val="-2"/>
                <w:sz w:val="24"/>
                <w:highlight w:val="none"/>
              </w:rPr>
              <w:t>。</w:t>
            </w:r>
          </w:p>
        </w:tc>
      </w:tr>
      <w:tr w14:paraId="23B21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1" w:hRule="atLeast"/>
          <w:jc w:val="center"/>
        </w:trPr>
        <w:tc>
          <w:tcPr>
            <w:tcW w:w="688" w:type="dxa"/>
            <w:vMerge w:val="continue"/>
            <w:tcBorders>
              <w:left w:val="single" w:color="auto" w:sz="4" w:space="0"/>
              <w:right w:val="single" w:color="auto" w:sz="4" w:space="0"/>
            </w:tcBorders>
            <w:vAlign w:val="center"/>
          </w:tcPr>
          <w:p w14:paraId="67BD2CD1">
            <w:pPr>
              <w:autoSpaceDE w:val="0"/>
              <w:autoSpaceDN w:val="0"/>
              <w:spacing w:before="69" w:line="196" w:lineRule="auto"/>
              <w:jc w:val="center"/>
              <w:rPr>
                <w:rFonts w:ascii="宋体" w:hAnsi="宋体" w:cs="Times New Roman"/>
                <w:color w:val="auto"/>
                <w:spacing w:val="-5"/>
                <w:sz w:val="28"/>
                <w:szCs w:val="28"/>
                <w:highlight w:val="none"/>
              </w:rPr>
            </w:pPr>
          </w:p>
        </w:tc>
        <w:tc>
          <w:tcPr>
            <w:tcW w:w="508" w:type="dxa"/>
            <w:tcBorders>
              <w:top w:val="single" w:color="auto" w:sz="4" w:space="0"/>
              <w:left w:val="single" w:color="auto" w:sz="4" w:space="0"/>
              <w:bottom w:val="single" w:color="auto" w:sz="4" w:space="0"/>
              <w:right w:val="single" w:color="auto" w:sz="4" w:space="0"/>
            </w:tcBorders>
            <w:vAlign w:val="center"/>
          </w:tcPr>
          <w:p w14:paraId="5FFB3611">
            <w:pPr>
              <w:autoSpaceDE w:val="0"/>
              <w:autoSpaceDN w:val="0"/>
              <w:jc w:val="center"/>
              <w:textAlignment w:val="center"/>
              <w:rPr>
                <w:rFonts w:hint="default" w:ascii="宋体" w:hAnsi="宋体" w:eastAsia="宋体" w:cs="宋体"/>
                <w:color w:val="auto"/>
                <w:sz w:val="22"/>
                <w:szCs w:val="22"/>
                <w:highlight w:val="none"/>
                <w:lang w:val="en-US" w:eastAsia="zh-CN" w:bidi="ar"/>
              </w:rPr>
            </w:pPr>
            <w:r>
              <w:rPr>
                <w:rFonts w:hint="eastAsia" w:ascii="宋体" w:hAnsi="宋体" w:cs="宋体"/>
                <w:color w:val="auto"/>
                <w:sz w:val="22"/>
                <w:szCs w:val="22"/>
                <w:highlight w:val="none"/>
                <w:lang w:val="en-US" w:eastAsia="zh-CN" w:bidi="ar"/>
              </w:rPr>
              <w:t>31</w:t>
            </w:r>
          </w:p>
        </w:tc>
        <w:tc>
          <w:tcPr>
            <w:tcW w:w="508" w:type="dxa"/>
            <w:tcBorders>
              <w:top w:val="single" w:color="auto" w:sz="4" w:space="0"/>
              <w:left w:val="single" w:color="auto" w:sz="4" w:space="0"/>
              <w:bottom w:val="single" w:color="auto" w:sz="4" w:space="0"/>
              <w:right w:val="single" w:color="auto" w:sz="4" w:space="0"/>
            </w:tcBorders>
            <w:vAlign w:val="center"/>
          </w:tcPr>
          <w:p w14:paraId="184EA6D5">
            <w:pPr>
              <w:autoSpaceDE w:val="0"/>
              <w:autoSpaceDN w:val="0"/>
              <w:ind w:right="120" w:rightChars="57"/>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w:t>
            </w:r>
          </w:p>
        </w:tc>
        <w:tc>
          <w:tcPr>
            <w:tcW w:w="888" w:type="dxa"/>
            <w:tcBorders>
              <w:left w:val="single" w:color="auto" w:sz="4" w:space="0"/>
            </w:tcBorders>
            <w:vAlign w:val="center"/>
          </w:tcPr>
          <w:p w14:paraId="391272D4">
            <w:pPr>
              <w:autoSpaceDE w:val="0"/>
              <w:autoSpaceDN w:val="0"/>
              <w:jc w:val="center"/>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安全-抗电强度</w:t>
            </w:r>
          </w:p>
        </w:tc>
        <w:tc>
          <w:tcPr>
            <w:tcW w:w="6411" w:type="dxa"/>
            <w:vAlign w:val="center"/>
          </w:tcPr>
          <w:p w14:paraId="0996C4CC">
            <w:pPr>
              <w:autoSpaceDE w:val="0"/>
              <w:autoSpaceDN w:val="0"/>
              <w:textAlignment w:val="center"/>
              <w:rPr>
                <w:rFonts w:ascii="宋体" w:hAnsi="宋体" w:cs="宋体"/>
                <w:color w:val="auto"/>
                <w:sz w:val="22"/>
                <w:szCs w:val="22"/>
                <w:highlight w:val="none"/>
                <w:lang w:bidi="ar"/>
              </w:rPr>
            </w:pPr>
            <w:r>
              <w:rPr>
                <w:rFonts w:hint="eastAsia" w:ascii="宋体" w:hAnsi="宋体" w:cs="宋体"/>
                <w:color w:val="auto"/>
                <w:sz w:val="22"/>
                <w:szCs w:val="22"/>
                <w:highlight w:val="none"/>
                <w:lang w:bidi="ar"/>
              </w:rPr>
              <w:t>输入端、输出端对地应能承受50Hz，2000V的正弦交流电压（漏电流≤10mA）或等效其峰值的2820V直流电压（漏电流≤1mA）1min，且无击穿与无飞弧现象。</w:t>
            </w:r>
            <w:r>
              <w:rPr>
                <w:rFonts w:hint="eastAsia" w:ascii="宋体" w:hAnsi="宋体" w:cs="宋体"/>
                <w:color w:val="auto"/>
                <w:sz w:val="22"/>
                <w:szCs w:val="22"/>
                <w:highlight w:val="none"/>
                <w:lang w:bidi="ar"/>
              </w:rPr>
              <w:br w:type="textWrapping"/>
            </w:r>
            <w:r>
              <w:rPr>
                <w:rFonts w:hint="eastAsia" w:ascii="SimSun,Bold" w:hAnsi="Times New Roman" w:eastAsia="SimSun,Bold" w:cs="SimSun,Bold"/>
                <w:b/>
                <w:bCs/>
                <w:color w:val="auto"/>
                <w:kern w:val="0"/>
                <w:sz w:val="22"/>
                <w:szCs w:val="22"/>
                <w:highlight w:val="none"/>
              </w:rPr>
              <w:t>提供国家认可的检测（认证）机构出具的检测报告</w:t>
            </w:r>
            <w:r>
              <w:rPr>
                <w:rFonts w:ascii="SimSun,Bold" w:hAnsi="Times New Roman" w:eastAsia="SimSun,Bold" w:cs="SimSun,Bold"/>
                <w:b/>
                <w:bCs/>
                <w:color w:val="auto"/>
                <w:kern w:val="0"/>
                <w:sz w:val="22"/>
                <w:szCs w:val="22"/>
                <w:highlight w:val="none"/>
              </w:rPr>
              <w:t>,</w:t>
            </w:r>
            <w:r>
              <w:rPr>
                <w:rFonts w:hint="eastAsia" w:ascii="宋体" w:hAnsi="宋体" w:cs="宋体"/>
                <w:b/>
                <w:bCs/>
                <w:color w:val="auto"/>
                <w:sz w:val="22"/>
                <w:szCs w:val="22"/>
                <w:highlight w:val="none"/>
                <w:lang w:bidi="ar"/>
              </w:rPr>
              <w:t xml:space="preserve"> 报告需具备</w:t>
            </w:r>
            <w:r>
              <w:rPr>
                <w:rFonts w:ascii="宋体" w:hAnsi="宋体" w:cs="宋体"/>
                <w:b/>
                <w:bCs/>
                <w:color w:val="auto"/>
                <w:sz w:val="22"/>
                <w:szCs w:val="22"/>
                <w:highlight w:val="none"/>
                <w:lang w:bidi="ar"/>
              </w:rPr>
              <w:t>CMA</w:t>
            </w:r>
            <w:r>
              <w:rPr>
                <w:rFonts w:hint="eastAsia" w:ascii="宋体" w:hAnsi="宋体" w:cs="宋体"/>
                <w:b/>
                <w:bCs/>
                <w:color w:val="auto"/>
                <w:sz w:val="22"/>
                <w:szCs w:val="22"/>
                <w:highlight w:val="none"/>
                <w:lang w:bidi="ar"/>
              </w:rPr>
              <w:t>标志，</w:t>
            </w:r>
            <w:r>
              <w:rPr>
                <w:rFonts w:hint="eastAsia" w:ascii="SimSun,Bold" w:hAnsi="Times New Roman" w:eastAsia="SimSun,Bold" w:cs="SimSun,Bold"/>
                <w:b/>
                <w:bCs/>
                <w:color w:val="auto"/>
                <w:kern w:val="0"/>
                <w:sz w:val="22"/>
                <w:szCs w:val="22"/>
                <w:highlight w:val="none"/>
              </w:rPr>
              <w:t>并加盖投标人公章</w:t>
            </w:r>
            <w:r>
              <w:rPr>
                <w:rFonts w:hint="eastAsia" w:ascii="宋体" w:hAnsi="宋体" w:cs="宋体"/>
                <w:b/>
                <w:bCs/>
                <w:color w:val="auto"/>
                <w:spacing w:val="-2"/>
                <w:sz w:val="24"/>
                <w:highlight w:val="none"/>
              </w:rPr>
              <w:t>。</w:t>
            </w:r>
          </w:p>
        </w:tc>
      </w:tr>
    </w:tbl>
    <w:p w14:paraId="33B30134">
      <w:pPr>
        <w:widowControl w:val="0"/>
        <w:ind w:left="420" w:leftChars="200"/>
        <w:jc w:val="both"/>
        <w:rPr>
          <w:rFonts w:hint="eastAsia" w:ascii="Times New Roman" w:hAnsi="Times New Roman" w:eastAsia="宋体" w:cs="Times New Roman"/>
          <w:color w:val="auto"/>
          <w:kern w:val="2"/>
          <w:sz w:val="21"/>
          <w:szCs w:val="24"/>
          <w:highlight w:val="none"/>
          <w:lang w:val="en-US" w:eastAsia="zh-CN" w:bidi="ar-SA"/>
        </w:rPr>
      </w:pPr>
    </w:p>
    <w:p w14:paraId="10C0243F">
      <w:pPr>
        <w:widowControl/>
        <w:spacing w:line="360" w:lineRule="auto"/>
        <w:ind w:firstLine="480" w:firstLineChars="200"/>
        <w:contextualSpacing/>
        <w:outlineLvl w:val="3"/>
        <w:rPr>
          <w:rFonts w:ascii="Times New Roman" w:hAnsi="Times New Roman" w:cs="Times New Roman"/>
          <w:color w:val="auto"/>
          <w:sz w:val="24"/>
          <w:highlight w:val="none"/>
        </w:rPr>
      </w:pPr>
      <w:r>
        <w:rPr>
          <w:rFonts w:ascii="Times New Roman" w:hAnsi="Times New Roman" w:cs="Times New Roman"/>
          <w:color w:val="auto"/>
          <w:sz w:val="24"/>
          <w:highlight w:val="none"/>
        </w:rPr>
        <w:t>2.2</w:t>
      </w:r>
      <w:bookmarkStart w:id="1" w:name="OLE_LINK2"/>
      <w:r>
        <w:rPr>
          <w:rFonts w:ascii="Times New Roman" w:hAnsi="Times New Roman" w:cs="Times New Roman"/>
          <w:color w:val="auto"/>
          <w:sz w:val="24"/>
          <w:highlight w:val="none"/>
        </w:rPr>
        <w:t>采购标的需满足的服务标准、期限、效率等要求</w:t>
      </w:r>
      <w:bookmarkEnd w:id="1"/>
      <w:r>
        <w:rPr>
          <w:rFonts w:ascii="Times New Roman" w:hAnsi="Times New Roman" w:cs="Times New Roman"/>
          <w:color w:val="auto"/>
          <w:sz w:val="24"/>
          <w:highlight w:val="none"/>
        </w:rPr>
        <w:t>；</w:t>
      </w:r>
    </w:p>
    <w:tbl>
      <w:tblPr>
        <w:tblStyle w:val="7"/>
        <w:tblW w:w="97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86"/>
        <w:gridCol w:w="1077"/>
        <w:gridCol w:w="6449"/>
        <w:gridCol w:w="1653"/>
      </w:tblGrid>
      <w:tr w14:paraId="57B2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586" w:type="dxa"/>
            <w:vAlign w:val="center"/>
          </w:tcPr>
          <w:p w14:paraId="6DAAE987">
            <w:pPr>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序号</w:t>
            </w:r>
          </w:p>
        </w:tc>
        <w:tc>
          <w:tcPr>
            <w:tcW w:w="1077" w:type="dxa"/>
            <w:vAlign w:val="center"/>
          </w:tcPr>
          <w:p w14:paraId="72BFC8E9">
            <w:pPr>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内容</w:t>
            </w:r>
          </w:p>
        </w:tc>
        <w:tc>
          <w:tcPr>
            <w:tcW w:w="6449" w:type="dxa"/>
            <w:vAlign w:val="center"/>
          </w:tcPr>
          <w:p w14:paraId="48A7C859">
            <w:pPr>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服务要求</w:t>
            </w:r>
          </w:p>
        </w:tc>
        <w:tc>
          <w:tcPr>
            <w:tcW w:w="1653" w:type="dxa"/>
            <w:vAlign w:val="center"/>
          </w:tcPr>
          <w:p w14:paraId="3721A25F">
            <w:pPr>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证明材料</w:t>
            </w:r>
          </w:p>
        </w:tc>
      </w:tr>
      <w:tr w14:paraId="5EB6F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586" w:type="dxa"/>
            <w:vAlign w:val="center"/>
          </w:tcPr>
          <w:p w14:paraId="2976FA36">
            <w:pPr>
              <w:jc w:val="center"/>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rPr>
              <w:t>★</w:t>
            </w:r>
            <w:r>
              <w:rPr>
                <w:rFonts w:hint="default" w:ascii="Times New Roman" w:hAnsi="Times New Roman" w:cs="Times New Roman"/>
                <w:color w:val="auto"/>
                <w:sz w:val="24"/>
                <w:highlight w:val="none"/>
              </w:rPr>
              <w:t>1</w:t>
            </w:r>
          </w:p>
        </w:tc>
        <w:tc>
          <w:tcPr>
            <w:tcW w:w="1077" w:type="dxa"/>
            <w:vAlign w:val="center"/>
          </w:tcPr>
          <w:p w14:paraId="77D6B0C7">
            <w:pPr>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产品质量</w:t>
            </w:r>
          </w:p>
        </w:tc>
        <w:tc>
          <w:tcPr>
            <w:tcW w:w="6449" w:type="dxa"/>
          </w:tcPr>
          <w:p w14:paraId="0586DAF7">
            <w:pP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承诺要求如下：</w:t>
            </w:r>
          </w:p>
          <w:p w14:paraId="48F1DF58">
            <w:pP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（1）投标产品是符合国家技术规范和质量标准的合格产品。</w:t>
            </w:r>
          </w:p>
          <w:p w14:paraId="6D457D6E">
            <w:pPr>
              <w:widowControl w:val="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（2）投标人保证所提供硬件产品包括相关附件为相应硬件厂家原装正品，符合国家有关规定且无质量瑕疵。</w:t>
            </w:r>
          </w:p>
          <w:p w14:paraId="76287C6A">
            <w:pPr>
              <w:widowControl w:val="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（3）质保期满后，投标人仍须对因产品存在的固有缺陷和瑕疵承担相应责任。</w:t>
            </w:r>
          </w:p>
          <w:p w14:paraId="0A11873F">
            <w:pPr>
              <w:widowControl w:val="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（4）</w:t>
            </w:r>
            <w:r>
              <w:rPr>
                <w:rFonts w:hint="eastAsia" w:ascii="宋体" w:hAnsi="Courier New" w:eastAsia="宋体" w:cs="Times New Roman"/>
                <w:color w:val="auto"/>
                <w:kern w:val="2"/>
                <w:sz w:val="24"/>
                <w:szCs w:val="20"/>
                <w:highlight w:val="none"/>
                <w:lang w:val="en-US" w:eastAsia="zh-CN" w:bidi="ar-SA"/>
              </w:rPr>
              <w:t>投标人应保证产品符合机房建设相关标准，由于投标人建设质量缺陷出现问题，导致设备无法正常运行，机房所承载的各类设备出现宕机情况，投标人应承担相应的责任，并予以赔偿。</w:t>
            </w:r>
          </w:p>
        </w:tc>
        <w:tc>
          <w:tcPr>
            <w:tcW w:w="1653" w:type="dxa"/>
          </w:tcPr>
          <w:p w14:paraId="43BDEAE3">
            <w:pP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投标人须提供承诺函并加盖投标人公章</w:t>
            </w:r>
          </w:p>
        </w:tc>
      </w:tr>
      <w:tr w14:paraId="49B95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586" w:type="dxa"/>
            <w:vAlign w:val="center"/>
          </w:tcPr>
          <w:p w14:paraId="28952B8F">
            <w:pPr>
              <w:jc w:val="center"/>
              <w:rPr>
                <w:rFonts w:hint="eastAsia" w:ascii="Times New Roman" w:hAnsi="Times New Roman" w:eastAsia="宋体" w:cs="Times New Roman"/>
                <w:color w:val="auto"/>
                <w:sz w:val="24"/>
                <w:highlight w:val="none"/>
                <w:lang w:val="en-US" w:eastAsia="zh-CN"/>
              </w:rPr>
            </w:pPr>
            <w:r>
              <w:rPr>
                <w:rFonts w:hint="default" w:ascii="Times New Roman" w:hAnsi="Times New Roman" w:cs="Times New Roman"/>
                <w:color w:val="auto"/>
                <w:kern w:val="0"/>
                <w:sz w:val="24"/>
                <w:highlight w:val="none"/>
              </w:rPr>
              <w:t>★</w:t>
            </w:r>
            <w:r>
              <w:rPr>
                <w:rFonts w:hint="eastAsia" w:ascii="Times New Roman" w:hAnsi="Times New Roman" w:cs="Times New Roman"/>
                <w:color w:val="auto"/>
                <w:kern w:val="0"/>
                <w:sz w:val="24"/>
                <w:highlight w:val="none"/>
                <w:lang w:val="en-US" w:eastAsia="zh-CN"/>
              </w:rPr>
              <w:t>2</w:t>
            </w:r>
          </w:p>
        </w:tc>
        <w:tc>
          <w:tcPr>
            <w:tcW w:w="1077" w:type="dxa"/>
            <w:vAlign w:val="center"/>
          </w:tcPr>
          <w:p w14:paraId="6B8A1FD2">
            <w:pPr>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交付要求</w:t>
            </w:r>
          </w:p>
        </w:tc>
        <w:tc>
          <w:tcPr>
            <w:tcW w:w="6449" w:type="dxa"/>
          </w:tcPr>
          <w:p w14:paraId="215FF9FD">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承诺要求如下：</w:t>
            </w:r>
          </w:p>
          <w:p w14:paraId="7158056D">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（1）为做好本项目整体实施工作，在北京市公安局</w:t>
            </w:r>
            <w:r>
              <w:rPr>
                <w:rFonts w:hint="eastAsia" w:ascii="Times New Roman" w:hAnsi="Times New Roman" w:cs="Times New Roman"/>
                <w:color w:val="auto"/>
                <w:sz w:val="24"/>
                <w:szCs w:val="24"/>
                <w:highlight w:val="none"/>
                <w:lang w:eastAsia="zh-CN"/>
              </w:rPr>
              <w:t>机房新增基础环境设施建设项目</w:t>
            </w:r>
            <w:r>
              <w:rPr>
                <w:rFonts w:hint="eastAsia" w:ascii="Times New Roman" w:hAnsi="Times New Roman" w:cs="Times New Roman"/>
                <w:color w:val="auto"/>
                <w:sz w:val="24"/>
                <w:szCs w:val="24"/>
                <w:highlight w:val="none"/>
                <w:lang w:val="en-US" w:eastAsia="zh-CN"/>
              </w:rPr>
              <w:t>UPS设备配套安装</w:t>
            </w:r>
            <w:r>
              <w:rPr>
                <w:rFonts w:hint="default" w:ascii="Times New Roman" w:hAnsi="Times New Roman" w:cs="Times New Roman"/>
                <w:color w:val="auto"/>
                <w:sz w:val="24"/>
                <w:szCs w:val="24"/>
                <w:highlight w:val="none"/>
              </w:rPr>
              <w:t>时，投标人到场</w:t>
            </w:r>
            <w:r>
              <w:rPr>
                <w:rFonts w:hint="eastAsia" w:ascii="Times New Roman" w:hAnsi="Times New Roman" w:cs="Times New Roman"/>
                <w:color w:val="auto"/>
                <w:sz w:val="24"/>
                <w:szCs w:val="24"/>
                <w:highlight w:val="none"/>
                <w:lang w:eastAsia="zh-CN"/>
              </w:rPr>
              <w:t>指导施工方开展设备安装。</w:t>
            </w:r>
          </w:p>
          <w:p w14:paraId="0AEB5EAB">
            <w:pPr>
              <w:widowControl w:val="0"/>
              <w:adjustRightInd w:val="0"/>
              <w:spacing w:line="240" w:lineRule="auto"/>
              <w:ind w:firstLine="0" w:firstLineChars="0"/>
              <w:jc w:val="left"/>
              <w:textAlignment w:val="baseline"/>
              <w:rPr>
                <w:rFonts w:hint="default" w:ascii="Times New Roman" w:hAnsi="Times New Roman" w:eastAsia="宋体" w:cs="Times New Roman"/>
                <w:color w:val="auto"/>
                <w:kern w:val="0"/>
                <w:sz w:val="24"/>
                <w:szCs w:val="24"/>
                <w:highlight w:val="none"/>
                <w:u w:val="none"/>
                <w:lang w:val="en-US" w:eastAsia="zh-CN" w:bidi="ar-SA"/>
              </w:rPr>
            </w:pPr>
            <w:r>
              <w:rPr>
                <w:rFonts w:hint="default" w:ascii="Times New Roman" w:hAnsi="Times New Roman" w:eastAsia="宋体" w:cs="Times New Roman"/>
                <w:color w:val="auto"/>
                <w:kern w:val="2"/>
                <w:sz w:val="24"/>
                <w:szCs w:val="24"/>
                <w:highlight w:val="none"/>
                <w:u w:val="none"/>
                <w:lang w:val="en-US" w:eastAsia="zh-CN" w:bidi="ar-SA"/>
              </w:rPr>
              <w:t>（2）本项目合同签订生效后，</w:t>
            </w:r>
            <w:r>
              <w:rPr>
                <w:rFonts w:ascii="Times New Roman" w:hAnsi="Times New Roman" w:eastAsia="宋体" w:cs="Times New Roman"/>
                <w:iCs w:val="0"/>
                <w:color w:val="auto"/>
                <w:kern w:val="2"/>
                <w:sz w:val="24"/>
                <w:szCs w:val="24"/>
                <w:highlight w:val="none"/>
                <w:lang w:val="en-US" w:eastAsia="zh-CN" w:bidi="ar-SA"/>
              </w:rPr>
              <w:t xml:space="preserve">在 </w:t>
            </w:r>
            <w:r>
              <w:rPr>
                <w:rFonts w:hint="default" w:ascii="Times New Roman" w:hAnsi="Times New Roman" w:eastAsia="宋体" w:cs="Times New Roman"/>
                <w:iCs w:val="0"/>
                <w:color w:val="auto"/>
                <w:kern w:val="2"/>
                <w:sz w:val="24"/>
                <w:szCs w:val="24"/>
                <w:highlight w:val="none"/>
                <w:lang w:val="en-US" w:eastAsia="zh-CN" w:bidi="ar-SA"/>
              </w:rPr>
              <w:t>30</w:t>
            </w:r>
            <w:r>
              <w:rPr>
                <w:rFonts w:ascii="Times New Roman" w:hAnsi="Times New Roman" w:eastAsia="宋体" w:cs="Times New Roman"/>
                <w:iCs w:val="0"/>
                <w:color w:val="auto"/>
                <w:kern w:val="2"/>
                <w:sz w:val="24"/>
                <w:szCs w:val="24"/>
                <w:highlight w:val="none"/>
                <w:lang w:val="en-US" w:eastAsia="zh-CN" w:bidi="ar-SA"/>
              </w:rPr>
              <w:t>个日历日</w:t>
            </w:r>
            <w:r>
              <w:rPr>
                <w:rFonts w:hint="default" w:ascii="Times New Roman" w:hAnsi="Times New Roman" w:eastAsia="宋体" w:cs="Times New Roman"/>
                <w:color w:val="auto"/>
                <w:kern w:val="2"/>
                <w:sz w:val="24"/>
                <w:szCs w:val="24"/>
                <w:highlight w:val="none"/>
                <w:lang w:val="en-US" w:eastAsia="zh-CN" w:bidi="ar-SA"/>
              </w:rPr>
              <w:t>内按照采购人要求完成交货。</w:t>
            </w:r>
          </w:p>
          <w:p w14:paraId="6E44040A">
            <w:pPr>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rPr>
              <w:t>（3）本项目整体建设完成后，在30日内完成本项目初验。初验合格后，进</w:t>
            </w:r>
            <w:r>
              <w:rPr>
                <w:rFonts w:hint="default" w:ascii="Times New Roman" w:hAnsi="Times New Roman" w:cs="Times New Roman"/>
                <w:color w:val="auto"/>
                <w:sz w:val="24"/>
                <w:szCs w:val="24"/>
                <w:highlight w:val="none"/>
                <w:u w:val="none"/>
              </w:rPr>
              <w:t>入试运行，试运行180日且完成各项测评工作后，具备终验条件。投标人应保证设备正常运行，并及时配合验收。</w:t>
            </w:r>
          </w:p>
          <w:p w14:paraId="2D42CBFD">
            <w:pPr>
              <w:rPr>
                <w:rFonts w:hint="default" w:ascii="Times New Roman" w:hAnsi="Times New Roman" w:cs="Times New Roman"/>
                <w:color w:val="auto"/>
                <w:sz w:val="24"/>
                <w:szCs w:val="24"/>
                <w:highlight w:val="none"/>
                <w:u w:val="none"/>
              </w:rPr>
            </w:pPr>
            <w:r>
              <w:rPr>
                <w:rFonts w:hint="default" w:ascii="Times New Roman" w:hAnsi="Times New Roman" w:cs="Times New Roman"/>
                <w:color w:val="auto"/>
                <w:sz w:val="24"/>
                <w:szCs w:val="24"/>
                <w:highlight w:val="none"/>
                <w:u w:val="none"/>
              </w:rPr>
              <w:t>（4）本项目交付过程中，投标人应保证不因投标人的</w:t>
            </w:r>
            <w:r>
              <w:rPr>
                <w:rFonts w:hint="eastAsia" w:ascii="Times New Roman" w:hAnsi="Times New Roman" w:cs="Times New Roman"/>
                <w:color w:val="auto"/>
                <w:sz w:val="24"/>
                <w:szCs w:val="24"/>
                <w:highlight w:val="none"/>
                <w:u w:val="none"/>
                <w:lang w:eastAsia="zh-CN"/>
              </w:rPr>
              <w:t>设备</w:t>
            </w:r>
            <w:r>
              <w:rPr>
                <w:rFonts w:hint="default" w:ascii="Times New Roman" w:hAnsi="Times New Roman" w:cs="Times New Roman"/>
                <w:color w:val="auto"/>
                <w:sz w:val="24"/>
                <w:szCs w:val="24"/>
                <w:highlight w:val="none"/>
                <w:u w:val="none"/>
              </w:rPr>
              <w:t>存在缺陷，导致</w:t>
            </w:r>
            <w:r>
              <w:rPr>
                <w:rFonts w:hint="eastAsia" w:ascii="Times New Roman" w:hAnsi="Times New Roman" w:cs="Times New Roman"/>
                <w:color w:val="auto"/>
                <w:sz w:val="24"/>
                <w:szCs w:val="24"/>
                <w:highlight w:val="none"/>
                <w:u w:val="none"/>
                <w:lang w:eastAsia="zh-CN"/>
              </w:rPr>
              <w:t>项目无法按期验收</w:t>
            </w:r>
            <w:r>
              <w:rPr>
                <w:rFonts w:hint="default" w:ascii="Times New Roman" w:hAnsi="Times New Roman" w:cs="Times New Roman"/>
                <w:color w:val="auto"/>
                <w:sz w:val="24"/>
                <w:szCs w:val="24"/>
                <w:highlight w:val="none"/>
                <w:u w:val="none"/>
              </w:rPr>
              <w:t>。</w:t>
            </w:r>
          </w:p>
          <w:p w14:paraId="459FA2BA">
            <w:pPr>
              <w:widowControl w:val="0"/>
              <w:ind w:left="420" w:leftChars="200"/>
              <w:jc w:val="both"/>
              <w:rPr>
                <w:rFonts w:hint="default" w:ascii="Times New Roman" w:hAnsi="Times New Roman" w:eastAsia="宋体" w:cs="Times New Roman"/>
                <w:color w:val="auto"/>
                <w:kern w:val="2"/>
                <w:sz w:val="21"/>
                <w:szCs w:val="24"/>
                <w:highlight w:val="none"/>
                <w:lang w:val="en-US" w:eastAsia="zh-CN" w:bidi="ar-SA"/>
              </w:rPr>
            </w:pPr>
          </w:p>
        </w:tc>
        <w:tc>
          <w:tcPr>
            <w:tcW w:w="1653" w:type="dxa"/>
          </w:tcPr>
          <w:p w14:paraId="2464EF5A">
            <w:pP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投标人须提供承诺函并加盖投标人公章</w:t>
            </w:r>
          </w:p>
        </w:tc>
      </w:tr>
      <w:tr w14:paraId="520F8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586" w:type="dxa"/>
            <w:vAlign w:val="center"/>
          </w:tcPr>
          <w:p w14:paraId="696579BE">
            <w:pPr>
              <w:jc w:val="center"/>
              <w:rPr>
                <w:rFonts w:hint="eastAsia"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3</w:t>
            </w:r>
          </w:p>
        </w:tc>
        <w:tc>
          <w:tcPr>
            <w:tcW w:w="1077" w:type="dxa"/>
            <w:vAlign w:val="center"/>
          </w:tcPr>
          <w:p w14:paraId="21716C25">
            <w:pPr>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售后服务要求</w:t>
            </w:r>
          </w:p>
        </w:tc>
        <w:tc>
          <w:tcPr>
            <w:tcW w:w="6449" w:type="dxa"/>
          </w:tcPr>
          <w:p w14:paraId="4BF5CD75">
            <w:pPr>
              <w:keepNext w:val="0"/>
              <w:keepLines w:val="0"/>
              <w:pageBreakBefore w:val="0"/>
              <w:widowControl w:val="0"/>
              <w:kinsoku/>
              <w:wordWrap/>
              <w:overflowPunct/>
              <w:topLinePunct w:val="0"/>
              <w:autoSpaceDE/>
              <w:autoSpaceDN/>
              <w:bidi w:val="0"/>
              <w:snapToGrid/>
              <w:spacing w:line="240" w:lineRule="atLeast"/>
              <w:contextualSpacing/>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承诺要求如下：</w:t>
            </w:r>
          </w:p>
          <w:p w14:paraId="30707F9D">
            <w:pPr>
              <w:keepNext w:val="0"/>
              <w:keepLines w:val="0"/>
              <w:pageBreakBefore w:val="0"/>
              <w:widowControl w:val="0"/>
              <w:kinsoku/>
              <w:wordWrap/>
              <w:overflowPunct/>
              <w:topLinePunct w:val="0"/>
              <w:autoSpaceDE/>
              <w:autoSpaceDN/>
              <w:bidi w:val="0"/>
              <w:snapToGrid/>
              <w:spacing w:line="240" w:lineRule="atLeas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（1）投标人必须具有完善的售后服务队伍，及时响应采购人的服务要求。</w:t>
            </w:r>
          </w:p>
          <w:p w14:paraId="6BC467A6">
            <w:pPr>
              <w:keepNext w:val="0"/>
              <w:keepLines w:val="0"/>
              <w:pageBreakBefore w:val="0"/>
              <w:widowControl w:val="0"/>
              <w:kinsoku/>
              <w:wordWrap/>
              <w:overflowPunct/>
              <w:topLinePunct w:val="0"/>
              <w:autoSpaceDE/>
              <w:autoSpaceDN/>
              <w:bidi w:val="0"/>
              <w:snapToGrid/>
              <w:spacing w:line="240" w:lineRule="atLeas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（2）所投产品须提供不少于三年原厂质保，以及每周7天×24小时售后服务，质保期从项目通过最终验收合格之日起开始计算。</w:t>
            </w:r>
          </w:p>
          <w:p w14:paraId="46B966EC">
            <w:pPr>
              <w:keepNext w:val="0"/>
              <w:keepLines w:val="0"/>
              <w:pageBreakBefore w:val="0"/>
              <w:widowControl w:val="0"/>
              <w:kinsoku/>
              <w:wordWrap/>
              <w:overflowPunct/>
              <w:topLinePunct w:val="0"/>
              <w:autoSpaceDE/>
              <w:autoSpaceDN/>
              <w:bidi w:val="0"/>
              <w:snapToGrid/>
              <w:spacing w:line="240" w:lineRule="atLeast"/>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（3）</w:t>
            </w:r>
            <w:r>
              <w:rPr>
                <w:rFonts w:hint="default" w:ascii="Times New Roman" w:hAnsi="Times New Roman" w:eastAsia="宋体" w:cs="Times New Roman"/>
                <w:color w:val="auto"/>
                <w:kern w:val="2"/>
                <w:sz w:val="24"/>
                <w:szCs w:val="20"/>
                <w:highlight w:val="none"/>
                <w:lang w:val="en-US" w:eastAsia="zh-CN" w:bidi="ar-SA"/>
              </w:rPr>
              <w:t>投标人设7天×24小时热线服务电话，提供故障保修和技术咨询等电话支持服务。</w:t>
            </w:r>
          </w:p>
          <w:p w14:paraId="1E103ED8">
            <w:pPr>
              <w:keepNext w:val="0"/>
              <w:keepLines w:val="0"/>
              <w:pageBreakBefore w:val="0"/>
              <w:widowControl w:val="0"/>
              <w:kinsoku/>
              <w:wordWrap/>
              <w:overflowPunct/>
              <w:topLinePunct w:val="0"/>
              <w:autoSpaceDE/>
              <w:autoSpaceDN/>
              <w:bidi w:val="0"/>
              <w:snapToGrid/>
              <w:spacing w:line="240" w:lineRule="atLeast"/>
              <w:ind w:left="0" w:leftChars="0" w:firstLine="0" w:firstLineChars="0"/>
              <w:jc w:val="both"/>
              <w:textAlignment w:val="auto"/>
              <w:rPr>
                <w:rFonts w:hint="eastAsia"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（4）质保期内，</w:t>
            </w:r>
            <w:r>
              <w:rPr>
                <w:rFonts w:hint="eastAsia" w:ascii="Times New Roman" w:hAnsi="Times New Roman" w:eastAsia="宋体" w:cs="Times New Roman"/>
                <w:color w:val="auto"/>
                <w:kern w:val="2"/>
                <w:sz w:val="24"/>
                <w:szCs w:val="24"/>
                <w:highlight w:val="none"/>
                <w:lang w:val="en-US" w:eastAsia="zh-CN" w:bidi="ar-SA"/>
              </w:rPr>
              <w:t>在设备出现故障时，应在</w:t>
            </w:r>
            <w:r>
              <w:rPr>
                <w:rFonts w:ascii="Times New Roman" w:hAnsi="Times New Roman" w:eastAsia="宋体" w:cs="Times New Roman"/>
                <w:color w:val="auto"/>
                <w:kern w:val="2"/>
                <w:sz w:val="24"/>
                <w:szCs w:val="24"/>
                <w:highlight w:val="none"/>
                <w:lang w:val="en-US" w:eastAsia="zh-CN" w:bidi="ar-SA"/>
              </w:rPr>
              <w:t>15</w:t>
            </w:r>
            <w:r>
              <w:rPr>
                <w:rFonts w:hint="eastAsia" w:ascii="Times New Roman" w:hAnsi="Times New Roman" w:eastAsia="宋体" w:cs="Times New Roman"/>
                <w:color w:val="auto"/>
                <w:kern w:val="2"/>
                <w:sz w:val="24"/>
                <w:szCs w:val="24"/>
                <w:highlight w:val="none"/>
                <w:lang w:val="en-US" w:eastAsia="zh-CN" w:bidi="ar-SA"/>
              </w:rPr>
              <w:t>分钟之内响应，若远程指导无法解决的，投标人应安排高级技术人员</w:t>
            </w:r>
            <w:r>
              <w:rPr>
                <w:rFonts w:ascii="Times New Roman" w:hAnsi="Times New Roman" w:eastAsia="宋体" w:cs="Times New Roman"/>
                <w:color w:val="auto"/>
                <w:kern w:val="2"/>
                <w:sz w:val="24"/>
                <w:szCs w:val="24"/>
                <w:highlight w:val="none"/>
                <w:lang w:val="en-US" w:eastAsia="zh-CN" w:bidi="ar-SA"/>
              </w:rPr>
              <w:t>2</w:t>
            </w:r>
            <w:r>
              <w:rPr>
                <w:rFonts w:hint="eastAsia" w:ascii="Times New Roman" w:hAnsi="Times New Roman" w:eastAsia="宋体" w:cs="Times New Roman"/>
                <w:color w:val="auto"/>
                <w:kern w:val="2"/>
                <w:sz w:val="24"/>
                <w:szCs w:val="24"/>
                <w:highlight w:val="none"/>
                <w:lang w:val="en-US" w:eastAsia="zh-CN" w:bidi="ar-SA"/>
              </w:rPr>
              <w:t>小时内赶到现场进行故障排除。针对复杂故障应协调原厂商专业技术人员现场处理，并尽快排除故障。</w:t>
            </w:r>
            <w:r>
              <w:rPr>
                <w:rFonts w:ascii="Times New Roman" w:hAnsi="Times New Roman" w:eastAsia="宋体" w:cs="Times New Roman"/>
                <w:color w:val="auto"/>
                <w:kern w:val="2"/>
                <w:sz w:val="24"/>
                <w:szCs w:val="24"/>
                <w:highlight w:val="none"/>
                <w:lang w:val="en-US" w:eastAsia="zh-CN" w:bidi="ar-SA"/>
              </w:rPr>
              <w:t>不能当场修复的，</w:t>
            </w:r>
            <w:r>
              <w:rPr>
                <w:rFonts w:hint="eastAsia" w:ascii="Times New Roman" w:hAnsi="Times New Roman" w:eastAsia="宋体" w:cs="Times New Roman"/>
                <w:color w:val="auto"/>
                <w:kern w:val="2"/>
                <w:sz w:val="24"/>
                <w:szCs w:val="24"/>
                <w:highlight w:val="none"/>
                <w:lang w:val="en-US" w:eastAsia="zh-CN" w:bidi="ar-SA"/>
              </w:rPr>
              <w:t>应通过</w:t>
            </w:r>
            <w:r>
              <w:rPr>
                <w:rFonts w:ascii="Times New Roman" w:hAnsi="Times New Roman" w:eastAsia="宋体" w:cs="Times New Roman"/>
                <w:color w:val="auto"/>
                <w:kern w:val="2"/>
                <w:sz w:val="24"/>
                <w:szCs w:val="24"/>
                <w:highlight w:val="none"/>
                <w:lang w:val="en-US" w:eastAsia="zh-CN" w:bidi="ar-SA"/>
              </w:rPr>
              <w:t>提供备品、备件</w:t>
            </w:r>
            <w:r>
              <w:rPr>
                <w:rFonts w:hint="eastAsia" w:ascii="Times New Roman" w:hAnsi="Times New Roman" w:eastAsia="宋体" w:cs="Times New Roman"/>
                <w:color w:val="auto"/>
                <w:kern w:val="2"/>
                <w:sz w:val="24"/>
                <w:szCs w:val="24"/>
                <w:highlight w:val="none"/>
                <w:lang w:val="en-US" w:eastAsia="zh-CN" w:bidi="ar-SA"/>
              </w:rPr>
              <w:t>完成修复。若仍不能修复，</w:t>
            </w:r>
            <w:r>
              <w:rPr>
                <w:rFonts w:ascii="Times New Roman" w:hAnsi="Times New Roman" w:eastAsia="宋体" w:cs="Times New Roman"/>
                <w:color w:val="auto"/>
                <w:kern w:val="2"/>
                <w:sz w:val="24"/>
                <w:szCs w:val="24"/>
                <w:highlight w:val="none"/>
                <w:lang w:val="en-US" w:eastAsia="zh-CN" w:bidi="ar-SA"/>
              </w:rPr>
              <w:t>须于2个日历日内采取</w:t>
            </w:r>
            <w:r>
              <w:rPr>
                <w:rFonts w:hint="eastAsia" w:ascii="Times New Roman" w:hAnsi="Times New Roman" w:eastAsia="宋体" w:cs="Times New Roman"/>
                <w:color w:val="auto"/>
                <w:kern w:val="2"/>
                <w:sz w:val="24"/>
                <w:szCs w:val="24"/>
                <w:highlight w:val="none"/>
                <w:lang w:val="en-US" w:eastAsia="zh-CN" w:bidi="ar-SA"/>
              </w:rPr>
              <w:t>其他紧急</w:t>
            </w:r>
            <w:r>
              <w:rPr>
                <w:rFonts w:ascii="Times New Roman" w:hAnsi="Times New Roman" w:eastAsia="宋体" w:cs="Times New Roman"/>
                <w:color w:val="auto"/>
                <w:kern w:val="2"/>
                <w:sz w:val="24"/>
                <w:szCs w:val="24"/>
                <w:highlight w:val="none"/>
                <w:lang w:val="en-US" w:eastAsia="zh-CN" w:bidi="ar-SA"/>
              </w:rPr>
              <w:t>措施，以保证采购人的正常使用，相关费用应包含在投标总价中。</w:t>
            </w:r>
          </w:p>
          <w:p w14:paraId="4F3555B1">
            <w:pPr>
              <w:keepNext w:val="0"/>
              <w:keepLines w:val="0"/>
              <w:pageBreakBefore w:val="0"/>
              <w:widowControl w:val="0"/>
              <w:kinsoku/>
              <w:wordWrap/>
              <w:overflowPunct/>
              <w:topLinePunct w:val="0"/>
              <w:autoSpaceDE/>
              <w:autoSpaceDN/>
              <w:bidi w:val="0"/>
              <w:snapToGrid/>
              <w:spacing w:line="240" w:lineRule="atLeas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rPr>
              <w:t>）投标人应定期对系统安全进行检查，如发现</w:t>
            </w:r>
            <w:r>
              <w:rPr>
                <w:rFonts w:hint="eastAsia" w:ascii="Times New Roman" w:hAnsi="Times New Roman" w:cs="Times New Roman"/>
                <w:color w:val="auto"/>
                <w:sz w:val="24"/>
                <w:highlight w:val="none"/>
                <w:lang w:eastAsia="zh-CN"/>
              </w:rPr>
              <w:t>设备</w:t>
            </w:r>
            <w:r>
              <w:rPr>
                <w:rFonts w:hint="default" w:ascii="Times New Roman" w:hAnsi="Times New Roman" w:cs="Times New Roman"/>
                <w:color w:val="auto"/>
                <w:sz w:val="24"/>
                <w:highlight w:val="none"/>
              </w:rPr>
              <w:t>存在漏洞</w:t>
            </w:r>
            <w:r>
              <w:rPr>
                <w:rFonts w:hint="eastAsia" w:ascii="Times New Roman" w:hAnsi="Times New Roman" w:cs="Times New Roman"/>
                <w:color w:val="auto"/>
                <w:sz w:val="24"/>
                <w:highlight w:val="none"/>
                <w:lang w:eastAsia="zh-CN"/>
              </w:rPr>
              <w:t>或缺陷</w:t>
            </w: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eastAsia="zh-CN"/>
              </w:rPr>
              <w:t>应</w:t>
            </w:r>
            <w:r>
              <w:rPr>
                <w:rFonts w:hint="default" w:ascii="Times New Roman" w:hAnsi="Times New Roman" w:cs="Times New Roman"/>
                <w:color w:val="auto"/>
                <w:sz w:val="24"/>
                <w:highlight w:val="none"/>
              </w:rPr>
              <w:t>提出其他有效可行的解决方案，保证其正常使用。如无法对</w:t>
            </w:r>
            <w:r>
              <w:rPr>
                <w:rFonts w:hint="eastAsia" w:ascii="Times New Roman" w:hAnsi="Times New Roman" w:cs="Times New Roman"/>
                <w:color w:val="auto"/>
                <w:sz w:val="24"/>
                <w:highlight w:val="none"/>
                <w:lang w:eastAsia="zh-CN"/>
              </w:rPr>
              <w:t>设备</w:t>
            </w:r>
            <w:r>
              <w:rPr>
                <w:rFonts w:hint="default" w:ascii="Times New Roman" w:hAnsi="Times New Roman" w:cs="Times New Roman"/>
                <w:color w:val="auto"/>
                <w:sz w:val="24"/>
                <w:highlight w:val="none"/>
              </w:rPr>
              <w:t>漏洞</w:t>
            </w:r>
            <w:r>
              <w:rPr>
                <w:rFonts w:hint="eastAsia" w:ascii="Times New Roman" w:hAnsi="Times New Roman" w:cs="Times New Roman"/>
                <w:color w:val="auto"/>
                <w:sz w:val="24"/>
                <w:highlight w:val="none"/>
                <w:lang w:eastAsia="zh-CN"/>
              </w:rPr>
              <w:t>或缺陷</w:t>
            </w:r>
            <w:r>
              <w:rPr>
                <w:rFonts w:hint="default" w:ascii="Times New Roman" w:hAnsi="Times New Roman" w:cs="Times New Roman"/>
                <w:color w:val="auto"/>
                <w:sz w:val="24"/>
                <w:highlight w:val="none"/>
              </w:rPr>
              <w:t>进行修补或修补后无法保证系统正常使用，投标人作出书面说明并承担由此漏洞造成的一切损失。</w:t>
            </w:r>
          </w:p>
          <w:p w14:paraId="5096EDAA">
            <w:pPr>
              <w:keepNext w:val="0"/>
              <w:keepLines w:val="0"/>
              <w:pageBreakBefore w:val="0"/>
              <w:widowControl w:val="0"/>
              <w:kinsoku/>
              <w:wordWrap/>
              <w:overflowPunct/>
              <w:topLinePunct w:val="0"/>
              <w:autoSpaceDE/>
              <w:autoSpaceDN/>
              <w:bidi w:val="0"/>
              <w:snapToGrid/>
              <w:spacing w:line="240" w:lineRule="atLeas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rPr>
              <w:t>）投标人对所有服务的实施情况全部进行记录，并对服务记录定期汇总和分析，生成分析报告。对服务过程中出现的具体问题，做到闭环处理，确保系统故障按照采购人的要求及时处理。</w:t>
            </w:r>
          </w:p>
          <w:p w14:paraId="56730D39">
            <w:pPr>
              <w:keepNext w:val="0"/>
              <w:keepLines w:val="0"/>
              <w:pageBreakBefore w:val="0"/>
              <w:widowControl w:val="0"/>
              <w:kinsoku/>
              <w:wordWrap/>
              <w:overflowPunct/>
              <w:topLinePunct w:val="0"/>
              <w:autoSpaceDE/>
              <w:autoSpaceDN/>
              <w:bidi w:val="0"/>
              <w:snapToGrid/>
              <w:spacing w:line="240" w:lineRule="atLeas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7</w:t>
            </w:r>
            <w:r>
              <w:rPr>
                <w:rFonts w:hint="default" w:ascii="Times New Roman" w:hAnsi="Times New Roman" w:cs="Times New Roman"/>
                <w:color w:val="auto"/>
                <w:sz w:val="24"/>
                <w:highlight w:val="none"/>
              </w:rPr>
              <w:t>）投标人按照采购人要求定期对机房</w:t>
            </w:r>
            <w:r>
              <w:rPr>
                <w:rFonts w:hint="eastAsia" w:ascii="Times New Roman" w:hAnsi="Times New Roman" w:cs="Times New Roman"/>
                <w:color w:val="auto"/>
                <w:sz w:val="24"/>
                <w:highlight w:val="none"/>
                <w:lang w:eastAsia="zh-CN"/>
              </w:rPr>
              <w:t>配电</w:t>
            </w:r>
            <w:r>
              <w:rPr>
                <w:rFonts w:hint="default" w:ascii="Times New Roman" w:hAnsi="Times New Roman" w:cs="Times New Roman"/>
                <w:color w:val="auto"/>
                <w:sz w:val="24"/>
                <w:highlight w:val="none"/>
              </w:rPr>
              <w:t>设备进行巡检，发现问题及时解决，并将问题和结果及时告知采购人。</w:t>
            </w:r>
          </w:p>
          <w:p w14:paraId="1F3115B8">
            <w:pPr>
              <w:keepNext w:val="0"/>
              <w:keepLines w:val="0"/>
              <w:pageBreakBefore w:val="0"/>
              <w:widowControl w:val="0"/>
              <w:kinsoku/>
              <w:wordWrap/>
              <w:overflowPunct/>
              <w:topLinePunct w:val="0"/>
              <w:autoSpaceDE/>
              <w:autoSpaceDN/>
              <w:bidi w:val="0"/>
              <w:snapToGrid/>
              <w:spacing w:line="240" w:lineRule="atLeas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8</w:t>
            </w:r>
            <w:r>
              <w:rPr>
                <w:rFonts w:hint="default" w:ascii="Times New Roman" w:hAnsi="Times New Roman" w:cs="Times New Roman"/>
                <w:color w:val="auto"/>
                <w:sz w:val="24"/>
                <w:highlight w:val="none"/>
              </w:rPr>
              <w:t>）投标人定期调查用户</w:t>
            </w:r>
            <w:r>
              <w:rPr>
                <w:rFonts w:hint="eastAsia" w:ascii="Times New Roman" w:hAnsi="Times New Roman" w:cs="Times New Roman"/>
                <w:color w:val="auto"/>
                <w:sz w:val="24"/>
                <w:highlight w:val="none"/>
                <w:lang w:eastAsia="zh-CN"/>
              </w:rPr>
              <w:t>设备</w:t>
            </w:r>
            <w:r>
              <w:rPr>
                <w:rFonts w:hint="default" w:ascii="Times New Roman" w:hAnsi="Times New Roman" w:cs="Times New Roman"/>
                <w:color w:val="auto"/>
                <w:sz w:val="24"/>
                <w:highlight w:val="none"/>
              </w:rPr>
              <w:t>使用情况，了解</w:t>
            </w:r>
            <w:r>
              <w:rPr>
                <w:rFonts w:hint="eastAsia" w:ascii="Times New Roman" w:hAnsi="Times New Roman" w:cs="Times New Roman"/>
                <w:color w:val="auto"/>
                <w:sz w:val="24"/>
                <w:highlight w:val="none"/>
                <w:lang w:eastAsia="zh-CN"/>
              </w:rPr>
              <w:t>设备</w:t>
            </w:r>
            <w:r>
              <w:rPr>
                <w:rFonts w:hint="default" w:ascii="Times New Roman" w:hAnsi="Times New Roman" w:cs="Times New Roman"/>
                <w:color w:val="auto"/>
                <w:sz w:val="24"/>
                <w:highlight w:val="none"/>
              </w:rPr>
              <w:t>环境的使用情况，进行</w:t>
            </w:r>
            <w:r>
              <w:rPr>
                <w:rFonts w:hint="eastAsia" w:ascii="Times New Roman" w:hAnsi="Times New Roman" w:cs="Times New Roman"/>
                <w:color w:val="auto"/>
                <w:sz w:val="24"/>
                <w:highlight w:val="none"/>
                <w:lang w:eastAsia="zh-CN"/>
              </w:rPr>
              <w:t>设备</w:t>
            </w:r>
            <w:r>
              <w:rPr>
                <w:rFonts w:hint="default" w:ascii="Times New Roman" w:hAnsi="Times New Roman" w:cs="Times New Roman"/>
                <w:color w:val="auto"/>
                <w:sz w:val="24"/>
                <w:highlight w:val="none"/>
              </w:rPr>
              <w:t>检测，对存在的潜在安全或故障进行隐患分析，并提出相应的解决方案。</w:t>
            </w:r>
          </w:p>
          <w:p w14:paraId="2A8FAF62">
            <w:pPr>
              <w:keepNext w:val="0"/>
              <w:keepLines w:val="0"/>
              <w:pageBreakBefore w:val="0"/>
              <w:widowControl w:val="0"/>
              <w:kinsoku/>
              <w:wordWrap/>
              <w:overflowPunct/>
              <w:topLinePunct w:val="0"/>
              <w:autoSpaceDE/>
              <w:autoSpaceDN/>
              <w:bidi w:val="0"/>
              <w:adjustRightInd w:val="0"/>
              <w:snapToGrid/>
              <w:spacing w:line="240" w:lineRule="atLeast"/>
              <w:ind w:left="0" w:leftChars="0" w:firstLine="0" w:firstLineChars="0"/>
              <w:contextualSpacing/>
              <w:jc w:val="left"/>
              <w:textAlignment w:val="auto"/>
              <w:rPr>
                <w:rFonts w:hint="default"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highlight w:val="none"/>
                <w:lang w:val="en-US" w:eastAsia="zh-CN" w:bidi="ar-SA"/>
              </w:rPr>
              <w:t>（</w:t>
            </w:r>
            <w:r>
              <w:rPr>
                <w:rFonts w:hint="eastAsia" w:ascii="Times New Roman" w:hAnsi="Times New Roman" w:eastAsia="宋体" w:cs="Times New Roman"/>
                <w:color w:val="auto"/>
                <w:kern w:val="2"/>
                <w:sz w:val="24"/>
                <w:szCs w:val="22"/>
                <w:highlight w:val="none"/>
                <w:lang w:val="en-US" w:eastAsia="zh-CN" w:bidi="ar-SA"/>
              </w:rPr>
              <w:t>9</w:t>
            </w:r>
            <w:r>
              <w:rPr>
                <w:rFonts w:hint="default" w:ascii="Times New Roman" w:hAnsi="Times New Roman" w:eastAsia="宋体" w:cs="Times New Roman"/>
                <w:color w:val="auto"/>
                <w:kern w:val="2"/>
                <w:sz w:val="24"/>
                <w:szCs w:val="22"/>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对于易出现故障的设备和重点保障设备，由供货商或U</w:t>
            </w:r>
            <w:r>
              <w:rPr>
                <w:rFonts w:ascii="Times New Roman" w:hAnsi="Times New Roman" w:eastAsia="宋体" w:cs="Times New Roman"/>
                <w:color w:val="auto"/>
                <w:kern w:val="2"/>
                <w:sz w:val="24"/>
                <w:szCs w:val="24"/>
                <w:highlight w:val="none"/>
                <w:lang w:val="en-US" w:eastAsia="zh-CN" w:bidi="ar-SA"/>
              </w:rPr>
              <w:t>PS</w:t>
            </w:r>
            <w:r>
              <w:rPr>
                <w:rFonts w:hint="eastAsia" w:ascii="Times New Roman" w:hAnsi="Times New Roman" w:eastAsia="宋体" w:cs="Times New Roman"/>
                <w:color w:val="auto"/>
                <w:kern w:val="2"/>
                <w:sz w:val="24"/>
                <w:szCs w:val="24"/>
                <w:highlight w:val="none"/>
                <w:lang w:val="en-US" w:eastAsia="zh-CN" w:bidi="ar-SA"/>
              </w:rPr>
              <w:t>原厂商在项目所在城市设立备件库，备件</w:t>
            </w:r>
            <w:r>
              <w:rPr>
                <w:rFonts w:hint="default" w:ascii="Times New Roman" w:hAnsi="Times New Roman" w:eastAsia="宋体" w:cs="Times New Roman"/>
                <w:color w:val="auto"/>
                <w:kern w:val="2"/>
                <w:sz w:val="24"/>
                <w:szCs w:val="22"/>
                <w:highlight w:val="none"/>
                <w:lang w:val="en-US" w:eastAsia="zh-CN" w:bidi="ar-SA"/>
              </w:rPr>
              <w:t>包括但不限于</w:t>
            </w:r>
            <w:r>
              <w:rPr>
                <w:rFonts w:hint="eastAsia" w:ascii="Times New Roman" w:hAnsi="Times New Roman" w:eastAsia="宋体" w:cs="Times New Roman"/>
                <w:color w:val="auto"/>
                <w:kern w:val="2"/>
                <w:sz w:val="24"/>
                <w:szCs w:val="22"/>
                <w:highlight w:val="none"/>
                <w:lang w:val="en-US" w:eastAsia="zh-CN" w:bidi="ar-SA"/>
              </w:rPr>
              <w:t>功率模块</w:t>
            </w:r>
            <w:r>
              <w:rPr>
                <w:rFonts w:hint="default" w:ascii="Times New Roman" w:hAnsi="Times New Roman" w:eastAsia="宋体" w:cs="Times New Roman"/>
                <w:color w:val="auto"/>
                <w:kern w:val="2"/>
                <w:sz w:val="24"/>
                <w:szCs w:val="22"/>
                <w:highlight w:val="none"/>
                <w:lang w:val="en-US" w:eastAsia="zh-CN" w:bidi="ar-SA"/>
              </w:rPr>
              <w:t>、</w:t>
            </w:r>
            <w:r>
              <w:rPr>
                <w:rFonts w:hint="eastAsia" w:ascii="Times New Roman" w:hAnsi="Times New Roman" w:eastAsia="宋体" w:cs="Times New Roman"/>
                <w:color w:val="auto"/>
                <w:kern w:val="2"/>
                <w:sz w:val="24"/>
                <w:szCs w:val="22"/>
                <w:highlight w:val="none"/>
                <w:lang w:val="en-US" w:eastAsia="zh-CN" w:bidi="ar-SA"/>
              </w:rPr>
              <w:t>静态开关</w:t>
            </w:r>
            <w:r>
              <w:rPr>
                <w:rFonts w:hint="default" w:ascii="Times New Roman" w:hAnsi="Times New Roman" w:eastAsia="宋体" w:cs="Times New Roman"/>
                <w:color w:val="auto"/>
                <w:kern w:val="2"/>
                <w:sz w:val="24"/>
                <w:szCs w:val="22"/>
                <w:highlight w:val="none"/>
                <w:lang w:val="en-US" w:eastAsia="zh-CN" w:bidi="ar-SA"/>
              </w:rPr>
              <w:t>、</w:t>
            </w:r>
            <w:r>
              <w:rPr>
                <w:rFonts w:hint="eastAsia" w:ascii="Times New Roman" w:hAnsi="Times New Roman" w:eastAsia="宋体" w:cs="Times New Roman"/>
                <w:color w:val="auto"/>
                <w:kern w:val="2"/>
                <w:sz w:val="24"/>
                <w:szCs w:val="22"/>
                <w:highlight w:val="none"/>
                <w:lang w:val="en-US" w:eastAsia="zh-CN" w:bidi="ar-SA"/>
              </w:rPr>
              <w:t>控制单元等</w:t>
            </w:r>
            <w:r>
              <w:rPr>
                <w:rFonts w:hint="eastAsia" w:ascii="Times New Roman" w:hAnsi="Times New Roman" w:eastAsia="宋体" w:cs="Times New Roman"/>
                <w:color w:val="auto"/>
                <w:kern w:val="2"/>
                <w:sz w:val="24"/>
                <w:szCs w:val="24"/>
                <w:highlight w:val="none"/>
                <w:lang w:val="en-US" w:eastAsia="zh-CN" w:bidi="ar-SA"/>
              </w:rPr>
              <w:t>，确保发生故障时，应于4小时紧急调拨至现场。</w:t>
            </w:r>
            <w:r>
              <w:rPr>
                <w:rFonts w:hint="default" w:ascii="Times New Roman" w:hAnsi="Times New Roman" w:eastAsia="宋体" w:cs="Times New Roman"/>
                <w:color w:val="auto"/>
                <w:kern w:val="2"/>
                <w:sz w:val="24"/>
                <w:szCs w:val="22"/>
                <w:highlight w:val="none"/>
                <w:lang w:val="en-US" w:eastAsia="zh-CN" w:bidi="ar-SA"/>
              </w:rPr>
              <w:t>在重大勤务保障期间应按照采购人要求做好备品备件保障工作。</w:t>
            </w:r>
          </w:p>
          <w:p w14:paraId="491FF29A">
            <w:pPr>
              <w:keepNext w:val="0"/>
              <w:keepLines w:val="0"/>
              <w:pageBreakBefore w:val="0"/>
              <w:widowControl w:val="0"/>
              <w:kinsoku/>
              <w:wordWrap/>
              <w:overflowPunct/>
              <w:topLinePunct w:val="0"/>
              <w:autoSpaceDE/>
              <w:autoSpaceDN/>
              <w:bidi w:val="0"/>
              <w:snapToGrid/>
              <w:spacing w:line="240" w:lineRule="atLeas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r>
              <w:rPr>
                <w:rFonts w:hint="eastAsia" w:ascii="Times New Roman" w:hAnsi="Times New Roman" w:cs="Times New Roman"/>
                <w:color w:val="auto"/>
                <w:sz w:val="24"/>
                <w:highlight w:val="none"/>
                <w:lang w:val="en-US" w:eastAsia="zh-CN"/>
              </w:rPr>
              <w:t>0</w:t>
            </w:r>
            <w:r>
              <w:rPr>
                <w:rFonts w:hint="default" w:ascii="Times New Roman" w:hAnsi="Times New Roman" w:cs="Times New Roman"/>
                <w:color w:val="auto"/>
                <w:sz w:val="24"/>
                <w:highlight w:val="none"/>
              </w:rPr>
              <w:t>）投标人应在项目终验合格前配合采购人、项目</w:t>
            </w:r>
            <w:r>
              <w:rPr>
                <w:rFonts w:hint="eastAsia" w:ascii="Times New Roman" w:hAnsi="Times New Roman" w:cs="Times New Roman"/>
                <w:color w:val="auto"/>
                <w:sz w:val="24"/>
                <w:highlight w:val="none"/>
                <w:lang w:eastAsia="zh-CN"/>
              </w:rPr>
              <w:t>建设实施单位</w:t>
            </w:r>
            <w:r>
              <w:rPr>
                <w:rFonts w:hint="default" w:ascii="Times New Roman" w:hAnsi="Times New Roman" w:cs="Times New Roman"/>
                <w:color w:val="auto"/>
                <w:sz w:val="24"/>
                <w:highlight w:val="none"/>
              </w:rPr>
              <w:t>、项目监理方做好设备现场安装、集成、调试，并进行操作试验。全部</w:t>
            </w:r>
            <w:r>
              <w:rPr>
                <w:rFonts w:hint="eastAsia" w:ascii="Times New Roman" w:hAnsi="Times New Roman" w:cs="Times New Roman"/>
                <w:color w:val="auto"/>
                <w:sz w:val="24"/>
                <w:highlight w:val="none"/>
                <w:lang w:eastAsia="zh-CN"/>
              </w:rPr>
              <w:t>设备</w:t>
            </w:r>
            <w:r>
              <w:rPr>
                <w:rFonts w:hint="default" w:ascii="Times New Roman" w:hAnsi="Times New Roman" w:cs="Times New Roman"/>
                <w:color w:val="auto"/>
                <w:sz w:val="24"/>
                <w:highlight w:val="none"/>
              </w:rPr>
              <w:t>的安装、调试费用应包括在投标总价中。</w:t>
            </w:r>
          </w:p>
          <w:p w14:paraId="54AFAB02">
            <w:pPr>
              <w:keepNext w:val="0"/>
              <w:keepLines w:val="0"/>
              <w:pageBreakBefore w:val="0"/>
              <w:widowControl w:val="0"/>
              <w:kinsoku/>
              <w:wordWrap/>
              <w:overflowPunct/>
              <w:topLinePunct w:val="0"/>
              <w:autoSpaceDE/>
              <w:autoSpaceDN/>
              <w:bidi w:val="0"/>
              <w:snapToGrid/>
              <w:spacing w:line="240" w:lineRule="atLeas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eastAsia="zh-CN"/>
              </w:rPr>
              <w:t>投标人应</w:t>
            </w:r>
            <w:r>
              <w:rPr>
                <w:rFonts w:hint="default" w:ascii="Times New Roman" w:hAnsi="Times New Roman" w:cs="Times New Roman"/>
                <w:color w:val="auto"/>
                <w:sz w:val="24"/>
                <w:highlight w:val="none"/>
              </w:rPr>
              <w:t>根据国家相关要求与采购人签订保密协议。</w:t>
            </w:r>
          </w:p>
          <w:p w14:paraId="6DF3ECC8">
            <w:pPr>
              <w:keepNext w:val="0"/>
              <w:keepLines w:val="0"/>
              <w:pageBreakBefore w:val="0"/>
              <w:widowControl w:val="0"/>
              <w:kinsoku/>
              <w:wordWrap/>
              <w:overflowPunct/>
              <w:topLinePunct w:val="0"/>
              <w:autoSpaceDE/>
              <w:autoSpaceDN/>
              <w:bidi w:val="0"/>
              <w:snapToGrid/>
              <w:spacing w:line="240" w:lineRule="atLeas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r>
              <w:rPr>
                <w:rFonts w:hint="eastAsia"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rPr>
              <w:t>）质保期满后，投标人仍须对因投标方案存在的固有缺陷和瑕疵承担相应责任。</w:t>
            </w:r>
          </w:p>
          <w:p w14:paraId="4CA47CA2">
            <w:pPr>
              <w:keepNext w:val="0"/>
              <w:keepLines w:val="0"/>
              <w:pageBreakBefore w:val="0"/>
              <w:widowControl w:val="0"/>
              <w:kinsoku/>
              <w:wordWrap/>
              <w:overflowPunct/>
              <w:topLinePunct w:val="0"/>
              <w:autoSpaceDE/>
              <w:autoSpaceDN/>
              <w:bidi w:val="0"/>
              <w:snapToGrid/>
              <w:spacing w:line="240" w:lineRule="atLeas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rPr>
              <w:t>（1</w:t>
            </w:r>
            <w:r>
              <w:rPr>
                <w:rFonts w:hint="eastAsia"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w:t>
            </w:r>
            <w:r>
              <w:rPr>
                <w:rFonts w:hint="default" w:ascii="Times New Roman" w:hAnsi="Times New Roman" w:cs="Times New Roman"/>
                <w:color w:val="auto"/>
                <w:sz w:val="24"/>
                <w:szCs w:val="24"/>
                <w:highlight w:val="none"/>
              </w:rPr>
              <w:t>投标人应按照采购人要求配备专业</w:t>
            </w:r>
            <w:r>
              <w:rPr>
                <w:rFonts w:hint="eastAsia" w:ascii="Times New Roman" w:hAnsi="Times New Roman" w:cs="Times New Roman"/>
                <w:color w:val="auto"/>
                <w:sz w:val="24"/>
                <w:szCs w:val="24"/>
                <w:highlight w:val="none"/>
                <w:lang w:eastAsia="zh-CN"/>
              </w:rPr>
              <w:t>质保服务</w:t>
            </w:r>
            <w:r>
              <w:rPr>
                <w:rFonts w:hint="default" w:ascii="Times New Roman" w:hAnsi="Times New Roman" w:cs="Times New Roman"/>
                <w:color w:val="auto"/>
                <w:sz w:val="24"/>
                <w:szCs w:val="24"/>
                <w:highlight w:val="none"/>
              </w:rPr>
              <w:t>团队，更换运维人员时，经采购人同意后方可更换，应以相当资格与能力的运维人员替换，并提供相应资格证明。</w:t>
            </w:r>
          </w:p>
        </w:tc>
        <w:tc>
          <w:tcPr>
            <w:tcW w:w="1653" w:type="dxa"/>
          </w:tcPr>
          <w:p w14:paraId="17915A72">
            <w:pP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投标人须提供承诺函并加盖投标人公章</w:t>
            </w:r>
          </w:p>
        </w:tc>
      </w:tr>
      <w:tr w14:paraId="0773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037" w:hRule="atLeast"/>
          <w:jc w:val="center"/>
        </w:trPr>
        <w:tc>
          <w:tcPr>
            <w:tcW w:w="586" w:type="dxa"/>
            <w:vAlign w:val="center"/>
          </w:tcPr>
          <w:p w14:paraId="586A6A69">
            <w:pPr>
              <w:jc w:val="center"/>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cs="Times New Roman"/>
                <w:color w:val="auto"/>
                <w:sz w:val="24"/>
                <w:highlight w:val="none"/>
                <w:lang w:val="en-US" w:eastAsia="zh-CN"/>
              </w:rPr>
              <w:t>4</w:t>
            </w:r>
          </w:p>
        </w:tc>
        <w:tc>
          <w:tcPr>
            <w:tcW w:w="1077" w:type="dxa"/>
            <w:vAlign w:val="center"/>
          </w:tcPr>
          <w:p w14:paraId="424217F4">
            <w:pPr>
              <w:widowControl w:val="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项目</w:t>
            </w:r>
            <w:r>
              <w:rPr>
                <w:rFonts w:hint="eastAsia" w:ascii="Times New Roman" w:hAnsi="Times New Roman" w:eastAsia="宋体" w:cs="Times New Roman"/>
                <w:color w:val="auto"/>
                <w:kern w:val="2"/>
                <w:sz w:val="24"/>
                <w:szCs w:val="24"/>
                <w:highlight w:val="none"/>
                <w:lang w:val="en-US" w:eastAsia="zh-CN" w:bidi="ar-SA"/>
              </w:rPr>
              <w:t>供货服务</w:t>
            </w:r>
            <w:r>
              <w:rPr>
                <w:rFonts w:hint="default" w:ascii="Times New Roman" w:hAnsi="Times New Roman" w:eastAsia="宋体" w:cs="Times New Roman"/>
                <w:color w:val="auto"/>
                <w:kern w:val="2"/>
                <w:sz w:val="24"/>
                <w:szCs w:val="24"/>
                <w:highlight w:val="none"/>
                <w:lang w:val="en-US" w:eastAsia="zh-CN" w:bidi="ar-SA"/>
              </w:rPr>
              <w:t>团队要求</w:t>
            </w:r>
          </w:p>
        </w:tc>
        <w:tc>
          <w:tcPr>
            <w:tcW w:w="6449" w:type="dxa"/>
            <w:vAlign w:val="center"/>
          </w:tcPr>
          <w:p w14:paraId="0FEA21C8">
            <w:pPr>
              <w:keepNext w:val="0"/>
              <w:keepLines w:val="0"/>
              <w:pageBreakBefore w:val="0"/>
              <w:widowControl w:val="0"/>
              <w:kinsoku/>
              <w:wordWrap/>
              <w:overflowPunct/>
              <w:topLinePunct w:val="0"/>
              <w:autoSpaceDE/>
              <w:autoSpaceDN/>
              <w:bidi w:val="0"/>
              <w:snapToGrid/>
              <w:spacing w:line="240" w:lineRule="atLeas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承诺要求如下：</w:t>
            </w:r>
          </w:p>
          <w:p w14:paraId="7DA5D7F6">
            <w:pPr>
              <w:keepNext w:val="0"/>
              <w:keepLines w:val="0"/>
              <w:pageBreakBefore w:val="0"/>
              <w:widowControl w:val="0"/>
              <w:kinsoku/>
              <w:wordWrap/>
              <w:overflowPunct/>
              <w:topLinePunct w:val="0"/>
              <w:autoSpaceDE/>
              <w:autoSpaceDN/>
              <w:bidi w:val="0"/>
              <w:snapToGrid/>
              <w:spacing w:line="240" w:lineRule="atLeast"/>
              <w:textAlignment w:val="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1</w:t>
            </w:r>
            <w:r>
              <w:rPr>
                <w:rFonts w:hint="eastAsia" w:ascii="Times New Roman" w:hAnsi="Times New Roman" w:cs="Times New Roman"/>
                <w:color w:val="auto"/>
                <w:sz w:val="24"/>
                <w:highlight w:val="none"/>
                <w:lang w:eastAsia="zh-CN"/>
              </w:rPr>
              <w:t>）投标人</w:t>
            </w:r>
            <w:r>
              <w:rPr>
                <w:rFonts w:hint="eastAsia" w:ascii="Times New Roman" w:hAnsi="Times New Roman" w:cs="Times New Roman"/>
                <w:color w:val="auto"/>
                <w:sz w:val="24"/>
                <w:highlight w:val="none"/>
              </w:rPr>
              <w:t>应为本项目制定人员配置方案并成立服务团队，拟派至本项目团队人员应具有相应的工作能力或经验，确保本项目的顺利实施。服务团队总人数应不</w:t>
            </w:r>
            <w:r>
              <w:rPr>
                <w:rFonts w:hint="eastAsia" w:ascii="Times New Roman" w:hAnsi="Times New Roman" w:cs="Times New Roman"/>
                <w:color w:val="auto"/>
                <w:sz w:val="24"/>
                <w:highlight w:val="none"/>
                <w:lang w:eastAsia="zh-CN"/>
              </w:rPr>
              <w:t>低于</w:t>
            </w:r>
            <w:r>
              <w:rPr>
                <w:rFonts w:hint="eastAsia" w:ascii="Times New Roman" w:hAnsi="Times New Roman" w:cs="Times New Roman"/>
                <w:color w:val="auto"/>
                <w:sz w:val="24"/>
                <w:highlight w:val="none"/>
              </w:rPr>
              <w:t>6人</w:t>
            </w:r>
            <w:r>
              <w:rPr>
                <w:rFonts w:hint="eastAsia" w:ascii="Times New Roman" w:hAnsi="Times New Roman" w:cs="Times New Roman"/>
                <w:color w:val="auto"/>
                <w:sz w:val="24"/>
                <w:highlight w:val="none"/>
                <w:lang w:eastAsia="zh-CN"/>
              </w:rPr>
              <w:t>；</w:t>
            </w:r>
          </w:p>
          <w:p w14:paraId="50C3953F">
            <w:pPr>
              <w:keepNext w:val="0"/>
              <w:keepLines w:val="0"/>
              <w:pageBreakBefore w:val="0"/>
              <w:widowControl w:val="0"/>
              <w:kinsoku/>
              <w:wordWrap/>
              <w:overflowPunct/>
              <w:topLinePunct w:val="0"/>
              <w:autoSpaceDE/>
              <w:autoSpaceDN/>
              <w:bidi w:val="0"/>
              <w:snapToGrid/>
              <w:spacing w:line="240" w:lineRule="atLeast"/>
              <w:textAlignment w:val="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2</w:t>
            </w:r>
            <w:r>
              <w:rPr>
                <w:rFonts w:hint="eastAsia" w:ascii="Times New Roman" w:hAnsi="Times New Roman" w:cs="Times New Roman"/>
                <w:color w:val="auto"/>
                <w:sz w:val="24"/>
                <w:highlight w:val="none"/>
                <w:lang w:eastAsia="zh-CN"/>
              </w:rPr>
              <w:t>）团队中应</w:t>
            </w:r>
            <w:r>
              <w:rPr>
                <w:rFonts w:hint="eastAsia" w:ascii="宋体" w:hAnsi="宋体" w:cs="宋体"/>
                <w:spacing w:val="-2"/>
                <w:sz w:val="24"/>
                <w:highlight w:val="none"/>
              </w:rPr>
              <w:t>具有</w:t>
            </w:r>
            <w:r>
              <w:rPr>
                <w:rFonts w:hint="eastAsia" w:ascii="宋体" w:hAnsi="宋体" w:cs="宋体"/>
                <w:spacing w:val="-2"/>
                <w:sz w:val="24"/>
                <w:highlight w:val="none"/>
                <w:lang w:eastAsia="zh-CN"/>
              </w:rPr>
              <w:t>一定数量具备</w:t>
            </w:r>
            <w:r>
              <w:rPr>
                <w:rFonts w:hint="eastAsia" w:ascii="宋体" w:hAnsi="宋体" w:eastAsia="宋体" w:cs="宋体"/>
                <w:color w:val="auto"/>
                <w:kern w:val="0"/>
                <w:sz w:val="24"/>
                <w:szCs w:val="24"/>
                <w:highlight w:val="none"/>
                <w:u w:val="none"/>
                <w:lang w:val="en-US" w:eastAsia="zh-CN" w:bidi="ar"/>
              </w:rPr>
              <w:t>特种作业操作证-</w:t>
            </w:r>
            <w:r>
              <w:rPr>
                <w:rFonts w:hint="eastAsia" w:ascii="宋体" w:hAnsi="宋体" w:eastAsia="宋体" w:cs="宋体"/>
                <w:color w:val="auto"/>
                <w:sz w:val="24"/>
                <w:szCs w:val="24"/>
                <w:highlight w:val="none"/>
                <w:u w:val="none"/>
                <w:lang w:val="en-US" w:eastAsia="zh-CN"/>
              </w:rPr>
              <w:t>低压电工作业</w:t>
            </w:r>
            <w:r>
              <w:rPr>
                <w:rFonts w:hint="eastAsia" w:ascii="宋体" w:hAnsi="宋体" w:cs="宋体"/>
                <w:spacing w:val="-2"/>
                <w:sz w:val="24"/>
                <w:highlight w:val="none"/>
                <w:lang w:eastAsia="zh-CN"/>
              </w:rPr>
              <w:t>的人员；</w:t>
            </w:r>
          </w:p>
          <w:p w14:paraId="3FEAB59C">
            <w:pPr>
              <w:keepNext w:val="0"/>
              <w:keepLines w:val="0"/>
              <w:pageBreakBefore w:val="0"/>
              <w:widowControl w:val="0"/>
              <w:kinsoku/>
              <w:wordWrap/>
              <w:overflowPunct/>
              <w:topLinePunct w:val="0"/>
              <w:autoSpaceDE/>
              <w:autoSpaceDN/>
              <w:bidi w:val="0"/>
              <w:snapToGrid/>
              <w:spacing w:line="240" w:lineRule="atLeast"/>
              <w:textAlignment w:val="auto"/>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3</w:t>
            </w:r>
            <w:r>
              <w:rPr>
                <w:rFonts w:hint="eastAsia" w:ascii="Times New Roman" w:hAnsi="Times New Roman" w:cs="Times New Roman"/>
                <w:color w:val="auto"/>
                <w:sz w:val="24"/>
                <w:highlight w:val="none"/>
                <w:lang w:eastAsia="zh-CN"/>
              </w:rPr>
              <w:t>）投标人</w:t>
            </w:r>
            <w:r>
              <w:rPr>
                <w:rFonts w:hint="eastAsia" w:ascii="Times New Roman" w:hAnsi="Times New Roman" w:cs="Times New Roman"/>
                <w:color w:val="auto"/>
                <w:sz w:val="24"/>
                <w:highlight w:val="none"/>
              </w:rPr>
              <w:t>应保证项目服务团队人员稳定性，不得随意更换项目团队成员，若因特殊原因更换，需征得采购人同意。</w:t>
            </w:r>
          </w:p>
          <w:p w14:paraId="724E7899">
            <w:pPr>
              <w:keepNext w:val="0"/>
              <w:keepLines w:val="0"/>
              <w:pageBreakBefore w:val="0"/>
              <w:widowControl w:val="0"/>
              <w:kinsoku/>
              <w:wordWrap/>
              <w:overflowPunct/>
              <w:topLinePunct w:val="0"/>
              <w:autoSpaceDE/>
              <w:autoSpaceDN/>
              <w:bidi w:val="0"/>
              <w:snapToGrid/>
              <w:spacing w:line="240" w:lineRule="atLeast"/>
              <w:textAlignment w:val="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4</w:t>
            </w:r>
            <w:r>
              <w:rPr>
                <w:rFonts w:hint="eastAsia" w:ascii="Times New Roman" w:hAnsi="Times New Roman" w:cs="Times New Roman"/>
                <w:color w:val="auto"/>
                <w:sz w:val="24"/>
                <w:highlight w:val="none"/>
                <w:lang w:eastAsia="zh-CN"/>
              </w:rPr>
              <w:t>）投标人</w:t>
            </w:r>
            <w:r>
              <w:rPr>
                <w:rFonts w:hint="default" w:ascii="Times New Roman" w:hAnsi="Times New Roman" w:cs="Times New Roman"/>
                <w:color w:val="auto"/>
                <w:sz w:val="24"/>
                <w:highlight w:val="none"/>
              </w:rPr>
              <w:t>提供不少于</w:t>
            </w:r>
            <w:r>
              <w:rPr>
                <w:rFonts w:hint="eastAsia"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rPr>
              <w:t>名</w:t>
            </w:r>
            <w:r>
              <w:rPr>
                <w:rFonts w:hint="eastAsia" w:ascii="Times New Roman" w:hAnsi="Times New Roman" w:cs="Times New Roman"/>
                <w:color w:val="auto"/>
                <w:sz w:val="24"/>
                <w:highlight w:val="none"/>
                <w:lang w:val="en-US" w:eastAsia="zh-CN"/>
              </w:rPr>
              <w:t>UPS</w:t>
            </w:r>
            <w:r>
              <w:rPr>
                <w:rFonts w:hint="default" w:ascii="Times New Roman" w:hAnsi="Times New Roman" w:cs="Times New Roman"/>
                <w:color w:val="auto"/>
                <w:sz w:val="24"/>
                <w:highlight w:val="none"/>
              </w:rPr>
              <w:t>原厂工程师配合本项目交付实施。投标人承诺</w:t>
            </w:r>
            <w:r>
              <w:rPr>
                <w:rFonts w:hint="eastAsia" w:ascii="Arial" w:hAnsi="Arial" w:eastAsia="Arial" w:cs="Arial"/>
                <w:bCs/>
                <w:snapToGrid w:val="0"/>
                <w:color w:val="auto"/>
                <w:kern w:val="0"/>
                <w:sz w:val="24"/>
                <w:szCs w:val="21"/>
                <w:highlight w:val="none"/>
                <w:lang w:eastAsia="en-US"/>
              </w:rPr>
              <w:t>针对本项目涉及原厂服务的，</w:t>
            </w:r>
            <w:r>
              <w:rPr>
                <w:rFonts w:hint="eastAsia" w:ascii="Arial" w:hAnsi="Arial" w:eastAsia="宋体" w:cs="Arial"/>
                <w:bCs/>
                <w:snapToGrid w:val="0"/>
                <w:color w:val="auto"/>
                <w:kern w:val="0"/>
                <w:sz w:val="24"/>
                <w:szCs w:val="21"/>
                <w:highlight w:val="none"/>
                <w:lang w:eastAsia="zh-CN"/>
              </w:rPr>
              <w:t>投标人若中标，</w:t>
            </w:r>
            <w:r>
              <w:rPr>
                <w:rFonts w:hint="eastAsia" w:ascii="Arial" w:hAnsi="Arial" w:cs="Arial"/>
                <w:snapToGrid w:val="0"/>
                <w:color w:val="auto"/>
                <w:kern w:val="0"/>
                <w:sz w:val="24"/>
                <w:szCs w:val="21"/>
                <w:highlight w:val="none"/>
                <w:lang w:eastAsia="zh-CN"/>
              </w:rPr>
              <w:t>可在</w:t>
            </w:r>
            <w:r>
              <w:rPr>
                <w:rFonts w:ascii="Arial" w:hAnsi="Arial" w:eastAsia="宋体" w:cs="Arial"/>
                <w:snapToGrid w:val="0"/>
                <w:color w:val="auto"/>
                <w:kern w:val="0"/>
                <w:sz w:val="24"/>
                <w:szCs w:val="21"/>
                <w:highlight w:val="none"/>
                <w:lang w:eastAsia="en-US"/>
              </w:rPr>
              <w:t>中标公告发出之日起</w:t>
            </w:r>
            <w:r>
              <w:rPr>
                <w:rFonts w:hint="eastAsia" w:ascii="Arial" w:hAnsi="Arial" w:eastAsia="Arial" w:cs="Arial"/>
                <w:snapToGrid w:val="0"/>
                <w:color w:val="auto"/>
                <w:kern w:val="0"/>
                <w:sz w:val="24"/>
                <w:szCs w:val="21"/>
                <w:highlight w:val="none"/>
                <w:lang w:val="en-US" w:eastAsia="zh-CN"/>
              </w:rPr>
              <w:t>5</w:t>
            </w:r>
            <w:r>
              <w:rPr>
                <w:rFonts w:ascii="Arial" w:hAnsi="Arial" w:eastAsia="宋体" w:cs="Arial"/>
                <w:snapToGrid w:val="0"/>
                <w:color w:val="auto"/>
                <w:kern w:val="0"/>
                <w:sz w:val="24"/>
                <w:szCs w:val="21"/>
                <w:highlight w:val="none"/>
                <w:lang w:eastAsia="en-US"/>
              </w:rPr>
              <w:t>个工作日内，向采购人提供原厂</w:t>
            </w:r>
            <w:r>
              <w:rPr>
                <w:rFonts w:hint="eastAsia" w:ascii="Arial" w:hAnsi="Arial" w:eastAsia="Arial" w:cs="Arial"/>
                <w:snapToGrid w:val="0"/>
                <w:color w:val="auto"/>
                <w:kern w:val="0"/>
                <w:sz w:val="24"/>
                <w:szCs w:val="21"/>
                <w:highlight w:val="none"/>
                <w:lang w:eastAsia="zh-CN"/>
              </w:rPr>
              <w:t>服务</w:t>
            </w:r>
            <w:r>
              <w:rPr>
                <w:rFonts w:ascii="Arial" w:hAnsi="Arial" w:eastAsia="宋体" w:cs="Arial"/>
                <w:snapToGrid w:val="0"/>
                <w:color w:val="auto"/>
                <w:kern w:val="0"/>
                <w:sz w:val="24"/>
                <w:szCs w:val="21"/>
                <w:highlight w:val="none"/>
                <w:lang w:eastAsia="en-US"/>
              </w:rPr>
              <w:t>承诺函</w:t>
            </w:r>
            <w:r>
              <w:rPr>
                <w:rFonts w:hint="eastAsia" w:ascii="Arial" w:hAnsi="Arial" w:cs="Arial"/>
                <w:snapToGrid w:val="0"/>
                <w:color w:val="auto"/>
                <w:kern w:val="0"/>
                <w:sz w:val="24"/>
                <w:szCs w:val="21"/>
                <w:highlight w:val="none"/>
                <w:lang w:eastAsia="zh-CN"/>
              </w:rPr>
              <w:t>。</w:t>
            </w:r>
          </w:p>
          <w:p w14:paraId="53036EA4">
            <w:pPr>
              <w:keepNext w:val="0"/>
              <w:keepLines w:val="0"/>
              <w:pageBreakBefore w:val="0"/>
              <w:widowControl w:val="0"/>
              <w:kinsoku/>
              <w:wordWrap/>
              <w:overflowPunct/>
              <w:topLinePunct w:val="0"/>
              <w:autoSpaceDE/>
              <w:autoSpaceDN/>
              <w:bidi w:val="0"/>
              <w:snapToGrid/>
              <w:spacing w:line="240" w:lineRule="atLeas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（注：（1）-（</w:t>
            </w:r>
            <w:r>
              <w:rPr>
                <w:rFonts w:hint="eastAsia"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）项要求涉及的项目实施团队成员须为投标人单位员工。）</w:t>
            </w:r>
          </w:p>
        </w:tc>
        <w:tc>
          <w:tcPr>
            <w:tcW w:w="1653" w:type="dxa"/>
          </w:tcPr>
          <w:p w14:paraId="6AB1509F">
            <w:pP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投标人须提供承诺函并加盖投标人公章</w:t>
            </w:r>
          </w:p>
        </w:tc>
      </w:tr>
      <w:tr w14:paraId="137C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586" w:type="dxa"/>
            <w:vAlign w:val="center"/>
          </w:tcPr>
          <w:p w14:paraId="25EC48D4">
            <w:pPr>
              <w:jc w:val="center"/>
              <w:rPr>
                <w:rFonts w:hint="eastAsia" w:ascii="Times New Roman" w:hAnsi="Times New Roman" w:eastAsia="宋体" w:cs="Times New Roman"/>
                <w:color w:val="auto"/>
                <w:sz w:val="24"/>
                <w:highlight w:val="none"/>
                <w:lang w:eastAsia="zh-CN"/>
              </w:rPr>
            </w:pPr>
            <w:r>
              <w:rPr>
                <w:rFonts w:hint="eastAsia" w:ascii="Times New Roman" w:hAnsi="Times New Roman" w:cs="Times New Roman"/>
                <w:color w:val="auto"/>
                <w:kern w:val="0"/>
                <w:sz w:val="24"/>
                <w:highlight w:val="none"/>
                <w:lang w:val="en-US" w:eastAsia="zh-CN"/>
              </w:rPr>
              <w:t>5</w:t>
            </w:r>
          </w:p>
        </w:tc>
        <w:tc>
          <w:tcPr>
            <w:tcW w:w="1077" w:type="dxa"/>
            <w:vAlign w:val="center"/>
          </w:tcPr>
          <w:p w14:paraId="574E8140">
            <w:pPr>
              <w:jc w:val="center"/>
              <w:rPr>
                <w:rFonts w:hint="eastAsia"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培训服务</w:t>
            </w:r>
            <w:r>
              <w:rPr>
                <w:rFonts w:hint="eastAsia" w:ascii="Times New Roman" w:hAnsi="Times New Roman" w:cs="Times New Roman"/>
                <w:color w:val="auto"/>
                <w:sz w:val="24"/>
                <w:highlight w:val="none"/>
                <w:lang w:val="en-US" w:eastAsia="zh-CN"/>
              </w:rPr>
              <w:t>要求</w:t>
            </w:r>
          </w:p>
        </w:tc>
        <w:tc>
          <w:tcPr>
            <w:tcW w:w="6449" w:type="dxa"/>
          </w:tcPr>
          <w:p w14:paraId="18554603">
            <w:pP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承诺要求如下：</w:t>
            </w:r>
          </w:p>
          <w:p w14:paraId="3170810B">
            <w:pPr>
              <w:widowControl w:val="0"/>
              <w:adjustRightInd w:val="0"/>
              <w:spacing w:line="360" w:lineRule="auto"/>
              <w:ind w:firstLine="424" w:firstLineChars="177"/>
              <w:contextualSpacing/>
              <w:jc w:val="left"/>
              <w:rPr>
                <w:rFonts w:hint="default" w:ascii="Times New Roman" w:hAnsi="Times New Roman" w:eastAsia="宋体" w:cs="Times New Roman"/>
                <w:color w:val="auto"/>
                <w:kern w:val="2"/>
                <w:sz w:val="24"/>
                <w:szCs w:val="22"/>
                <w:highlight w:val="none"/>
                <w:lang w:val="en-US" w:eastAsia="zh-CN" w:bidi="ar-SA"/>
              </w:rPr>
            </w:pPr>
            <w:r>
              <w:rPr>
                <w:rFonts w:hint="default" w:ascii="Times New Roman" w:hAnsi="Times New Roman" w:eastAsia="宋体" w:cs="Times New Roman"/>
                <w:color w:val="auto"/>
                <w:kern w:val="2"/>
                <w:sz w:val="24"/>
                <w:szCs w:val="22"/>
                <w:highlight w:val="none"/>
                <w:lang w:val="en-US" w:eastAsia="zh-CN" w:bidi="ar-SA"/>
              </w:rPr>
              <w:t>投标人必须提供</w:t>
            </w:r>
            <w:r>
              <w:rPr>
                <w:rFonts w:hint="eastAsia" w:ascii="Times New Roman" w:hAnsi="Times New Roman" w:eastAsia="宋体" w:cs="Times New Roman"/>
                <w:color w:val="auto"/>
                <w:kern w:val="2"/>
                <w:sz w:val="24"/>
                <w:szCs w:val="22"/>
                <w:highlight w:val="none"/>
                <w:lang w:val="en-US" w:eastAsia="zh-CN" w:bidi="ar-SA"/>
              </w:rPr>
              <w:t>UPS</w:t>
            </w:r>
            <w:r>
              <w:rPr>
                <w:rFonts w:hint="default" w:ascii="Times New Roman" w:hAnsi="Times New Roman" w:eastAsia="宋体" w:cs="Times New Roman"/>
                <w:color w:val="auto"/>
                <w:kern w:val="2"/>
                <w:sz w:val="24"/>
                <w:szCs w:val="22"/>
                <w:highlight w:val="none"/>
                <w:lang w:val="en-US" w:eastAsia="zh-CN" w:bidi="ar-SA"/>
              </w:rPr>
              <w:t>的技术培训服务。针对本项目的系统使用与运维人员进行集中的基础理论培训和现场的实践技能培训。保证本项目相关人员在培训后能够独立地对</w:t>
            </w:r>
            <w:r>
              <w:rPr>
                <w:rFonts w:hint="eastAsia" w:ascii="Times New Roman" w:hAnsi="Times New Roman" w:eastAsia="宋体" w:cs="Times New Roman"/>
                <w:color w:val="auto"/>
                <w:kern w:val="2"/>
                <w:sz w:val="24"/>
                <w:szCs w:val="22"/>
                <w:highlight w:val="none"/>
                <w:lang w:val="en-US" w:eastAsia="zh-CN" w:bidi="ar-SA"/>
              </w:rPr>
              <w:t>UPS设备</w:t>
            </w:r>
            <w:r>
              <w:rPr>
                <w:rFonts w:hint="default" w:ascii="Times New Roman" w:hAnsi="Times New Roman" w:eastAsia="宋体" w:cs="Times New Roman"/>
                <w:color w:val="auto"/>
                <w:kern w:val="2"/>
                <w:sz w:val="24"/>
                <w:szCs w:val="22"/>
                <w:highlight w:val="none"/>
                <w:lang w:val="en-US" w:eastAsia="zh-CN" w:bidi="ar-SA"/>
              </w:rPr>
              <w:t>进行管理、维护</w:t>
            </w:r>
            <w:r>
              <w:rPr>
                <w:rFonts w:hint="eastAsia" w:ascii="Times New Roman" w:hAnsi="Times New Roman" w:eastAsia="宋体" w:cs="Times New Roman"/>
                <w:color w:val="auto"/>
                <w:kern w:val="2"/>
                <w:sz w:val="24"/>
                <w:szCs w:val="22"/>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对U</w:t>
            </w:r>
            <w:r>
              <w:rPr>
                <w:rFonts w:ascii="Times New Roman" w:hAnsi="Times New Roman" w:eastAsia="宋体" w:cs="Times New Roman"/>
                <w:color w:val="auto"/>
                <w:kern w:val="2"/>
                <w:sz w:val="24"/>
                <w:szCs w:val="24"/>
                <w:highlight w:val="none"/>
                <w:lang w:val="en-US" w:eastAsia="zh-CN" w:bidi="ar-SA"/>
              </w:rPr>
              <w:t>PS</w:t>
            </w:r>
            <w:r>
              <w:rPr>
                <w:rFonts w:hint="eastAsia" w:ascii="Times New Roman" w:hAnsi="Times New Roman" w:eastAsia="宋体" w:cs="Times New Roman"/>
                <w:color w:val="auto"/>
                <w:kern w:val="2"/>
                <w:sz w:val="24"/>
                <w:szCs w:val="24"/>
                <w:highlight w:val="none"/>
                <w:lang w:val="en-US" w:eastAsia="zh-CN" w:bidi="ar-SA"/>
              </w:rPr>
              <w:t>可能发生的故障，进行针对性培训指导，使机房维护人员能够独立应对突发情况，处理设备故障。</w:t>
            </w:r>
            <w:r>
              <w:rPr>
                <w:rFonts w:hint="default" w:ascii="Times New Roman" w:hAnsi="Times New Roman" w:eastAsia="宋体" w:cs="Times New Roman"/>
                <w:color w:val="auto"/>
                <w:kern w:val="2"/>
                <w:sz w:val="24"/>
                <w:szCs w:val="22"/>
                <w:highlight w:val="none"/>
                <w:lang w:val="en-US" w:eastAsia="zh-CN" w:bidi="ar-SA"/>
              </w:rPr>
              <w:t>培训场地、交通等与培训相关的费用应包含在投标总价中。</w:t>
            </w:r>
          </w:p>
        </w:tc>
        <w:tc>
          <w:tcPr>
            <w:tcW w:w="1653" w:type="dxa"/>
          </w:tcPr>
          <w:p w14:paraId="2B2DA18A">
            <w:pP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投标人须提供承诺函并加盖投标人公章</w:t>
            </w:r>
          </w:p>
        </w:tc>
      </w:tr>
      <w:tr w14:paraId="19010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586" w:type="dxa"/>
            <w:vAlign w:val="center"/>
          </w:tcPr>
          <w:p w14:paraId="555E872E">
            <w:pPr>
              <w:jc w:val="center"/>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cs="Times New Roman"/>
                <w:color w:val="auto"/>
                <w:kern w:val="0"/>
                <w:sz w:val="24"/>
                <w:highlight w:val="none"/>
                <w:lang w:val="en-US" w:eastAsia="zh-CN"/>
              </w:rPr>
              <w:t>6</w:t>
            </w:r>
          </w:p>
        </w:tc>
        <w:tc>
          <w:tcPr>
            <w:tcW w:w="1077" w:type="dxa"/>
            <w:vAlign w:val="center"/>
          </w:tcPr>
          <w:p w14:paraId="0CF4E457">
            <w:pPr>
              <w:widowControl/>
              <w:spacing w:line="360" w:lineRule="auto"/>
              <w:contextualSpacing/>
              <w:rPr>
                <w:rFonts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供货</w:t>
            </w:r>
            <w:r>
              <w:rPr>
                <w:rFonts w:hint="eastAsia" w:ascii="Times New Roman" w:hAnsi="Times New Roman" w:cs="Times New Roman"/>
                <w:color w:val="auto"/>
                <w:sz w:val="24"/>
                <w:highlight w:val="none"/>
              </w:rPr>
              <w:t>实施方案</w:t>
            </w:r>
          </w:p>
          <w:p w14:paraId="64406652">
            <w:pPr>
              <w:jc w:val="center"/>
              <w:rPr>
                <w:rFonts w:hint="eastAsia" w:ascii="Times New Roman" w:hAnsi="Times New Roman" w:eastAsia="宋体" w:cs="Times New Roman"/>
                <w:color w:val="auto"/>
                <w:sz w:val="24"/>
                <w:highlight w:val="none"/>
                <w:lang w:eastAsia="zh-CN"/>
              </w:rPr>
            </w:pPr>
          </w:p>
        </w:tc>
        <w:tc>
          <w:tcPr>
            <w:tcW w:w="6449" w:type="dxa"/>
          </w:tcPr>
          <w:p w14:paraId="014873AF">
            <w:pPr>
              <w:keepNext w:val="0"/>
              <w:keepLines w:val="0"/>
              <w:pageBreakBefore w:val="0"/>
              <w:widowControl/>
              <w:kinsoku/>
              <w:wordWrap/>
              <w:overflowPunct/>
              <w:topLinePunct w:val="0"/>
              <w:autoSpaceDE/>
              <w:autoSpaceDN/>
              <w:bidi w:val="0"/>
              <w:snapToGrid/>
              <w:spacing w:line="240" w:lineRule="auto"/>
              <w:contextualSpacing/>
              <w:textAlignment w:val="auto"/>
              <w:rPr>
                <w:rFonts w:ascii="Times New Roman" w:hAnsi="Times New Roman" w:cs="Times New Roman"/>
                <w:b w:val="0"/>
                <w:bCs w:val="0"/>
                <w:color w:val="auto"/>
                <w:sz w:val="24"/>
                <w:highlight w:val="none"/>
              </w:rPr>
            </w:pPr>
            <w:r>
              <w:rPr>
                <w:rFonts w:hint="eastAsia" w:ascii="Times New Roman" w:hAnsi="Times New Roman" w:cs="Times New Roman"/>
                <w:b w:val="0"/>
                <w:bCs w:val="0"/>
                <w:color w:val="auto"/>
                <w:sz w:val="24"/>
                <w:szCs w:val="24"/>
                <w:highlight w:val="none"/>
                <w:lang w:eastAsia="zh-CN"/>
              </w:rPr>
              <w:t>投标人</w:t>
            </w:r>
            <w:r>
              <w:rPr>
                <w:rFonts w:hint="eastAsia" w:ascii="Times New Roman" w:hAnsi="Times New Roman" w:cs="Times New Roman"/>
                <w:b w:val="0"/>
                <w:bCs w:val="0"/>
                <w:color w:val="auto"/>
                <w:sz w:val="24"/>
                <w:highlight w:val="none"/>
              </w:rPr>
              <w:t>应根据本项目采购需求指定详细的实施方案，确保高质量项目交付，实施方案应包括供货方案，调试方案，质量保障方案。</w:t>
            </w:r>
          </w:p>
          <w:p w14:paraId="6405A496">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（1）供货方案</w:t>
            </w:r>
          </w:p>
          <w:p w14:paraId="140DFEAC">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投标人应结合本项目实际情况，编制详细的供货方案，内容至少包括但不限于：</w:t>
            </w:r>
          </w:p>
          <w:p w14:paraId="3120FD41">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供货总体安排：对项目供货需求的理解、总体供货思路及工作目标；</w:t>
            </w:r>
          </w:p>
          <w:p w14:paraId="23951D88">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供货进度计划：从合同签订、备货、生产（如有）、质检、包装、运输到交货的全过程进度安排，须明确各关键节点时间；</w:t>
            </w:r>
          </w:p>
          <w:p w14:paraId="7EABCE08">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货源及备货保障：货源渠道备货能力及库存情况；</w:t>
            </w:r>
          </w:p>
          <w:p w14:paraId="613F33FC">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运输及交付方案：包装标准、运输方式，装卸措施及交货流程；</w:t>
            </w:r>
          </w:p>
          <w:p w14:paraId="7B7687ED">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应急保障措施：针对运输延误、货物损坏、不可抗力等情况的应急预案；</w:t>
            </w:r>
          </w:p>
          <w:p w14:paraId="7799B5F0">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供货方案应科学合理、切实可行，能够充分证明投标人具备按期、保质、保量完成供货的能力。</w:t>
            </w:r>
          </w:p>
          <w:p w14:paraId="1FD4F544">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w:t>
            </w:r>
            <w:r>
              <w:rPr>
                <w:rFonts w:ascii="Times New Roman" w:hAnsi="Times New Roman" w:eastAsia="宋体" w:cs="Times New Roman"/>
                <w:b w:val="0"/>
                <w:bCs w:val="0"/>
                <w:color w:val="auto"/>
                <w:kern w:val="2"/>
                <w:sz w:val="24"/>
                <w:szCs w:val="24"/>
                <w:highlight w:val="none"/>
                <w:lang w:val="en-US" w:eastAsia="zh-CN" w:bidi="ar-SA"/>
              </w:rPr>
              <w:t>2</w:t>
            </w:r>
            <w:r>
              <w:rPr>
                <w:rFonts w:hint="eastAsia" w:ascii="Times New Roman" w:hAnsi="Times New Roman" w:eastAsia="宋体" w:cs="Times New Roman"/>
                <w:b w:val="0"/>
                <w:bCs w:val="0"/>
                <w:color w:val="auto"/>
                <w:kern w:val="2"/>
                <w:sz w:val="24"/>
                <w:szCs w:val="24"/>
                <w:highlight w:val="none"/>
                <w:lang w:val="en-US" w:eastAsia="zh-CN" w:bidi="ar-SA"/>
              </w:rPr>
              <w:t>）开机调试方案</w:t>
            </w:r>
          </w:p>
          <w:p w14:paraId="4757A8A8">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投标人应根据项目实际情况，制定详细的项目到货实施方案，指导项目施工全过程，提高施工效率，保证施工质量及施工安全，确保项目顺利实施开展。方案应包括规划布置，系统配置、安装工具，以及项目整体计划工期、人员配置等，并对系统配置进行说明，确保项目实施方案符合各类国标要求和项目技术需求。</w:t>
            </w:r>
          </w:p>
          <w:p w14:paraId="5F1F444C">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w:t>
            </w:r>
            <w:r>
              <w:rPr>
                <w:rFonts w:ascii="Times New Roman" w:hAnsi="Times New Roman" w:eastAsia="宋体" w:cs="Times New Roman"/>
                <w:b w:val="0"/>
                <w:bCs w:val="0"/>
                <w:color w:val="auto"/>
                <w:kern w:val="2"/>
                <w:sz w:val="24"/>
                <w:szCs w:val="24"/>
                <w:highlight w:val="none"/>
                <w:lang w:val="en-US" w:eastAsia="zh-CN" w:bidi="ar-SA"/>
              </w:rPr>
              <w:t>3</w:t>
            </w:r>
            <w:r>
              <w:rPr>
                <w:rFonts w:hint="eastAsia" w:ascii="Times New Roman" w:hAnsi="Times New Roman" w:eastAsia="宋体" w:cs="Times New Roman"/>
                <w:b w:val="0"/>
                <w:bCs w:val="0"/>
                <w:color w:val="auto"/>
                <w:kern w:val="2"/>
                <w:sz w:val="24"/>
                <w:szCs w:val="24"/>
                <w:highlight w:val="none"/>
                <w:lang w:val="en-US" w:eastAsia="zh-CN" w:bidi="ar-SA"/>
              </w:rPr>
              <w:t>）供货质量控制方案</w:t>
            </w:r>
          </w:p>
          <w:p w14:paraId="1EE31810">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投标人应针对本项目制定详细的质量保证方案，内容至少包括：</w:t>
            </w:r>
          </w:p>
          <w:p w14:paraId="61F37914">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过程检验机制：详细描述从原材料入库、生产加工、半成品检验到成品出厂的全过程质量控制节检测方法。</w:t>
            </w:r>
          </w:p>
          <w:p w14:paraId="621464F1">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到货验收配合：配合招标人进行外观检查、数量清点及性能抽检。</w:t>
            </w:r>
          </w:p>
          <w:p w14:paraId="26684F5F">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包装与防护：针对货物的特性，说明采取的防潮、防震、防锈、防变形等包装及运输防护措施，确保货物运抵现场完好。</w:t>
            </w:r>
          </w:p>
          <w:p w14:paraId="1E2A699C">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档案与追溯：建立本项目产品质量档案，保证产品可追溯，并提供完整的技术资料、合格证。</w:t>
            </w:r>
          </w:p>
          <w:p w14:paraId="2540F322">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hint="default" w:ascii="Times New Roman" w:hAnsi="Times New Roman" w:eastAsia="宋体" w:cs="Times New Roman"/>
                <w:b w:val="0"/>
                <w:bCs w:val="0"/>
                <w:color w:val="auto"/>
                <w:kern w:val="2"/>
                <w:sz w:val="24"/>
                <w:szCs w:val="22"/>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投标人提供的质量保证方案应科学、严谨，确保交付的所有产品均为全新原厂正品，符合国家及行业相关标准，且不存在任何权利瑕疵。</w:t>
            </w:r>
          </w:p>
        </w:tc>
        <w:tc>
          <w:tcPr>
            <w:tcW w:w="1653" w:type="dxa"/>
          </w:tcPr>
          <w:p w14:paraId="7A683FAF">
            <w:pPr>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投标人自行编制并提供方案</w:t>
            </w:r>
          </w:p>
        </w:tc>
      </w:tr>
      <w:tr w14:paraId="28F71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586" w:type="dxa"/>
            <w:vAlign w:val="center"/>
          </w:tcPr>
          <w:p w14:paraId="3115AE90">
            <w:pPr>
              <w:jc w:val="center"/>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cs="Times New Roman"/>
                <w:color w:val="auto"/>
                <w:kern w:val="0"/>
                <w:sz w:val="24"/>
                <w:highlight w:val="none"/>
                <w:lang w:val="en-US" w:eastAsia="zh-CN"/>
              </w:rPr>
              <w:t>7</w:t>
            </w:r>
          </w:p>
        </w:tc>
        <w:tc>
          <w:tcPr>
            <w:tcW w:w="1077" w:type="dxa"/>
            <w:vAlign w:val="center"/>
          </w:tcPr>
          <w:p w14:paraId="618E8C22">
            <w:pPr>
              <w:adjustRightInd w:val="0"/>
              <w:spacing w:line="360" w:lineRule="auto"/>
              <w:contextualSpacing/>
              <w:jc w:val="lef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售后服务方案</w:t>
            </w:r>
          </w:p>
          <w:p w14:paraId="4750A653">
            <w:pPr>
              <w:jc w:val="center"/>
              <w:rPr>
                <w:rFonts w:hint="default" w:ascii="Times New Roman" w:hAnsi="Times New Roman" w:cs="Times New Roman"/>
                <w:color w:val="auto"/>
                <w:sz w:val="24"/>
                <w:highlight w:val="none"/>
              </w:rPr>
            </w:pPr>
          </w:p>
        </w:tc>
        <w:tc>
          <w:tcPr>
            <w:tcW w:w="6449" w:type="dxa"/>
          </w:tcPr>
          <w:p w14:paraId="47FF4CCF">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投标人应根据项目实际情况，制定详细的项目质保服务方案，确保质保期内机房安全稳定运行。质保服务方案具体应包括：质保服务内容、故障响应措施、应急处置措施、备品备件方案等。</w:t>
            </w:r>
          </w:p>
          <w:p w14:paraId="1A48AC0E">
            <w:pPr>
              <w:keepNext w:val="0"/>
              <w:keepLines w:val="0"/>
              <w:pageBreakBefore w:val="0"/>
              <w:widowControl w:val="0"/>
              <w:numPr>
                <w:ilvl w:val="0"/>
                <w:numId w:val="2"/>
              </w:numPr>
              <w:kinsoku/>
              <w:wordWrap/>
              <w:overflowPunct/>
              <w:topLinePunct w:val="0"/>
              <w:autoSpaceDE/>
              <w:autoSpaceDN/>
              <w:bidi w:val="0"/>
              <w:adjustRightInd w:val="0"/>
              <w:snapToGrid/>
              <w:spacing w:line="240" w:lineRule="auto"/>
              <w:ind w:left="1145" w:hanging="720" w:firstLineChars="0"/>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质保服务内容</w:t>
            </w:r>
          </w:p>
          <w:p w14:paraId="659DD84E">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投标人应根据质保服务要求提供质保方案，服务内容包括质保年限、远程支持服务、现场服务、重要活动或重大节日保障、巡检服务及备件服务。</w:t>
            </w:r>
          </w:p>
          <w:p w14:paraId="5CCAC38B">
            <w:pPr>
              <w:keepNext w:val="0"/>
              <w:keepLines w:val="0"/>
              <w:pageBreakBefore w:val="0"/>
              <w:widowControl w:val="0"/>
              <w:numPr>
                <w:ilvl w:val="0"/>
                <w:numId w:val="2"/>
              </w:numPr>
              <w:kinsoku/>
              <w:wordWrap/>
              <w:overflowPunct/>
              <w:topLinePunct w:val="0"/>
              <w:autoSpaceDE/>
              <w:autoSpaceDN/>
              <w:bidi w:val="0"/>
              <w:adjustRightInd w:val="0"/>
              <w:snapToGrid/>
              <w:spacing w:line="240" w:lineRule="auto"/>
              <w:ind w:left="1145" w:hanging="720" w:firstLineChars="0"/>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故障响应措施</w:t>
            </w:r>
          </w:p>
          <w:p w14:paraId="6106E6DC">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对于一般故障，投标人应针对本项目制定完善的故障响应措施，在故障服务通道、故障响应时效、故障处理流程等方面进行详细说明。</w:t>
            </w:r>
          </w:p>
          <w:p w14:paraId="671A3B37">
            <w:pPr>
              <w:keepNext w:val="0"/>
              <w:keepLines w:val="0"/>
              <w:pageBreakBefore w:val="0"/>
              <w:widowControl w:val="0"/>
              <w:numPr>
                <w:ilvl w:val="0"/>
                <w:numId w:val="2"/>
              </w:numPr>
              <w:kinsoku/>
              <w:wordWrap/>
              <w:overflowPunct/>
              <w:topLinePunct w:val="0"/>
              <w:autoSpaceDE/>
              <w:autoSpaceDN/>
              <w:bidi w:val="0"/>
              <w:adjustRightInd w:val="0"/>
              <w:snapToGrid/>
              <w:spacing w:line="240" w:lineRule="auto"/>
              <w:ind w:left="1145" w:hanging="720" w:firstLineChars="0"/>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应急处置措施</w:t>
            </w:r>
          </w:p>
          <w:p w14:paraId="7BF94E11">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对于紧急故障，投标人应针对本项目制定完善的应急处理机制，在接到采购人紧急故障保修时，应采取高效的应对措施，在短时间内紧急协助采购入安全合规的处置问题。</w:t>
            </w:r>
          </w:p>
          <w:p w14:paraId="261BE7C3">
            <w:pPr>
              <w:keepNext w:val="0"/>
              <w:keepLines w:val="0"/>
              <w:pageBreakBefore w:val="0"/>
              <w:widowControl w:val="0"/>
              <w:numPr>
                <w:ilvl w:val="0"/>
                <w:numId w:val="2"/>
              </w:numPr>
              <w:kinsoku/>
              <w:wordWrap/>
              <w:overflowPunct/>
              <w:topLinePunct w:val="0"/>
              <w:autoSpaceDE/>
              <w:autoSpaceDN/>
              <w:bidi w:val="0"/>
              <w:adjustRightInd w:val="0"/>
              <w:snapToGrid/>
              <w:spacing w:line="240" w:lineRule="auto"/>
              <w:ind w:left="1145" w:hanging="720" w:firstLineChars="0"/>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备品备件方案</w:t>
            </w:r>
          </w:p>
          <w:p w14:paraId="6CC77CC4">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投标人或设备原厂商应在项目所在城市设有备件中心，以保障采购人紧急备件使用需求。投标人应针对备件管理、备件响应制定有效的管理方案，保障采购人在第一时间高效完成备件替换。</w:t>
            </w:r>
          </w:p>
          <w:p w14:paraId="122E97B7">
            <w:pPr>
              <w:keepNext w:val="0"/>
              <w:keepLines w:val="0"/>
              <w:pageBreakBefore w:val="0"/>
              <w:widowControl w:val="0"/>
              <w:kinsoku/>
              <w:wordWrap/>
              <w:overflowPunct/>
              <w:topLinePunct w:val="0"/>
              <w:autoSpaceDE/>
              <w:autoSpaceDN/>
              <w:bidi w:val="0"/>
              <w:adjustRightInd w:val="0"/>
              <w:snapToGrid/>
              <w:spacing w:line="240" w:lineRule="auto"/>
              <w:ind w:firstLine="480" w:firstLineChars="200"/>
              <w:contextualSpacing/>
              <w:jc w:val="left"/>
              <w:textAlignment w:val="auto"/>
              <w:rPr>
                <w:rFonts w:hint="eastAsia" w:ascii="宋体" w:hAnsi="宋体" w:cs="宋体"/>
                <w:b w:val="0"/>
                <w:bCs w:val="0"/>
                <w:color w:val="auto"/>
                <w:spacing w:val="-2"/>
                <w:sz w:val="24"/>
                <w:highlight w:val="none"/>
              </w:rPr>
            </w:pPr>
            <w:r>
              <w:rPr>
                <w:rFonts w:hint="eastAsia" w:ascii="Times New Roman" w:hAnsi="Times New Roman" w:cs="Times New Roman"/>
                <w:b w:val="0"/>
                <w:bCs w:val="0"/>
                <w:color w:val="auto"/>
                <w:sz w:val="24"/>
                <w:highlight w:val="none"/>
                <w:lang w:eastAsia="zh-CN"/>
              </w:rPr>
              <w:t>（</w:t>
            </w:r>
            <w:r>
              <w:rPr>
                <w:rFonts w:hint="eastAsia" w:ascii="Times New Roman" w:hAnsi="Times New Roman" w:cs="Times New Roman"/>
                <w:b w:val="0"/>
                <w:bCs w:val="0"/>
                <w:color w:val="auto"/>
                <w:sz w:val="24"/>
                <w:highlight w:val="none"/>
                <w:lang w:val="en-US" w:eastAsia="zh-CN"/>
              </w:rPr>
              <w:t>5</w:t>
            </w:r>
            <w:r>
              <w:rPr>
                <w:rFonts w:hint="eastAsia" w:ascii="Times New Roman" w:hAnsi="Times New Roman" w:cs="Times New Roman"/>
                <w:b w:val="0"/>
                <w:bCs w:val="0"/>
                <w:color w:val="auto"/>
                <w:sz w:val="24"/>
                <w:highlight w:val="none"/>
                <w:lang w:eastAsia="zh-CN"/>
              </w:rPr>
              <w:t>）</w:t>
            </w:r>
            <w:r>
              <w:rPr>
                <w:rFonts w:hint="eastAsia" w:ascii="宋体" w:hAnsi="宋体" w:cs="宋体"/>
                <w:b w:val="0"/>
                <w:bCs w:val="0"/>
                <w:color w:val="auto"/>
                <w:spacing w:val="-2"/>
                <w:sz w:val="24"/>
                <w:highlight w:val="none"/>
              </w:rPr>
              <w:t>重要活动或重大节日保障方案</w:t>
            </w:r>
          </w:p>
          <w:p w14:paraId="27ADDF32">
            <w:pPr>
              <w:keepNext w:val="0"/>
              <w:keepLines w:val="0"/>
              <w:pageBreakBefore w:val="0"/>
              <w:widowControl w:val="0"/>
              <w:kinsoku/>
              <w:wordWrap/>
              <w:overflowPunct/>
              <w:topLinePunct w:val="0"/>
              <w:autoSpaceDE/>
              <w:autoSpaceDN/>
              <w:bidi w:val="0"/>
              <w:adjustRightInd w:val="0"/>
              <w:snapToGrid/>
              <w:spacing w:line="240" w:lineRule="auto"/>
              <w:ind w:firstLine="480" w:firstLineChars="200"/>
              <w:contextualSpacing/>
              <w:jc w:val="left"/>
              <w:textAlignment w:val="auto"/>
              <w:rPr>
                <w:rFonts w:hint="eastAsia" w:ascii="Times New Roman" w:hAnsi="Times New Roman" w:eastAsia="宋体" w:cs="Times New Roman"/>
                <w:b w:val="0"/>
                <w:bCs w:val="0"/>
                <w:color w:val="auto"/>
                <w:sz w:val="24"/>
                <w:highlight w:val="none"/>
                <w:lang w:eastAsia="zh-CN"/>
              </w:rPr>
            </w:pPr>
            <w:r>
              <w:rPr>
                <w:rFonts w:hint="eastAsia" w:ascii="Times New Roman" w:hAnsi="Times New Roman" w:cs="Times New Roman"/>
                <w:b w:val="0"/>
                <w:bCs w:val="0"/>
                <w:color w:val="auto"/>
                <w:sz w:val="24"/>
                <w:szCs w:val="24"/>
                <w:highlight w:val="none"/>
                <w:lang w:eastAsia="zh-CN"/>
              </w:rPr>
              <w:t>投标人应制定重要活动或重大节日期间的保障方案，针对项目提供保障计划和内容，保障采购人上述时段</w:t>
            </w:r>
            <w:r>
              <w:rPr>
                <w:rFonts w:hint="eastAsia" w:ascii="Times New Roman" w:hAnsi="Times New Roman" w:cs="Times New Roman"/>
                <w:b w:val="0"/>
                <w:bCs w:val="0"/>
                <w:color w:val="auto"/>
                <w:sz w:val="24"/>
                <w:szCs w:val="24"/>
                <w:highlight w:val="none"/>
                <w:lang w:val="en-US" w:eastAsia="zh-CN"/>
              </w:rPr>
              <w:t>UPS设备</w:t>
            </w:r>
            <w:r>
              <w:rPr>
                <w:rFonts w:hint="eastAsia" w:ascii="Times New Roman" w:hAnsi="Times New Roman" w:cs="Times New Roman"/>
                <w:b w:val="0"/>
                <w:bCs w:val="0"/>
                <w:color w:val="auto"/>
                <w:sz w:val="24"/>
                <w:szCs w:val="24"/>
                <w:highlight w:val="none"/>
                <w:lang w:eastAsia="zh-CN"/>
              </w:rPr>
              <w:t>安全稳定运行。投标人</w:t>
            </w:r>
            <w:r>
              <w:rPr>
                <w:rFonts w:hint="eastAsia" w:ascii="Times New Roman" w:hAnsi="Times New Roman" w:cs="Times New Roman"/>
                <w:b w:val="0"/>
                <w:bCs w:val="0"/>
                <w:color w:val="auto"/>
                <w:sz w:val="24"/>
                <w:szCs w:val="24"/>
                <w:highlight w:val="none"/>
              </w:rPr>
              <w:t>或设备原厂商应在重要活动或重大节日为采购人提供设备安全保障。</w:t>
            </w:r>
          </w:p>
          <w:p w14:paraId="206F0E00">
            <w:pPr>
              <w:keepNext w:val="0"/>
              <w:keepLines w:val="0"/>
              <w:pageBreakBefore w:val="0"/>
              <w:widowControl w:val="0"/>
              <w:kinsoku/>
              <w:wordWrap/>
              <w:overflowPunct/>
              <w:topLinePunct w:val="0"/>
              <w:autoSpaceDE/>
              <w:autoSpaceDN/>
              <w:bidi w:val="0"/>
              <w:adjustRightInd w:val="0"/>
              <w:snapToGrid/>
              <w:spacing w:line="240" w:lineRule="auto"/>
              <w:ind w:firstLine="424" w:firstLineChars="177"/>
              <w:contextualSpacing/>
              <w:jc w:val="left"/>
              <w:textAlignment w:val="auto"/>
              <w:rPr>
                <w:rFonts w:hint="default" w:ascii="Times New Roman" w:hAnsi="Times New Roman" w:eastAsia="宋体" w:cs="Times New Roman"/>
                <w:b w:val="0"/>
                <w:bCs w:val="0"/>
                <w:color w:val="auto"/>
                <w:kern w:val="2"/>
                <w:sz w:val="24"/>
                <w:szCs w:val="22"/>
                <w:highlight w:val="none"/>
                <w:lang w:val="en-US" w:eastAsia="zh-CN" w:bidi="ar-SA"/>
              </w:rPr>
            </w:pPr>
          </w:p>
        </w:tc>
        <w:tc>
          <w:tcPr>
            <w:tcW w:w="1653" w:type="dxa"/>
          </w:tcPr>
          <w:p w14:paraId="50E3EB2A">
            <w:pPr>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投标人自行编制并提供方案</w:t>
            </w:r>
          </w:p>
        </w:tc>
      </w:tr>
      <w:tr w14:paraId="3E8E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586" w:type="dxa"/>
            <w:vAlign w:val="center"/>
          </w:tcPr>
          <w:p w14:paraId="6FC5CC1A">
            <w:pPr>
              <w:jc w:val="center"/>
              <w:rPr>
                <w:rFonts w:hint="eastAsia" w:ascii="Times New Roman" w:hAnsi="Times New Roman" w:eastAsia="宋体" w:cs="Times New Roman"/>
                <w:color w:val="auto"/>
                <w:kern w:val="0"/>
                <w:sz w:val="24"/>
                <w:highlight w:val="none"/>
                <w:lang w:val="en-US" w:eastAsia="zh-CN"/>
              </w:rPr>
            </w:pPr>
            <w:r>
              <w:rPr>
                <w:rFonts w:hint="eastAsia" w:ascii="Times New Roman" w:hAnsi="Times New Roman" w:cs="Times New Roman"/>
                <w:color w:val="auto"/>
                <w:kern w:val="0"/>
                <w:sz w:val="24"/>
                <w:highlight w:val="none"/>
                <w:lang w:val="en-US" w:eastAsia="zh-CN"/>
              </w:rPr>
              <w:t>8</w:t>
            </w:r>
          </w:p>
        </w:tc>
        <w:tc>
          <w:tcPr>
            <w:tcW w:w="1077" w:type="dxa"/>
            <w:vAlign w:val="center"/>
          </w:tcPr>
          <w:p w14:paraId="62E89E7D">
            <w:pPr>
              <w:adjustRightInd w:val="0"/>
              <w:spacing w:line="360" w:lineRule="auto"/>
              <w:contextualSpacing/>
              <w:jc w:val="lef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培训方案</w:t>
            </w:r>
          </w:p>
          <w:p w14:paraId="30669679">
            <w:pPr>
              <w:jc w:val="center"/>
              <w:rPr>
                <w:rFonts w:hint="default" w:ascii="Times New Roman" w:hAnsi="Times New Roman" w:cs="Times New Roman"/>
                <w:color w:val="auto"/>
                <w:sz w:val="24"/>
                <w:highlight w:val="none"/>
              </w:rPr>
            </w:pPr>
          </w:p>
        </w:tc>
        <w:tc>
          <w:tcPr>
            <w:tcW w:w="6449" w:type="dxa"/>
          </w:tcPr>
          <w:p w14:paraId="40EE3715">
            <w:pPr>
              <w:keepNext w:val="0"/>
              <w:keepLines w:val="0"/>
              <w:pageBreakBefore w:val="0"/>
              <w:widowControl w:val="0"/>
              <w:kinsoku/>
              <w:wordWrap/>
              <w:overflowPunct/>
              <w:topLinePunct w:val="0"/>
              <w:autoSpaceDE/>
              <w:autoSpaceDN/>
              <w:bidi w:val="0"/>
              <w:adjustRightInd w:val="0"/>
              <w:snapToGrid/>
              <w:spacing w:line="240" w:lineRule="auto"/>
              <w:ind w:left="0" w:leftChars="0" w:firstLine="0" w:firstLineChars="0"/>
              <w:contextualSpacing/>
              <w:jc w:val="left"/>
              <w:textAlignment w:val="auto"/>
              <w:rPr>
                <w:rFonts w:hint="default"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投标人应根据项目实际情况，制定详细的培训方案，培训方案应包括：培训目标、培训方式、培训内容，通过培训确保采购人规范安全使用设备。</w:t>
            </w:r>
          </w:p>
        </w:tc>
        <w:tc>
          <w:tcPr>
            <w:tcW w:w="1653" w:type="dxa"/>
          </w:tcPr>
          <w:p w14:paraId="0767CEC0">
            <w:pPr>
              <w:rPr>
                <w:rFonts w:hint="eastAsia" w:ascii="Times New Roman" w:hAnsi="Times New Roman" w:eastAsia="宋体" w:cs="Times New Roman"/>
                <w:color w:val="auto"/>
                <w:sz w:val="24"/>
                <w:highlight w:val="none"/>
                <w:lang w:eastAsia="zh-CN"/>
              </w:rPr>
            </w:pPr>
            <w:r>
              <w:rPr>
                <w:rFonts w:hint="eastAsia" w:ascii="Times New Roman" w:hAnsi="Times New Roman" w:cs="Times New Roman"/>
                <w:color w:val="auto"/>
                <w:sz w:val="24"/>
                <w:highlight w:val="none"/>
                <w:lang w:eastAsia="zh-CN"/>
              </w:rPr>
              <w:t>投标人自行编制并提供方案</w:t>
            </w:r>
          </w:p>
        </w:tc>
      </w:tr>
    </w:tbl>
    <w:p w14:paraId="3E30E3C6">
      <w:pPr>
        <w:widowControl w:val="0"/>
        <w:adjustRightInd w:val="0"/>
        <w:spacing w:line="360" w:lineRule="auto"/>
        <w:ind w:firstLine="424" w:firstLineChars="177"/>
        <w:contextualSpacing/>
        <w:jc w:val="left"/>
        <w:outlineLvl w:val="3"/>
        <w:rPr>
          <w:rFonts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2"/>
          <w:sz w:val="24"/>
          <w:szCs w:val="24"/>
          <w:highlight w:val="none"/>
          <w:lang w:val="en-US" w:eastAsia="zh-CN" w:bidi="ar-SA"/>
        </w:rPr>
        <w:t>2.3为落实政府采购政策需满足的要求：</w:t>
      </w:r>
    </w:p>
    <w:p w14:paraId="4BD5B09A">
      <w:pPr>
        <w:widowControl w:val="0"/>
        <w:adjustRightInd w:val="0"/>
        <w:spacing w:line="360" w:lineRule="auto"/>
        <w:ind w:firstLine="424" w:firstLineChars="177"/>
        <w:contextualSpacing/>
        <w:jc w:val="left"/>
        <w:rPr>
          <w:rFonts w:ascii="Times New Roman" w:hAnsi="Times New Roman" w:eastAsia="宋体" w:cs="Times New Roman"/>
          <w:color w:val="auto"/>
          <w:kern w:val="2"/>
          <w:sz w:val="24"/>
          <w:szCs w:val="22"/>
          <w:highlight w:val="none"/>
          <w:lang w:val="en-US" w:eastAsia="zh-CN" w:bidi="ar-SA"/>
        </w:rPr>
      </w:pPr>
      <w:r>
        <w:rPr>
          <w:rFonts w:ascii="Times New Roman" w:hAnsi="Times New Roman" w:eastAsia="宋体" w:cs="Times New Roman"/>
          <w:color w:val="auto"/>
          <w:kern w:val="2"/>
          <w:sz w:val="24"/>
          <w:szCs w:val="22"/>
          <w:highlight w:val="none"/>
          <w:lang w:val="en-US" w:eastAsia="zh-CN" w:bidi="ar-SA"/>
        </w:rPr>
        <w:t>（1）具有独立承担民事责任的能力，提供法人或者其他组织、自然人的营业执照等证明文件；</w:t>
      </w:r>
    </w:p>
    <w:p w14:paraId="4D08316B">
      <w:pPr>
        <w:widowControl w:val="0"/>
        <w:adjustRightInd w:val="0"/>
        <w:spacing w:line="360" w:lineRule="auto"/>
        <w:ind w:firstLine="424" w:firstLineChars="177"/>
        <w:contextualSpacing/>
        <w:jc w:val="left"/>
        <w:rPr>
          <w:rFonts w:ascii="Times New Roman" w:hAnsi="Times New Roman" w:eastAsia="宋体" w:cs="Times New Roman"/>
          <w:color w:val="auto"/>
          <w:kern w:val="2"/>
          <w:sz w:val="24"/>
          <w:szCs w:val="22"/>
          <w:highlight w:val="none"/>
          <w:lang w:val="en-US" w:eastAsia="zh-CN" w:bidi="ar-SA"/>
        </w:rPr>
      </w:pPr>
      <w:r>
        <w:rPr>
          <w:rFonts w:ascii="Times New Roman" w:hAnsi="Times New Roman" w:eastAsia="宋体" w:cs="Times New Roman"/>
          <w:color w:val="auto"/>
          <w:kern w:val="2"/>
          <w:sz w:val="24"/>
          <w:szCs w:val="22"/>
          <w:highlight w:val="none"/>
          <w:lang w:val="en-US" w:eastAsia="zh-CN" w:bidi="ar-SA"/>
        </w:rPr>
        <w:t>（2）具有良好的商业信誉和健全的财务会计制度：未处于财产被接管、冻结和破产状态；</w:t>
      </w:r>
    </w:p>
    <w:p w14:paraId="73D5B791">
      <w:pPr>
        <w:widowControl w:val="0"/>
        <w:adjustRightInd w:val="0"/>
        <w:spacing w:line="360" w:lineRule="auto"/>
        <w:ind w:firstLine="424" w:firstLineChars="177"/>
        <w:contextualSpacing/>
        <w:jc w:val="left"/>
        <w:rPr>
          <w:rFonts w:ascii="Times New Roman" w:hAnsi="Times New Roman" w:eastAsia="宋体" w:cs="Times New Roman"/>
          <w:color w:val="auto"/>
          <w:kern w:val="2"/>
          <w:sz w:val="24"/>
          <w:szCs w:val="22"/>
          <w:highlight w:val="none"/>
          <w:lang w:val="en-US" w:eastAsia="zh-CN" w:bidi="ar-SA"/>
        </w:rPr>
      </w:pPr>
      <w:r>
        <w:rPr>
          <w:rFonts w:ascii="Times New Roman" w:hAnsi="Times New Roman" w:eastAsia="宋体" w:cs="Times New Roman"/>
          <w:color w:val="auto"/>
          <w:kern w:val="2"/>
          <w:sz w:val="24"/>
          <w:szCs w:val="22"/>
          <w:highlight w:val="none"/>
          <w:lang w:val="en-US" w:eastAsia="zh-CN" w:bidi="ar-SA"/>
        </w:rPr>
        <w:t>（3）具有履行合同所必需的专业技术能力及人员、设备配备；</w:t>
      </w:r>
    </w:p>
    <w:p w14:paraId="7AE8FBDB">
      <w:pPr>
        <w:widowControl w:val="0"/>
        <w:adjustRightInd w:val="0"/>
        <w:spacing w:line="360" w:lineRule="auto"/>
        <w:ind w:firstLine="424" w:firstLineChars="177"/>
        <w:contextualSpacing/>
        <w:jc w:val="left"/>
        <w:rPr>
          <w:rFonts w:ascii="Times New Roman" w:hAnsi="Times New Roman" w:eastAsia="宋体" w:cs="Times New Roman"/>
          <w:color w:val="auto"/>
          <w:kern w:val="2"/>
          <w:sz w:val="24"/>
          <w:szCs w:val="22"/>
          <w:highlight w:val="none"/>
          <w:lang w:val="en-US" w:eastAsia="zh-CN" w:bidi="ar-SA"/>
        </w:rPr>
      </w:pPr>
      <w:r>
        <w:rPr>
          <w:rFonts w:ascii="Times New Roman" w:hAnsi="Times New Roman" w:eastAsia="宋体" w:cs="Times New Roman"/>
          <w:color w:val="auto"/>
          <w:kern w:val="2"/>
          <w:sz w:val="24"/>
          <w:szCs w:val="22"/>
          <w:highlight w:val="none"/>
          <w:lang w:val="en-US" w:eastAsia="zh-CN" w:bidi="ar-SA"/>
        </w:rPr>
        <w:t>（4）参加本次招标活动前三年内，在经营活动中没有重大违法记录；</w:t>
      </w:r>
    </w:p>
    <w:p w14:paraId="60A43F49">
      <w:pPr>
        <w:widowControl w:val="0"/>
        <w:adjustRightInd w:val="0"/>
        <w:spacing w:line="360" w:lineRule="auto"/>
        <w:ind w:firstLine="424" w:firstLineChars="177"/>
        <w:contextualSpacing/>
        <w:jc w:val="left"/>
        <w:rPr>
          <w:rFonts w:ascii="Times New Roman" w:hAnsi="Times New Roman" w:eastAsia="宋体" w:cs="Times New Roman"/>
          <w:color w:val="auto"/>
          <w:kern w:val="2"/>
          <w:sz w:val="24"/>
          <w:szCs w:val="22"/>
          <w:highlight w:val="none"/>
          <w:lang w:val="en-US" w:eastAsia="zh-CN" w:bidi="ar-SA"/>
        </w:rPr>
      </w:pPr>
      <w:r>
        <w:rPr>
          <w:rFonts w:ascii="Times New Roman" w:hAnsi="Times New Roman" w:eastAsia="宋体" w:cs="Times New Roman"/>
          <w:color w:val="auto"/>
          <w:kern w:val="2"/>
          <w:sz w:val="24"/>
          <w:szCs w:val="22"/>
          <w:highlight w:val="none"/>
          <w:lang w:val="en-US" w:eastAsia="zh-CN" w:bidi="ar-SA"/>
        </w:rPr>
        <w:t>（5）有依法缴纳税收和社会保障资金的良好记录；</w:t>
      </w:r>
    </w:p>
    <w:p w14:paraId="5C7C5404">
      <w:pPr>
        <w:widowControl w:val="0"/>
        <w:adjustRightInd w:val="0"/>
        <w:spacing w:line="360" w:lineRule="auto"/>
        <w:ind w:firstLine="424" w:firstLineChars="177"/>
        <w:contextualSpacing/>
        <w:jc w:val="left"/>
        <w:rPr>
          <w:rFonts w:ascii="Times New Roman" w:hAnsi="Times New Roman" w:eastAsia="宋体" w:cs="Times New Roman"/>
          <w:color w:val="auto"/>
          <w:kern w:val="2"/>
          <w:sz w:val="24"/>
          <w:szCs w:val="22"/>
          <w:highlight w:val="none"/>
          <w:lang w:val="en-US" w:eastAsia="zh-CN" w:bidi="ar-SA"/>
        </w:rPr>
      </w:pPr>
      <w:r>
        <w:rPr>
          <w:rFonts w:ascii="Times New Roman" w:hAnsi="Times New Roman" w:eastAsia="宋体" w:cs="Times New Roman"/>
          <w:color w:val="auto"/>
          <w:kern w:val="2"/>
          <w:sz w:val="24"/>
          <w:szCs w:val="22"/>
          <w:highlight w:val="none"/>
          <w:lang w:val="en-US" w:eastAsia="zh-CN" w:bidi="ar-SA"/>
        </w:rPr>
        <w:t>（6）法律、行政法规规定的其他条件：</w:t>
      </w:r>
      <w:r>
        <w:rPr>
          <w:rFonts w:hint="eastAsia" w:ascii="宋体" w:hAnsi="宋体" w:eastAsia="宋体" w:cs="宋体"/>
          <w:color w:val="auto"/>
          <w:kern w:val="2"/>
          <w:sz w:val="24"/>
          <w:szCs w:val="22"/>
          <w:highlight w:val="none"/>
          <w:lang w:val="en-US" w:eastAsia="zh-CN" w:bidi="ar-SA"/>
        </w:rPr>
        <w:t>①</w:t>
      </w:r>
      <w:r>
        <w:rPr>
          <w:rFonts w:hint="eastAsia" w:ascii="Times New Roman" w:hAnsi="Times New Roman" w:eastAsia="宋体" w:cs="Times New Roman"/>
          <w:color w:val="auto"/>
          <w:kern w:val="2"/>
          <w:sz w:val="24"/>
          <w:szCs w:val="22"/>
          <w:highlight w:val="none"/>
          <w:lang w:val="en-US" w:eastAsia="zh-CN" w:bidi="ar-SA"/>
        </w:rPr>
        <w:t>投标人</w:t>
      </w:r>
      <w:r>
        <w:rPr>
          <w:rFonts w:ascii="Times New Roman" w:hAnsi="Times New Roman" w:eastAsia="宋体" w:cs="Times New Roman"/>
          <w:color w:val="auto"/>
          <w:kern w:val="2"/>
          <w:sz w:val="24"/>
          <w:szCs w:val="22"/>
          <w:highlight w:val="none"/>
          <w:lang w:val="en-US" w:eastAsia="zh-CN" w:bidi="ar-SA"/>
        </w:rPr>
        <w:t>没有被列为失信执行人和重大税收违法案件当事人；</w:t>
      </w:r>
      <w:r>
        <w:rPr>
          <w:rFonts w:hint="eastAsia" w:ascii="宋体" w:hAnsi="宋体" w:eastAsia="宋体" w:cs="宋体"/>
          <w:color w:val="auto"/>
          <w:kern w:val="2"/>
          <w:sz w:val="24"/>
          <w:szCs w:val="22"/>
          <w:highlight w:val="none"/>
          <w:lang w:val="en-US" w:eastAsia="zh-CN" w:bidi="ar-SA"/>
        </w:rPr>
        <w:t>②</w:t>
      </w:r>
      <w:r>
        <w:rPr>
          <w:rFonts w:ascii="Times New Roman" w:hAnsi="Times New Roman" w:eastAsia="宋体" w:cs="Times New Roman"/>
          <w:color w:val="auto"/>
          <w:kern w:val="2"/>
          <w:sz w:val="24"/>
          <w:szCs w:val="22"/>
          <w:highlight w:val="none"/>
          <w:lang w:val="en-US" w:eastAsia="zh-CN" w:bidi="ar-SA"/>
        </w:rPr>
        <w:t>无政府采购严重违法失信行为信息记录。（采购人或采购代理机构在发出成交通知书前进行查询，如查询到成交</w:t>
      </w:r>
      <w:r>
        <w:rPr>
          <w:rFonts w:hint="eastAsia" w:ascii="Times New Roman" w:hAnsi="Times New Roman" w:eastAsia="宋体" w:cs="Times New Roman"/>
          <w:color w:val="auto"/>
          <w:kern w:val="2"/>
          <w:sz w:val="24"/>
          <w:szCs w:val="22"/>
          <w:highlight w:val="none"/>
          <w:lang w:val="en-US" w:eastAsia="zh-CN" w:bidi="ar-SA"/>
        </w:rPr>
        <w:t>投标人</w:t>
      </w:r>
      <w:r>
        <w:rPr>
          <w:rFonts w:ascii="Times New Roman" w:hAnsi="Times New Roman" w:eastAsia="宋体" w:cs="Times New Roman"/>
          <w:color w:val="auto"/>
          <w:kern w:val="2"/>
          <w:sz w:val="24"/>
          <w:szCs w:val="22"/>
          <w:highlight w:val="none"/>
          <w:lang w:val="en-US" w:eastAsia="zh-CN" w:bidi="ar-SA"/>
        </w:rPr>
        <w:t>有上述情形的将取消中选资格）</w:t>
      </w:r>
    </w:p>
    <w:p w14:paraId="2F0FE481">
      <w:pPr>
        <w:widowControl w:val="0"/>
        <w:adjustRightInd w:val="0"/>
        <w:spacing w:line="360" w:lineRule="auto"/>
        <w:ind w:firstLine="424" w:firstLineChars="177"/>
        <w:contextualSpacing/>
        <w:jc w:val="left"/>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（7）投标人要求的其他资格条件：</w:t>
      </w:r>
    </w:p>
    <w:p w14:paraId="24EB8A66">
      <w:pPr>
        <w:widowControl w:val="0"/>
        <w:adjustRightInd w:val="0"/>
        <w:spacing w:line="360" w:lineRule="auto"/>
        <w:ind w:firstLine="662" w:firstLineChars="276"/>
        <w:contextualSpacing/>
        <w:jc w:val="left"/>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无</w:t>
      </w:r>
    </w:p>
    <w:p w14:paraId="02AFB9FB">
      <w:pPr>
        <w:widowControl w:val="0"/>
        <w:adjustRightInd w:val="0"/>
        <w:spacing w:line="360" w:lineRule="auto"/>
        <w:ind w:firstLine="424" w:firstLineChars="177"/>
        <w:contextualSpacing/>
        <w:jc w:val="left"/>
        <w:outlineLvl w:val="3"/>
        <w:rPr>
          <w:rFonts w:ascii="Times New Roman" w:hAnsi="Times New Roman" w:eastAsia="宋体" w:cs="Times New Roman"/>
          <w:color w:val="auto"/>
          <w:kern w:val="2"/>
          <w:sz w:val="24"/>
          <w:szCs w:val="22"/>
          <w:highlight w:val="none"/>
          <w:lang w:val="en-US" w:eastAsia="zh-CN" w:bidi="ar-SA"/>
        </w:rPr>
      </w:pPr>
      <w:r>
        <w:rPr>
          <w:rFonts w:ascii="Times New Roman" w:hAnsi="Times New Roman" w:eastAsia="宋体" w:cs="Times New Roman"/>
          <w:color w:val="auto"/>
          <w:kern w:val="2"/>
          <w:sz w:val="24"/>
          <w:szCs w:val="22"/>
          <w:highlight w:val="none"/>
          <w:lang w:val="en-US" w:eastAsia="zh-CN" w:bidi="ar-SA"/>
        </w:rPr>
        <w:t>2.4采购标的的其他技术、服务等要求；</w:t>
      </w:r>
    </w:p>
    <w:p w14:paraId="7BE681EA">
      <w:pPr>
        <w:widowControl w:val="0"/>
        <w:adjustRightInd w:val="0"/>
        <w:spacing w:line="360" w:lineRule="auto"/>
        <w:ind w:firstLine="424" w:firstLineChars="177"/>
        <w:contextualSpacing/>
        <w:jc w:val="left"/>
        <w:rPr>
          <w:rFonts w:ascii="Times New Roman" w:hAnsi="Times New Roman" w:eastAsia="宋体" w:cs="Times New Roman"/>
          <w:color w:val="auto"/>
          <w:kern w:val="2"/>
          <w:sz w:val="24"/>
          <w:szCs w:val="22"/>
          <w:highlight w:val="none"/>
          <w:lang w:val="en-US" w:eastAsia="zh-CN" w:bidi="ar-SA"/>
        </w:rPr>
      </w:pPr>
      <w:r>
        <w:rPr>
          <w:rFonts w:ascii="Times New Roman" w:hAnsi="Times New Roman" w:eastAsia="宋体" w:cs="Times New Roman"/>
          <w:color w:val="auto"/>
          <w:kern w:val="2"/>
          <w:sz w:val="24"/>
          <w:szCs w:val="22"/>
          <w:highlight w:val="none"/>
          <w:lang w:val="en-US" w:eastAsia="zh-CN" w:bidi="ar-SA"/>
        </w:rPr>
        <w:t>（1）总报价包括完成该项目所需的各项费用及必要的保险费用、各项税金等所有费用的总和，应为履行合同的最终价格，其市场风险由报价单位承担。</w:t>
      </w:r>
    </w:p>
    <w:p w14:paraId="37100599">
      <w:pPr>
        <w:widowControl w:val="0"/>
        <w:adjustRightInd w:val="0"/>
        <w:spacing w:line="360" w:lineRule="auto"/>
        <w:ind w:firstLine="424" w:firstLineChars="177"/>
        <w:contextualSpacing/>
        <w:jc w:val="left"/>
        <w:rPr>
          <w:rFonts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2"/>
          <w:sz w:val="24"/>
          <w:szCs w:val="24"/>
          <w:highlight w:val="none"/>
          <w:lang w:val="en-US" w:eastAsia="zh-CN" w:bidi="ar-SA"/>
        </w:rPr>
        <w:t>（2）中标</w:t>
      </w:r>
      <w:r>
        <w:rPr>
          <w:rFonts w:hint="eastAsia" w:ascii="Times New Roman" w:hAnsi="Times New Roman" w:eastAsia="宋体" w:cs="Times New Roman"/>
          <w:color w:val="auto"/>
          <w:kern w:val="2"/>
          <w:sz w:val="24"/>
          <w:szCs w:val="24"/>
          <w:highlight w:val="none"/>
          <w:lang w:val="en-US" w:eastAsia="zh-CN" w:bidi="ar-SA"/>
        </w:rPr>
        <w:t>投标人</w:t>
      </w:r>
      <w:r>
        <w:rPr>
          <w:rFonts w:ascii="Times New Roman" w:hAnsi="Times New Roman" w:eastAsia="宋体" w:cs="Times New Roman"/>
          <w:color w:val="auto"/>
          <w:kern w:val="2"/>
          <w:sz w:val="24"/>
          <w:szCs w:val="24"/>
          <w:highlight w:val="none"/>
          <w:lang w:val="en-US" w:eastAsia="zh-CN" w:bidi="ar-SA"/>
        </w:rPr>
        <w:t>须保证所提供产品应为合格正品，符合国家有关规定。本项目采购的产品，中标</w:t>
      </w:r>
      <w:r>
        <w:rPr>
          <w:rFonts w:hint="eastAsia" w:ascii="Times New Roman" w:hAnsi="Times New Roman" w:eastAsia="宋体" w:cs="Times New Roman"/>
          <w:color w:val="auto"/>
          <w:kern w:val="2"/>
          <w:sz w:val="24"/>
          <w:szCs w:val="24"/>
          <w:highlight w:val="none"/>
          <w:lang w:val="en-US" w:eastAsia="zh-CN" w:bidi="ar-SA"/>
        </w:rPr>
        <w:t>投标人</w:t>
      </w:r>
      <w:r>
        <w:rPr>
          <w:rFonts w:ascii="Times New Roman" w:hAnsi="Times New Roman" w:eastAsia="宋体" w:cs="Times New Roman"/>
          <w:color w:val="auto"/>
          <w:kern w:val="2"/>
          <w:sz w:val="24"/>
          <w:szCs w:val="24"/>
          <w:highlight w:val="none"/>
          <w:lang w:val="en-US" w:eastAsia="zh-CN" w:bidi="ar-SA"/>
        </w:rPr>
        <w:t>负责产品的运输、</w:t>
      </w:r>
      <w:r>
        <w:rPr>
          <w:rFonts w:hint="eastAsia" w:ascii="Times New Roman" w:hAnsi="Times New Roman" w:eastAsia="宋体" w:cs="Times New Roman"/>
          <w:color w:val="auto"/>
          <w:kern w:val="2"/>
          <w:sz w:val="24"/>
          <w:szCs w:val="24"/>
          <w:highlight w:val="none"/>
          <w:lang w:val="en-US" w:eastAsia="zh-CN" w:bidi="ar-SA"/>
        </w:rPr>
        <w:t>开机</w:t>
      </w:r>
      <w:r>
        <w:rPr>
          <w:rFonts w:ascii="Times New Roman" w:hAnsi="Times New Roman" w:eastAsia="宋体" w:cs="Times New Roman"/>
          <w:color w:val="auto"/>
          <w:kern w:val="2"/>
          <w:sz w:val="24"/>
          <w:szCs w:val="24"/>
          <w:highlight w:val="none"/>
          <w:lang w:val="en-US" w:eastAsia="zh-CN" w:bidi="ar-SA"/>
        </w:rPr>
        <w:t>、调试、培训等工作，其相关费用以及保修期内设备正常运行所需一切必要费用均由中标</w:t>
      </w:r>
      <w:r>
        <w:rPr>
          <w:rFonts w:hint="eastAsia" w:ascii="Times New Roman" w:hAnsi="Times New Roman" w:eastAsia="宋体" w:cs="Times New Roman"/>
          <w:color w:val="auto"/>
          <w:kern w:val="2"/>
          <w:sz w:val="24"/>
          <w:szCs w:val="24"/>
          <w:highlight w:val="none"/>
          <w:lang w:val="en-US" w:eastAsia="zh-CN" w:bidi="ar-SA"/>
        </w:rPr>
        <w:t>投标人</w:t>
      </w:r>
      <w:r>
        <w:rPr>
          <w:rFonts w:ascii="Times New Roman" w:hAnsi="Times New Roman" w:eastAsia="宋体" w:cs="Times New Roman"/>
          <w:color w:val="auto"/>
          <w:kern w:val="2"/>
          <w:sz w:val="24"/>
          <w:szCs w:val="24"/>
          <w:highlight w:val="none"/>
          <w:lang w:val="en-US" w:eastAsia="zh-CN" w:bidi="ar-SA"/>
        </w:rPr>
        <w:t>负责。中标</w:t>
      </w:r>
      <w:r>
        <w:rPr>
          <w:rFonts w:hint="eastAsia" w:ascii="Times New Roman" w:hAnsi="Times New Roman" w:eastAsia="宋体" w:cs="Times New Roman"/>
          <w:color w:val="auto"/>
          <w:kern w:val="2"/>
          <w:sz w:val="24"/>
          <w:szCs w:val="24"/>
          <w:highlight w:val="none"/>
          <w:lang w:val="en-US" w:eastAsia="zh-CN" w:bidi="ar-SA"/>
        </w:rPr>
        <w:t>投标人</w:t>
      </w:r>
      <w:r>
        <w:rPr>
          <w:rFonts w:ascii="Times New Roman" w:hAnsi="Times New Roman" w:eastAsia="宋体" w:cs="Times New Roman"/>
          <w:color w:val="auto"/>
          <w:kern w:val="2"/>
          <w:sz w:val="24"/>
          <w:szCs w:val="24"/>
          <w:highlight w:val="none"/>
          <w:lang w:val="en-US" w:eastAsia="zh-CN" w:bidi="ar-SA"/>
        </w:rPr>
        <w:t>必须保证解决项目所涉及的技术问题，如因技术原因无法满足用户需求，由此产生的风险由中标</w:t>
      </w:r>
      <w:r>
        <w:rPr>
          <w:rFonts w:hint="eastAsia" w:ascii="Times New Roman" w:hAnsi="Times New Roman" w:eastAsia="宋体" w:cs="Times New Roman"/>
          <w:color w:val="auto"/>
          <w:kern w:val="2"/>
          <w:sz w:val="24"/>
          <w:szCs w:val="24"/>
          <w:highlight w:val="none"/>
          <w:lang w:val="en-US" w:eastAsia="zh-CN" w:bidi="ar-SA"/>
        </w:rPr>
        <w:t>投标人</w:t>
      </w:r>
      <w:r>
        <w:rPr>
          <w:rFonts w:ascii="Times New Roman" w:hAnsi="Times New Roman" w:eastAsia="宋体" w:cs="Times New Roman"/>
          <w:color w:val="auto"/>
          <w:kern w:val="2"/>
          <w:sz w:val="24"/>
          <w:szCs w:val="24"/>
          <w:highlight w:val="none"/>
          <w:lang w:val="en-US" w:eastAsia="zh-CN" w:bidi="ar-SA"/>
        </w:rPr>
        <w:t>承担。</w:t>
      </w:r>
    </w:p>
    <w:p w14:paraId="63580BB2">
      <w:pPr>
        <w:widowControl w:val="0"/>
        <w:adjustRightInd w:val="0"/>
        <w:spacing w:line="360" w:lineRule="auto"/>
        <w:ind w:firstLine="424" w:firstLineChars="177"/>
        <w:contextualSpacing/>
        <w:jc w:val="left"/>
        <w:rPr>
          <w:rFonts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2"/>
          <w:sz w:val="24"/>
          <w:szCs w:val="24"/>
          <w:highlight w:val="none"/>
          <w:lang w:val="en-US" w:eastAsia="zh-CN" w:bidi="ar-SA"/>
        </w:rPr>
        <w:t>（3）中标</w:t>
      </w:r>
      <w:r>
        <w:rPr>
          <w:rFonts w:hint="eastAsia" w:ascii="Times New Roman" w:hAnsi="Times New Roman" w:eastAsia="宋体" w:cs="Times New Roman"/>
          <w:color w:val="auto"/>
          <w:kern w:val="2"/>
          <w:sz w:val="24"/>
          <w:szCs w:val="24"/>
          <w:highlight w:val="none"/>
          <w:lang w:val="en-US" w:eastAsia="zh-CN" w:bidi="ar-SA"/>
        </w:rPr>
        <w:t>投标人</w:t>
      </w:r>
      <w:r>
        <w:rPr>
          <w:rFonts w:ascii="Times New Roman" w:hAnsi="Times New Roman" w:eastAsia="宋体" w:cs="Times New Roman"/>
          <w:color w:val="auto"/>
          <w:kern w:val="2"/>
          <w:sz w:val="24"/>
          <w:szCs w:val="24"/>
          <w:highlight w:val="none"/>
          <w:lang w:val="en-US" w:eastAsia="zh-CN" w:bidi="ar-SA"/>
        </w:rPr>
        <w:t>需配合采购方完成</w:t>
      </w:r>
      <w:r>
        <w:rPr>
          <w:rFonts w:hint="eastAsia" w:ascii="Times New Roman" w:hAnsi="Times New Roman" w:eastAsia="宋体" w:cs="Times New Roman"/>
          <w:color w:val="auto"/>
          <w:kern w:val="2"/>
          <w:sz w:val="24"/>
          <w:szCs w:val="24"/>
          <w:highlight w:val="none"/>
          <w:lang w:val="en-US" w:eastAsia="zh-CN" w:bidi="ar-SA"/>
        </w:rPr>
        <w:t>设备检测评估</w:t>
      </w:r>
      <w:r>
        <w:rPr>
          <w:rFonts w:ascii="Times New Roman" w:hAnsi="Times New Roman" w:eastAsia="宋体" w:cs="Times New Roman"/>
          <w:color w:val="auto"/>
          <w:kern w:val="2"/>
          <w:sz w:val="24"/>
          <w:szCs w:val="24"/>
          <w:highlight w:val="none"/>
          <w:lang w:val="en-US" w:eastAsia="zh-CN" w:bidi="ar-SA"/>
        </w:rPr>
        <w:t>。如有相关整改工作，中标</w:t>
      </w:r>
      <w:r>
        <w:rPr>
          <w:rFonts w:hint="eastAsia" w:ascii="Times New Roman" w:hAnsi="Times New Roman" w:eastAsia="宋体" w:cs="Times New Roman"/>
          <w:color w:val="auto"/>
          <w:kern w:val="2"/>
          <w:sz w:val="24"/>
          <w:szCs w:val="24"/>
          <w:highlight w:val="none"/>
          <w:lang w:val="en-US" w:eastAsia="zh-CN" w:bidi="ar-SA"/>
        </w:rPr>
        <w:t>投标人</w:t>
      </w:r>
      <w:r>
        <w:rPr>
          <w:rFonts w:ascii="Times New Roman" w:hAnsi="Times New Roman" w:eastAsia="宋体" w:cs="Times New Roman"/>
          <w:color w:val="auto"/>
          <w:kern w:val="2"/>
          <w:sz w:val="24"/>
          <w:szCs w:val="24"/>
          <w:highlight w:val="none"/>
          <w:lang w:val="en-US" w:eastAsia="zh-CN" w:bidi="ar-SA"/>
        </w:rPr>
        <w:t>需配合完成整改，确保</w:t>
      </w:r>
      <w:r>
        <w:rPr>
          <w:rFonts w:hint="eastAsia" w:ascii="Times New Roman" w:hAnsi="Times New Roman" w:eastAsia="宋体" w:cs="Times New Roman"/>
          <w:color w:val="auto"/>
          <w:kern w:val="2"/>
          <w:sz w:val="24"/>
          <w:szCs w:val="24"/>
          <w:highlight w:val="none"/>
          <w:lang w:val="en-US" w:eastAsia="zh-CN" w:bidi="ar-SA"/>
        </w:rPr>
        <w:t>机房建设</w:t>
      </w:r>
      <w:r>
        <w:rPr>
          <w:rFonts w:ascii="Times New Roman" w:hAnsi="Times New Roman" w:eastAsia="宋体" w:cs="Times New Roman"/>
          <w:color w:val="auto"/>
          <w:kern w:val="2"/>
          <w:sz w:val="24"/>
          <w:szCs w:val="24"/>
          <w:highlight w:val="none"/>
          <w:lang w:val="en-US" w:eastAsia="zh-CN" w:bidi="ar-SA"/>
        </w:rPr>
        <w:t>通过测评，费用由中标</w:t>
      </w:r>
      <w:r>
        <w:rPr>
          <w:rFonts w:hint="eastAsia" w:ascii="Times New Roman" w:hAnsi="Times New Roman" w:eastAsia="宋体" w:cs="Times New Roman"/>
          <w:color w:val="auto"/>
          <w:kern w:val="2"/>
          <w:sz w:val="24"/>
          <w:szCs w:val="24"/>
          <w:highlight w:val="none"/>
          <w:lang w:val="en-US" w:eastAsia="zh-CN" w:bidi="ar-SA"/>
        </w:rPr>
        <w:t>投标人</w:t>
      </w:r>
      <w:r>
        <w:rPr>
          <w:rFonts w:ascii="Times New Roman" w:hAnsi="Times New Roman" w:eastAsia="宋体" w:cs="Times New Roman"/>
          <w:color w:val="auto"/>
          <w:kern w:val="2"/>
          <w:sz w:val="24"/>
          <w:szCs w:val="24"/>
          <w:highlight w:val="none"/>
          <w:lang w:val="en-US" w:eastAsia="zh-CN" w:bidi="ar-SA"/>
        </w:rPr>
        <w:t>承担。</w:t>
      </w:r>
    </w:p>
    <w:p w14:paraId="25BA194C">
      <w:pPr>
        <w:widowControl w:val="0"/>
        <w:adjustRightInd w:val="0"/>
        <w:spacing w:line="360" w:lineRule="auto"/>
        <w:ind w:firstLine="424" w:firstLineChars="177"/>
        <w:contextualSpacing/>
        <w:jc w:val="left"/>
        <w:rPr>
          <w:rFonts w:ascii="Times New Roman" w:hAnsi="Times New Roman" w:eastAsia="宋体" w:cs="Times New Roman"/>
          <w:color w:val="auto"/>
          <w:kern w:val="2"/>
          <w:sz w:val="24"/>
          <w:szCs w:val="24"/>
          <w:highlight w:val="none"/>
          <w:lang w:val="en-US" w:eastAsia="zh-CN" w:bidi="ar-SA"/>
        </w:rPr>
      </w:pPr>
      <w:r>
        <w:rPr>
          <w:rFonts w:ascii="Times New Roman" w:hAnsi="Times New Roman" w:eastAsia="宋体" w:cs="Times New Roman"/>
          <w:color w:val="auto"/>
          <w:kern w:val="2"/>
          <w:sz w:val="24"/>
          <w:szCs w:val="24"/>
          <w:highlight w:val="none"/>
          <w:lang w:val="en-US" w:eastAsia="zh-CN" w:bidi="ar-SA"/>
        </w:rPr>
        <w:t>（4）投标人提供的产品必须安装在用户使用单位指定场所，对本次项目中的产品在质保期内提供免费升级、维护等服务，不收取额外费用。</w:t>
      </w:r>
    </w:p>
    <w:p w14:paraId="7C30E467">
      <w:pPr>
        <w:spacing w:line="360" w:lineRule="auto"/>
        <w:contextualSpacing/>
        <w:outlineLvl w:val="2"/>
        <w:rPr>
          <w:rFonts w:ascii="Times New Roman" w:hAnsi="Times New Roman" w:cs="Times New Roman"/>
          <w:i/>
          <w:iCs/>
          <w:color w:val="auto"/>
          <w:sz w:val="24"/>
          <w:highlight w:val="none"/>
        </w:rPr>
      </w:pPr>
      <w:r>
        <w:rPr>
          <w:rFonts w:ascii="Times New Roman" w:hAnsi="Times New Roman" w:cs="Times New Roman"/>
          <w:color w:val="auto"/>
          <w:sz w:val="24"/>
          <w:highlight w:val="none"/>
        </w:rPr>
        <w:t>3. 验收标准</w:t>
      </w:r>
    </w:p>
    <w:p w14:paraId="0A9508B6">
      <w:pPr>
        <w:widowControl/>
        <w:spacing w:line="360" w:lineRule="auto"/>
        <w:ind w:firstLine="482"/>
        <w:contextualSpacing/>
        <w:outlineLvl w:val="3"/>
        <w:rPr>
          <w:rFonts w:ascii="Times New Roman" w:hAnsi="Times New Roman" w:cs="Times New Roman"/>
          <w:bCs/>
          <w:color w:val="auto"/>
          <w:sz w:val="24"/>
          <w:highlight w:val="none"/>
        </w:rPr>
      </w:pPr>
      <w:r>
        <w:rPr>
          <w:rFonts w:hint="eastAsia" w:ascii="Times New Roman" w:hAnsi="Times New Roman" w:cs="Times New Roman"/>
          <w:bCs/>
          <w:color w:val="auto"/>
          <w:sz w:val="24"/>
          <w:highlight w:val="none"/>
          <w:lang w:val="en-US" w:eastAsia="zh-CN"/>
        </w:rPr>
        <w:t xml:space="preserve">3.1 </w:t>
      </w:r>
      <w:r>
        <w:rPr>
          <w:rFonts w:hint="eastAsia" w:ascii="Times New Roman" w:hAnsi="Times New Roman" w:cs="Times New Roman"/>
          <w:bCs/>
          <w:color w:val="auto"/>
          <w:sz w:val="24"/>
          <w:highlight w:val="none"/>
        </w:rPr>
        <w:t>到货验收</w:t>
      </w:r>
    </w:p>
    <w:p w14:paraId="5CD58566">
      <w:pPr>
        <w:widowControl/>
        <w:spacing w:line="360" w:lineRule="auto"/>
        <w:ind w:firstLine="480" w:firstLineChars="200"/>
        <w:contextualSpacing/>
        <w:rPr>
          <w:rFonts w:ascii="Times New Roman" w:hAnsi="Times New Roman" w:cs="Times New Roman"/>
          <w:bCs/>
          <w:color w:val="auto"/>
          <w:sz w:val="24"/>
          <w:highlight w:val="none"/>
        </w:rPr>
      </w:pP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rPr>
        <w:t>1</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rPr>
        <w:t>供货</w:t>
      </w:r>
      <w:r>
        <w:rPr>
          <w:rFonts w:hint="eastAsia" w:ascii="Times New Roman" w:hAnsi="Times New Roman" w:cs="Times New Roman"/>
          <w:bCs/>
          <w:color w:val="auto"/>
          <w:sz w:val="24"/>
          <w:highlight w:val="none"/>
          <w:lang w:eastAsia="zh-CN"/>
        </w:rPr>
        <w:t>方</w:t>
      </w:r>
      <w:r>
        <w:rPr>
          <w:rFonts w:hint="eastAsia" w:ascii="Times New Roman" w:hAnsi="Times New Roman" w:cs="Times New Roman"/>
          <w:bCs/>
          <w:color w:val="auto"/>
          <w:sz w:val="24"/>
          <w:highlight w:val="none"/>
        </w:rPr>
        <w:t>应在到货前提出到货报验申请，并提供设备合格证、检测报告等相关证明文件。</w:t>
      </w:r>
    </w:p>
    <w:p w14:paraId="4EBBAA54">
      <w:pPr>
        <w:widowControl/>
        <w:spacing w:line="360" w:lineRule="auto"/>
        <w:ind w:firstLine="480" w:firstLineChars="200"/>
        <w:contextualSpacing/>
        <w:rPr>
          <w:rFonts w:ascii="Times New Roman" w:hAnsi="Times New Roman" w:cs="Times New Roman"/>
          <w:bCs/>
          <w:color w:val="auto"/>
          <w:sz w:val="24"/>
          <w:highlight w:val="none"/>
        </w:rPr>
      </w:pP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rPr>
        <w:t>2</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rPr>
        <w:t>所有货物到达交货地点时，外包装箱必须完好无损、不得有破损、不得有水渍、不得有明显受撞击的痕迹，否则采购人有权拒收。</w:t>
      </w:r>
    </w:p>
    <w:p w14:paraId="55A67612">
      <w:pPr>
        <w:widowControl/>
        <w:spacing w:line="360" w:lineRule="auto"/>
        <w:ind w:firstLine="480" w:firstLineChars="200"/>
        <w:contextualSpacing/>
        <w:rPr>
          <w:rFonts w:ascii="Times New Roman" w:hAnsi="Times New Roman" w:cs="Times New Roman"/>
          <w:bCs/>
          <w:color w:val="auto"/>
          <w:sz w:val="24"/>
          <w:highlight w:val="none"/>
        </w:rPr>
      </w:pP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rPr>
        <w:t>3</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rPr>
        <w:t>货物的开箱验收由采购人组织，开箱后如发现货物与本项目招标要求或与装箱单不符合的，采购人有权要求</w:t>
      </w:r>
      <w:r>
        <w:rPr>
          <w:rFonts w:hint="eastAsia" w:ascii="Times New Roman" w:hAnsi="Times New Roman" w:cs="Times New Roman"/>
          <w:bCs/>
          <w:color w:val="auto"/>
          <w:sz w:val="24"/>
          <w:highlight w:val="none"/>
          <w:lang w:eastAsia="zh-CN"/>
        </w:rPr>
        <w:t>投标人</w:t>
      </w:r>
      <w:r>
        <w:rPr>
          <w:rFonts w:hint="eastAsia" w:ascii="Times New Roman" w:hAnsi="Times New Roman" w:cs="Times New Roman"/>
          <w:bCs/>
          <w:color w:val="auto"/>
          <w:sz w:val="24"/>
          <w:highlight w:val="none"/>
        </w:rPr>
        <w:t>无偿补足或更换。</w:t>
      </w:r>
    </w:p>
    <w:p w14:paraId="413F7960">
      <w:pPr>
        <w:widowControl/>
        <w:spacing w:line="360" w:lineRule="auto"/>
        <w:ind w:firstLine="482"/>
        <w:contextualSpacing/>
        <w:outlineLvl w:val="3"/>
        <w:rPr>
          <w:rFonts w:ascii="Times New Roman" w:hAnsi="Times New Roman" w:cs="Times New Roman"/>
          <w:bCs/>
          <w:color w:val="auto"/>
          <w:sz w:val="24"/>
          <w:highlight w:val="none"/>
        </w:rPr>
      </w:pPr>
      <w:r>
        <w:rPr>
          <w:rFonts w:hint="eastAsia" w:ascii="Times New Roman" w:hAnsi="Times New Roman" w:cs="Times New Roman"/>
          <w:bCs/>
          <w:color w:val="auto"/>
          <w:sz w:val="24"/>
          <w:highlight w:val="none"/>
          <w:lang w:val="en-US" w:eastAsia="zh-CN"/>
        </w:rPr>
        <w:t>3.2</w:t>
      </w:r>
      <w:r>
        <w:rPr>
          <w:rFonts w:hint="eastAsia" w:ascii="Times New Roman" w:hAnsi="Times New Roman" w:cs="Times New Roman"/>
          <w:bCs/>
          <w:color w:val="auto"/>
          <w:sz w:val="24"/>
          <w:highlight w:val="none"/>
        </w:rPr>
        <w:t>设备运行验收</w:t>
      </w:r>
    </w:p>
    <w:p w14:paraId="300B91FA">
      <w:pPr>
        <w:widowControl/>
        <w:spacing w:line="360" w:lineRule="auto"/>
        <w:ind w:firstLine="480" w:firstLineChars="200"/>
        <w:contextualSpacing/>
        <w:rPr>
          <w:rFonts w:ascii="Times New Roman" w:hAnsi="Times New Roman" w:cs="Times New Roman"/>
          <w:bCs/>
          <w:color w:val="auto"/>
          <w:sz w:val="24"/>
          <w:highlight w:val="none"/>
        </w:rPr>
      </w:pP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rPr>
        <w:t>1</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rPr>
        <w:t>初步验收</w:t>
      </w:r>
    </w:p>
    <w:p w14:paraId="6FBA66BA">
      <w:pPr>
        <w:widowControl/>
        <w:kinsoku/>
        <w:spacing w:line="360" w:lineRule="auto"/>
        <w:ind w:firstLine="482"/>
        <w:contextualSpacing/>
        <w:rPr>
          <w:rFonts w:ascii="Times New Roman" w:hAnsi="Times New Roman" w:cs="Times New Roman"/>
          <w:bCs/>
          <w:color w:val="auto"/>
          <w:sz w:val="24"/>
          <w:highlight w:val="none"/>
        </w:rPr>
      </w:pPr>
      <w:r>
        <w:rPr>
          <w:rFonts w:hint="eastAsia" w:ascii="Times New Roman" w:hAnsi="Times New Roman" w:eastAsia="宋体" w:cs="Times New Roman"/>
          <w:bCs/>
          <w:color w:val="auto"/>
          <w:sz w:val="24"/>
          <w:highlight w:val="none"/>
          <w:lang w:eastAsia="zh-CN"/>
        </w:rPr>
        <w:t>投标人指导配合完成设备安装后，进行开机和调试。</w:t>
      </w:r>
      <w:r>
        <w:rPr>
          <w:rFonts w:hint="eastAsia" w:ascii="Times New Roman" w:hAnsi="Times New Roman" w:cs="Times New Roman"/>
          <w:bCs/>
          <w:color w:val="auto"/>
          <w:sz w:val="24"/>
          <w:highlight w:val="none"/>
        </w:rPr>
        <w:t>设备</w:t>
      </w:r>
      <w:r>
        <w:rPr>
          <w:rFonts w:hint="eastAsia" w:ascii="Times New Roman" w:hAnsi="Times New Roman" w:eastAsia="宋体" w:cs="Times New Roman"/>
          <w:bCs/>
          <w:color w:val="auto"/>
          <w:sz w:val="24"/>
          <w:highlight w:val="none"/>
          <w:lang w:eastAsia="zh-CN"/>
        </w:rPr>
        <w:t>稳定运行</w:t>
      </w:r>
      <w:r>
        <w:rPr>
          <w:rFonts w:hint="eastAsia" w:ascii="Times New Roman" w:hAnsi="Times New Roman" w:cs="Times New Roman"/>
          <w:bCs/>
          <w:color w:val="auto"/>
          <w:sz w:val="24"/>
          <w:highlight w:val="none"/>
        </w:rPr>
        <w:t>后，由</w:t>
      </w:r>
      <w:r>
        <w:rPr>
          <w:rFonts w:hint="eastAsia" w:ascii="Times New Roman" w:hAnsi="Times New Roman" w:cs="Times New Roman"/>
          <w:bCs/>
          <w:color w:val="auto"/>
          <w:sz w:val="24"/>
          <w:highlight w:val="none"/>
          <w:lang w:eastAsia="zh-CN"/>
        </w:rPr>
        <w:t>投标人</w:t>
      </w:r>
      <w:r>
        <w:rPr>
          <w:rFonts w:hint="eastAsia" w:ascii="Times New Roman" w:hAnsi="Times New Roman" w:cs="Times New Roman"/>
          <w:bCs/>
          <w:color w:val="auto"/>
          <w:sz w:val="24"/>
          <w:highlight w:val="none"/>
        </w:rPr>
        <w:t>开展自测，并向采购人和监理单位提交初验申请，双方根据</w:t>
      </w:r>
      <w:r>
        <w:rPr>
          <w:rFonts w:hint="eastAsia" w:ascii="Times New Roman" w:hAnsi="Times New Roman" w:cs="Times New Roman"/>
          <w:bCs/>
          <w:color w:val="auto"/>
          <w:sz w:val="24"/>
          <w:highlight w:val="none"/>
          <w:lang w:eastAsia="zh-CN"/>
        </w:rPr>
        <w:t>投标人</w:t>
      </w:r>
      <w:r>
        <w:rPr>
          <w:rFonts w:hint="eastAsia" w:ascii="Times New Roman" w:hAnsi="Times New Roman" w:cs="Times New Roman"/>
          <w:bCs/>
          <w:color w:val="auto"/>
          <w:sz w:val="24"/>
          <w:highlight w:val="none"/>
        </w:rPr>
        <w:t>提交测试流程完成测试，经采购人同意完成初步验收。</w:t>
      </w:r>
    </w:p>
    <w:p w14:paraId="7A0588BF">
      <w:pPr>
        <w:widowControl/>
        <w:spacing w:line="360" w:lineRule="auto"/>
        <w:ind w:firstLine="480" w:firstLineChars="200"/>
        <w:contextualSpacing/>
        <w:rPr>
          <w:rFonts w:ascii="Times New Roman" w:hAnsi="Times New Roman" w:cs="Times New Roman"/>
          <w:bCs/>
          <w:color w:val="auto"/>
          <w:sz w:val="24"/>
          <w:highlight w:val="none"/>
        </w:rPr>
      </w:pP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rPr>
        <w:t>2</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rPr>
        <w:t>试运行</w:t>
      </w:r>
    </w:p>
    <w:p w14:paraId="0A7A8BA6">
      <w:pPr>
        <w:widowControl/>
        <w:spacing w:line="360" w:lineRule="auto"/>
        <w:ind w:firstLine="482"/>
        <w:contextualSpacing/>
        <w:rPr>
          <w:rFonts w:ascii="Times New Roman" w:hAnsi="Times New Roman" w:cs="Times New Roman"/>
          <w:bCs/>
          <w:color w:val="auto"/>
          <w:sz w:val="24"/>
          <w:highlight w:val="none"/>
        </w:rPr>
      </w:pPr>
      <w:r>
        <w:rPr>
          <w:rFonts w:hint="eastAsia" w:ascii="Times New Roman" w:hAnsi="Times New Roman" w:cs="Times New Roman"/>
          <w:bCs/>
          <w:color w:val="auto"/>
          <w:sz w:val="24"/>
          <w:highlight w:val="none"/>
        </w:rPr>
        <w:t>通过初步验收合格后，进入</w:t>
      </w:r>
      <w:r>
        <w:rPr>
          <w:rFonts w:hint="eastAsia" w:ascii="Times New Roman" w:hAnsi="Times New Roman" w:cs="Times New Roman"/>
          <w:bCs/>
          <w:color w:val="auto"/>
          <w:sz w:val="24"/>
          <w:highlight w:val="none"/>
          <w:lang w:eastAsia="zh-CN"/>
        </w:rPr>
        <w:t>至少</w:t>
      </w:r>
      <w:r>
        <w:rPr>
          <w:rFonts w:hint="eastAsia" w:ascii="Times New Roman" w:hAnsi="Times New Roman" w:cs="Times New Roman"/>
          <w:bCs/>
          <w:color w:val="auto"/>
          <w:sz w:val="24"/>
          <w:highlight w:val="none"/>
          <w:lang w:val="en-US" w:eastAsia="zh-CN"/>
        </w:rPr>
        <w:t>180个日历日的</w:t>
      </w:r>
      <w:r>
        <w:rPr>
          <w:rFonts w:hint="eastAsia" w:ascii="Times New Roman" w:hAnsi="Times New Roman" w:cs="Times New Roman"/>
          <w:bCs/>
          <w:color w:val="auto"/>
          <w:sz w:val="24"/>
          <w:highlight w:val="none"/>
        </w:rPr>
        <w:t>试运行期。在试运行期间，</w:t>
      </w:r>
      <w:r>
        <w:rPr>
          <w:rFonts w:hint="eastAsia" w:ascii="Times New Roman" w:hAnsi="Times New Roman" w:cs="Times New Roman"/>
          <w:bCs/>
          <w:color w:val="auto"/>
          <w:sz w:val="24"/>
          <w:highlight w:val="none"/>
          <w:lang w:eastAsia="zh-CN"/>
        </w:rPr>
        <w:t>投标人</w:t>
      </w:r>
      <w:r>
        <w:rPr>
          <w:rFonts w:hint="eastAsia" w:ascii="Times New Roman" w:hAnsi="Times New Roman" w:cs="Times New Roman"/>
          <w:bCs/>
          <w:color w:val="auto"/>
          <w:sz w:val="24"/>
          <w:highlight w:val="none"/>
        </w:rPr>
        <w:t>应确保任何故障或问题都能在24小时内（包括节、假日）被修复和解决，并给出详细修复细节报告。</w:t>
      </w:r>
    </w:p>
    <w:p w14:paraId="404C116F">
      <w:pPr>
        <w:widowControl/>
        <w:spacing w:line="360" w:lineRule="auto"/>
        <w:ind w:firstLine="482"/>
        <w:contextualSpacing/>
        <w:rPr>
          <w:rFonts w:ascii="Times New Roman" w:hAnsi="Times New Roman" w:cs="Times New Roman"/>
          <w:bCs/>
          <w:color w:val="auto"/>
          <w:sz w:val="24"/>
          <w:highlight w:val="none"/>
        </w:rPr>
      </w:pPr>
      <w:r>
        <w:rPr>
          <w:rFonts w:hint="eastAsia" w:ascii="Times New Roman" w:hAnsi="Times New Roman" w:cs="Times New Roman"/>
          <w:bCs/>
          <w:color w:val="auto"/>
          <w:sz w:val="24"/>
          <w:highlight w:val="none"/>
        </w:rPr>
        <w:t>试运行期内如出现重大故障，则试运行期从故障排除之日起重新计算，直到系统连续</w:t>
      </w:r>
      <w:r>
        <w:rPr>
          <w:rFonts w:hint="eastAsia" w:ascii="Times New Roman" w:hAnsi="Times New Roman" w:cs="Times New Roman"/>
          <w:bCs/>
          <w:color w:val="auto"/>
          <w:sz w:val="24"/>
          <w:highlight w:val="none"/>
          <w:lang w:val="en-US" w:eastAsia="zh-CN"/>
        </w:rPr>
        <w:t>180个日历日</w:t>
      </w:r>
      <w:r>
        <w:rPr>
          <w:rFonts w:hint="eastAsia" w:ascii="Times New Roman" w:hAnsi="Times New Roman" w:cs="Times New Roman"/>
          <w:bCs/>
          <w:color w:val="auto"/>
          <w:sz w:val="24"/>
          <w:highlight w:val="none"/>
        </w:rPr>
        <w:t>无重大故障为止。重大故障系指因</w:t>
      </w:r>
      <w:r>
        <w:rPr>
          <w:rFonts w:hint="eastAsia" w:ascii="Times New Roman" w:hAnsi="Times New Roman" w:cs="Times New Roman"/>
          <w:bCs/>
          <w:color w:val="auto"/>
          <w:sz w:val="24"/>
          <w:highlight w:val="none"/>
          <w:lang w:eastAsia="zh-CN"/>
        </w:rPr>
        <w:t>投标人</w:t>
      </w:r>
      <w:r>
        <w:rPr>
          <w:rFonts w:hint="eastAsia" w:ascii="Times New Roman" w:hAnsi="Times New Roman" w:cs="Times New Roman"/>
          <w:bCs/>
          <w:color w:val="auto"/>
          <w:sz w:val="24"/>
          <w:highlight w:val="none"/>
        </w:rPr>
        <w:t>或设备软、硬件原因致使不能正常运行。</w:t>
      </w:r>
    </w:p>
    <w:p w14:paraId="6524F679">
      <w:pPr>
        <w:widowControl/>
        <w:spacing w:line="360" w:lineRule="auto"/>
        <w:ind w:firstLine="480" w:firstLineChars="200"/>
        <w:contextualSpacing/>
        <w:outlineLvl w:val="3"/>
        <w:rPr>
          <w:rFonts w:ascii="Times New Roman" w:hAnsi="Times New Roman" w:cs="Times New Roman"/>
          <w:bCs/>
          <w:color w:val="auto"/>
          <w:sz w:val="24"/>
          <w:highlight w:val="none"/>
        </w:rPr>
      </w:pPr>
      <w:r>
        <w:rPr>
          <w:rFonts w:hint="eastAsia" w:ascii="Times New Roman" w:hAnsi="Times New Roman" w:cs="Times New Roman"/>
          <w:bCs/>
          <w:color w:val="auto"/>
          <w:sz w:val="24"/>
          <w:highlight w:val="none"/>
          <w:lang w:val="en-US" w:eastAsia="zh-CN"/>
        </w:rPr>
        <w:t>3.</w:t>
      </w:r>
      <w:r>
        <w:rPr>
          <w:rFonts w:hint="eastAsia" w:ascii="Times New Roman" w:hAnsi="Times New Roman" w:cs="Times New Roman"/>
          <w:bCs/>
          <w:color w:val="auto"/>
          <w:sz w:val="24"/>
          <w:highlight w:val="none"/>
        </w:rPr>
        <w:t>3</w:t>
      </w:r>
      <w:r>
        <w:rPr>
          <w:rFonts w:hint="eastAsia" w:ascii="Times New Roman" w:hAnsi="Times New Roman" w:cs="Times New Roman"/>
          <w:bCs/>
          <w:color w:val="auto"/>
          <w:sz w:val="24"/>
          <w:highlight w:val="none"/>
          <w:lang w:val="en-US" w:eastAsia="zh-CN"/>
        </w:rPr>
        <w:t xml:space="preserve"> </w:t>
      </w:r>
      <w:r>
        <w:rPr>
          <w:rFonts w:hint="eastAsia" w:ascii="Times New Roman" w:hAnsi="Times New Roman" w:cs="Times New Roman"/>
          <w:bCs/>
          <w:color w:val="auto"/>
          <w:sz w:val="24"/>
          <w:highlight w:val="none"/>
        </w:rPr>
        <w:t>终验</w:t>
      </w:r>
    </w:p>
    <w:p w14:paraId="6C79AC4F">
      <w:pPr>
        <w:widowControl/>
        <w:spacing w:line="360" w:lineRule="auto"/>
        <w:ind w:firstLine="482"/>
        <w:contextualSpacing/>
        <w:rPr>
          <w:rFonts w:ascii="Times New Roman" w:hAnsi="Times New Roman" w:cs="Times New Roman"/>
          <w:bCs/>
          <w:color w:val="auto"/>
          <w:sz w:val="24"/>
          <w:highlight w:val="none"/>
        </w:rPr>
      </w:pPr>
      <w:r>
        <w:rPr>
          <w:rFonts w:hint="eastAsia" w:ascii="Times New Roman" w:hAnsi="Times New Roman" w:cs="Times New Roman"/>
          <w:bCs/>
          <w:color w:val="auto"/>
          <w:sz w:val="24"/>
          <w:highlight w:val="none"/>
        </w:rPr>
        <w:t>试运行期内系统稳定，运行良好，满足全部功能要求，</w:t>
      </w:r>
      <w:r>
        <w:rPr>
          <w:rFonts w:hint="eastAsia" w:ascii="Times New Roman" w:hAnsi="Times New Roman" w:cs="Times New Roman"/>
          <w:bCs/>
          <w:color w:val="auto"/>
          <w:sz w:val="24"/>
          <w:highlight w:val="none"/>
          <w:lang w:eastAsia="zh-CN"/>
        </w:rPr>
        <w:t>投标人</w:t>
      </w:r>
      <w:r>
        <w:rPr>
          <w:rFonts w:hint="eastAsia" w:ascii="Times New Roman" w:hAnsi="Times New Roman" w:cs="Times New Roman"/>
          <w:bCs/>
          <w:color w:val="auto"/>
          <w:sz w:val="24"/>
          <w:highlight w:val="none"/>
        </w:rPr>
        <w:t>依据招标文件、投标文件要求组织终验，全部测试项通过，经采购人确认完成终验。</w:t>
      </w:r>
    </w:p>
    <w:p w14:paraId="04499930">
      <w:pPr>
        <w:spacing w:line="360" w:lineRule="auto"/>
        <w:ind w:firstLine="480"/>
        <w:outlineLvl w:val="3"/>
        <w:rPr>
          <w:rFonts w:ascii="Times New Roman" w:hAnsi="Times New Roman" w:eastAsia="宋体" w:cs="Times New Roman"/>
          <w:color w:val="auto"/>
          <w:sz w:val="24"/>
          <w:highlight w:val="none"/>
        </w:rPr>
      </w:pPr>
      <w:r>
        <w:rPr>
          <w:rFonts w:hint="eastAsia" w:ascii="Times New Roman" w:hAnsi="Times New Roman" w:cs="Times New Roman"/>
          <w:color w:val="auto"/>
          <w:sz w:val="24"/>
          <w:highlight w:val="none"/>
          <w:lang w:val="en-US" w:eastAsia="zh-CN"/>
        </w:rPr>
        <w:t>3.4</w:t>
      </w:r>
      <w:r>
        <w:rPr>
          <w:rFonts w:ascii="Times New Roman" w:hAnsi="Times New Roman" w:eastAsia="宋体" w:cs="Times New Roman"/>
          <w:color w:val="auto"/>
          <w:sz w:val="24"/>
          <w:highlight w:val="none"/>
        </w:rPr>
        <w:t>验收文档</w:t>
      </w:r>
    </w:p>
    <w:p w14:paraId="2270E733">
      <w:pPr>
        <w:kinsoku/>
        <w:spacing w:line="360" w:lineRule="auto"/>
        <w:ind w:firstLine="480"/>
        <w:rPr>
          <w:rFonts w:ascii="Times New Roman" w:hAnsi="Times New Roman" w:eastAsia="宋体" w:cs="Times New Roman"/>
          <w:color w:val="auto"/>
          <w:sz w:val="24"/>
          <w:highlight w:val="none"/>
        </w:rPr>
      </w:pPr>
      <w:r>
        <w:rPr>
          <w:rFonts w:hint="eastAsia" w:ascii="Times New Roman" w:hAnsi="Times New Roman" w:cs="Times New Roman"/>
          <w:color w:val="auto"/>
          <w:sz w:val="24"/>
          <w:highlight w:val="none"/>
          <w:lang w:eastAsia="zh-CN"/>
        </w:rPr>
        <w:t>中标投标人提供验收文档</w:t>
      </w:r>
      <w:r>
        <w:rPr>
          <w:rFonts w:ascii="Times New Roman" w:hAnsi="Times New Roman" w:eastAsia="宋体" w:cs="Times New Roman"/>
          <w:color w:val="auto"/>
          <w:sz w:val="24"/>
          <w:highlight w:val="none"/>
        </w:rPr>
        <w:t>应覆盖以下内容</w:t>
      </w:r>
      <w:r>
        <w:rPr>
          <w:rFonts w:hint="eastAsia" w:ascii="Times New Roman" w:hAnsi="Times New Roman" w:cs="Times New Roman"/>
          <w:color w:val="auto"/>
          <w:sz w:val="24"/>
          <w:highlight w:val="none"/>
          <w:lang w:eastAsia="zh-CN"/>
        </w:rPr>
        <w:t>（</w:t>
      </w:r>
      <w:r>
        <w:rPr>
          <w:rFonts w:ascii="Times New Roman" w:hAnsi="Times New Roman" w:eastAsia="宋体" w:cs="Times New Roman"/>
          <w:color w:val="auto"/>
          <w:sz w:val="24"/>
          <w:highlight w:val="none"/>
        </w:rPr>
        <w:t>电子文档是成果不可分割的部分</w:t>
      </w:r>
      <w:r>
        <w:rPr>
          <w:rFonts w:hint="eastAsia" w:ascii="Times New Roman" w:hAnsi="Times New Roman" w:cs="Times New Roman"/>
          <w:color w:val="auto"/>
          <w:sz w:val="24"/>
          <w:highlight w:val="none"/>
          <w:lang w:eastAsia="zh-CN"/>
        </w:rPr>
        <w:t>）</w:t>
      </w:r>
      <w:r>
        <w:rPr>
          <w:rFonts w:ascii="Times New Roman" w:hAnsi="Times New Roman" w:eastAsia="宋体" w:cs="Times New Roman"/>
          <w:color w:val="auto"/>
          <w:sz w:val="24"/>
          <w:highlight w:val="none"/>
        </w:rPr>
        <w:t>。</w:t>
      </w:r>
    </w:p>
    <w:p w14:paraId="413CE4E0">
      <w:pPr>
        <w:kinsoku/>
        <w:spacing w:line="360" w:lineRule="auto"/>
        <w:ind w:left="48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（1）项目实施前：需求分析报告；施工方案、项目实施计划；</w:t>
      </w:r>
    </w:p>
    <w:p w14:paraId="0E3C472F">
      <w:pPr>
        <w:kinsoku/>
        <w:spacing w:line="360" w:lineRule="auto"/>
        <w:ind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（2）项目实施期间：项目实施工作单、故障诊断及排除记录、项目例会会议纪要等项目实施过程中衍生的其它相关资料；</w:t>
      </w:r>
    </w:p>
    <w:p w14:paraId="0CA472B0">
      <w:pPr>
        <w:kinsoku/>
        <w:spacing w:line="360" w:lineRule="auto"/>
        <w:ind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（3）项目实施后：项目竣工报告、系统试运行和自测报告、故障诊断与排除手册、项目工作总结报告、协助采购人编制资产财务报告；</w:t>
      </w:r>
    </w:p>
    <w:p w14:paraId="46BEDAF7">
      <w:pPr>
        <w:kinsoku/>
        <w:spacing w:line="360" w:lineRule="auto"/>
        <w:ind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（4）在系统试运行期间由专业评测资质的机构对本项目的软件测评、安全（验收）测评、密码应用安全性评估，并提供测评报告；</w:t>
      </w:r>
    </w:p>
    <w:p w14:paraId="06951906">
      <w:pPr>
        <w:kinsoku/>
        <w:spacing w:line="360" w:lineRule="auto"/>
        <w:ind w:left="48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（5）培训期间：培训计划、培训教材、用户使用手册、管理员使用手册；</w:t>
      </w:r>
    </w:p>
    <w:p w14:paraId="50505570">
      <w:pPr>
        <w:kinsoku/>
        <w:spacing w:line="360" w:lineRule="auto"/>
        <w:ind w:left="480"/>
        <w:rPr>
          <w:rFonts w:ascii="Times New Roman" w:hAnsi="Times New Roman" w:eastAsia="宋体" w:cs="Times New Roman"/>
          <w:color w:val="auto"/>
          <w:kern w:val="0"/>
          <w:sz w:val="24"/>
          <w:highlight w:val="none"/>
        </w:rPr>
      </w:pPr>
      <w:r>
        <w:rPr>
          <w:rFonts w:ascii="Times New Roman" w:hAnsi="Times New Roman" w:eastAsia="宋体" w:cs="Times New Roman"/>
          <w:color w:val="auto"/>
          <w:kern w:val="0"/>
          <w:sz w:val="24"/>
          <w:highlight w:val="none"/>
        </w:rPr>
        <w:t>（6）其他需要提交的材料。</w:t>
      </w:r>
    </w:p>
    <w:p w14:paraId="008D5382">
      <w:pPr>
        <w:spacing w:line="360" w:lineRule="auto"/>
        <w:contextualSpacing/>
        <w:outlineLvl w:val="2"/>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4. 其他要求</w:t>
      </w:r>
    </w:p>
    <w:p w14:paraId="3280A7B5">
      <w:pPr>
        <w:widowControl/>
        <w:spacing w:line="360" w:lineRule="auto"/>
        <w:ind w:firstLine="480" w:firstLineChars="200"/>
        <w:contextualSpacing/>
        <w:rPr>
          <w:rFonts w:ascii="Times New Roman" w:hAnsi="Times New Roman" w:cs="Times New Roman"/>
          <w:bCs/>
          <w:color w:val="auto"/>
          <w:sz w:val="24"/>
          <w:highlight w:val="none"/>
        </w:rPr>
      </w:pPr>
      <w:r>
        <w:rPr>
          <w:rFonts w:ascii="Times New Roman" w:hAnsi="Times New Roman" w:cs="Times New Roman"/>
          <w:bCs/>
          <w:color w:val="auto"/>
          <w:sz w:val="24"/>
          <w:highlight w:val="none"/>
        </w:rPr>
        <w:t>采购需求还应当符合《政务信息系统政府采购管理暂行办法》（财库〔2017〕210号）的相关要求。</w:t>
      </w:r>
    </w:p>
    <w:p w14:paraId="1D3EA0D6">
      <w:bookmarkStart w:id="2" w:name="_GoBack"/>
      <w:bookmarkEnd w:id="2"/>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imSun,Bold">
    <w:altName w:val="宋体"/>
    <w:panose1 w:val="00000000000000000000"/>
    <w:charset w:val="86"/>
    <w:family w:val="auto"/>
    <w:pitch w:val="default"/>
    <w:sig w:usb0="00000000" w:usb1="00000000" w:usb2="0000001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38BBD">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4" name="矩形 410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764C680F">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81</w:t>
                          </w:r>
                          <w:r>
                            <w:rPr>
                              <w:rFonts w:ascii="Times New Roman" w:hAnsi="Times New Roman" w:eastAsia="宋体" w:cs="Times New Roman"/>
                              <w:kern w:val="2"/>
                              <w:sz w:val="21"/>
                              <w:szCs w:val="24"/>
                              <w:lang w:val="en-US" w:eastAsia="zh-CN" w:bidi="ar-SA"/>
                            </w:rP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uXW5UtAAAAAFAQAADwAAAAAAAAABACAAAAAiAAAAZHJzL2Rvd25yZXYueG1s&#10;UEsBAhQAFAAAAAgAh07iQNVejY3HAQAAoAMAAA4AAAAAAAAAAQAgAAAAHwEAAGRycy9lMm9Eb2Mu&#10;eG1sUEsFBgAAAAAGAAYAWQEAAFgFAAAAAA==&#10;">
              <v:fill on="f" focussize="0,0"/>
              <v:stroke on="f"/>
              <v:imagedata o:title=""/>
              <o:lock v:ext="edit" aspectratio="f"/>
              <v:textbox inset="0mm,0mm,0mm,0mm" style="mso-fit-shape-to-text:t;">
                <w:txbxContent>
                  <w:p w14:paraId="764C680F">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81</w:t>
                    </w:r>
                    <w:r>
                      <w:rPr>
                        <w:rFonts w:ascii="Times New Roman" w:hAnsi="Times New Roman" w:eastAsia="宋体" w:cs="Times New Roman"/>
                        <w:kern w:val="2"/>
                        <w:sz w:val="21"/>
                        <w:szCs w:val="24"/>
                        <w:lang w:val="en-US" w:eastAsia="zh-CN" w:bidi="ar-SA"/>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28541">
    <w:pPr>
      <w:widowControl w:val="0"/>
      <w:pBdr>
        <w:bottom w:val="none" w:color="auto" w:sz="0" w:space="0"/>
      </w:pBdr>
      <w:snapToGrid w:val="0"/>
      <w:jc w:val="center"/>
      <w:rPr>
        <w:rFonts w:ascii="Times New Roman" w:hAnsi="Times New Roman" w:eastAsia="宋体" w:cs="Times New Roman"/>
        <w:kern w:val="0"/>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B7D82F"/>
    <w:multiLevelType w:val="singleLevel"/>
    <w:tmpl w:val="F8B7D82F"/>
    <w:lvl w:ilvl="0" w:tentative="0">
      <w:start w:val="1"/>
      <w:numFmt w:val="decimal"/>
      <w:suff w:val="nothing"/>
      <w:lvlText w:val="（%1）"/>
      <w:lvlJc w:val="left"/>
    </w:lvl>
  </w:abstractNum>
  <w:abstractNum w:abstractNumId="1">
    <w:nsid w:val="6E1B49D9"/>
    <w:multiLevelType w:val="multilevel"/>
    <w:tmpl w:val="6E1B49D9"/>
    <w:lvl w:ilvl="0" w:tentative="0">
      <w:start w:val="1"/>
      <w:numFmt w:val="decimal"/>
      <w:lvlText w:val="（%1）"/>
      <w:lvlJc w:val="left"/>
      <w:pPr>
        <w:ind w:left="1145" w:hanging="720"/>
      </w:pPr>
      <w:rPr>
        <w:rFonts w:hint="default"/>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3341A4"/>
    <w:rsid w:val="08203E62"/>
    <w:rsid w:val="14D81A53"/>
    <w:rsid w:val="193341A4"/>
    <w:rsid w:val="3A2A6DA3"/>
    <w:rsid w:val="68257895"/>
    <w:rsid w:val="6E120394"/>
    <w:rsid w:val="724E07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next w:val="1"/>
    <w:qFormat/>
    <w:uiPriority w:val="0"/>
    <w:pPr>
      <w:keepNext/>
      <w:keepLines/>
      <w:widowControl w:val="0"/>
      <w:autoSpaceDE w:val="0"/>
      <w:autoSpaceDN w:val="0"/>
      <w:adjustRightInd w:val="0"/>
      <w:spacing w:before="120" w:line="300" w:lineRule="auto"/>
      <w:jc w:val="center"/>
      <w:outlineLvl w:val="1"/>
    </w:pPr>
    <w:rPr>
      <w:rFonts w:ascii="Arial" w:hAnsi="Arial" w:eastAsia="黑体" w:cs="Times New Roman"/>
      <w:b/>
      <w:kern w:val="0"/>
      <w:sz w:val="30"/>
      <w:szCs w:val="20"/>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Salutation"/>
    <w:next w:val="1"/>
    <w:unhideWhenUsed/>
    <w:qFormat/>
    <w:uiPriority w:val="99"/>
    <w:pPr>
      <w:keepNext w:val="0"/>
      <w:keepLines w:val="0"/>
      <w:widowControl w:val="0"/>
      <w:suppressLineNumbers w:val="0"/>
      <w:spacing w:before="0" w:beforeAutospacing="0" w:after="0" w:afterAutospacing="0" w:line="360" w:lineRule="auto"/>
      <w:ind w:left="0" w:right="0"/>
      <w:jc w:val="both"/>
    </w:pPr>
    <w:rPr>
      <w:rFonts w:hint="default" w:ascii="Times New Roman" w:hAnsi="Times New Roman" w:eastAsia="仿宋" w:cs="Times New Roman"/>
      <w:kern w:val="2"/>
      <w:sz w:val="24"/>
      <w:szCs w:val="24"/>
      <w:lang w:val="en-US" w:eastAsia="zh-CN" w:bidi="ar"/>
    </w:rPr>
  </w:style>
  <w:style w:type="paragraph" w:styleId="4">
    <w:name w:val="Body Text"/>
    <w:qFormat/>
    <w:uiPriority w:val="0"/>
    <w:pPr>
      <w:widowControl w:val="0"/>
      <w:tabs>
        <w:tab w:val="left" w:pos="567"/>
      </w:tabs>
      <w:spacing w:before="120" w:line="22" w:lineRule="atLeast"/>
      <w:jc w:val="both"/>
    </w:pPr>
    <w:rPr>
      <w:rFonts w:ascii="宋体" w:hAnsi="宋体" w:eastAsia="宋体" w:cs="Times New Roman"/>
      <w:kern w:val="2"/>
      <w:sz w:val="24"/>
      <w:szCs w:val="24"/>
      <w:lang w:val="en-US" w:eastAsia="zh-CN" w:bidi="ar-SA"/>
    </w:rPr>
  </w:style>
  <w:style w:type="paragraph" w:styleId="5">
    <w:name w:val="Body Text Indent"/>
    <w:next w:val="1"/>
    <w:qFormat/>
    <w:uiPriority w:val="0"/>
    <w:pPr>
      <w:widowControl w:val="0"/>
      <w:spacing w:line="360" w:lineRule="auto"/>
      <w:ind w:firstLine="570"/>
      <w:jc w:val="both"/>
    </w:pPr>
    <w:rPr>
      <w:rFonts w:ascii="Times New Roman" w:hAnsi="Times New Roman" w:eastAsia="宋体" w:cs="Times New Roman"/>
      <w:kern w:val="2"/>
      <w:sz w:val="24"/>
      <w:szCs w:val="24"/>
      <w:lang w:val="en-US" w:eastAsia="zh-CN" w:bidi="ar-SA"/>
    </w:rPr>
  </w:style>
  <w:style w:type="paragraph" w:styleId="6">
    <w:name w:val="Body Text First Indent 2"/>
    <w:qFormat/>
    <w:uiPriority w:val="0"/>
    <w:pPr>
      <w:widowControl w:val="0"/>
      <w:spacing w:after="120" w:line="480" w:lineRule="exact"/>
      <w:ind w:left="420" w:leftChars="200" w:firstLine="420" w:firstLineChars="200"/>
      <w:jc w:val="both"/>
    </w:pPr>
    <w:rPr>
      <w:rFonts w:ascii="Times New Roman" w:hAnsi="Times New Roman" w:eastAsia="宋体" w:cs="Times New Roman"/>
      <w:kern w:val="2"/>
      <w:sz w:val="24"/>
      <w:szCs w:val="20"/>
      <w:lang w:val="en-US" w:eastAsia="zh-CN" w:bidi="ar-SA"/>
    </w:rPr>
  </w:style>
  <w:style w:type="table" w:styleId="8">
    <w:name w:val="Table Grid"/>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annotation reference"/>
    <w:qFormat/>
    <w:uiPriority w:val="99"/>
    <w:rPr>
      <w:sz w:val="21"/>
      <w:szCs w:val="21"/>
    </w:rPr>
  </w:style>
  <w:style w:type="paragraph" w:styleId="11">
    <w:name w:val="List Paragraph"/>
    <w:qFormat/>
    <w:uiPriority w:val="34"/>
    <w:pPr>
      <w:widowControl w:val="0"/>
      <w:ind w:firstLine="420" w:firstLineChars="200"/>
      <w:jc w:val="both"/>
    </w:pPr>
    <w:rPr>
      <w:rFonts w:ascii="Calibri" w:hAnsi="Calibri" w:eastAsia="宋体" w:cs="Times New Roman"/>
      <w:kern w:val="2"/>
      <w:sz w:val="21"/>
      <w:szCs w:val="22"/>
      <w:lang w:val="en-US" w:eastAsia="zh-CN" w:bidi="ar-SA"/>
    </w:rPr>
  </w:style>
  <w:style w:type="character" w:customStyle="1" w:styleId="12">
    <w:name w:val="font212"/>
    <w:qFormat/>
    <w:uiPriority w:val="0"/>
    <w:rPr>
      <w:rFonts w:ascii="宋体" w:hAnsi="宋体" w:eastAsia="宋体" w:cs="宋体"/>
      <w:color w:val="E0C070"/>
      <w:sz w:val="68"/>
      <w:szCs w:val="68"/>
      <w:u w:val="none"/>
    </w:rPr>
  </w:style>
  <w:style w:type="character" w:customStyle="1" w:styleId="13">
    <w:name w:val="font221"/>
    <w:qFormat/>
    <w:uiPriority w:val="0"/>
    <w:rPr>
      <w:rFonts w:ascii="宋体" w:hAnsi="宋体" w:eastAsia="宋体" w:cs="宋体"/>
      <w:color w:val="F0B050"/>
      <w:sz w:val="68"/>
      <w:szCs w:val="68"/>
      <w:u w:val="none"/>
    </w:rPr>
  </w:style>
  <w:style w:type="character" w:customStyle="1" w:styleId="14">
    <w:name w:val="font231"/>
    <w:qFormat/>
    <w:uiPriority w:val="0"/>
    <w:rPr>
      <w:rFonts w:hint="default" w:ascii="Arial" w:hAnsi="Arial" w:cs="Arial"/>
      <w:color w:val="000000"/>
      <w:sz w:val="18"/>
      <w:szCs w:val="18"/>
      <w:u w:val="none"/>
    </w:rPr>
  </w:style>
  <w:style w:type="character" w:customStyle="1" w:styleId="15">
    <w:name w:val="font191"/>
    <w:qFormat/>
    <w:uiPriority w:val="0"/>
    <w:rPr>
      <w:rFonts w:hint="default" w:ascii="Arial" w:hAnsi="Arial" w:cs="Arial"/>
      <w:color w:val="000000"/>
      <w:sz w:val="22"/>
      <w:szCs w:val="22"/>
      <w:u w:val="none"/>
    </w:rPr>
  </w:style>
  <w:style w:type="character" w:customStyle="1" w:styleId="16">
    <w:name w:val="font201"/>
    <w:qFormat/>
    <w:uiPriority w:val="0"/>
    <w:rPr>
      <w:rFonts w:hint="default" w:ascii="Arial" w:hAnsi="Arial" w:cs="Arial"/>
      <w:color w:val="000000"/>
      <w:sz w:val="15"/>
      <w:szCs w:val="15"/>
      <w:u w:val="none"/>
    </w:rPr>
  </w:style>
  <w:style w:type="character" w:customStyle="1" w:styleId="17">
    <w:name w:val="font341"/>
    <w:qFormat/>
    <w:uiPriority w:val="0"/>
    <w:rPr>
      <w:rFonts w:ascii="宋体" w:hAnsi="宋体" w:eastAsia="宋体" w:cs="宋体"/>
      <w:b/>
      <w:bCs/>
      <w:color w:val="000000"/>
      <w:sz w:val="28"/>
      <w:szCs w:val="28"/>
      <w:u w:val="none"/>
    </w:rPr>
  </w:style>
  <w:style w:type="character" w:customStyle="1" w:styleId="18">
    <w:name w:val="font301"/>
    <w:qFormat/>
    <w:uiPriority w:val="0"/>
    <w:rPr>
      <w:rFonts w:hint="default" w:ascii="Arial" w:hAnsi="Arial" w:cs="Arial"/>
      <w:color w:val="000000"/>
      <w:sz w:val="18"/>
      <w:szCs w:val="18"/>
      <w:u w:val="none"/>
    </w:rPr>
  </w:style>
  <w:style w:type="character" w:customStyle="1" w:styleId="19">
    <w:name w:val="font291"/>
    <w:qFormat/>
    <w:uiPriority w:val="0"/>
    <w:rPr>
      <w:rFonts w:hint="default" w:ascii="Arial" w:hAnsi="Arial" w:cs="Arial"/>
      <w:color w:val="000000"/>
      <w:sz w:val="16"/>
      <w:szCs w:val="16"/>
      <w:u w:val="none"/>
    </w:rPr>
  </w:style>
  <w:style w:type="character" w:customStyle="1" w:styleId="20">
    <w:name w:val="font331"/>
    <w:qFormat/>
    <w:uiPriority w:val="0"/>
    <w:rPr>
      <w:rFonts w:hint="default" w:ascii="Arial" w:hAnsi="Arial" w:cs="Arial"/>
      <w:color w:val="000000"/>
      <w:sz w:val="19"/>
      <w:szCs w:val="19"/>
      <w:u w:val="none"/>
    </w:rPr>
  </w:style>
  <w:style w:type="character" w:customStyle="1" w:styleId="21">
    <w:name w:val="font351"/>
    <w:qFormat/>
    <w:uiPriority w:val="0"/>
    <w:rPr>
      <w:rFonts w:ascii="宋体" w:hAnsi="宋体" w:eastAsia="宋体" w:cs="宋体"/>
      <w:b/>
      <w:bCs/>
      <w:color w:val="000000"/>
      <w:sz w:val="26"/>
      <w:szCs w:val="26"/>
      <w:u w:val="none"/>
    </w:rPr>
  </w:style>
  <w:style w:type="character" w:customStyle="1" w:styleId="22">
    <w:name w:val="font371"/>
    <w:qFormat/>
    <w:uiPriority w:val="0"/>
    <w:rPr>
      <w:rFonts w:hint="default" w:ascii="Arial" w:hAnsi="Arial" w:cs="Arial"/>
      <w:color w:val="000000"/>
      <w:sz w:val="21"/>
      <w:szCs w:val="21"/>
      <w:u w:val="none"/>
    </w:rPr>
  </w:style>
  <w:style w:type="character" w:customStyle="1" w:styleId="23">
    <w:name w:val="font381"/>
    <w:qFormat/>
    <w:uiPriority w:val="0"/>
    <w:rPr>
      <w:rFonts w:ascii="宋体" w:hAnsi="宋体" w:eastAsia="宋体" w:cs="宋体"/>
      <w:b/>
      <w:bCs/>
      <w:color w:val="000000"/>
      <w:sz w:val="30"/>
      <w:szCs w:val="30"/>
      <w:u w:val="none"/>
    </w:rPr>
  </w:style>
  <w:style w:type="character" w:customStyle="1" w:styleId="24">
    <w:name w:val="font422"/>
    <w:qFormat/>
    <w:uiPriority w:val="0"/>
    <w:rPr>
      <w:rFonts w:hint="default" w:ascii="Arial" w:hAnsi="Arial" w:cs="Arial"/>
      <w:color w:val="000000"/>
      <w:sz w:val="22"/>
      <w:szCs w:val="22"/>
      <w:u w:val="none"/>
    </w:rPr>
  </w:style>
  <w:style w:type="paragraph" w:customStyle="1" w:styleId="25">
    <w:name w:val="Table Text"/>
    <w:semiHidden/>
    <w:qFormat/>
    <w:uiPriority w:val="0"/>
    <w:pPr>
      <w:widowControl w:val="0"/>
      <w:jc w:val="both"/>
    </w:pPr>
    <w:rPr>
      <w:rFonts w:ascii="宋体" w:hAnsi="宋体" w:eastAsia="宋体" w:cs="宋体"/>
      <w:kern w:val="2"/>
      <w:sz w:val="21"/>
      <w:szCs w:val="21"/>
      <w:lang w:val="en-US" w:eastAsia="zh-CN" w:bidi="ar-SA"/>
    </w:rPr>
  </w:style>
  <w:style w:type="table" w:customStyle="1" w:styleId="26">
    <w:name w:val="Table Normal"/>
    <w:semiHidden/>
    <w:unhideWhenUsed/>
    <w:qFormat/>
    <w:uiPriority w:val="2"/>
    <w:pPr>
      <w:widowControl w:val="0"/>
      <w:autoSpaceDE w:val="0"/>
      <w:autoSpaceDN w:val="0"/>
    </w:pPr>
    <w:rPr>
      <w:rFonts w:ascii="Calibri" w:hAnsi="Calibri" w:eastAsia="宋体" w:cs="Times New Roman"/>
      <w:sz w:val="22"/>
      <w:szCs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5849</Words>
  <Characters>6561</Characters>
  <Lines>0</Lines>
  <Paragraphs>0</Paragraphs>
  <TotalTime>0</TotalTime>
  <ScaleCrop>false</ScaleCrop>
  <LinksUpToDate>false</LinksUpToDate>
  <CharactersWithSpaces>6805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2026-06-29T02:11:00Z</dcterms:created>
  <dc:creator>栋</dc:creator>
  <cp:lastModifiedBy>栋</cp:lastModifiedBy>
  <dcterms:modified xsi:type="dcterms:W3CDTF">2026-09-30T02:45:14Z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000CA6074A9E4212A8F6B56BAAE86944_11</vt:lpwstr>
  </property>
  <property fmtid="{D5CDD505-2E9C-101B-9397-08002B2CF9AE}" pid="4" name="KSOTemplateDocerSaveRecord">
    <vt:lpwstr>eyJoZGlkIjoiOTU5MTdjOGU3ZmY4YzIwMmE0NTgwNDBkMTdmMjJiYTUiLCJ1c2VySWQiOiI0NTA3NDAzODYifQ==</vt:lpwstr>
  </property>
</Properties>
</file>