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BA0CF">
      <w:pPr>
        <w:spacing w:line="360" w:lineRule="auto"/>
        <w:jc w:val="center"/>
        <w:outlineLvl w:val="0"/>
        <w:rPr>
          <w:b/>
          <w:sz w:val="36"/>
          <w:szCs w:val="36"/>
        </w:rPr>
      </w:pPr>
      <w:bookmarkStart w:id="0" w:name="_Toc20096"/>
      <w:r>
        <w:rPr>
          <w:b/>
          <w:sz w:val="36"/>
          <w:szCs w:val="36"/>
        </w:rPr>
        <w:t>第五章</w:t>
      </w:r>
      <w:r>
        <w:rPr>
          <w:rFonts w:hint="eastAsia"/>
          <w:b/>
          <w:sz w:val="36"/>
          <w:szCs w:val="36"/>
        </w:rPr>
        <w:t xml:space="preserve">  </w:t>
      </w:r>
      <w:r>
        <w:rPr>
          <w:b/>
          <w:sz w:val="36"/>
          <w:szCs w:val="36"/>
        </w:rPr>
        <w:t>采购需求</w:t>
      </w:r>
      <w:bookmarkEnd w:id="0"/>
    </w:p>
    <w:p w14:paraId="11F51F56">
      <w:pPr>
        <w:pStyle w:val="3"/>
      </w:pPr>
    </w:p>
    <w:p w14:paraId="03BFDCB8">
      <w:pPr>
        <w:pStyle w:val="7"/>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417"/>
        <w:gridCol w:w="1069"/>
        <w:gridCol w:w="1846"/>
        <w:gridCol w:w="1200"/>
        <w:gridCol w:w="1195"/>
      </w:tblGrid>
      <w:tr w14:paraId="3B17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7" w:type="pct"/>
            <w:vAlign w:val="center"/>
          </w:tcPr>
          <w:p w14:paraId="77AC66BF">
            <w:pPr>
              <w:jc w:val="center"/>
              <w:rPr>
                <w:rFonts w:hint="eastAsia" w:ascii="宋体" w:hAnsi="宋体" w:cs="宋体"/>
                <w:b/>
                <w:bCs/>
                <w:sz w:val="24"/>
              </w:rPr>
            </w:pPr>
            <w:r>
              <w:rPr>
                <w:rFonts w:hint="eastAsia" w:ascii="宋体" w:hAnsi="宋体" w:cs="宋体"/>
                <w:b/>
                <w:bCs/>
                <w:sz w:val="24"/>
              </w:rPr>
              <w:t>序号</w:t>
            </w:r>
          </w:p>
        </w:tc>
        <w:tc>
          <w:tcPr>
            <w:tcW w:w="1418" w:type="pct"/>
            <w:vAlign w:val="center"/>
          </w:tcPr>
          <w:p w14:paraId="0D7FC46D">
            <w:pPr>
              <w:jc w:val="center"/>
              <w:rPr>
                <w:rFonts w:hint="eastAsia" w:ascii="宋体" w:hAnsi="宋体" w:cs="宋体"/>
                <w:b/>
                <w:bCs/>
                <w:sz w:val="24"/>
              </w:rPr>
            </w:pPr>
            <w:r>
              <w:rPr>
                <w:rFonts w:hint="eastAsia" w:ascii="宋体" w:hAnsi="宋体" w:cs="宋体"/>
                <w:b/>
                <w:bCs/>
                <w:sz w:val="24"/>
              </w:rPr>
              <w:t>标的名称</w:t>
            </w:r>
          </w:p>
        </w:tc>
        <w:tc>
          <w:tcPr>
            <w:tcW w:w="627" w:type="pct"/>
            <w:vAlign w:val="center"/>
          </w:tcPr>
          <w:p w14:paraId="1D238A35">
            <w:pPr>
              <w:jc w:val="center"/>
              <w:rPr>
                <w:rFonts w:hint="eastAsia" w:ascii="宋体" w:hAnsi="宋体" w:cs="宋体"/>
                <w:b/>
                <w:bCs/>
                <w:sz w:val="24"/>
              </w:rPr>
            </w:pPr>
            <w:r>
              <w:rPr>
                <w:rFonts w:hint="eastAsia" w:ascii="宋体" w:hAnsi="宋体" w:cs="宋体"/>
                <w:b/>
                <w:bCs/>
                <w:sz w:val="24"/>
              </w:rPr>
              <w:t>数量（台）</w:t>
            </w:r>
          </w:p>
        </w:tc>
        <w:tc>
          <w:tcPr>
            <w:tcW w:w="1083" w:type="pct"/>
            <w:vAlign w:val="center"/>
          </w:tcPr>
          <w:p w14:paraId="010018B5">
            <w:pPr>
              <w:jc w:val="center"/>
              <w:rPr>
                <w:rFonts w:hint="eastAsia" w:ascii="宋体" w:hAnsi="宋体" w:cs="宋体"/>
                <w:b/>
                <w:bCs/>
                <w:sz w:val="24"/>
              </w:rPr>
            </w:pPr>
            <w:r>
              <w:rPr>
                <w:rFonts w:hint="eastAsia" w:ascii="宋体" w:hAnsi="宋体" w:cs="宋体"/>
                <w:b/>
                <w:bCs/>
                <w:sz w:val="24"/>
              </w:rPr>
              <w:t>单价最高限价（万元/台）</w:t>
            </w:r>
          </w:p>
        </w:tc>
        <w:tc>
          <w:tcPr>
            <w:tcW w:w="704" w:type="pct"/>
            <w:vAlign w:val="center"/>
          </w:tcPr>
          <w:p w14:paraId="1271456C">
            <w:pPr>
              <w:jc w:val="center"/>
              <w:rPr>
                <w:rFonts w:hint="eastAsia" w:ascii="宋体" w:hAnsi="宋体" w:cs="宋体"/>
                <w:b/>
                <w:bCs/>
                <w:sz w:val="24"/>
              </w:rPr>
            </w:pPr>
            <w:r>
              <w:rPr>
                <w:rFonts w:hint="eastAsia" w:ascii="宋体" w:hAnsi="宋体" w:cs="宋体"/>
                <w:b/>
                <w:bCs/>
                <w:sz w:val="24"/>
              </w:rPr>
              <w:t>是否允许进口</w:t>
            </w:r>
          </w:p>
        </w:tc>
        <w:tc>
          <w:tcPr>
            <w:tcW w:w="701" w:type="pct"/>
            <w:vAlign w:val="center"/>
          </w:tcPr>
          <w:p w14:paraId="54797D91">
            <w:pPr>
              <w:jc w:val="center"/>
              <w:rPr>
                <w:rFonts w:hint="eastAsia" w:ascii="宋体" w:hAnsi="宋体" w:cs="宋体"/>
                <w:b/>
                <w:bCs/>
                <w:sz w:val="24"/>
              </w:rPr>
            </w:pPr>
            <w:r>
              <w:rPr>
                <w:rFonts w:hint="eastAsia" w:ascii="宋体" w:hAnsi="宋体" w:cs="宋体"/>
                <w:b/>
                <w:bCs/>
                <w:sz w:val="24"/>
              </w:rPr>
              <w:t>是否为核心产品</w:t>
            </w:r>
          </w:p>
        </w:tc>
      </w:tr>
      <w:tr w14:paraId="1A2D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7" w:type="pct"/>
            <w:vAlign w:val="center"/>
          </w:tcPr>
          <w:p w14:paraId="4530E8BA">
            <w:pPr>
              <w:widowControl/>
              <w:jc w:val="center"/>
              <w:textAlignment w:val="center"/>
              <w:rPr>
                <w:rFonts w:hint="eastAsia" w:ascii="宋体" w:hAnsi="宋体" w:cs="宋体"/>
                <w:bCs/>
                <w:sz w:val="24"/>
              </w:rPr>
            </w:pPr>
            <w:r>
              <w:rPr>
                <w:rFonts w:hint="eastAsia" w:ascii="宋体" w:hAnsi="宋体" w:cs="宋体"/>
                <w:bCs/>
                <w:sz w:val="24"/>
              </w:rPr>
              <w:t>1</w:t>
            </w:r>
          </w:p>
        </w:tc>
        <w:tc>
          <w:tcPr>
            <w:tcW w:w="1418" w:type="pct"/>
            <w:vAlign w:val="center"/>
          </w:tcPr>
          <w:p w14:paraId="6B23368D">
            <w:pPr>
              <w:widowControl/>
              <w:jc w:val="center"/>
              <w:textAlignment w:val="center"/>
              <w:rPr>
                <w:rFonts w:hint="eastAsia" w:ascii="宋体" w:hAnsi="宋体" w:cs="宋体"/>
                <w:bCs/>
                <w:sz w:val="24"/>
              </w:rPr>
            </w:pPr>
            <w:r>
              <w:rPr>
                <w:rFonts w:hint="eastAsia" w:ascii="宋体" w:hAnsi="宋体" w:cs="宋体"/>
                <w:color w:val="000000"/>
                <w:kern w:val="0"/>
                <w:sz w:val="24"/>
                <w:lang w:bidi="ar"/>
              </w:rPr>
              <w:t>近红外光谱脑功能成像系统</w:t>
            </w:r>
          </w:p>
        </w:tc>
        <w:tc>
          <w:tcPr>
            <w:tcW w:w="627" w:type="pct"/>
            <w:vAlign w:val="center"/>
          </w:tcPr>
          <w:p w14:paraId="39F4F729">
            <w:pPr>
              <w:widowControl/>
              <w:jc w:val="center"/>
              <w:textAlignment w:val="center"/>
              <w:rPr>
                <w:rFonts w:hint="eastAsia" w:ascii="宋体" w:hAnsi="宋体" w:cs="宋体"/>
                <w:bCs/>
                <w:sz w:val="24"/>
              </w:rPr>
            </w:pPr>
            <w:r>
              <w:rPr>
                <w:rFonts w:hint="eastAsia" w:ascii="宋体" w:hAnsi="宋体" w:cs="宋体"/>
                <w:color w:val="000000"/>
                <w:kern w:val="0"/>
                <w:sz w:val="24"/>
                <w:lang w:bidi="ar"/>
              </w:rPr>
              <w:t>1</w:t>
            </w:r>
          </w:p>
        </w:tc>
        <w:tc>
          <w:tcPr>
            <w:tcW w:w="1083" w:type="pct"/>
            <w:vAlign w:val="center"/>
          </w:tcPr>
          <w:p w14:paraId="0A311F47">
            <w:pPr>
              <w:widowControl/>
              <w:jc w:val="center"/>
              <w:textAlignment w:val="center"/>
              <w:rPr>
                <w:rFonts w:hint="eastAsia" w:ascii="宋体" w:hAnsi="宋体" w:cs="宋体"/>
                <w:bCs/>
                <w:sz w:val="24"/>
              </w:rPr>
            </w:pPr>
            <w:r>
              <w:rPr>
                <w:rFonts w:hint="eastAsia" w:ascii="宋体" w:hAnsi="宋体" w:cs="宋体"/>
                <w:color w:val="000000"/>
                <w:kern w:val="0"/>
                <w:sz w:val="24"/>
                <w:lang w:bidi="ar"/>
              </w:rPr>
              <w:t>110</w:t>
            </w:r>
          </w:p>
        </w:tc>
        <w:tc>
          <w:tcPr>
            <w:tcW w:w="704" w:type="pct"/>
            <w:vAlign w:val="center"/>
          </w:tcPr>
          <w:p w14:paraId="797B1F63">
            <w:pPr>
              <w:widowControl/>
              <w:jc w:val="center"/>
              <w:textAlignment w:val="center"/>
              <w:rPr>
                <w:rFonts w:hint="eastAsia" w:ascii="宋体" w:hAnsi="宋体" w:cs="宋体"/>
                <w:bCs/>
                <w:sz w:val="24"/>
              </w:rPr>
            </w:pPr>
            <w:r>
              <w:rPr>
                <w:rFonts w:hint="eastAsia" w:ascii="宋体" w:hAnsi="宋体" w:cs="宋体"/>
                <w:bCs/>
                <w:sz w:val="24"/>
              </w:rPr>
              <w:t>否</w:t>
            </w:r>
          </w:p>
        </w:tc>
        <w:tc>
          <w:tcPr>
            <w:tcW w:w="701" w:type="pct"/>
            <w:vAlign w:val="center"/>
          </w:tcPr>
          <w:p w14:paraId="4E6807AA">
            <w:pPr>
              <w:widowControl/>
              <w:jc w:val="center"/>
              <w:textAlignment w:val="center"/>
              <w:rPr>
                <w:rFonts w:hint="eastAsia" w:ascii="宋体" w:hAnsi="宋体" w:cs="宋体"/>
                <w:bCs/>
                <w:sz w:val="24"/>
              </w:rPr>
            </w:pPr>
            <w:r>
              <w:rPr>
                <w:rFonts w:hint="eastAsia" w:ascii="宋体" w:hAnsi="宋体" w:cs="宋体"/>
                <w:bCs/>
                <w:sz w:val="24"/>
              </w:rPr>
              <w:t>是</w:t>
            </w:r>
          </w:p>
        </w:tc>
      </w:tr>
      <w:tr w14:paraId="7A81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7" w:type="pct"/>
            <w:vAlign w:val="center"/>
          </w:tcPr>
          <w:p w14:paraId="2AD5D581">
            <w:pPr>
              <w:widowControl/>
              <w:jc w:val="center"/>
              <w:textAlignment w:val="center"/>
              <w:rPr>
                <w:rFonts w:hint="eastAsia" w:ascii="宋体" w:hAnsi="宋体" w:cs="宋体"/>
                <w:bCs/>
                <w:sz w:val="24"/>
              </w:rPr>
            </w:pPr>
            <w:r>
              <w:rPr>
                <w:rFonts w:hint="eastAsia" w:ascii="宋体" w:hAnsi="宋体" w:cs="宋体"/>
                <w:bCs/>
                <w:sz w:val="24"/>
              </w:rPr>
              <w:t>2</w:t>
            </w:r>
          </w:p>
        </w:tc>
        <w:tc>
          <w:tcPr>
            <w:tcW w:w="1418" w:type="pct"/>
            <w:vAlign w:val="center"/>
          </w:tcPr>
          <w:p w14:paraId="5DFDA84A">
            <w:pPr>
              <w:widowControl/>
              <w:jc w:val="center"/>
              <w:textAlignment w:val="center"/>
              <w:rPr>
                <w:rFonts w:hint="eastAsia" w:ascii="宋体" w:hAnsi="宋体" w:cs="宋体"/>
                <w:bCs/>
                <w:sz w:val="24"/>
              </w:rPr>
            </w:pPr>
            <w:r>
              <w:rPr>
                <w:rFonts w:hint="eastAsia" w:ascii="宋体" w:hAnsi="宋体" w:cs="宋体"/>
                <w:color w:val="000000"/>
                <w:kern w:val="0"/>
                <w:sz w:val="24"/>
                <w:lang w:bidi="ar"/>
              </w:rPr>
              <w:t>医用事件相关电位仪</w:t>
            </w:r>
          </w:p>
        </w:tc>
        <w:tc>
          <w:tcPr>
            <w:tcW w:w="627" w:type="pct"/>
            <w:vAlign w:val="center"/>
          </w:tcPr>
          <w:p w14:paraId="2C0CBF84">
            <w:pPr>
              <w:widowControl/>
              <w:jc w:val="center"/>
              <w:textAlignment w:val="center"/>
              <w:rPr>
                <w:rFonts w:hint="eastAsia" w:ascii="宋体" w:hAnsi="宋体" w:cs="宋体"/>
                <w:bCs/>
                <w:sz w:val="24"/>
              </w:rPr>
            </w:pPr>
            <w:r>
              <w:rPr>
                <w:rFonts w:hint="eastAsia" w:ascii="宋体" w:hAnsi="宋体" w:cs="宋体"/>
                <w:bCs/>
                <w:sz w:val="24"/>
              </w:rPr>
              <w:t>1</w:t>
            </w:r>
          </w:p>
        </w:tc>
        <w:tc>
          <w:tcPr>
            <w:tcW w:w="1083" w:type="pct"/>
            <w:vAlign w:val="center"/>
          </w:tcPr>
          <w:p w14:paraId="66CDE62F">
            <w:pPr>
              <w:widowControl/>
              <w:jc w:val="center"/>
              <w:textAlignment w:val="center"/>
              <w:rPr>
                <w:rFonts w:hint="eastAsia" w:ascii="宋体" w:hAnsi="宋体" w:cs="宋体"/>
                <w:bCs/>
                <w:sz w:val="24"/>
              </w:rPr>
            </w:pPr>
            <w:r>
              <w:rPr>
                <w:rFonts w:hint="eastAsia" w:ascii="宋体" w:hAnsi="宋体" w:cs="宋体"/>
                <w:bCs/>
                <w:sz w:val="24"/>
              </w:rPr>
              <w:t>33</w:t>
            </w:r>
          </w:p>
        </w:tc>
        <w:tc>
          <w:tcPr>
            <w:tcW w:w="704" w:type="pct"/>
            <w:vAlign w:val="center"/>
          </w:tcPr>
          <w:p w14:paraId="47D21108">
            <w:pPr>
              <w:widowControl/>
              <w:jc w:val="center"/>
              <w:textAlignment w:val="center"/>
              <w:rPr>
                <w:rFonts w:hint="eastAsia" w:ascii="宋体" w:hAnsi="宋体" w:cs="宋体"/>
                <w:bCs/>
                <w:sz w:val="24"/>
              </w:rPr>
            </w:pPr>
            <w:r>
              <w:rPr>
                <w:rFonts w:hint="eastAsia" w:ascii="宋体" w:hAnsi="宋体" w:cs="宋体"/>
                <w:bCs/>
                <w:sz w:val="24"/>
              </w:rPr>
              <w:t>否</w:t>
            </w:r>
          </w:p>
        </w:tc>
        <w:tc>
          <w:tcPr>
            <w:tcW w:w="701" w:type="pct"/>
            <w:vAlign w:val="center"/>
          </w:tcPr>
          <w:p w14:paraId="4ECE9815">
            <w:pPr>
              <w:widowControl/>
              <w:jc w:val="center"/>
              <w:textAlignment w:val="center"/>
              <w:rPr>
                <w:rFonts w:hint="eastAsia" w:ascii="宋体" w:hAnsi="宋体" w:cs="宋体"/>
                <w:bCs/>
                <w:sz w:val="24"/>
              </w:rPr>
            </w:pPr>
            <w:r>
              <w:rPr>
                <w:rFonts w:hint="eastAsia" w:ascii="宋体" w:hAnsi="宋体" w:cs="宋体"/>
                <w:bCs/>
                <w:sz w:val="24"/>
              </w:rPr>
              <w:t>否</w:t>
            </w:r>
          </w:p>
        </w:tc>
      </w:tr>
    </w:tbl>
    <w:p w14:paraId="4083FC0E">
      <w:pPr>
        <w:pStyle w:val="4"/>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22696BAC">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41545D02">
      <w:pPr>
        <w:pStyle w:val="2"/>
        <w:spacing w:line="360" w:lineRule="auto"/>
        <w:ind w:firstLine="480" w:firstLineChars="200"/>
        <w:rPr>
          <w:rFonts w:hint="eastAsia" w:hAnsi="宋体" w:cs="宋体"/>
          <w:bCs/>
        </w:rPr>
      </w:pPr>
      <w:r>
        <w:rPr>
          <w:rFonts w:hint="eastAsia" w:hAnsi="宋体" w:cs="宋体"/>
          <w:bCs/>
        </w:rPr>
        <w:t>1.</w:t>
      </w:r>
      <w:r>
        <w:rPr>
          <w:rFonts w:hint="eastAsia" w:hAnsi="宋体"/>
        </w:rPr>
        <w:t>交货时间：合同签订后60日内完成交货</w:t>
      </w:r>
      <w:r>
        <w:rPr>
          <w:rFonts w:hint="eastAsia" w:hAnsi="宋体" w:cs="宋体"/>
          <w:bCs/>
        </w:rPr>
        <w:t>。</w:t>
      </w:r>
    </w:p>
    <w:p w14:paraId="5C80E00E">
      <w:pPr>
        <w:pStyle w:val="2"/>
        <w:spacing w:line="360" w:lineRule="auto"/>
        <w:ind w:firstLine="480" w:firstLineChars="200"/>
        <w:rPr>
          <w:rFonts w:hint="eastAsia" w:hAnsi="宋体" w:cs="宋体"/>
          <w:bCs/>
        </w:rPr>
      </w:pPr>
      <w:r>
        <w:rPr>
          <w:rFonts w:hint="eastAsia" w:hAnsi="宋体" w:cs="宋体"/>
          <w:bCs/>
        </w:rPr>
        <w:t>2.</w:t>
      </w:r>
      <w:r>
        <w:rPr>
          <w:rFonts w:hint="eastAsia" w:hAnsi="宋体"/>
        </w:rPr>
        <w:t>交货</w:t>
      </w:r>
      <w:r>
        <w:rPr>
          <w:rFonts w:hint="eastAsia" w:hAnsi="宋体" w:cs="宋体"/>
          <w:bCs/>
        </w:rPr>
        <w:t>地点：采购人指定地点</w:t>
      </w:r>
    </w:p>
    <w:p w14:paraId="57205A1E">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0F2E135C">
      <w:pPr>
        <w:pStyle w:val="3"/>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75A95775">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7C8D15B1">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4B86209C">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739DDD81">
      <w:pPr>
        <w:spacing w:line="360" w:lineRule="auto"/>
        <w:ind w:firstLine="480" w:firstLineChars="200"/>
        <w:contextualSpacing/>
        <w:rPr>
          <w:rFonts w:hint="eastAsia" w:ascii="宋体" w:hAnsi="宋体" w:cs="宋体"/>
          <w:b/>
          <w:bCs/>
          <w:sz w:val="24"/>
        </w:rPr>
      </w:pPr>
      <w:r>
        <w:rPr>
          <w:rFonts w:hint="eastAsia" w:ascii="宋体" w:hAnsi="宋体"/>
          <w:sz w:val="24"/>
        </w:rPr>
        <w:t>本次采购是“</w:t>
      </w:r>
      <w:r>
        <w:rPr>
          <w:rFonts w:hint="eastAsia" w:ascii="宋体" w:hAnsi="宋体"/>
          <w:sz w:val="24"/>
          <w:lang w:eastAsia="zh-CN"/>
        </w:rPr>
        <w:t>首都医科大学附属北京安定医院功能检查相关设备购置项目</w:t>
      </w:r>
      <w:r>
        <w:rPr>
          <w:rFonts w:hint="eastAsia" w:ascii="宋体" w:hAnsi="宋体"/>
          <w:sz w:val="24"/>
        </w:rPr>
        <w:t>”，供应商应根据招标文件所提出的设备技术规格和服务要求，以满足招标文件要求的产品、优良的货物和优惠的价格，充分显示自己的竞争实力。</w:t>
      </w:r>
    </w:p>
    <w:p w14:paraId="3364797D">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43924CDC">
      <w:pPr>
        <w:spacing w:line="360" w:lineRule="auto"/>
        <w:ind w:firstLine="480" w:firstLineChars="200"/>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★2.1投标产品属于医疗器械的，应按原国家食品药品监督管理总局颁发的《医疗器械注册管理办法》，办理医疗器械注册证或者办理备案，投标人须提供医疗器械注册证复印件或备案凭证。</w:t>
      </w:r>
    </w:p>
    <w:p w14:paraId="4780EE53">
      <w:pPr>
        <w:spacing w:line="360" w:lineRule="auto"/>
        <w:ind w:firstLine="480" w:firstLineChars="200"/>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A47A018">
      <w:pPr>
        <w:spacing w:line="360" w:lineRule="auto"/>
        <w:ind w:firstLine="480" w:firstLineChars="200"/>
        <w:contextualSpacing/>
        <w:rPr>
          <w:rFonts w:hint="eastAsia"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78D56081">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2CE42003">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6ACE35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19A48A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46E357BC">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AA9B25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7B2CAFA3">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7C5B0B34">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170A5017">
      <w:pPr>
        <w:spacing w:line="360" w:lineRule="auto"/>
        <w:ind w:firstLine="482" w:firstLineChars="200"/>
        <w:jc w:val="left"/>
        <w:outlineLvl w:val="2"/>
        <w:rPr>
          <w:rFonts w:hint="eastAsia" w:ascii="宋体" w:hAnsi="宋体" w:cs="宋体"/>
          <w:b/>
          <w:bCs/>
          <w:sz w:val="24"/>
        </w:rPr>
      </w:pPr>
      <w:r>
        <w:rPr>
          <w:rFonts w:hint="eastAsia" w:ascii="宋体" w:hAnsi="宋体" w:cs="宋体"/>
          <w:b/>
          <w:bCs/>
          <w:sz w:val="24"/>
        </w:rPr>
        <w:t>标的1：近红外光谱脑功能成像系统</w:t>
      </w:r>
    </w:p>
    <w:p w14:paraId="14360F15">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1.技术路线：分频或分时采集；</w:t>
      </w:r>
    </w:p>
    <w:p w14:paraId="4DD9CD4A">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2.检测光源：采用两波长光源进行测量；</w:t>
      </w:r>
    </w:p>
    <w:p w14:paraId="49BF3FED">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3.波长间隔≥135nm；</w:t>
      </w:r>
    </w:p>
    <w:p w14:paraId="6A9C6A45">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▲4.检测波长：最长波长≤835nm；</w:t>
      </w:r>
    </w:p>
    <w:p w14:paraId="2554256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▲5.光源类型：激光光源</w:t>
      </w:r>
    </w:p>
    <w:p w14:paraId="4844C6D8">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▲6.激光光源安全等级不低于Class1M级；</w:t>
      </w:r>
    </w:p>
    <w:p w14:paraId="1CCC9974">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7．激光光源模块化，可以单独增加升级、更换和维护光源模块；</w:t>
      </w:r>
    </w:p>
    <w:p w14:paraId="1FF2B269">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8.探头防水等级：≥IPX7；</w:t>
      </w:r>
    </w:p>
    <w:p w14:paraId="49C45CA2">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9.检测器模块化，可以单独增加升级、更换和维护探测模块；</w:t>
      </w:r>
    </w:p>
    <w:p w14:paraId="2A5A8BA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10.光纤材质与长度：石英光纤，长度≥3.5m；</w:t>
      </w:r>
    </w:p>
    <w:p w14:paraId="27F661D2">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▲11.光源数量：≥20；</w:t>
      </w:r>
    </w:p>
    <w:p w14:paraId="0F414B04">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▲12.探头数量：≥20；</w:t>
      </w:r>
    </w:p>
    <w:p w14:paraId="727BA555">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13.非断层下的有效测量（2.55cm≤最长发射-探测器距离≤4cm）的最大通道：≥65通道；</w:t>
      </w:r>
    </w:p>
    <w:p w14:paraId="3B778149">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14.全通道采样频率：≥10Hz；</w:t>
      </w:r>
    </w:p>
    <w:p w14:paraId="7967AC87">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15.近红外设备为落地式一体机型设备；</w:t>
      </w:r>
    </w:p>
    <w:p w14:paraId="7811BEDC">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16.临床检测专用光纤帽：一体式光纤帽；</w:t>
      </w:r>
    </w:p>
    <w:p w14:paraId="10AA7DB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17.光纤帽：支持定制不同规格及不同功能的光纤帽，包括前额叶、额顶叶、顶叶与语言区、顶叶等；</w:t>
      </w:r>
    </w:p>
    <w:p w14:paraId="5EAB974F">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18.多模态同步研究：脑电图（EEG）、经颅直流电刺激（tDCS）、经颅磁刺激（TMS）等多模态同步研究；</w:t>
      </w:r>
    </w:p>
    <w:p w14:paraId="10411097">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19.检测软件支持全中文界面，可视化人机交互、软件组件：包括信号采集、临床测查、数据分析、数据结果可视化、报告管理、方案创建、功能设置等；</w:t>
      </w:r>
    </w:p>
    <w:p w14:paraId="721E147E">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20.检测软件具有精神科VFT言语流畅刺激任务，以及数据分析与报告输出，输出指标包括波形特征、峰值、均值、重心值、积分值、斜率值等，且带各类精神疾病的评语模板；</w:t>
      </w:r>
    </w:p>
    <w:p w14:paraId="006D241C">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21.检测软件具有go/nogo刺激任务，以及数据分析与报告输出，输出图像、指标包括:脑激活波形图谱、三维大脑t值图、Beta值、激活范围、积分值、均值、峰值、行为指标（反应时、正确率、漏报率、误报率、有效block数）等；</w:t>
      </w:r>
    </w:p>
    <w:p w14:paraId="6079AA32">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22.检测软件具有n-back刺激任务，以及数据分析与报告输出，输出图像和指标包括：脑激活波形图谱、三维脑图、Beta值、激活范围、积分值、均值、峰值、行为指标（反应时、正确率、击中率、虚报率、有效block数）等；</w:t>
      </w:r>
    </w:p>
    <w:p w14:paraId="5A55A84C">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23.检测软件具有静息态任务，以及数据分析与报告输出，输出图像和指标包括：功能连接矩阵图、功能连接圈图、连接边数、连接强度等；</w:t>
      </w:r>
    </w:p>
    <w:p w14:paraId="70E8039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24.检测软件具有肢体运动功能评估任务，以及数据分析与报告输出，输出图像、指标包括:脑激活波形图谱、三维脑图、通道功能连接矩阵图、脑功能连接图、积分值、Beta值、连接强度、偏侧化等；</w:t>
      </w:r>
    </w:p>
    <w:p w14:paraId="59517A0E">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25.检测软件支持添加个性化检测方案；</w:t>
      </w:r>
    </w:p>
    <w:p w14:paraId="38B9FC08">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26.多维度信号呈现：软件支持实时二维波形曲线图、三维脑功能定量图像，实时长窗口层叠曲线等多种实时信号显示；</w:t>
      </w:r>
    </w:p>
    <w:p w14:paraId="64853CAA">
      <w:pPr>
        <w:spacing w:line="360" w:lineRule="auto"/>
        <w:ind w:firstLine="480" w:firstLineChars="200"/>
        <w:contextualSpacing/>
        <w:rPr>
          <w:rFonts w:hint="eastAsia" w:ascii="宋体" w:hAnsi="宋体" w:cs="宋体"/>
          <w:b/>
          <w:bCs/>
          <w:color w:val="000000"/>
          <w:kern w:val="0"/>
          <w:sz w:val="24"/>
          <w:lang w:bidi="ar"/>
        </w:rPr>
      </w:pPr>
      <w:r>
        <w:rPr>
          <w:rFonts w:hint="eastAsia" w:ascii="宋体" w:hAnsi="宋体" w:cs="宋体"/>
          <w:color w:val="000000"/>
          <w:kern w:val="0"/>
          <w:sz w:val="24"/>
          <w:lang w:bidi="ar"/>
        </w:rPr>
        <w:t>▲27.设备具有数据分析模块，支持多数据滤波、典型信号特征（如均值、斜率、峰值、积分）提取、一般线性模型GLM脑激活分析、兴趣区ROI分析、静息态脑网络连接分析、可视化显示（组平均波形图、二维和三维脑拓扑图等）功能；</w:t>
      </w:r>
      <w:r>
        <w:rPr>
          <w:rFonts w:hint="eastAsia" w:ascii="宋体" w:hAnsi="宋体" w:cs="宋体"/>
          <w:b/>
          <w:bCs/>
          <w:color w:val="000000"/>
          <w:kern w:val="0"/>
          <w:sz w:val="24"/>
          <w:lang w:bidi="ar"/>
        </w:rPr>
        <w:t>（提供软件功能截图加盖投标人单位公章）</w:t>
      </w:r>
    </w:p>
    <w:p w14:paraId="2F89F942">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28.提供基于通用科研软件的一站式数据分析脚本全套脚本库，任务态与静息态脚本每种不少于</w:t>
      </w:r>
      <w:r>
        <w:rPr>
          <w:rFonts w:hint="eastAsia" w:ascii="宋体" w:hAnsi="宋体" w:cs="宋体"/>
          <w:color w:val="000000"/>
          <w:kern w:val="0"/>
          <w:sz w:val="24"/>
          <w:lang w:val="en-US" w:eastAsia="zh-CN" w:bidi="ar"/>
        </w:rPr>
        <w:t>10</w:t>
      </w:r>
      <w:r>
        <w:rPr>
          <w:rFonts w:hint="eastAsia" w:ascii="宋体" w:hAnsi="宋体" w:cs="宋体"/>
          <w:color w:val="000000"/>
          <w:kern w:val="0"/>
          <w:sz w:val="24"/>
          <w:lang w:bidi="ar"/>
        </w:rPr>
        <w:t>种；</w:t>
      </w:r>
    </w:p>
    <w:p w14:paraId="3FC7E8A4">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29.具有分析软件</w:t>
      </w:r>
    </w:p>
    <w:p w14:paraId="730D6C26">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29.1软件支持数据预处理、伪影识别与校正、典型信号特征(如均值、斜率、峰值、积分)提取、一般线性模型GLM脑激活分析、静息态脑网络连接分析、统计分析、可视化显示(组平均波形图、二维和三维脑拓扑图、统计柱状图与散点图等)功能；</w:t>
      </w:r>
    </w:p>
    <w:p w14:paraId="2D6D813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29.2软件支持脑功能连接矩阵、全通道的二维功能连接图谱、任意视角的三维脑功能连接图谱及多种脑网络连接参数的计算、展示和导出；支持脑网络连接系数群组统计分析，统计校验支持t检验或单因素方差分析；</w:t>
      </w:r>
    </w:p>
    <w:p w14:paraId="02D943CC">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▲29.3软件支持分块统计计算及空间位置配准：提供分块统计计算功能，能够自定义计算条件，能够设置均值、峰值、重心值、积分值、斜率等多种特征值的计算；支持导入定位信息；</w:t>
      </w:r>
    </w:p>
    <w:p w14:paraId="01AF3CA7">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30.生物安全相容性，探头和头帽可直接与人体接触；</w:t>
      </w:r>
    </w:p>
    <w:p w14:paraId="214BD91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31.配置清单</w:t>
      </w:r>
    </w:p>
    <w:p w14:paraId="3250560D">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31.1设备主机：1台；</w:t>
      </w:r>
    </w:p>
    <w:p w14:paraId="35EBA196">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31.2显示器：1台；</w:t>
      </w:r>
    </w:p>
    <w:p w14:paraId="74F0621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31.3光纤：1套；</w:t>
      </w:r>
    </w:p>
    <w:p w14:paraId="5101D564">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31.4光纤帽：1个；</w:t>
      </w:r>
    </w:p>
    <w:p w14:paraId="6613C32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31.5光纤支架：1套；</w:t>
      </w:r>
    </w:p>
    <w:p w14:paraId="5399CC8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31.6光纤减重：1套；</w:t>
      </w:r>
    </w:p>
    <w:p w14:paraId="4A0D20F4">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31.7蓝牙音箱：1个；</w:t>
      </w:r>
    </w:p>
    <w:p w14:paraId="32EFCCD9">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31.8鼠标、键盘：1套</w:t>
      </w:r>
      <w:r>
        <w:rPr>
          <w:rFonts w:hint="eastAsia" w:ascii="宋体" w:hAnsi="宋体" w:cs="宋体"/>
          <w:color w:val="000000"/>
          <w:kern w:val="0"/>
          <w:sz w:val="24"/>
          <w:lang w:bidi="ar"/>
        </w:rPr>
        <w:tab/>
      </w:r>
      <w:r>
        <w:rPr>
          <w:rFonts w:hint="eastAsia" w:ascii="宋体" w:hAnsi="宋体" w:cs="宋体"/>
          <w:color w:val="000000"/>
          <w:kern w:val="0"/>
          <w:sz w:val="24"/>
          <w:lang w:bidi="ar"/>
        </w:rPr>
        <w:t>；</w:t>
      </w:r>
    </w:p>
    <w:p w14:paraId="05A7A547">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31.9无线网卡：1个。</w:t>
      </w:r>
    </w:p>
    <w:p w14:paraId="79BD3C6F">
      <w:pPr>
        <w:spacing w:line="360" w:lineRule="auto"/>
        <w:ind w:firstLine="480" w:firstLineChars="200"/>
        <w:contextualSpacing/>
        <w:rPr>
          <w:rFonts w:hint="eastAsia" w:ascii="宋体" w:hAnsi="宋体" w:cs="宋体"/>
          <w:color w:val="000000"/>
          <w:kern w:val="0"/>
          <w:sz w:val="24"/>
          <w:lang w:bidi="ar"/>
        </w:rPr>
      </w:pPr>
    </w:p>
    <w:p w14:paraId="22DE6E7F">
      <w:pPr>
        <w:spacing w:line="360" w:lineRule="auto"/>
        <w:ind w:firstLine="482" w:firstLineChars="200"/>
        <w:jc w:val="left"/>
        <w:outlineLvl w:val="2"/>
        <w:rPr>
          <w:rFonts w:hint="eastAsia" w:ascii="宋体" w:hAnsi="宋体" w:cs="宋体"/>
          <w:b/>
          <w:bCs/>
          <w:sz w:val="24"/>
        </w:rPr>
      </w:pPr>
      <w:r>
        <w:rPr>
          <w:rFonts w:hint="eastAsia" w:ascii="宋体" w:hAnsi="宋体" w:cs="宋体"/>
          <w:b/>
          <w:bCs/>
          <w:sz w:val="24"/>
        </w:rPr>
        <w:t>标的2：医用事件相关电位仪</w:t>
      </w:r>
    </w:p>
    <w:p w14:paraId="42C3F3AF">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1.主机系统：一体式主机：中央处理器：≥四核处理器；内存：≥16G；硬盘：≥1T固态；鼠标、键盘：USB接口；网卡：≥1000MB；显示器：≥21英寸液晶，分辨率≥1920*1080。</w:t>
      </w:r>
    </w:p>
    <w:p w14:paraId="45DC3AE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2.脑电采集放大器：</w:t>
      </w:r>
    </w:p>
    <w:p w14:paraId="6B851A0D">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2.1通道数：≥32导。≥25个脑电通道，≥3个心电专用通道，≥4对多功能双极通道，≥4个DC直流通道，≥2个地线通道，≥2个参考通道，1个事件标记通道</w:t>
      </w:r>
    </w:p>
    <w:p w14:paraId="61A66D85">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2.2放大器布局：电极插孔排列满足国际10-20脑电头模示意分布图，额、顶、枕、颞不同脑区的电极分布在头模上直观分布。</w:t>
      </w:r>
    </w:p>
    <w:p w14:paraId="5D890C0A">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2.3放大器标签：同时具备国际10-20标准导联系统和10-10标准导联系统两种命名要求的标签符号。</w:t>
      </w:r>
    </w:p>
    <w:p w14:paraId="6D6AF606">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2.4放大器与主机传输方式：网线传输</w:t>
      </w:r>
    </w:p>
    <w:p w14:paraId="0575D4CF">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▲2.5输入阻抗：≥1000MΩ</w:t>
      </w:r>
    </w:p>
    <w:p w14:paraId="779CD88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▲2.6共模抑制比：≥130dB</w:t>
      </w:r>
    </w:p>
    <w:p w14:paraId="6189E8C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▲2.7噪音：≤0.4μVpk-pk</w:t>
      </w:r>
    </w:p>
    <w:p w14:paraId="2484653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2.8数模转换：≥16bits</w:t>
      </w:r>
    </w:p>
    <w:p w14:paraId="536696C4">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▲2.9采样率：所有通道同时工作时，每通道256,512,1024,2048,4096、8192、16384Hz可选</w:t>
      </w:r>
    </w:p>
    <w:p w14:paraId="3599AF6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2.10灵敏度：1-500μV/mm，多档可调</w:t>
      </w:r>
    </w:p>
    <w:p w14:paraId="5A72BC1C">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2.11高频滤波：10-5000Hz，多档调节</w:t>
      </w:r>
    </w:p>
    <w:p w14:paraId="2A514DB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2.12低频滤波：0.01-530Hz，多档调节</w:t>
      </w:r>
    </w:p>
    <w:p w14:paraId="682E848E">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2.13陷波滤波器：开关，50/60Hz</w:t>
      </w:r>
    </w:p>
    <w:p w14:paraId="40142492">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3.软件功能：</w:t>
      </w:r>
    </w:p>
    <w:p w14:paraId="4D99B175">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3.1具有操作系统，中文办公软件</w:t>
      </w:r>
    </w:p>
    <w:p w14:paraId="77868E25">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3.2脑电采集回放软件，多种操作语言可自由切换</w:t>
      </w:r>
    </w:p>
    <w:p w14:paraId="0C692F8F">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3.3具有阻抗实时监测功能，阻抗过高时系统需自动标记并报警</w:t>
      </w:r>
    </w:p>
    <w:p w14:paraId="0259486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3.4放大器断开后，数据可继续存储在放大器中；恢复连接后，放大器内部数据可自动上传到软件。</w:t>
      </w:r>
    </w:p>
    <w:p w14:paraId="67F01EC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3.5事件列表：对各事件发生的时间，持续时间及次数进行列表统计，阅图时可直接跳转到该事件的数据位置</w:t>
      </w:r>
    </w:p>
    <w:p w14:paraId="50361F2C">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3.6具备屏幕拷贝功能、趋势图拷贝功能、区域拷贝功能</w:t>
      </w:r>
    </w:p>
    <w:p w14:paraId="641E1E9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3.7具备自动测量、手动测量、选择测量、EEG测量功能。</w:t>
      </w:r>
    </w:p>
    <w:p w14:paraId="63F7EE78">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3.8脑电地形图：绝对/相对功率地形图及幅度地形图，可显示为图谱模式、等位线模式和数值模式，可调节图谱模式下的颜色分辨程度，十种颜色图谱可选。</w:t>
      </w:r>
    </w:p>
    <w:p w14:paraId="3107EF22">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3.9界面布局一键切换功能：具备至少四种预设界面布局，可一键切换</w:t>
      </w:r>
    </w:p>
    <w:p w14:paraId="6BAEA4B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4.ERP软件功能</w:t>
      </w:r>
    </w:p>
    <w:p w14:paraId="3B194CDF">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4.1 ERP刺激功能：预置多种刺激模板，用户可自定义编辑刺激范式，支持文本、图片和声音作为刺激呈现</w:t>
      </w:r>
    </w:p>
    <w:p w14:paraId="08B1F200">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▲4.2叠加分析功能：可将外部触发的事件诱发脑电波形进行叠加处理，得出事件相关电位,含P300，N400，AEP,VEP,CNV，MMN等</w:t>
      </w:r>
    </w:p>
    <w:p w14:paraId="145F6FD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4.3实时同步脑电信号，刺激时可自动叠加波形</w:t>
      </w:r>
    </w:p>
    <w:p w14:paraId="2AF2129F">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4.4自动测量功能：自动测量ERP波幅、潜伏期、面积等，可人工修改测量结果</w:t>
      </w:r>
    </w:p>
    <w:p w14:paraId="066444F9">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4.5可一键生成ERP评估报告，支持报告定制功能</w:t>
      </w:r>
    </w:p>
    <w:p w14:paraId="5CD4DD6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4.6可根据临床需求自定义设计任务范式，并可对接科研平台</w:t>
      </w:r>
    </w:p>
    <w:p w14:paraId="5987B9F4">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5.视频系统：</w:t>
      </w:r>
    </w:p>
    <w:p w14:paraId="6FFB61E6">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5.1具有网络高清摄像头，分辨率≥1920*1080</w:t>
      </w:r>
    </w:p>
    <w:p w14:paraId="7BC90F80">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5.2单摄像头支持全景和局部放大的双视频监测，双视频均为独立窗口显示</w:t>
      </w:r>
    </w:p>
    <w:p w14:paraId="66AA366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6.配置要求：</w:t>
      </w:r>
    </w:p>
    <w:p w14:paraId="701D314B">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6.1一体式主机1台；</w:t>
      </w:r>
    </w:p>
    <w:p w14:paraId="02FFA0F7">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6.2放大器1套；</w:t>
      </w:r>
    </w:p>
    <w:p w14:paraId="462BDB4A">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6.3脑电采集回放软件1套；</w:t>
      </w:r>
    </w:p>
    <w:p w14:paraId="08E45BDA">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6.4 ERP评估软件1套；</w:t>
      </w:r>
    </w:p>
    <w:p w14:paraId="1005BCEF">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6.5电极帽2个；</w:t>
      </w:r>
    </w:p>
    <w:p w14:paraId="6FBE7401">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6.6 ERP耳机1套；</w:t>
      </w:r>
    </w:p>
    <w:p w14:paraId="0ED5B908">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6.7 ERP事件触发器1套；</w:t>
      </w:r>
    </w:p>
    <w:p w14:paraId="5C20F893">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6.8高清摄像头1套；</w:t>
      </w:r>
    </w:p>
    <w:p w14:paraId="6B0317CD">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6.9移动台车1台；</w:t>
      </w:r>
    </w:p>
    <w:p w14:paraId="6A8D07CE">
      <w:pPr>
        <w:spacing w:line="360" w:lineRule="auto"/>
        <w:ind w:firstLine="480" w:firstLineChars="200"/>
        <w:contextualSpacing/>
        <w:rPr>
          <w:rFonts w:hint="eastAsia" w:ascii="宋体" w:hAnsi="宋体" w:cs="宋体"/>
          <w:color w:val="000000"/>
          <w:kern w:val="0"/>
          <w:sz w:val="24"/>
          <w:lang w:bidi="ar"/>
        </w:rPr>
      </w:pPr>
      <w:r>
        <w:rPr>
          <w:rFonts w:hint="eastAsia" w:ascii="宋体" w:hAnsi="宋体" w:cs="宋体"/>
          <w:color w:val="000000"/>
          <w:kern w:val="0"/>
          <w:sz w:val="24"/>
          <w:lang w:bidi="ar"/>
        </w:rPr>
        <w:t>6.10显示器1个；</w:t>
      </w:r>
    </w:p>
    <w:p w14:paraId="0F45C244">
      <w:pPr>
        <w:spacing w:line="360" w:lineRule="auto"/>
        <w:ind w:firstLine="480" w:firstLineChars="200"/>
        <w:contextualSpacing/>
        <w:rPr>
          <w:rFonts w:hint="eastAsia" w:ascii="宋体" w:hAnsi="宋体" w:eastAsia="宋体" w:cs="宋体"/>
          <w:color w:val="000000"/>
          <w:kern w:val="0"/>
          <w:sz w:val="24"/>
          <w:lang w:eastAsia="zh-CN" w:bidi="ar"/>
        </w:rPr>
      </w:pPr>
      <w:r>
        <w:rPr>
          <w:rFonts w:hint="eastAsia" w:ascii="宋体" w:hAnsi="宋体" w:cs="宋体"/>
          <w:color w:val="000000"/>
          <w:kern w:val="0"/>
          <w:sz w:val="24"/>
          <w:lang w:val="en-US" w:eastAsia="zh-CN" w:bidi="ar"/>
        </w:rPr>
        <w:t>6.</w:t>
      </w:r>
      <w:r>
        <w:rPr>
          <w:rFonts w:hint="eastAsia" w:ascii="宋体" w:hAnsi="宋体" w:cs="宋体"/>
          <w:color w:val="000000"/>
          <w:kern w:val="0"/>
          <w:sz w:val="24"/>
          <w:lang w:bidi="ar"/>
        </w:rPr>
        <w:t>11打印设备1套</w:t>
      </w:r>
      <w:r>
        <w:rPr>
          <w:rFonts w:hint="eastAsia" w:ascii="宋体" w:hAnsi="宋体" w:cs="宋体"/>
          <w:color w:val="000000"/>
          <w:kern w:val="0"/>
          <w:sz w:val="24"/>
          <w:lang w:eastAsia="zh-CN" w:bidi="ar"/>
        </w:rPr>
        <w:t>。</w:t>
      </w:r>
    </w:p>
    <w:p w14:paraId="057E8696">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（三）其他要求</w:t>
      </w:r>
    </w:p>
    <w:p w14:paraId="61FDE256">
      <w:pPr>
        <w:spacing w:line="360" w:lineRule="auto"/>
        <w:ind w:firstLine="480" w:firstLineChars="200"/>
        <w:contextualSpacing/>
        <w:rPr>
          <w:rFonts w:hint="eastAsia" w:ascii="宋体" w:hAnsi="宋体"/>
          <w:sz w:val="24"/>
        </w:rPr>
      </w:pPr>
      <w:r>
        <w:rPr>
          <w:rFonts w:hint="eastAsia" w:ascii="宋体" w:hAnsi="宋体"/>
          <w:sz w:val="24"/>
        </w:rPr>
        <w:t>1.质保期：整机系统（最终验收合格后）保修≥5年。</w:t>
      </w:r>
    </w:p>
    <w:p w14:paraId="63E0DFC5">
      <w:pPr>
        <w:spacing w:line="360" w:lineRule="auto"/>
        <w:ind w:firstLine="480" w:firstLineChars="200"/>
        <w:contextualSpacing/>
        <w:rPr>
          <w:rFonts w:hint="eastAsia" w:ascii="宋体" w:hAnsi="宋体"/>
          <w:sz w:val="24"/>
        </w:rPr>
      </w:pPr>
      <w:r>
        <w:rPr>
          <w:rFonts w:hint="eastAsia" w:ascii="宋体" w:hAnsi="宋体"/>
          <w:sz w:val="24"/>
        </w:rPr>
        <w:t>2.供应商必须提供专业的安装服务，并确保设备投入运行符合所有功能要求。</w:t>
      </w:r>
    </w:p>
    <w:p w14:paraId="44F5834D">
      <w:pPr>
        <w:spacing w:line="360" w:lineRule="auto"/>
        <w:ind w:firstLine="480" w:firstLineChars="200"/>
        <w:contextualSpacing/>
        <w:rPr>
          <w:rFonts w:hint="eastAsia" w:ascii="宋体" w:hAnsi="宋体"/>
          <w:sz w:val="24"/>
        </w:rPr>
      </w:pPr>
      <w:r>
        <w:rPr>
          <w:rFonts w:hint="eastAsia" w:ascii="宋体" w:hAnsi="宋体"/>
          <w:sz w:val="24"/>
        </w:rPr>
        <w:t>3.培训：免费提供设备到达现场后的安装调试，应用培训，直至操作人员掌握为止。</w:t>
      </w:r>
    </w:p>
    <w:p w14:paraId="19BAE8AF">
      <w:pPr>
        <w:spacing w:line="360" w:lineRule="auto"/>
        <w:contextualSpacing/>
        <w:rPr>
          <w:rFonts w:hint="eastAsia" w:ascii="宋体" w:hAnsi="宋体"/>
          <w:sz w:val="24"/>
        </w:rPr>
      </w:pPr>
      <w:r>
        <w:rPr>
          <w:rFonts w:hint="eastAsia" w:ascii="宋体" w:hAnsi="宋体"/>
          <w:sz w:val="24"/>
        </w:rPr>
        <w:t>培训讲师师资力量构成，为技术专业人员，要求提供具体学历资质证书。</w:t>
      </w:r>
    </w:p>
    <w:p w14:paraId="327D2E88">
      <w:pPr>
        <w:spacing w:line="360" w:lineRule="auto"/>
        <w:ind w:firstLine="480" w:firstLineChars="200"/>
        <w:contextualSpacing/>
        <w:rPr>
          <w:rFonts w:hint="eastAsia" w:ascii="宋体" w:hAnsi="宋体"/>
          <w:sz w:val="24"/>
        </w:rPr>
      </w:pPr>
      <w:r>
        <w:rPr>
          <w:rFonts w:hint="eastAsia" w:ascii="宋体" w:hAnsi="宋体"/>
          <w:sz w:val="24"/>
        </w:rPr>
        <w:t>4.提供操作使用培训，提供完整的操作手册。</w:t>
      </w:r>
    </w:p>
    <w:p w14:paraId="076EF0A6">
      <w:pPr>
        <w:spacing w:line="360" w:lineRule="auto"/>
        <w:ind w:firstLine="480" w:firstLineChars="200"/>
        <w:contextualSpacing/>
        <w:rPr>
          <w:rFonts w:hint="eastAsia" w:ascii="宋体" w:hAnsi="宋体"/>
          <w:sz w:val="24"/>
        </w:rPr>
      </w:pPr>
      <w:r>
        <w:rPr>
          <w:rFonts w:hint="eastAsia" w:ascii="宋体" w:hAnsi="宋体"/>
          <w:sz w:val="24"/>
        </w:rPr>
        <w:t>5.技术支持：免费提供设备使用手册、培训教材、应用资料等；长期提供技术服务支持。</w:t>
      </w:r>
    </w:p>
    <w:p w14:paraId="4612D098">
      <w:pPr>
        <w:spacing w:line="360" w:lineRule="auto"/>
        <w:ind w:firstLine="480" w:firstLineChars="200"/>
        <w:contextualSpacing/>
        <w:rPr>
          <w:rFonts w:hint="eastAsia" w:ascii="宋体" w:hAnsi="宋体"/>
          <w:sz w:val="24"/>
        </w:rPr>
      </w:pPr>
      <w:r>
        <w:rPr>
          <w:rFonts w:hint="eastAsia" w:ascii="宋体" w:hAnsi="宋体"/>
          <w:sz w:val="24"/>
        </w:rPr>
        <w:t>6.维修要求：在设备整个使用期内，卖方应确保设备的正常使用。在接到用户维修要求后须在2小时内作出回应，并在48小时内派员到达买方现场实施维修。</w:t>
      </w:r>
    </w:p>
    <w:p w14:paraId="5AD92B36">
      <w:pPr>
        <w:pStyle w:val="2"/>
        <w:spacing w:line="360" w:lineRule="auto"/>
        <w:ind w:firstLine="480" w:firstLineChars="200"/>
        <w:rPr>
          <w:rFonts w:hint="eastAsia" w:hAnsi="宋体" w:cs="宋体"/>
          <w:bCs/>
        </w:rPr>
      </w:pPr>
      <w:r>
        <w:rPr>
          <w:rFonts w:hint="eastAsia" w:hAnsi="宋体" w:cs="宋体"/>
          <w:bCs/>
        </w:rPr>
        <w:t>7.验收：产品到货后，采购人使用单位进行开箱检查，对于出现的产品损坏、数量不全、产品不符等问题时，采购人有权要求中标供应商退货、更换货物、补充货物。按合同文件的技术指标对产品的性能、配置进行选择性测试检查。</w:t>
      </w:r>
    </w:p>
    <w:p w14:paraId="585BA835">
      <w:pPr>
        <w:widowControl/>
        <w:spacing w:line="360" w:lineRule="auto"/>
        <w:ind w:firstLine="480" w:firstLineChars="200"/>
        <w:contextualSpacing/>
        <w:jc w:val="left"/>
        <w:rPr>
          <w:rFonts w:hint="eastAsia" w:ascii="宋体" w:hAnsi="宋体"/>
          <w:sz w:val="24"/>
        </w:rPr>
      </w:pPr>
      <w:r>
        <w:rPr>
          <w:rFonts w:hint="eastAsia" w:ascii="宋体" w:hAnsi="宋体"/>
          <w:sz w:val="24"/>
        </w:rPr>
        <w:t>8.投标人应在投标文件中提供：</w:t>
      </w:r>
    </w:p>
    <w:p w14:paraId="4F50E12E">
      <w:pPr>
        <w:widowControl/>
        <w:spacing w:line="360" w:lineRule="auto"/>
        <w:ind w:firstLine="480" w:firstLineChars="200"/>
        <w:contextualSpacing/>
        <w:jc w:val="left"/>
        <w:rPr>
          <w:rFonts w:hint="eastAsia" w:ascii="宋体" w:hAnsi="宋体"/>
          <w:sz w:val="24"/>
        </w:rPr>
      </w:pPr>
      <w:r>
        <w:rPr>
          <w:rFonts w:hint="eastAsia" w:ascii="宋体" w:hAnsi="宋体"/>
          <w:sz w:val="24"/>
        </w:rPr>
        <w:t>8.1供货、安装、验收方案，内容包括但不限于：</w:t>
      </w:r>
    </w:p>
    <w:p w14:paraId="6CDB7913">
      <w:pPr>
        <w:widowControl/>
        <w:spacing w:line="360" w:lineRule="auto"/>
        <w:ind w:firstLine="480" w:firstLineChars="200"/>
        <w:contextualSpacing/>
        <w:jc w:val="left"/>
        <w:rPr>
          <w:rFonts w:hint="eastAsia" w:ascii="宋体" w:hAnsi="宋体"/>
          <w:sz w:val="24"/>
        </w:rPr>
      </w:pPr>
      <w:r>
        <w:rPr>
          <w:rFonts w:hint="eastAsia" w:ascii="宋体" w:hAnsi="宋体"/>
          <w:sz w:val="24"/>
        </w:rPr>
        <w:t>8.1.1供货保障方案；</w:t>
      </w:r>
    </w:p>
    <w:p w14:paraId="3AC0C62A">
      <w:pPr>
        <w:widowControl/>
        <w:spacing w:line="360" w:lineRule="auto"/>
        <w:ind w:firstLine="480" w:firstLineChars="200"/>
        <w:contextualSpacing/>
        <w:jc w:val="left"/>
        <w:rPr>
          <w:rFonts w:hint="eastAsia" w:ascii="宋体" w:hAnsi="宋体"/>
          <w:sz w:val="24"/>
        </w:rPr>
      </w:pPr>
      <w:r>
        <w:rPr>
          <w:rFonts w:hint="eastAsia" w:ascii="宋体" w:hAnsi="宋体"/>
          <w:sz w:val="24"/>
        </w:rPr>
        <w:t>8.1.2安装实施方案；</w:t>
      </w:r>
    </w:p>
    <w:p w14:paraId="107F0144">
      <w:pPr>
        <w:widowControl/>
        <w:spacing w:line="360" w:lineRule="auto"/>
        <w:ind w:firstLine="480" w:firstLineChars="200"/>
        <w:contextualSpacing/>
        <w:jc w:val="left"/>
        <w:rPr>
          <w:rFonts w:hint="eastAsia" w:ascii="宋体" w:hAnsi="宋体"/>
          <w:sz w:val="24"/>
        </w:rPr>
      </w:pPr>
      <w:r>
        <w:rPr>
          <w:rFonts w:hint="eastAsia" w:ascii="宋体" w:hAnsi="宋体"/>
          <w:sz w:val="24"/>
        </w:rPr>
        <w:t>8.1.3验收标准与流程方案；</w:t>
      </w:r>
    </w:p>
    <w:p w14:paraId="73605688">
      <w:pPr>
        <w:widowControl/>
        <w:spacing w:line="360" w:lineRule="auto"/>
        <w:ind w:firstLine="480" w:firstLineChars="200"/>
        <w:contextualSpacing/>
        <w:jc w:val="left"/>
        <w:rPr>
          <w:rFonts w:hint="eastAsia" w:ascii="宋体" w:hAnsi="宋体"/>
          <w:sz w:val="24"/>
          <w:highlight w:val="yellow"/>
        </w:rPr>
      </w:pPr>
      <w:r>
        <w:rPr>
          <w:rFonts w:hint="eastAsia" w:ascii="宋体" w:hAnsi="宋体"/>
          <w:sz w:val="24"/>
        </w:rPr>
        <w:t>8.1.4项目进度保障措施。</w:t>
      </w:r>
    </w:p>
    <w:p w14:paraId="51E48E86">
      <w:pPr>
        <w:widowControl/>
        <w:spacing w:line="360" w:lineRule="auto"/>
        <w:ind w:firstLine="480" w:firstLineChars="200"/>
        <w:contextualSpacing/>
        <w:jc w:val="left"/>
        <w:rPr>
          <w:rFonts w:hint="eastAsia" w:ascii="宋体" w:hAnsi="宋体"/>
          <w:sz w:val="24"/>
        </w:rPr>
      </w:pPr>
      <w:r>
        <w:rPr>
          <w:rFonts w:hint="eastAsia" w:ascii="宋体" w:hAnsi="宋体"/>
          <w:sz w:val="24"/>
        </w:rPr>
        <w:t>8.2售后服务方案：内容包括但不限于：</w:t>
      </w:r>
    </w:p>
    <w:p w14:paraId="483C92E8">
      <w:pPr>
        <w:widowControl/>
        <w:spacing w:line="360" w:lineRule="auto"/>
        <w:ind w:firstLine="480" w:firstLineChars="200"/>
        <w:contextualSpacing/>
        <w:jc w:val="left"/>
        <w:rPr>
          <w:rFonts w:hint="eastAsia" w:ascii="宋体" w:hAnsi="宋体"/>
          <w:sz w:val="24"/>
        </w:rPr>
      </w:pPr>
      <w:r>
        <w:rPr>
          <w:rFonts w:hint="eastAsia" w:ascii="宋体" w:hAnsi="宋体"/>
          <w:sz w:val="24"/>
        </w:rPr>
        <w:t>8.2.1售后服务承诺（售后响应及处理周期等）及保障措施；</w:t>
      </w:r>
    </w:p>
    <w:p w14:paraId="56DC9B28">
      <w:pPr>
        <w:widowControl/>
        <w:spacing w:line="360" w:lineRule="auto"/>
        <w:ind w:firstLine="480" w:firstLineChars="200"/>
        <w:contextualSpacing/>
        <w:jc w:val="left"/>
        <w:rPr>
          <w:rFonts w:hint="eastAsia" w:ascii="宋体" w:hAnsi="宋体"/>
          <w:sz w:val="24"/>
        </w:rPr>
      </w:pPr>
      <w:r>
        <w:rPr>
          <w:rFonts w:hint="eastAsia" w:ascii="宋体" w:hAnsi="宋体"/>
          <w:sz w:val="24"/>
        </w:rPr>
        <w:t>8.2.2售后备品备件情况；</w:t>
      </w:r>
    </w:p>
    <w:p w14:paraId="6839354E">
      <w:pPr>
        <w:widowControl/>
        <w:spacing w:line="360" w:lineRule="auto"/>
        <w:ind w:firstLine="480" w:firstLineChars="200"/>
        <w:contextualSpacing/>
        <w:jc w:val="left"/>
        <w:rPr>
          <w:rFonts w:hint="eastAsia" w:ascii="宋体" w:hAnsi="宋体"/>
          <w:sz w:val="24"/>
        </w:rPr>
      </w:pPr>
      <w:r>
        <w:rPr>
          <w:rFonts w:hint="eastAsia" w:ascii="宋体" w:hAnsi="宋体"/>
          <w:sz w:val="24"/>
        </w:rPr>
        <w:t>8.2.3售后人员配置及回访方案。</w:t>
      </w:r>
    </w:p>
    <w:p w14:paraId="75BEE120">
      <w:pPr>
        <w:widowControl/>
        <w:spacing w:line="360" w:lineRule="auto"/>
        <w:ind w:firstLine="480" w:firstLineChars="200"/>
        <w:contextualSpacing/>
        <w:jc w:val="left"/>
        <w:rPr>
          <w:rFonts w:hint="eastAsia" w:ascii="宋体" w:hAnsi="宋体"/>
          <w:sz w:val="24"/>
        </w:rPr>
      </w:pPr>
      <w:r>
        <w:rPr>
          <w:rFonts w:hint="eastAsia" w:ascii="宋体" w:hAnsi="宋体"/>
          <w:sz w:val="24"/>
        </w:rPr>
        <w:t>8.3培训方案：内容包括但不限于：</w:t>
      </w:r>
    </w:p>
    <w:p w14:paraId="36CF8921">
      <w:pPr>
        <w:widowControl/>
        <w:spacing w:line="360" w:lineRule="auto"/>
        <w:ind w:firstLine="480" w:firstLineChars="200"/>
        <w:contextualSpacing/>
        <w:jc w:val="left"/>
        <w:rPr>
          <w:rFonts w:hint="eastAsia" w:ascii="宋体" w:hAnsi="宋体"/>
          <w:sz w:val="24"/>
        </w:rPr>
      </w:pPr>
      <w:r>
        <w:rPr>
          <w:rFonts w:hint="eastAsia" w:ascii="宋体" w:hAnsi="宋体"/>
          <w:sz w:val="24"/>
        </w:rPr>
        <w:t>8.3.1培训的时间、培训方式、培训内容；</w:t>
      </w:r>
    </w:p>
    <w:p w14:paraId="52CC7E3F">
      <w:pPr>
        <w:widowControl/>
        <w:spacing w:line="360" w:lineRule="auto"/>
        <w:ind w:firstLine="480" w:firstLineChars="200"/>
        <w:contextualSpacing/>
        <w:jc w:val="left"/>
        <w:rPr>
          <w:rFonts w:hint="eastAsia" w:ascii="宋体" w:hAnsi="宋体" w:cs="宋体"/>
          <w:b/>
          <w:bCs/>
          <w:sz w:val="24"/>
        </w:rPr>
      </w:pPr>
      <w:r>
        <w:rPr>
          <w:rFonts w:hint="eastAsia" w:ascii="宋体" w:hAnsi="宋体"/>
          <w:sz w:val="24"/>
        </w:rPr>
        <w:t>8.3.2培训师资与保障措施、培训效果评估及考核方案。</w:t>
      </w:r>
    </w:p>
    <w:p w14:paraId="0FCF2BFF">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001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toc 2"/>
    <w:basedOn w:val="1"/>
    <w:next w:val="1"/>
    <w:qFormat/>
    <w:uiPriority w:val="39"/>
    <w:pPr>
      <w:tabs>
        <w:tab w:val="right" w:leader="dot" w:pos="8937"/>
      </w:tabs>
      <w:spacing w:line="312" w:lineRule="auto"/>
      <w:ind w:left="420" w:leftChars="200"/>
    </w:pPr>
  </w:style>
  <w:style w:type="paragraph" w:styleId="4">
    <w:name w:val="Body Text 2"/>
    <w:basedOn w:val="1"/>
    <w:semiHidden/>
    <w:unhideWhenUsed/>
    <w:qFormat/>
    <w:uiPriority w:val="99"/>
    <w:pPr>
      <w:spacing w:after="120" w:line="480" w:lineRule="auto"/>
    </w:pPr>
  </w:style>
  <w:style w:type="paragraph" w:customStyle="1" w:styleId="7">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2026-09-21T04:59:40Z</dcterms:created>
  <dc:creator>zxhd2026</dc:creator>
  <cp:lastModifiedBy>用户</cp:lastModifiedBy>
  <dcterms:modified xsi:type="dcterms:W3CDTF">2026-09-21T05:00:14Z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D797AB3B0B394D0DA60330361AB0A9F9_12</vt:lpwstr>
  </property>
</Properties>
</file>