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E78FA7">
      <w:pPr>
        <w:widowControl w:val="0"/>
        <w:tabs>
          <w:tab w:val="left" w:pos="1630"/>
        </w:tabs>
        <w:autoSpaceDE w:val="0"/>
        <w:autoSpaceDN w:val="0"/>
        <w:spacing w:line="460" w:lineRule="exact"/>
        <w:ind w:left="8"/>
        <w:jc w:val="center"/>
        <w:outlineLvl w:val="0"/>
        <w:rPr>
          <w:rFonts w:ascii="宋体" w:hAnsi="宋体" w:eastAsia="宋体" w:cs="宋体"/>
          <w:b/>
          <w:bCs/>
          <w:sz w:val="36"/>
          <w:szCs w:val="36"/>
          <w:highlight w:val="none"/>
          <w:lang w:val="en-US" w:eastAsia="en-US" w:bidi="ar-SA"/>
        </w:rPr>
      </w:pPr>
      <w:r>
        <w:rPr>
          <w:rFonts w:hint="eastAsia" w:ascii="宋体" w:hAnsi="宋体" w:eastAsia="宋体" w:cs="宋体"/>
          <w:b/>
          <w:bCs/>
          <w:sz w:val="36"/>
          <w:szCs w:val="36"/>
          <w:highlight w:val="none"/>
          <w:lang w:val="en-US" w:eastAsia="en-US" w:bidi="ar-SA"/>
        </w:rPr>
        <w:t>采购需求</w:t>
      </w:r>
    </w:p>
    <w:p w14:paraId="75118D2A">
      <w:pPr>
        <w:rPr>
          <w:rFonts w:ascii="宋体" w:hAnsi="宋体" w:eastAsia="宋体" w:cs="宋体"/>
          <w:highlight w:val="none"/>
        </w:rPr>
      </w:pPr>
    </w:p>
    <w:p w14:paraId="1E36CACD">
      <w:pPr>
        <w:widowControl w:val="0"/>
        <w:autoSpaceDE w:val="0"/>
        <w:autoSpaceDN w:val="0"/>
        <w:spacing w:before="1"/>
        <w:ind w:left="121"/>
        <w:rPr>
          <w:rFonts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en-US" w:bidi="ar-SA"/>
        </w:rPr>
        <w:t>一、采购标的</w:t>
      </w:r>
    </w:p>
    <w:p w14:paraId="6165C871">
      <w:pPr>
        <w:widowControl w:val="0"/>
        <w:tabs>
          <w:tab w:val="left" w:pos="470"/>
          <w:tab w:val="left" w:pos="7040"/>
        </w:tabs>
        <w:autoSpaceDE w:val="0"/>
        <w:autoSpaceDN w:val="0"/>
        <w:spacing w:before="154" w:line="360" w:lineRule="auto"/>
        <w:ind w:left="121" w:right="1830" w:firstLine="269" w:firstLineChars="100"/>
        <w:rPr>
          <w:rFonts w:ascii="宋体" w:hAnsi="宋体" w:eastAsia="宋体" w:cs="宋体"/>
          <w:sz w:val="24"/>
          <w:szCs w:val="22"/>
          <w:highlight w:val="none"/>
          <w:lang w:val="en-US" w:eastAsia="zh-CN" w:bidi="ar-SA"/>
        </w:rPr>
      </w:pPr>
      <w:r>
        <w:rPr>
          <w:rFonts w:hint="eastAsia" w:ascii="宋体" w:hAnsi="宋体" w:eastAsia="宋体" w:cs="宋体"/>
          <w:spacing w:val="-2"/>
          <w:w w:val="114"/>
          <w:sz w:val="24"/>
          <w:szCs w:val="24"/>
          <w:highlight w:val="none"/>
          <w:lang w:val="en-US" w:eastAsia="zh-CN" w:bidi="ar-SA"/>
        </w:rPr>
        <w:t>1.</w:t>
      </w:r>
      <w:r>
        <w:rPr>
          <w:rFonts w:hint="eastAsia" w:ascii="宋体" w:hAnsi="宋体" w:eastAsia="宋体" w:cs="宋体"/>
          <w:sz w:val="24"/>
          <w:szCs w:val="22"/>
          <w:highlight w:val="none"/>
          <w:lang w:val="en-US" w:eastAsia="zh-CN" w:bidi="ar-SA"/>
        </w:rPr>
        <w:t>采购标的（货物需求一览表）</w:t>
      </w:r>
    </w:p>
    <w:tbl>
      <w:tblPr>
        <w:tblStyle w:val="8"/>
        <w:tblW w:w="68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3"/>
        <w:gridCol w:w="1549"/>
        <w:gridCol w:w="1500"/>
        <w:gridCol w:w="1500"/>
        <w:gridCol w:w="1495"/>
      </w:tblGrid>
      <w:tr w14:paraId="0342B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69196">
            <w:pPr>
              <w:widowControl w:val="0"/>
              <w:autoSpaceDE w:val="0"/>
              <w:autoSpaceDN w:val="0"/>
              <w:jc w:val="center"/>
              <w:rPr>
                <w:rFonts w:hint="eastAsia" w:ascii="宋体" w:hAnsi="宋体" w:eastAsia="宋体" w:cs="宋体"/>
                <w:b/>
                <w:bCs/>
                <w:sz w:val="24"/>
                <w:szCs w:val="24"/>
                <w:highlight w:val="none"/>
                <w:lang w:val="en-US" w:eastAsia="zh-CN" w:bidi="ar-SA"/>
              </w:rPr>
            </w:pPr>
            <w:bookmarkStart w:id="0" w:name="RANGE!J9"/>
            <w:r>
              <w:rPr>
                <w:rFonts w:hint="eastAsia" w:ascii="宋体" w:hAnsi="宋体" w:eastAsia="宋体" w:cs="宋体"/>
                <w:b/>
                <w:bCs/>
                <w:sz w:val="24"/>
                <w:szCs w:val="24"/>
                <w:highlight w:val="none"/>
                <w:lang w:val="en-US" w:eastAsia="zh-CN" w:bidi="ar-SA"/>
              </w:rPr>
              <w:t>包号</w:t>
            </w:r>
            <w:bookmarkEnd w:id="0"/>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15832">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lang w:val="en-US" w:eastAsia="zh-CN" w:bidi="ar-SA"/>
              </w:rPr>
              <w:t>标的名称</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0C6D2">
            <w:pPr>
              <w:widowControl w:val="0"/>
              <w:autoSpaceDE w:val="0"/>
              <w:autoSpaceDN w:val="0"/>
              <w:jc w:val="center"/>
              <w:rPr>
                <w:rFonts w:hint="eastAsia"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en-US" w:bidi="ar-SA"/>
              </w:rPr>
              <w:t>数量</w:t>
            </w:r>
          </w:p>
          <w:p w14:paraId="3BCDDC1B">
            <w:pPr>
              <w:widowControl w:val="0"/>
              <w:autoSpaceDE w:val="0"/>
              <w:autoSpaceDN w:val="0"/>
              <w:jc w:val="center"/>
              <w:rPr>
                <w:rFonts w:hint="eastAsia"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en-US" w:bidi="ar-SA"/>
              </w:rPr>
              <w:t>（台/套）</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B75C1">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是否允许采购进口产品</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F0677">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质保期</w:t>
            </w:r>
          </w:p>
        </w:tc>
      </w:tr>
      <w:tr w14:paraId="3AA7CC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blHeader/>
          <w:jc w:val="center"/>
        </w:trPr>
        <w:tc>
          <w:tcPr>
            <w:tcW w:w="823" w:type="dxa"/>
            <w:tcBorders>
              <w:left w:val="single" w:color="000000" w:sz="4" w:space="0"/>
              <w:right w:val="single" w:color="000000" w:sz="4" w:space="0"/>
            </w:tcBorders>
            <w:shd w:val="clear" w:color="auto" w:fill="auto"/>
            <w:vAlign w:val="center"/>
          </w:tcPr>
          <w:p w14:paraId="7A2E90D3">
            <w:pPr>
              <w:widowControl w:val="0"/>
              <w:autoSpaceDE w:val="0"/>
              <w:autoSpaceDN w:val="0"/>
              <w:jc w:val="center"/>
              <w:rPr>
                <w:rFonts w:hint="eastAsia" w:ascii="宋体" w:hAnsi="宋体" w:eastAsia="宋体" w:cs="宋体"/>
                <w:b w:val="0"/>
                <w:bCs w:val="0"/>
                <w:sz w:val="24"/>
                <w:szCs w:val="24"/>
                <w:highlight w:val="none"/>
                <w:lang w:val="en-US" w:eastAsia="zh-CN" w:bidi="ar-SA"/>
              </w:rPr>
            </w:pPr>
            <w:r>
              <w:rPr>
                <w:rFonts w:hint="eastAsia" w:ascii="宋体" w:hAnsi="宋体" w:eastAsia="宋体" w:cs="宋体"/>
                <w:b w:val="0"/>
                <w:bCs w:val="0"/>
                <w:sz w:val="24"/>
                <w:szCs w:val="24"/>
                <w:highlight w:val="none"/>
                <w:lang w:val="en-US" w:eastAsia="zh-CN" w:bidi="ar-SA"/>
              </w:rPr>
              <w:t>02</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B389F">
            <w:pPr>
              <w:widowControl w:val="0"/>
              <w:autoSpaceDE w:val="0"/>
              <w:autoSpaceDN w:val="0"/>
              <w:spacing w:line="240" w:lineRule="auto"/>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z w:val="24"/>
                <w:szCs w:val="24"/>
                <w:highlight w:val="none"/>
                <w:lang w:val="en-US" w:eastAsia="zh-CN" w:bidi="ar-SA"/>
              </w:rPr>
              <w:t>胰岛素泵</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BCD6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D59AB">
            <w:pPr>
              <w:widowControl/>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否</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76484">
            <w:pPr>
              <w:widowControl w:val="0"/>
              <w:autoSpaceDE w:val="0"/>
              <w:autoSpaceDN w:val="0"/>
              <w:jc w:val="center"/>
              <w:rPr>
                <w:rFonts w:hint="eastAsia" w:ascii="宋体" w:hAnsi="宋体" w:eastAsia="宋体" w:cs="宋体"/>
                <w:b w:val="0"/>
                <w:bCs w:val="0"/>
                <w:sz w:val="24"/>
                <w:szCs w:val="24"/>
                <w:highlight w:val="none"/>
                <w:lang w:val="en-US" w:eastAsia="zh-CN" w:bidi="ar-SA"/>
              </w:rPr>
            </w:pPr>
            <w:r>
              <w:rPr>
                <w:rFonts w:hint="eastAsia" w:ascii="宋体" w:hAnsi="宋体" w:eastAsia="宋体" w:cs="宋体"/>
                <w:b w:val="0"/>
                <w:bCs w:val="0"/>
                <w:sz w:val="24"/>
                <w:szCs w:val="24"/>
                <w:highlight w:val="none"/>
                <w:lang w:val="en-US" w:eastAsia="zh-CN" w:bidi="ar-SA"/>
              </w:rPr>
              <w:t>3年</w:t>
            </w:r>
          </w:p>
        </w:tc>
      </w:tr>
    </w:tbl>
    <w:p w14:paraId="3D7038AE">
      <w:pPr>
        <w:widowControl w:val="0"/>
        <w:tabs>
          <w:tab w:val="left" w:pos="1197"/>
        </w:tabs>
        <w:autoSpaceDE w:val="0"/>
        <w:autoSpaceDN w:val="0"/>
        <w:spacing w:before="0" w:line="360" w:lineRule="auto"/>
        <w:ind w:left="0" w:right="233" w:firstLine="0"/>
        <w:jc w:val="both"/>
        <w:rPr>
          <w:rFonts w:hint="eastAsia" w:ascii="宋体" w:hAnsi="宋体" w:eastAsia="宋体" w:cs="宋体"/>
          <w:b/>
          <w:bCs/>
          <w:sz w:val="24"/>
          <w:szCs w:val="22"/>
          <w:highlight w:val="none"/>
          <w:lang w:val="en-US" w:eastAsia="zh-CN" w:bidi="ar-SA"/>
        </w:rPr>
      </w:pPr>
    </w:p>
    <w:p w14:paraId="5AC62B96">
      <w:pPr>
        <w:widowControl w:val="0"/>
        <w:tabs>
          <w:tab w:val="left" w:pos="1197"/>
        </w:tabs>
        <w:autoSpaceDE w:val="0"/>
        <w:autoSpaceDN w:val="0"/>
        <w:spacing w:before="0" w:line="360" w:lineRule="auto"/>
        <w:ind w:left="0" w:right="233" w:firstLine="0"/>
        <w:jc w:val="both"/>
        <w:rPr>
          <w:rFonts w:ascii="宋体" w:hAnsi="宋体" w:eastAsia="宋体" w:cs="宋体"/>
          <w:b/>
          <w:bCs/>
          <w:sz w:val="24"/>
          <w:szCs w:val="22"/>
          <w:highlight w:val="none"/>
          <w:lang w:val="en-US" w:eastAsia="zh-CN" w:bidi="ar-SA"/>
        </w:rPr>
      </w:pPr>
      <w:r>
        <w:rPr>
          <w:rFonts w:hint="eastAsia" w:ascii="宋体" w:hAnsi="宋体" w:eastAsia="宋体" w:cs="宋体"/>
          <w:b/>
          <w:bCs/>
          <w:sz w:val="24"/>
          <w:szCs w:val="22"/>
          <w:highlight w:val="none"/>
          <w:lang w:val="en-US" w:eastAsia="zh-CN" w:bidi="ar-SA"/>
        </w:rPr>
        <w:t>二、商务要求</w:t>
      </w:r>
    </w:p>
    <w:p w14:paraId="3444D0C5">
      <w:pPr>
        <w:widowControl w:val="0"/>
        <w:tabs>
          <w:tab w:val="left" w:pos="1197"/>
        </w:tabs>
        <w:autoSpaceDE w:val="0"/>
        <w:autoSpaceDN w:val="0"/>
        <w:spacing w:before="0" w:line="360" w:lineRule="auto"/>
        <w:ind w:left="0" w:right="233" w:firstLine="0"/>
        <w:jc w:val="both"/>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1.交货时间和地点：</w:t>
      </w:r>
    </w:p>
    <w:p w14:paraId="54F60167">
      <w:pPr>
        <w:widowControl w:val="0"/>
        <w:tabs>
          <w:tab w:val="left" w:pos="1197"/>
        </w:tabs>
        <w:autoSpaceDE w:val="0"/>
        <w:autoSpaceDN w:val="0"/>
        <w:spacing w:before="0" w:line="360" w:lineRule="auto"/>
        <w:ind w:left="0" w:right="233" w:firstLine="480" w:firstLineChars="200"/>
        <w:jc w:val="both"/>
        <w:rPr>
          <w:rFonts w:ascii="宋体" w:hAnsi="宋体" w:eastAsia="宋体" w:cs="宋体"/>
          <w:sz w:val="24"/>
          <w:szCs w:val="24"/>
          <w:highlight w:val="none"/>
          <w:lang w:val="en-US" w:eastAsia="zh-CN" w:bidi="ar-SA"/>
        </w:rPr>
      </w:pPr>
      <w:bookmarkStart w:id="1" w:name="_Toc23382"/>
      <w:bookmarkStart w:id="2" w:name="_Toc24278"/>
      <w:bookmarkStart w:id="3" w:name="_Toc256196753"/>
      <w:bookmarkStart w:id="4" w:name="_Toc8925"/>
      <w:bookmarkStart w:id="5" w:name="_Toc14802"/>
      <w:r>
        <w:rPr>
          <w:rFonts w:hint="eastAsia" w:ascii="宋体" w:hAnsi="宋体" w:eastAsia="宋体" w:cs="宋体"/>
          <w:sz w:val="24"/>
          <w:szCs w:val="24"/>
          <w:highlight w:val="none"/>
          <w:lang w:val="en-US" w:eastAsia="zh-CN" w:bidi="ar-SA"/>
        </w:rPr>
        <w:t>1.1 交货时间：</w:t>
      </w:r>
      <w:bookmarkEnd w:id="1"/>
      <w:bookmarkEnd w:id="2"/>
      <w:bookmarkEnd w:id="3"/>
      <w:bookmarkEnd w:id="4"/>
      <w:bookmarkEnd w:id="5"/>
      <w:r>
        <w:rPr>
          <w:rFonts w:hint="eastAsia" w:ascii="宋体" w:hAnsi="宋体" w:eastAsia="宋体" w:cs="宋体"/>
          <w:sz w:val="24"/>
          <w:szCs w:val="24"/>
          <w:highlight w:val="none"/>
          <w:lang w:val="en-US" w:eastAsia="zh-CN" w:bidi="ar-SA"/>
        </w:rPr>
        <w:t>合同签订后三个月内</w:t>
      </w:r>
      <w:r>
        <w:rPr>
          <w:rFonts w:hint="eastAsia" w:ascii="宋体" w:hAnsi="宋体" w:eastAsia="宋体" w:cs="宋体"/>
          <w:color w:val="000000"/>
          <w:sz w:val="24"/>
          <w:szCs w:val="22"/>
          <w:highlight w:val="none"/>
          <w:lang w:val="en-US" w:eastAsia="zh-CN" w:bidi="ar-SA"/>
        </w:rPr>
        <w:t>。</w:t>
      </w:r>
    </w:p>
    <w:p w14:paraId="2B72C6D9">
      <w:pPr>
        <w:widowControl w:val="0"/>
        <w:tabs>
          <w:tab w:val="left" w:pos="1197"/>
        </w:tabs>
        <w:autoSpaceDE w:val="0"/>
        <w:autoSpaceDN w:val="0"/>
        <w:spacing w:before="0" w:line="360" w:lineRule="auto"/>
        <w:ind w:left="0" w:right="233" w:firstLine="480" w:firstLineChars="200"/>
        <w:jc w:val="both"/>
        <w:rPr>
          <w:rFonts w:ascii="宋体" w:hAnsi="宋体" w:eastAsia="宋体" w:cs="宋体"/>
          <w:sz w:val="24"/>
          <w:szCs w:val="24"/>
          <w:highlight w:val="none"/>
          <w:lang w:val="en-US" w:eastAsia="zh-CN" w:bidi="ar-SA"/>
        </w:rPr>
      </w:pPr>
      <w:bookmarkStart w:id="6" w:name="_Toc6107"/>
      <w:bookmarkStart w:id="7" w:name="_Toc194115436"/>
      <w:bookmarkStart w:id="8" w:name="_Toc8853"/>
      <w:bookmarkStart w:id="9" w:name="_Toc30936"/>
      <w:bookmarkStart w:id="10" w:name="_Toc19535"/>
      <w:r>
        <w:rPr>
          <w:rFonts w:hint="eastAsia" w:ascii="宋体" w:hAnsi="宋体" w:eastAsia="宋体" w:cs="宋体"/>
          <w:sz w:val="24"/>
          <w:szCs w:val="24"/>
          <w:highlight w:val="none"/>
          <w:lang w:val="en-US" w:eastAsia="zh-CN" w:bidi="ar-SA"/>
        </w:rPr>
        <w:t>1.2 交货地点：</w:t>
      </w:r>
      <w:bookmarkEnd w:id="6"/>
      <w:bookmarkEnd w:id="7"/>
      <w:bookmarkEnd w:id="8"/>
      <w:bookmarkEnd w:id="9"/>
      <w:bookmarkEnd w:id="10"/>
      <w:r>
        <w:rPr>
          <w:rFonts w:hint="eastAsia" w:ascii="宋体" w:hAnsi="宋体" w:eastAsia="宋体" w:cs="宋体"/>
          <w:sz w:val="24"/>
          <w:szCs w:val="24"/>
          <w:highlight w:val="none"/>
          <w:lang w:val="en-US" w:eastAsia="zh-CN" w:bidi="ar-SA"/>
        </w:rPr>
        <w:t>采购人指定地点。</w:t>
      </w:r>
    </w:p>
    <w:p w14:paraId="15848AB5">
      <w:pPr>
        <w:widowControl w:val="0"/>
        <w:tabs>
          <w:tab w:val="left" w:pos="1197"/>
        </w:tabs>
        <w:autoSpaceDE w:val="0"/>
        <w:autoSpaceDN w:val="0"/>
        <w:spacing w:before="0" w:line="360" w:lineRule="auto"/>
        <w:ind w:left="0" w:right="233" w:firstLine="0"/>
        <w:jc w:val="both"/>
        <w:rPr>
          <w:rFonts w:hint="eastAsia" w:ascii="宋体" w:hAnsi="宋体" w:eastAsia="宋体" w:cs="宋体"/>
          <w:sz w:val="24"/>
          <w:szCs w:val="24"/>
          <w:highlight w:val="none"/>
          <w:lang w:val="en-US" w:eastAsia="zh-CN" w:bidi="ar-SA"/>
        </w:rPr>
      </w:pPr>
      <w:r>
        <w:rPr>
          <w:rFonts w:hint="eastAsia" w:ascii="宋体" w:hAnsi="宋体" w:eastAsia="宋体" w:cs="宋体"/>
          <w:b/>
          <w:bCs/>
          <w:sz w:val="24"/>
          <w:szCs w:val="24"/>
          <w:highlight w:val="none"/>
          <w:lang w:val="en-US" w:eastAsia="zh-CN" w:bidi="ar-SA"/>
        </w:rPr>
        <w:t>2.付款条件（进度和方式）</w:t>
      </w:r>
      <w:r>
        <w:rPr>
          <w:rFonts w:hint="eastAsia" w:ascii="宋体" w:hAnsi="宋体" w:eastAsia="宋体" w:cs="宋体"/>
          <w:sz w:val="24"/>
          <w:szCs w:val="24"/>
          <w:highlight w:val="none"/>
          <w:lang w:val="en-US" w:eastAsia="zh-CN" w:bidi="ar-SA"/>
        </w:rPr>
        <w:t>：</w:t>
      </w:r>
    </w:p>
    <w:p w14:paraId="55966D2C">
      <w:pPr>
        <w:widowControl w:val="0"/>
        <w:tabs>
          <w:tab w:val="left" w:pos="1197"/>
        </w:tabs>
        <w:autoSpaceDE w:val="0"/>
        <w:autoSpaceDN w:val="0"/>
        <w:spacing w:before="0" w:line="360" w:lineRule="auto"/>
        <w:ind w:left="1196" w:right="233" w:hanging="720"/>
        <w:jc w:val="both"/>
        <w:rPr>
          <w:rFonts w:hint="default" w:ascii="宋体" w:hAnsi="宋体" w:eastAsia="宋体" w:cs="宋体"/>
          <w:b w:val="0"/>
          <w:bCs w:val="0"/>
          <w:sz w:val="24"/>
          <w:szCs w:val="24"/>
          <w:highlight w:val="none"/>
          <w:lang w:val="en-US" w:eastAsia="zh-CN" w:bidi="ar-SA"/>
        </w:rPr>
      </w:pPr>
      <w:r>
        <w:rPr>
          <w:rFonts w:hint="eastAsia" w:ascii="宋体" w:hAnsi="宋体" w:eastAsia="宋体" w:cs="宋体"/>
          <w:b w:val="0"/>
          <w:bCs w:val="0"/>
          <w:sz w:val="24"/>
          <w:szCs w:val="24"/>
          <w:highlight w:val="none"/>
          <w:lang w:val="en-US" w:eastAsia="zh-CN" w:bidi="ar-SA"/>
        </w:rPr>
        <w:t>详见“拟签订的合同文本”。</w:t>
      </w:r>
    </w:p>
    <w:p w14:paraId="419D5593">
      <w:pPr>
        <w:widowControl w:val="0"/>
        <w:tabs>
          <w:tab w:val="left" w:pos="1197"/>
        </w:tabs>
        <w:autoSpaceDE w:val="0"/>
        <w:autoSpaceDN w:val="0"/>
        <w:spacing w:before="0" w:line="360" w:lineRule="auto"/>
        <w:ind w:left="0" w:right="233" w:firstLine="0"/>
        <w:jc w:val="both"/>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3.包装和运输（如适用，须满足《关于印发〈商品包装政府采购需求标准（试行）〉、〈快递包装政府采购需求标准（试行）〉的通知》（财办库﹝2020﹞123号））</w:t>
      </w:r>
    </w:p>
    <w:p w14:paraId="3E227C99">
      <w:pPr>
        <w:widowControl w:val="0"/>
        <w:tabs>
          <w:tab w:val="left" w:pos="1197"/>
        </w:tabs>
        <w:autoSpaceDE w:val="0"/>
        <w:autoSpaceDN w:val="0"/>
        <w:spacing w:before="0" w:line="360" w:lineRule="auto"/>
        <w:ind w:left="0" w:right="233" w:firstLine="0"/>
        <w:jc w:val="both"/>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4.质保服务：</w:t>
      </w:r>
    </w:p>
    <w:p w14:paraId="1B2D4A50">
      <w:pPr>
        <w:widowControl w:val="0"/>
        <w:autoSpaceDE w:val="0"/>
        <w:autoSpaceDN w:val="0"/>
        <w:spacing w:before="50" w:line="360" w:lineRule="auto"/>
        <w:ind w:left="720" w:leftChars="109" w:hanging="480" w:hangingChars="200"/>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4.</w:t>
      </w:r>
      <w:r>
        <w:rPr>
          <w:rFonts w:ascii="宋体" w:hAnsi="宋体" w:eastAsia="宋体" w:cs="宋体"/>
          <w:b w:val="0"/>
          <w:bCs w:val="0"/>
          <w:color w:val="auto"/>
          <w:sz w:val="24"/>
          <w:szCs w:val="24"/>
          <w:highlight w:val="none"/>
          <w:lang w:val="en-US" w:eastAsia="en-US" w:bidi="ar-SA"/>
        </w:rPr>
        <w:t>1</w:t>
      </w:r>
      <w:r>
        <w:rPr>
          <w:rFonts w:hint="eastAsia" w:ascii="宋体" w:hAnsi="宋体" w:eastAsia="宋体" w:cs="宋体"/>
          <w:b w:val="0"/>
          <w:bCs w:val="0"/>
          <w:color w:val="auto"/>
          <w:sz w:val="24"/>
          <w:szCs w:val="24"/>
          <w:highlight w:val="none"/>
          <w:lang w:val="en-US" w:eastAsia="zh-CN" w:bidi="ar-SA"/>
        </w:rPr>
        <w:t xml:space="preserve"> </w:t>
      </w:r>
      <w:r>
        <w:rPr>
          <w:rFonts w:hint="eastAsia" w:ascii="宋体" w:hAnsi="宋体" w:eastAsia="宋体" w:cs="宋体"/>
          <w:b w:val="0"/>
          <w:bCs w:val="0"/>
          <w:color w:val="auto"/>
          <w:sz w:val="24"/>
          <w:szCs w:val="24"/>
          <w:highlight w:val="none"/>
          <w:lang w:val="en-US" w:eastAsia="en-US" w:bidi="ar-SA"/>
        </w:rPr>
        <w:t>质量保证期及服务要求：自安装、调试、验收合格且完成资产入库之日</w:t>
      </w:r>
      <w:r>
        <w:rPr>
          <w:rFonts w:hint="eastAsia" w:ascii="宋体" w:hAnsi="宋体" w:eastAsia="宋体" w:cs="宋体"/>
          <w:b w:val="0"/>
          <w:bCs w:val="0"/>
          <w:color w:val="auto"/>
          <w:sz w:val="24"/>
          <w:szCs w:val="24"/>
          <w:highlight w:val="none"/>
          <w:lang w:val="en-US" w:eastAsia="zh-CN" w:bidi="ar-SA"/>
        </w:rPr>
        <w:t>3年</w:t>
      </w:r>
      <w:r>
        <w:rPr>
          <w:rFonts w:hint="eastAsia" w:ascii="宋体" w:hAnsi="宋体" w:eastAsia="宋体" w:cs="宋体"/>
          <w:b w:val="0"/>
          <w:bCs w:val="0"/>
          <w:color w:val="auto"/>
          <w:sz w:val="24"/>
          <w:szCs w:val="24"/>
          <w:highlight w:val="none"/>
          <w:lang w:val="en-US" w:eastAsia="en-US" w:bidi="ar-SA"/>
        </w:rPr>
        <w:t>。保修范围应包括提供的所有设备（含第三方设备或配件）和安装调试服务。在保修期内应提供维修和技术咨询服务，矫正和免费更换有缺陷的设备或部件、排除系统出现的故障。凡制造厂商未提供</w:t>
      </w:r>
      <w:r>
        <w:rPr>
          <w:rFonts w:hint="eastAsia" w:ascii="宋体" w:hAnsi="宋体" w:eastAsia="宋体" w:cs="宋体"/>
          <w:b w:val="0"/>
          <w:bCs w:val="0"/>
          <w:color w:val="auto"/>
          <w:sz w:val="24"/>
          <w:szCs w:val="24"/>
          <w:highlight w:val="none"/>
          <w:lang w:val="en-US" w:eastAsia="zh-CN" w:bidi="ar-SA"/>
        </w:rPr>
        <w:t>3年</w:t>
      </w:r>
      <w:r>
        <w:rPr>
          <w:rFonts w:hint="eastAsia" w:ascii="宋体" w:hAnsi="宋体" w:eastAsia="宋体" w:cs="宋体"/>
          <w:b w:val="0"/>
          <w:bCs w:val="0"/>
          <w:color w:val="auto"/>
          <w:sz w:val="24"/>
          <w:szCs w:val="24"/>
          <w:highlight w:val="none"/>
          <w:lang w:val="en-US" w:eastAsia="en-US" w:bidi="ar-SA"/>
        </w:rPr>
        <w:t>免费保修服务的产品，供应商应提供满足</w:t>
      </w:r>
      <w:r>
        <w:rPr>
          <w:rFonts w:hint="eastAsia" w:ascii="宋体" w:hAnsi="宋体" w:eastAsia="宋体" w:cs="宋体"/>
          <w:b w:val="0"/>
          <w:bCs w:val="0"/>
          <w:color w:val="auto"/>
          <w:sz w:val="24"/>
          <w:szCs w:val="24"/>
          <w:highlight w:val="none"/>
          <w:lang w:val="en-US" w:eastAsia="zh-CN" w:bidi="ar-SA"/>
        </w:rPr>
        <w:t>3年</w:t>
      </w:r>
      <w:r>
        <w:rPr>
          <w:rFonts w:hint="eastAsia" w:ascii="宋体" w:hAnsi="宋体" w:eastAsia="宋体" w:cs="宋体"/>
          <w:b w:val="0"/>
          <w:bCs w:val="0"/>
          <w:color w:val="auto"/>
          <w:sz w:val="24"/>
          <w:szCs w:val="24"/>
          <w:highlight w:val="none"/>
          <w:lang w:val="en-US" w:eastAsia="en-US" w:bidi="ar-SA"/>
        </w:rPr>
        <w:t>的保修服务的服务报价，该报价计入合同总价中。质量保证期内，供应商应对由于设计、工艺或材料的缺陷而发生的任何不足或故障负责，费用由</w:t>
      </w:r>
      <w:r>
        <w:rPr>
          <w:rFonts w:ascii="宋体" w:hAnsi="宋体" w:eastAsia="宋体" w:cs="Courier New"/>
          <w:b w:val="0"/>
          <w:bCs w:val="0"/>
          <w:color w:val="auto"/>
          <w:sz w:val="24"/>
          <w:szCs w:val="24"/>
          <w:highlight w:val="none"/>
          <w:lang w:val="en-US" w:eastAsia="en-US" w:bidi="ar-SA"/>
        </w:rPr>
        <w:t>供应商</w:t>
      </w:r>
      <w:r>
        <w:rPr>
          <w:rFonts w:hint="eastAsia" w:ascii="宋体" w:hAnsi="宋体" w:eastAsia="宋体" w:cs="宋体"/>
          <w:b w:val="0"/>
          <w:bCs w:val="0"/>
          <w:color w:val="auto"/>
          <w:sz w:val="24"/>
          <w:szCs w:val="24"/>
          <w:highlight w:val="none"/>
          <w:lang w:val="en-US" w:eastAsia="en-US" w:bidi="ar-SA"/>
        </w:rPr>
        <w:t>负担。或因培训不到位造成的操作失误引起的故障。</w:t>
      </w:r>
      <w:r>
        <w:rPr>
          <w:rFonts w:hint="eastAsia" w:ascii="宋体" w:hAnsi="宋体" w:eastAsia="宋体" w:cs="Courier New"/>
          <w:sz w:val="24"/>
          <w:szCs w:val="21"/>
          <w:lang w:val="en-US" w:eastAsia="en-US" w:bidi="ar-SA"/>
        </w:rPr>
        <w:t>费用由乙方负担</w:t>
      </w:r>
      <w:r>
        <w:rPr>
          <w:rFonts w:hint="eastAsia" w:ascii="宋体" w:hAnsi="宋体" w:eastAsia="宋体" w:cs="Courier New"/>
          <w:sz w:val="24"/>
          <w:szCs w:val="21"/>
          <w:lang w:val="en-US" w:eastAsia="zh-CN" w:bidi="ar-SA"/>
        </w:rPr>
        <w:t>。</w:t>
      </w:r>
    </w:p>
    <w:p w14:paraId="0A86BF16">
      <w:pPr>
        <w:widowControl w:val="0"/>
        <w:autoSpaceDE w:val="0"/>
        <w:autoSpaceDN w:val="0"/>
        <w:spacing w:before="50" w:line="360" w:lineRule="auto"/>
        <w:ind w:firstLine="720" w:firstLineChars="300"/>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en-US" w:bidi="ar-SA"/>
        </w:rPr>
        <w:t>质量保证期满，</w:t>
      </w:r>
      <w:r>
        <w:rPr>
          <w:rFonts w:ascii="宋体" w:hAnsi="宋体" w:eastAsia="宋体" w:cs="Courier New"/>
          <w:b w:val="0"/>
          <w:bCs w:val="0"/>
          <w:color w:val="auto"/>
          <w:sz w:val="24"/>
          <w:szCs w:val="24"/>
          <w:highlight w:val="none"/>
          <w:lang w:val="en-US" w:eastAsia="en-US" w:bidi="ar-SA"/>
        </w:rPr>
        <w:t>供应商</w:t>
      </w:r>
      <w:r>
        <w:rPr>
          <w:rFonts w:hint="eastAsia" w:ascii="宋体" w:hAnsi="宋体" w:eastAsia="宋体" w:cs="宋体"/>
          <w:b w:val="0"/>
          <w:bCs w:val="0"/>
          <w:color w:val="auto"/>
          <w:sz w:val="24"/>
          <w:szCs w:val="24"/>
          <w:highlight w:val="none"/>
          <w:lang w:val="en-US" w:eastAsia="en-US" w:bidi="ar-SA"/>
        </w:rPr>
        <w:t>为</w:t>
      </w:r>
      <w:r>
        <w:rPr>
          <w:rFonts w:ascii="宋体" w:hAnsi="宋体" w:eastAsia="宋体" w:cs="Courier New"/>
          <w:b w:val="0"/>
          <w:bCs w:val="0"/>
          <w:color w:val="auto"/>
          <w:sz w:val="24"/>
          <w:szCs w:val="24"/>
          <w:highlight w:val="none"/>
          <w:lang w:val="en-US" w:eastAsia="en-US" w:bidi="ar-SA"/>
        </w:rPr>
        <w:t>采购人</w:t>
      </w:r>
      <w:r>
        <w:rPr>
          <w:rFonts w:hint="eastAsia" w:ascii="宋体" w:hAnsi="宋体" w:eastAsia="宋体" w:cs="宋体"/>
          <w:b w:val="0"/>
          <w:bCs w:val="0"/>
          <w:color w:val="auto"/>
          <w:sz w:val="24"/>
          <w:szCs w:val="24"/>
          <w:highlight w:val="none"/>
          <w:lang w:val="en-US" w:eastAsia="en-US" w:bidi="ar-SA"/>
        </w:rPr>
        <w:t>提供终身保修有偿服务。</w:t>
      </w:r>
    </w:p>
    <w:p w14:paraId="41002CA7">
      <w:pPr>
        <w:widowControl w:val="0"/>
        <w:autoSpaceDE w:val="0"/>
        <w:autoSpaceDN w:val="0"/>
        <w:spacing w:before="50" w:line="360" w:lineRule="auto"/>
        <w:ind w:left="719" w:leftChars="327" w:firstLine="0" w:firstLineChars="0"/>
        <w:rPr>
          <w:rFonts w:hint="eastAsia" w:ascii="宋体" w:hAnsi="宋体" w:eastAsia="宋体" w:cs="宋体"/>
          <w:b w:val="0"/>
          <w:bCs w:val="0"/>
          <w:color w:val="auto"/>
          <w:sz w:val="24"/>
          <w:szCs w:val="24"/>
          <w:highlight w:val="none"/>
          <w:lang w:val="en-US" w:eastAsia="en-US" w:bidi="ar-SA"/>
        </w:rPr>
      </w:pPr>
      <w:r>
        <w:rPr>
          <w:rFonts w:ascii="宋体" w:hAnsi="宋体" w:eastAsia="宋体" w:cs="Courier New"/>
          <w:b w:val="0"/>
          <w:bCs w:val="0"/>
          <w:color w:val="auto"/>
          <w:sz w:val="24"/>
          <w:szCs w:val="24"/>
          <w:highlight w:val="none"/>
          <w:lang w:val="en-US" w:eastAsia="en-US" w:bidi="ar-SA"/>
        </w:rPr>
        <w:t>供应商</w:t>
      </w:r>
      <w:r>
        <w:rPr>
          <w:rFonts w:hint="eastAsia" w:ascii="宋体" w:hAnsi="宋体" w:eastAsia="宋体" w:cs="Courier New"/>
          <w:sz w:val="24"/>
          <w:szCs w:val="21"/>
          <w:lang w:val="en-US" w:eastAsia="en-US" w:bidi="ar-SA"/>
        </w:rPr>
        <w:t>应在质保期满前三个月对设备做全面保养及性能检测，并出具相应的报告。</w:t>
      </w:r>
    </w:p>
    <w:p w14:paraId="0B5EC4E1">
      <w:pPr>
        <w:widowControl w:val="0"/>
        <w:numPr>
          <w:ilvl w:val="0"/>
          <w:numId w:val="0"/>
        </w:numPr>
        <w:autoSpaceDE w:val="0"/>
        <w:autoSpaceDN w:val="0"/>
        <w:spacing w:line="360" w:lineRule="auto"/>
        <w:ind w:left="720" w:leftChars="109" w:hanging="480" w:hangingChars="200"/>
        <w:rPr>
          <w:rFonts w:ascii="宋体" w:hAnsi="Courier New" w:eastAsia="宋体" w:cs="Courier New"/>
          <w:color w:val="auto"/>
          <w:sz w:val="24"/>
          <w:szCs w:val="21"/>
          <w:highlight w:val="none"/>
          <w:lang w:val="en-US" w:eastAsia="en-US" w:bidi="ar-SA"/>
        </w:rPr>
      </w:pPr>
      <w:r>
        <w:rPr>
          <w:rFonts w:hint="eastAsia" w:ascii="宋体" w:hAnsi="宋体" w:eastAsia="宋体" w:cs="Courier New"/>
          <w:b w:val="0"/>
          <w:bCs w:val="0"/>
          <w:color w:val="auto"/>
          <w:sz w:val="24"/>
          <w:szCs w:val="24"/>
          <w:highlight w:val="none"/>
          <w:lang w:val="en-US" w:eastAsia="zh-CN" w:bidi="ar-SA"/>
        </w:rPr>
        <w:t xml:space="preserve">4.2 </w:t>
      </w:r>
      <w:r>
        <w:rPr>
          <w:rFonts w:ascii="宋体" w:hAnsi="宋体" w:eastAsia="宋体" w:cs="Courier New"/>
          <w:b w:val="0"/>
          <w:bCs w:val="0"/>
          <w:color w:val="auto"/>
          <w:sz w:val="24"/>
          <w:szCs w:val="24"/>
          <w:highlight w:val="none"/>
          <w:lang w:val="en-US" w:eastAsia="en-US" w:bidi="ar-SA"/>
        </w:rPr>
        <w:t>供应商</w:t>
      </w:r>
      <w:r>
        <w:rPr>
          <w:rFonts w:hint="eastAsia" w:ascii="宋体" w:hAnsi="宋体" w:eastAsia="宋体" w:cs="宋体"/>
          <w:b w:val="0"/>
          <w:bCs w:val="0"/>
          <w:color w:val="auto"/>
          <w:sz w:val="24"/>
          <w:szCs w:val="24"/>
          <w:highlight w:val="none"/>
          <w:lang w:val="en-US" w:eastAsia="en-US" w:bidi="ar-SA"/>
        </w:rPr>
        <w:t>还需要提供质量保证期（保修期）结束后，维保费用最高不超过合同金额5%的承诺。保修费用应含维保工时费、零配件费用和软件维护、升级费用，服务内容和细则与免费维保期相同。（含所有第三方辅助关联设备）</w:t>
      </w:r>
    </w:p>
    <w:p w14:paraId="397F21B9">
      <w:pPr>
        <w:spacing w:line="360" w:lineRule="auto"/>
        <w:contextualSpacing/>
        <w:rPr>
          <w:rFonts w:hint="eastAsia" w:ascii="宋体" w:hAnsi="宋体" w:eastAsia="宋体" w:cs="宋体"/>
          <w:b/>
          <w:bCs/>
          <w:sz w:val="24"/>
          <w:szCs w:val="24"/>
          <w:highlight w:val="none"/>
          <w:lang w:val="en-US" w:eastAsia="zh-CN"/>
        </w:rPr>
      </w:pPr>
    </w:p>
    <w:p w14:paraId="25DB305A">
      <w:pPr>
        <w:spacing w:line="360" w:lineRule="auto"/>
        <w:contextualSpacing/>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三、技术要求</w:t>
      </w:r>
    </w:p>
    <w:p w14:paraId="1753DBE8">
      <w:pPr>
        <w:spacing w:line="360" w:lineRule="auto"/>
        <w:ind w:firstLine="241" w:firstLineChars="100"/>
        <w:contextualSpacing/>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1. 基本要求</w:t>
      </w:r>
    </w:p>
    <w:p w14:paraId="461E636D">
      <w:pPr>
        <w:spacing w:line="360" w:lineRule="auto"/>
        <w:ind w:firstLine="241" w:firstLineChars="100"/>
        <w:contextualSpacing/>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1.1 采购标的需实现的功能或者目标</w:t>
      </w:r>
    </w:p>
    <w:p w14:paraId="654053C7">
      <w:pPr>
        <w:adjustRightInd w:val="0"/>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本次招标采购是为</w:t>
      </w:r>
      <w:r>
        <w:rPr>
          <w:rFonts w:hint="eastAsia" w:ascii="宋体" w:hAnsi="宋体" w:eastAsia="宋体" w:cs="宋体"/>
          <w:kern w:val="2"/>
          <w:sz w:val="24"/>
          <w:szCs w:val="24"/>
          <w:highlight w:val="none"/>
          <w:lang w:eastAsia="zh-CN"/>
        </w:rPr>
        <w:t>首都医科大学附属北京天坛医院</w:t>
      </w:r>
      <w:r>
        <w:rPr>
          <w:rFonts w:hint="eastAsia" w:ascii="宋体" w:hAnsi="宋体" w:eastAsia="宋体" w:cs="宋体"/>
          <w:sz w:val="24"/>
          <w:highlight w:val="none"/>
          <w:lang w:eastAsia="zh-CN"/>
        </w:rPr>
        <w:t>配置</w:t>
      </w:r>
      <w:r>
        <w:rPr>
          <w:rFonts w:hint="eastAsia" w:ascii="宋体" w:hAnsi="宋体" w:eastAsia="宋体" w:cs="宋体"/>
          <w:i w:val="0"/>
          <w:iCs w:val="0"/>
          <w:color w:val="000000"/>
          <w:kern w:val="0"/>
          <w:sz w:val="24"/>
          <w:szCs w:val="24"/>
          <w:u w:val="none"/>
          <w:lang w:val="en-US" w:eastAsia="zh-CN" w:bidi="ar"/>
        </w:rPr>
        <w:t>血栓泵</w:t>
      </w:r>
      <w:r>
        <w:rPr>
          <w:rFonts w:hint="eastAsia" w:ascii="宋体" w:hAnsi="宋体" w:eastAsia="宋体" w:cs="宋体"/>
          <w:sz w:val="24"/>
          <w:szCs w:val="24"/>
          <w:highlight w:val="none"/>
          <w:lang w:eastAsia="zh-CN"/>
        </w:rPr>
        <w:t>，供应商应根据招标文件所提出的技术规格和服务要求，综合考虑所投货物的适用性，选择具有最佳性能价格比的货物前来投标。供应商应以先进的技术、优良的服务和优惠的价格，充分显示自己的竞争实力。</w:t>
      </w:r>
    </w:p>
    <w:p w14:paraId="1397F705">
      <w:pPr>
        <w:spacing w:line="360" w:lineRule="auto"/>
        <w:ind w:firstLine="241" w:firstLineChars="100"/>
        <w:contextualSpacing/>
        <w:rPr>
          <w:rFonts w:ascii="宋体" w:hAnsi="宋体" w:eastAsia="宋体" w:cs="宋体"/>
          <w:sz w:val="24"/>
          <w:szCs w:val="24"/>
          <w:highlight w:val="none"/>
          <w:lang w:eastAsia="zh-CN"/>
        </w:rPr>
      </w:pPr>
      <w:r>
        <w:rPr>
          <w:rFonts w:hint="eastAsia" w:ascii="宋体" w:hAnsi="宋体" w:eastAsia="宋体" w:cs="宋体"/>
          <w:b/>
          <w:bCs/>
          <w:sz w:val="24"/>
          <w:szCs w:val="24"/>
          <w:highlight w:val="none"/>
          <w:lang w:eastAsia="zh-CN"/>
        </w:rPr>
        <w:t>1.2 需执行的国家相关标准、行业标准、地方标准或者其他标准、规范</w:t>
      </w:r>
    </w:p>
    <w:p w14:paraId="1ACC9F0F">
      <w:pPr>
        <w:autoSpaceDE/>
        <w:autoSpaceDN/>
        <w:spacing w:line="360" w:lineRule="auto"/>
        <w:ind w:left="240" w:leftChars="109" w:firstLine="240" w:firstLineChars="1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★(1)投标产品属于医疗器械的，应按原国家食品药品监督管理总局颁发的《医疗器械注册管理办法》，办理医疗器械注册证或者办理备案，供应商须提供有效的医疗器械注册证复印件或备案凭证并加盖公章。</w:t>
      </w:r>
    </w:p>
    <w:p w14:paraId="2E219C82">
      <w:pPr>
        <w:autoSpaceDE/>
        <w:autoSpaceDN/>
        <w:spacing w:line="360" w:lineRule="auto"/>
        <w:ind w:left="240" w:leftChars="109" w:firstLine="240" w:firstLineChars="1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投标产品属于医疗器械的，中华人民共和国境内制造商应按原国家食品药品监、督管理总局颁发的《医疗器械生产监督管理办法》，办理医疗器械生产许可证或者办理备案，供应商须提供医疗器械生产许可证复印件或备案凭证。</w:t>
      </w:r>
    </w:p>
    <w:p w14:paraId="1871A5D4">
      <w:pPr>
        <w:autoSpaceDE/>
        <w:autoSpaceDN/>
        <w:spacing w:line="360" w:lineRule="auto"/>
        <w:ind w:left="240" w:leftChars="109" w:firstLine="240" w:firstLineChars="1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投标产品及制造商应符合国家有关部门规定的相应技术、计量、节能、安全和环保法规及标准，如国家有关部门对投标产品或其制造商有强制性规定或要求的，投标产品或其制造商必须符合相应规定或要求，供应商须提供相关证明文件的复印件。</w:t>
      </w:r>
    </w:p>
    <w:p w14:paraId="48DC7E9A">
      <w:pPr>
        <w:keepNext w:val="0"/>
        <w:keepLines w:val="0"/>
        <w:pageBreakBefore w:val="0"/>
        <w:widowControl w:val="0"/>
        <w:kinsoku/>
        <w:wordWrap/>
        <w:overflowPunct/>
        <w:topLinePunct w:val="0"/>
        <w:autoSpaceDE w:val="0"/>
        <w:autoSpaceDN w:val="0"/>
        <w:bidi w:val="0"/>
        <w:adjustRightInd/>
        <w:snapToGrid/>
        <w:spacing w:before="0" w:beforeLines="50" w:line="360" w:lineRule="auto"/>
        <w:ind w:firstLine="241" w:firstLineChars="100"/>
        <w:contextualSpacing/>
        <w:textAlignment w:val="auto"/>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2.服务内容及要求/货物技术要求</w:t>
      </w:r>
    </w:p>
    <w:p w14:paraId="572970B0">
      <w:pPr>
        <w:widowControl/>
        <w:spacing w:line="360" w:lineRule="auto"/>
        <w:ind w:left="-1" w:firstLine="241" w:firstLineChars="100"/>
        <w:contextualSpacing/>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2.1 采购标的需满足的性能、材料、结构、外观、质量、安全、技术规格、物理特性等要求；</w:t>
      </w:r>
    </w:p>
    <w:p w14:paraId="7B3938BF">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auto"/>
        <w:rPr>
          <w:rFonts w:hint="eastAsia" w:ascii="宋体" w:hAnsi="宋体" w:eastAsia="宋体" w:cs="宋体"/>
          <w:b/>
          <w:bCs w:val="0"/>
          <w:sz w:val="24"/>
          <w:highlight w:val="none"/>
          <w:lang w:val="en-US" w:eastAsia="zh-CN"/>
        </w:rPr>
      </w:pPr>
    </w:p>
    <w:p w14:paraId="2E96568A">
      <w:pPr>
        <w:keepNext w:val="0"/>
        <w:keepLines w:val="0"/>
        <w:pageBreakBefore w:val="0"/>
        <w:widowControl/>
        <w:kinsoku/>
        <w:wordWrap/>
        <w:overflowPunct/>
        <w:topLinePunct w:val="0"/>
        <w:autoSpaceDE w:val="0"/>
        <w:autoSpaceDN w:val="0"/>
        <w:bidi w:val="0"/>
        <w:adjustRightInd w:val="0"/>
        <w:snapToGrid w:val="0"/>
        <w:spacing w:line="360" w:lineRule="auto"/>
        <w:ind w:left="0"/>
        <w:jc w:val="center"/>
        <w:textAlignment w:val="auto"/>
        <w:rPr>
          <w:rFonts w:hint="eastAsia" w:ascii="宋体" w:hAnsi="宋体" w:eastAsia="宋体" w:cs="宋体"/>
          <w:b/>
          <w:bCs w:val="0"/>
          <w:sz w:val="24"/>
          <w:highlight w:val="none"/>
          <w:lang w:eastAsia="zh-CN"/>
        </w:rPr>
      </w:pPr>
      <w:r>
        <w:rPr>
          <w:rFonts w:hint="eastAsia" w:ascii="宋体" w:hAnsi="宋体" w:eastAsia="宋体" w:cs="宋体"/>
          <w:b/>
          <w:bCs w:val="0"/>
          <w:sz w:val="24"/>
          <w:highlight w:val="none"/>
          <w:lang w:val="en-US" w:eastAsia="zh-CN"/>
        </w:rPr>
        <w:t>02包</w:t>
      </w:r>
      <w:r>
        <w:rPr>
          <w:rFonts w:hint="eastAsia" w:ascii="宋体" w:hAnsi="宋体" w:eastAsia="宋体" w:cs="宋体"/>
          <w:b/>
          <w:bCs w:val="0"/>
          <w:sz w:val="24"/>
          <w:highlight w:val="none"/>
          <w:lang w:eastAsia="zh-CN"/>
        </w:rPr>
        <w:t>：胰岛素泵</w:t>
      </w:r>
    </w:p>
    <w:p w14:paraId="14097ADE">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ascii="宋体" w:hAnsi="宋体" w:eastAsia="宋体" w:cs="新宋体"/>
          <w:kern w:val="0"/>
          <w:sz w:val="24"/>
          <w:szCs w:val="24"/>
          <w:highlight w:val="none"/>
        </w:rPr>
      </w:pPr>
      <w:r>
        <w:rPr>
          <w:rFonts w:hint="eastAsia" w:ascii="宋体" w:hAnsi="宋体" w:eastAsia="宋体" w:cs="新宋体"/>
          <w:kern w:val="0"/>
          <w:sz w:val="24"/>
          <w:szCs w:val="24"/>
          <w:highlight w:val="none"/>
          <w:lang w:eastAsia="zh-CN"/>
        </w:rPr>
        <w:t>（</w:t>
      </w:r>
      <w:r>
        <w:rPr>
          <w:rFonts w:hint="eastAsia" w:ascii="宋体" w:hAnsi="宋体" w:eastAsia="宋体" w:cs="新宋体"/>
          <w:kern w:val="0"/>
          <w:sz w:val="24"/>
          <w:szCs w:val="24"/>
          <w:highlight w:val="none"/>
          <w:lang w:val="en-US" w:eastAsia="zh-CN"/>
        </w:rPr>
        <w:t>一）</w:t>
      </w:r>
      <w:r>
        <w:rPr>
          <w:rFonts w:hint="eastAsia" w:ascii="宋体" w:hAnsi="宋体" w:eastAsia="宋体" w:cs="新宋体"/>
          <w:kern w:val="0"/>
          <w:sz w:val="24"/>
          <w:szCs w:val="24"/>
          <w:highlight w:val="none"/>
        </w:rPr>
        <w:t>主要用途：用于糖尿病患者持续皮下胰岛素输注治疗</w:t>
      </w:r>
    </w:p>
    <w:p w14:paraId="7608DE0B">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ascii="宋体" w:hAnsi="宋体" w:eastAsia="宋体" w:cs="新宋体"/>
          <w:kern w:val="0"/>
          <w:sz w:val="24"/>
          <w:szCs w:val="24"/>
          <w:highlight w:val="none"/>
        </w:rPr>
      </w:pPr>
      <w:r>
        <w:rPr>
          <w:rFonts w:hint="eastAsia" w:ascii="宋体" w:hAnsi="宋体" w:eastAsia="宋体" w:cs="新宋体"/>
          <w:kern w:val="0"/>
          <w:sz w:val="24"/>
          <w:szCs w:val="24"/>
          <w:highlight w:val="none"/>
          <w:lang w:eastAsia="zh-CN"/>
        </w:rPr>
        <w:t>（</w:t>
      </w:r>
      <w:r>
        <w:rPr>
          <w:rFonts w:hint="eastAsia" w:ascii="宋体" w:hAnsi="宋体" w:eastAsia="宋体" w:cs="新宋体"/>
          <w:kern w:val="0"/>
          <w:sz w:val="24"/>
          <w:szCs w:val="24"/>
          <w:highlight w:val="none"/>
          <w:lang w:val="en-US" w:eastAsia="zh-CN"/>
        </w:rPr>
        <w:t>二</w:t>
      </w:r>
      <w:r>
        <w:rPr>
          <w:rFonts w:hint="eastAsia" w:ascii="宋体" w:hAnsi="宋体" w:eastAsia="宋体" w:cs="新宋体"/>
          <w:kern w:val="0"/>
          <w:sz w:val="24"/>
          <w:szCs w:val="24"/>
          <w:highlight w:val="none"/>
          <w:lang w:eastAsia="zh-CN"/>
        </w:rPr>
        <w:t>）</w:t>
      </w:r>
      <w:r>
        <w:rPr>
          <w:rFonts w:hint="eastAsia" w:ascii="宋体" w:hAnsi="宋体" w:eastAsia="宋体" w:cs="新宋体"/>
          <w:kern w:val="0"/>
          <w:sz w:val="24"/>
          <w:szCs w:val="24"/>
          <w:highlight w:val="none"/>
        </w:rPr>
        <w:t>技术参数</w:t>
      </w:r>
    </w:p>
    <w:p w14:paraId="482370C0">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ascii="宋体" w:hAnsi="宋体" w:eastAsia="宋体" w:cs="宋体"/>
          <w:color w:val="FF0000"/>
          <w:kern w:val="0"/>
          <w:sz w:val="24"/>
          <w:szCs w:val="24"/>
          <w:highlight w:val="none"/>
        </w:rPr>
      </w:pPr>
      <w:r>
        <w:rPr>
          <w:rFonts w:hint="eastAsia" w:ascii="宋体" w:hAnsi="宋体" w:eastAsia="宋体" w:cs="新宋体"/>
          <w:kern w:val="0"/>
          <w:sz w:val="24"/>
          <w:szCs w:val="24"/>
          <w:highlight w:val="none"/>
        </w:rPr>
        <w:t>▲</w:t>
      </w:r>
      <w:r>
        <w:rPr>
          <w:rFonts w:hint="eastAsia" w:ascii="宋体" w:hAnsi="宋体" w:eastAsia="宋体" w:cs="新宋体"/>
          <w:color w:val="000000"/>
          <w:kern w:val="0"/>
          <w:sz w:val="24"/>
          <w:szCs w:val="24"/>
          <w:highlight w:val="none"/>
        </w:rPr>
        <w:t>1、储药器容量：</w:t>
      </w:r>
      <w:r>
        <w:rPr>
          <w:rFonts w:hint="eastAsia" w:ascii="宋体" w:hAnsi="宋体" w:eastAsia="宋体" w:cs="宋体"/>
          <w:color w:val="000000"/>
          <w:kern w:val="0"/>
          <w:sz w:val="24"/>
          <w:szCs w:val="24"/>
          <w:highlight w:val="none"/>
        </w:rPr>
        <w:t>≥3ML</w:t>
      </w:r>
    </w:p>
    <w:p w14:paraId="435C9E31">
      <w:pPr>
        <w:keepNext w:val="0"/>
        <w:keepLines w:val="0"/>
        <w:pageBreakBefore w:val="0"/>
        <w:tabs>
          <w:tab w:val="left" w:pos="2972"/>
        </w:tabs>
        <w:kinsoku/>
        <w:wordWrap/>
        <w:overflowPunct/>
        <w:topLinePunct w:val="0"/>
        <w:autoSpaceDE w:val="0"/>
        <w:autoSpaceDN w:val="0"/>
        <w:bidi w:val="0"/>
        <w:adjustRightInd/>
        <w:snapToGrid/>
        <w:spacing w:line="360" w:lineRule="auto"/>
        <w:ind w:left="0" w:firstLine="0" w:firstLineChars="0"/>
        <w:rPr>
          <w:rFonts w:ascii="宋体" w:hAnsi="宋体" w:eastAsia="宋体" w:cs="宋体"/>
          <w:sz w:val="24"/>
          <w:szCs w:val="24"/>
          <w:highlight w:val="none"/>
        </w:rPr>
      </w:pPr>
      <w:r>
        <w:rPr>
          <w:rFonts w:hint="eastAsia" w:ascii="宋体" w:hAnsi="宋体" w:eastAsia="宋体" w:cs="新宋体"/>
          <w:kern w:val="0"/>
          <w:sz w:val="24"/>
          <w:szCs w:val="24"/>
          <w:highlight w:val="none"/>
        </w:rPr>
        <w:t>2、基础率设置范围：0.025～35.0 U/h；基础率最小调节步长：≤0.025U/h。</w:t>
      </w:r>
    </w:p>
    <w:p w14:paraId="78F8CA58">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ascii="宋体" w:hAnsi="宋体" w:eastAsia="宋体" w:cs="宋体"/>
          <w:sz w:val="24"/>
          <w:szCs w:val="24"/>
          <w:highlight w:val="none"/>
        </w:rPr>
      </w:pPr>
      <w:r>
        <w:rPr>
          <w:rFonts w:hint="eastAsia" w:ascii="宋体" w:hAnsi="宋体" w:eastAsia="宋体" w:cs="新宋体"/>
          <w:kern w:val="0"/>
          <w:sz w:val="24"/>
          <w:szCs w:val="24"/>
          <w:highlight w:val="none"/>
        </w:rPr>
        <w:t>3、基础率时段：1段～48段可选。</w:t>
      </w:r>
    </w:p>
    <w:p w14:paraId="5CC3C6B1">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ascii="宋体" w:hAnsi="宋体" w:eastAsia="宋体" w:cs="宋体"/>
          <w:sz w:val="24"/>
          <w:szCs w:val="24"/>
          <w:highlight w:val="none"/>
        </w:rPr>
      </w:pPr>
      <w:r>
        <w:rPr>
          <w:rFonts w:hint="eastAsia" w:ascii="宋体" w:hAnsi="宋体" w:eastAsia="宋体" w:cs="新宋体"/>
          <w:kern w:val="0"/>
          <w:sz w:val="24"/>
          <w:szCs w:val="24"/>
          <w:highlight w:val="none"/>
        </w:rPr>
        <w:t>4、基础率模式：≥ 8 种模式。</w:t>
      </w:r>
    </w:p>
    <w:p w14:paraId="67D3AF51">
      <w:pPr>
        <w:keepNext w:val="0"/>
        <w:keepLines w:val="0"/>
        <w:pageBreakBefore w:val="0"/>
        <w:tabs>
          <w:tab w:val="left" w:pos="2972"/>
        </w:tabs>
        <w:kinsoku/>
        <w:wordWrap/>
        <w:overflowPunct/>
        <w:topLinePunct w:val="0"/>
        <w:autoSpaceDE w:val="0"/>
        <w:autoSpaceDN w:val="0"/>
        <w:bidi w:val="0"/>
        <w:adjustRightInd/>
        <w:snapToGrid/>
        <w:spacing w:line="360" w:lineRule="auto"/>
        <w:ind w:left="0" w:firstLine="0" w:firstLineChars="0"/>
        <w:rPr>
          <w:rFonts w:ascii="宋体" w:hAnsi="宋体" w:eastAsia="宋体" w:cs="宋体"/>
          <w:sz w:val="24"/>
          <w:szCs w:val="24"/>
          <w:highlight w:val="none"/>
        </w:rPr>
      </w:pPr>
      <w:r>
        <w:rPr>
          <w:rFonts w:hint="eastAsia" w:ascii="宋体" w:hAnsi="宋体" w:eastAsia="宋体" w:cs="新宋体"/>
          <w:kern w:val="0"/>
          <w:sz w:val="24"/>
          <w:szCs w:val="24"/>
          <w:highlight w:val="none"/>
        </w:rPr>
        <w:t>5、临时基础率类型：≥2 种 （输注率单位/小时和百分比 0%-200%）。</w:t>
      </w:r>
    </w:p>
    <w:p w14:paraId="6FDA4C52">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ascii="宋体" w:hAnsi="宋体" w:eastAsia="宋体" w:cs="新宋体"/>
          <w:sz w:val="24"/>
          <w:szCs w:val="24"/>
          <w:highlight w:val="none"/>
        </w:rPr>
      </w:pPr>
      <w:r>
        <w:rPr>
          <w:rFonts w:hint="eastAsia" w:ascii="宋体" w:hAnsi="宋体" w:eastAsia="宋体" w:cs="新宋体"/>
          <w:kern w:val="0"/>
          <w:sz w:val="24"/>
          <w:szCs w:val="24"/>
          <w:highlight w:val="none"/>
        </w:rPr>
        <w:t>6、临时基础率设定时间范围: 30min～24h；最小设置时长以15min为增量。</w:t>
      </w:r>
    </w:p>
    <w:p w14:paraId="68A7B70D">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ascii="宋体" w:hAnsi="宋体" w:eastAsia="宋体" w:cs="新宋体"/>
          <w:kern w:val="0"/>
          <w:sz w:val="24"/>
          <w:szCs w:val="24"/>
          <w:highlight w:val="none"/>
        </w:rPr>
      </w:pPr>
      <w:r>
        <w:rPr>
          <w:rFonts w:hint="eastAsia" w:ascii="宋体" w:hAnsi="宋体" w:eastAsia="宋体" w:cs="新宋体"/>
          <w:kern w:val="0"/>
          <w:sz w:val="24"/>
          <w:szCs w:val="24"/>
          <w:highlight w:val="none"/>
        </w:rPr>
        <w:t>7、临时基础率增量: 0.025U/h@基础率0.000～0.975U/h；0.05U/h@基础率1.00～9.95U/h；0.1U/小时@基础率10.0U/h～最大值。</w:t>
      </w:r>
    </w:p>
    <w:p w14:paraId="2E0773F4">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ascii="宋体" w:hAnsi="宋体" w:eastAsia="宋体" w:cs="新宋体"/>
          <w:sz w:val="24"/>
          <w:szCs w:val="24"/>
          <w:highlight w:val="none"/>
        </w:rPr>
      </w:pPr>
      <w:r>
        <w:rPr>
          <w:rFonts w:hint="eastAsia" w:ascii="宋体" w:hAnsi="宋体" w:eastAsia="宋体" w:cs="新宋体"/>
          <w:kern w:val="0"/>
          <w:sz w:val="24"/>
          <w:szCs w:val="24"/>
          <w:highlight w:val="none"/>
        </w:rPr>
        <w:t>8、大剂量范围: 0.025-</w:t>
      </w:r>
      <w:r>
        <w:rPr>
          <w:rFonts w:hint="eastAsia" w:ascii="宋体" w:hAnsi="宋体" w:eastAsia="宋体" w:cs="新宋体"/>
          <w:kern w:val="0"/>
          <w:sz w:val="24"/>
          <w:szCs w:val="24"/>
          <w:highlight w:val="none"/>
          <w:lang w:val="en-US" w:eastAsia="zh-CN"/>
        </w:rPr>
        <w:t>7</w:t>
      </w:r>
      <w:r>
        <w:rPr>
          <w:rFonts w:hint="eastAsia" w:ascii="宋体" w:hAnsi="宋体" w:eastAsia="宋体" w:cs="新宋体"/>
          <w:kern w:val="0"/>
          <w:sz w:val="24"/>
          <w:szCs w:val="24"/>
          <w:highlight w:val="none"/>
        </w:rPr>
        <w:t>5 U；大剂量增量设置最小单位为0.025U；</w:t>
      </w:r>
    </w:p>
    <w:p w14:paraId="6F2A64FC">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hint="default" w:ascii="宋体" w:hAnsi="宋体" w:eastAsia="宋体" w:cs="新宋体"/>
          <w:kern w:val="0"/>
          <w:sz w:val="24"/>
          <w:szCs w:val="24"/>
          <w:highlight w:val="none"/>
          <w:lang w:val="en-US" w:eastAsia="zh-CN"/>
        </w:rPr>
      </w:pPr>
      <w:r>
        <w:rPr>
          <w:rFonts w:hint="eastAsia" w:ascii="宋体" w:hAnsi="宋体" w:eastAsia="宋体" w:cs="新宋体"/>
          <w:kern w:val="0"/>
          <w:sz w:val="24"/>
          <w:szCs w:val="24"/>
          <w:highlight w:val="none"/>
        </w:rPr>
        <w:t>9、大剂量类型: ≥5 种</w:t>
      </w:r>
      <w:r>
        <w:rPr>
          <w:rFonts w:hint="eastAsia" w:ascii="宋体" w:hAnsi="宋体" w:eastAsia="宋体" w:cs="新宋体"/>
          <w:kern w:val="0"/>
          <w:sz w:val="24"/>
          <w:szCs w:val="24"/>
          <w:highlight w:val="none"/>
          <w:lang w:eastAsia="zh-CN"/>
        </w:rPr>
        <w:t>（</w:t>
      </w:r>
      <w:r>
        <w:rPr>
          <w:rFonts w:hint="eastAsia" w:ascii="宋体" w:hAnsi="宋体" w:eastAsia="宋体" w:cs="新宋体"/>
          <w:kern w:val="0"/>
          <w:sz w:val="24"/>
          <w:szCs w:val="24"/>
          <w:highlight w:val="none"/>
        </w:rPr>
        <w:t>常规大剂量、方波大剂量、双波大剂量</w:t>
      </w:r>
      <w:r>
        <w:rPr>
          <w:rFonts w:hint="eastAsia" w:ascii="宋体" w:hAnsi="宋体" w:eastAsia="宋体" w:cs="新宋体"/>
          <w:kern w:val="0"/>
          <w:sz w:val="24"/>
          <w:szCs w:val="24"/>
          <w:highlight w:val="none"/>
          <w:lang w:eastAsia="zh-CN"/>
        </w:rPr>
        <w:t>，</w:t>
      </w:r>
      <w:r>
        <w:rPr>
          <w:rFonts w:hint="eastAsia" w:ascii="宋体" w:hAnsi="宋体" w:eastAsia="宋体" w:cs="新宋体"/>
          <w:kern w:val="0"/>
          <w:sz w:val="24"/>
          <w:szCs w:val="24"/>
          <w:highlight w:val="none"/>
          <w:lang w:val="en-US" w:eastAsia="zh-CN"/>
        </w:rPr>
        <w:t>大剂量向导，声响大剂量等</w:t>
      </w:r>
      <w:r>
        <w:rPr>
          <w:rFonts w:hint="eastAsia" w:ascii="宋体" w:hAnsi="宋体" w:eastAsia="宋体" w:cs="新宋体"/>
          <w:kern w:val="0"/>
          <w:sz w:val="24"/>
          <w:szCs w:val="24"/>
          <w:highlight w:val="none"/>
          <w:lang w:eastAsia="zh-CN"/>
        </w:rPr>
        <w:t>）</w:t>
      </w:r>
      <w:r>
        <w:rPr>
          <w:rFonts w:hint="eastAsia" w:ascii="宋体" w:hAnsi="宋体" w:eastAsia="宋体" w:cs="新宋体"/>
          <w:kern w:val="0"/>
          <w:sz w:val="24"/>
          <w:szCs w:val="24"/>
          <w:highlight w:val="none"/>
          <w:lang w:val="en-US" w:eastAsia="zh-CN"/>
        </w:rPr>
        <w:t>。</w:t>
      </w:r>
    </w:p>
    <w:p w14:paraId="7AF6D1FA">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ascii="宋体" w:hAnsi="宋体" w:eastAsia="宋体" w:cs="新宋体"/>
          <w:kern w:val="0"/>
          <w:sz w:val="24"/>
          <w:szCs w:val="24"/>
          <w:highlight w:val="none"/>
        </w:rPr>
      </w:pPr>
      <w:r>
        <w:rPr>
          <w:rFonts w:hint="eastAsia" w:ascii="宋体" w:hAnsi="宋体" w:eastAsia="宋体" w:cs="新宋体"/>
          <w:kern w:val="0"/>
          <w:sz w:val="24"/>
          <w:szCs w:val="24"/>
          <w:highlight w:val="none"/>
        </w:rPr>
        <w:t>10、方波持续时间设置范围: 30min～8小时；以15min为增量</w:t>
      </w:r>
    </w:p>
    <w:p w14:paraId="1AF57C73">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ascii="宋体" w:hAnsi="宋体" w:eastAsia="宋体" w:cs="新宋体"/>
          <w:color w:val="000000"/>
          <w:kern w:val="0"/>
          <w:sz w:val="24"/>
          <w:szCs w:val="24"/>
          <w:highlight w:val="none"/>
        </w:rPr>
      </w:pPr>
      <w:r>
        <w:rPr>
          <w:rFonts w:hint="eastAsia" w:ascii="宋体" w:hAnsi="宋体" w:eastAsia="宋体" w:cs="新宋体"/>
          <w:kern w:val="0"/>
          <w:sz w:val="24"/>
          <w:szCs w:val="24"/>
          <w:highlight w:val="none"/>
        </w:rPr>
        <w:t xml:space="preserve">11、暂停胰岛素输注功能: </w:t>
      </w:r>
      <w:r>
        <w:rPr>
          <w:rFonts w:hint="eastAsia" w:ascii="宋体" w:hAnsi="宋体" w:eastAsia="宋体" w:cs="新宋体"/>
          <w:color w:val="000000"/>
          <w:kern w:val="0"/>
          <w:sz w:val="24"/>
          <w:szCs w:val="24"/>
          <w:highlight w:val="none"/>
        </w:rPr>
        <w:t>可单独暂停基础和大剂量输注</w:t>
      </w:r>
    </w:p>
    <w:p w14:paraId="2D01ED6C">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ascii="宋体" w:hAnsi="宋体" w:eastAsia="宋体" w:cs="新宋体"/>
          <w:color w:val="000000"/>
          <w:kern w:val="0"/>
          <w:sz w:val="24"/>
          <w:szCs w:val="24"/>
          <w:highlight w:val="none"/>
        </w:rPr>
      </w:pPr>
      <w:r>
        <w:rPr>
          <w:rFonts w:hint="eastAsia" w:ascii="宋体" w:hAnsi="宋体" w:eastAsia="宋体" w:cs="新宋体"/>
          <w:color w:val="000000"/>
          <w:kern w:val="0"/>
          <w:sz w:val="24"/>
          <w:szCs w:val="24"/>
          <w:highlight w:val="none"/>
        </w:rPr>
        <w:t>12、活性胰岛素时间设置： 2～8小时，以15min为增量</w:t>
      </w:r>
    </w:p>
    <w:p w14:paraId="3217E0DB">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ascii="宋体" w:hAnsi="宋体" w:eastAsia="宋体" w:cs="新宋体"/>
          <w:kern w:val="0"/>
          <w:sz w:val="24"/>
          <w:szCs w:val="24"/>
          <w:highlight w:val="none"/>
        </w:rPr>
      </w:pPr>
      <w:r>
        <w:rPr>
          <w:rFonts w:hint="eastAsia" w:ascii="宋体" w:hAnsi="宋体" w:eastAsia="宋体" w:cs="新宋体"/>
          <w:kern w:val="0"/>
          <w:sz w:val="24"/>
          <w:szCs w:val="24"/>
          <w:highlight w:val="none"/>
        </w:rPr>
        <w:t>13、碳水化合物系数分段设置: ≥8种。</w:t>
      </w:r>
    </w:p>
    <w:p w14:paraId="6CC1CF2B">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ascii="宋体" w:hAnsi="宋体" w:eastAsia="宋体" w:cs="新宋体"/>
          <w:kern w:val="0"/>
          <w:sz w:val="24"/>
          <w:szCs w:val="24"/>
          <w:highlight w:val="none"/>
        </w:rPr>
      </w:pPr>
      <w:r>
        <w:rPr>
          <w:rFonts w:hint="eastAsia" w:ascii="宋体" w:hAnsi="宋体" w:eastAsia="宋体" w:cs="新宋体"/>
          <w:kern w:val="0"/>
          <w:sz w:val="24"/>
          <w:szCs w:val="24"/>
          <w:highlight w:val="none"/>
        </w:rPr>
        <w:t>14、可回顾≥30天历史记录</w:t>
      </w:r>
      <w:r>
        <w:rPr>
          <w:rFonts w:hint="eastAsia" w:ascii="宋体" w:hAnsi="宋体" w:eastAsia="宋体" w:cs="新宋体"/>
          <w:kern w:val="0"/>
          <w:sz w:val="24"/>
          <w:szCs w:val="24"/>
          <w:highlight w:val="none"/>
          <w:lang w:eastAsia="zh-CN"/>
        </w:rPr>
        <w:t>，</w:t>
      </w:r>
      <w:r>
        <w:rPr>
          <w:rFonts w:hint="eastAsia" w:ascii="宋体" w:hAnsi="宋体" w:eastAsia="宋体" w:cs="新宋体"/>
          <w:kern w:val="0"/>
          <w:sz w:val="24"/>
          <w:szCs w:val="24"/>
          <w:highlight w:val="none"/>
        </w:rPr>
        <w:t>具备历史记录统计功能，可统计每日胰岛素总量、基础率与基础率百分比、大剂量与大剂量百分比、每日碳水化合物的量</w:t>
      </w:r>
    </w:p>
    <w:p w14:paraId="7F9573EA">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hint="default" w:ascii="宋体" w:hAnsi="宋体" w:eastAsia="宋体" w:cs="新宋体"/>
          <w:kern w:val="0"/>
          <w:sz w:val="24"/>
          <w:szCs w:val="24"/>
          <w:highlight w:val="none"/>
          <w:lang w:val="en-US" w:eastAsia="zh-CN"/>
        </w:rPr>
      </w:pPr>
      <w:r>
        <w:rPr>
          <w:rFonts w:hint="eastAsia" w:ascii="宋体" w:hAnsi="宋体" w:eastAsia="宋体" w:cs="新宋体"/>
          <w:kern w:val="0"/>
          <w:sz w:val="24"/>
          <w:szCs w:val="24"/>
          <w:highlight w:val="none"/>
        </w:rPr>
        <w:t>15、</w:t>
      </w:r>
      <w:bookmarkStart w:id="11" w:name="_Hlk204332361"/>
      <w:r>
        <w:rPr>
          <w:rFonts w:hint="eastAsia" w:ascii="宋体" w:hAnsi="宋体" w:eastAsia="宋体" w:cs="新宋体"/>
          <w:kern w:val="0"/>
          <w:sz w:val="24"/>
          <w:szCs w:val="24"/>
          <w:highlight w:val="none"/>
          <w:lang w:val="en-US" w:eastAsia="zh-CN"/>
        </w:rPr>
        <w:t>防水等级：主机及配套设备防水级别≥≥IPX8。</w:t>
      </w:r>
    </w:p>
    <w:bookmarkEnd w:id="11"/>
    <w:p w14:paraId="66D9D70C">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hint="eastAsia" w:ascii="宋体" w:hAnsi="宋体" w:eastAsia="宋体" w:cs="新宋体"/>
          <w:color w:val="000000"/>
          <w:kern w:val="0"/>
          <w:sz w:val="24"/>
          <w:szCs w:val="24"/>
          <w:highlight w:val="none"/>
          <w:lang w:eastAsia="zh-CN"/>
        </w:rPr>
      </w:pPr>
      <w:r>
        <w:rPr>
          <w:rFonts w:hint="eastAsia" w:ascii="宋体" w:hAnsi="宋体" w:eastAsia="宋体" w:cs="新宋体"/>
          <w:color w:val="000000"/>
          <w:kern w:val="0"/>
          <w:sz w:val="24"/>
          <w:szCs w:val="24"/>
          <w:highlight w:val="none"/>
        </w:rPr>
        <w:t>16、设备控制芯片：≥4个</w:t>
      </w:r>
      <w:r>
        <w:rPr>
          <w:rFonts w:hint="eastAsia" w:ascii="宋体" w:hAnsi="宋体" w:eastAsia="宋体" w:cs="新宋体"/>
          <w:color w:val="000000"/>
          <w:kern w:val="0"/>
          <w:sz w:val="24"/>
          <w:szCs w:val="24"/>
          <w:highlight w:val="none"/>
          <w:lang w:eastAsia="zh-CN"/>
        </w:rPr>
        <w:t>。</w:t>
      </w:r>
    </w:p>
    <w:p w14:paraId="0AD080BF">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hint="eastAsia" w:ascii="宋体" w:hAnsi="宋体" w:eastAsia="宋体" w:cs="新宋体"/>
          <w:color w:val="000000"/>
          <w:kern w:val="0"/>
          <w:sz w:val="24"/>
          <w:szCs w:val="24"/>
          <w:highlight w:val="none"/>
          <w:lang w:eastAsia="zh-CN"/>
        </w:rPr>
      </w:pPr>
      <w:r>
        <w:rPr>
          <w:rFonts w:hint="eastAsia" w:ascii="宋体" w:hAnsi="宋体" w:eastAsia="宋体" w:cs="新宋体"/>
          <w:color w:val="000000"/>
          <w:kern w:val="0"/>
          <w:sz w:val="24"/>
          <w:szCs w:val="24"/>
          <w:highlight w:val="none"/>
        </w:rPr>
        <w:t>▲17</w:t>
      </w:r>
      <w:r>
        <w:rPr>
          <w:rFonts w:hint="eastAsia" w:ascii="宋体" w:hAnsi="宋体" w:eastAsia="宋体" w:cs="新宋体"/>
          <w:color w:val="000000"/>
          <w:kern w:val="0"/>
          <w:sz w:val="24"/>
          <w:szCs w:val="24"/>
          <w:highlight w:val="none"/>
          <w:lang w:eastAsia="zh-CN"/>
        </w:rPr>
        <w:t>、</w:t>
      </w:r>
      <w:r>
        <w:rPr>
          <w:rFonts w:hint="eastAsia" w:ascii="宋体" w:hAnsi="宋体" w:eastAsia="宋体" w:cs="新宋体"/>
          <w:color w:val="000000"/>
          <w:kern w:val="0"/>
          <w:sz w:val="24"/>
          <w:szCs w:val="24"/>
          <w:highlight w:val="none"/>
          <w:lang w:val="en-US" w:eastAsia="zh-CN"/>
        </w:rPr>
        <w:t>马达：一体原装马达组</w:t>
      </w:r>
    </w:p>
    <w:p w14:paraId="4E5AC539">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ascii="宋体" w:hAnsi="宋体" w:eastAsia="宋体" w:cs="新宋体"/>
          <w:color w:val="000000"/>
          <w:kern w:val="0"/>
          <w:sz w:val="24"/>
          <w:szCs w:val="24"/>
          <w:highlight w:val="none"/>
        </w:rPr>
      </w:pPr>
      <w:r>
        <w:rPr>
          <w:rFonts w:hint="eastAsia" w:ascii="宋体" w:hAnsi="宋体" w:eastAsia="宋体" w:cs="新宋体"/>
          <w:color w:val="000000"/>
          <w:kern w:val="0"/>
          <w:sz w:val="24"/>
          <w:szCs w:val="24"/>
          <w:highlight w:val="none"/>
        </w:rPr>
        <w:t>18、报警方式：声、光和震动，可提示报警信息。</w:t>
      </w:r>
    </w:p>
    <w:p w14:paraId="204A2D13">
      <w:pPr>
        <w:keepNext w:val="0"/>
        <w:keepLines w:val="0"/>
        <w:pageBreakBefore w:val="0"/>
        <w:widowControl/>
        <w:kinsoku/>
        <w:wordWrap/>
        <w:overflowPunct/>
        <w:topLinePunct w:val="0"/>
        <w:autoSpaceDE w:val="0"/>
        <w:autoSpaceDN w:val="0"/>
        <w:bidi w:val="0"/>
        <w:adjustRightInd/>
        <w:snapToGrid/>
        <w:spacing w:line="360" w:lineRule="auto"/>
        <w:ind w:left="0" w:firstLine="0" w:firstLineChars="0"/>
        <w:jc w:val="left"/>
        <w:textAlignment w:val="center"/>
        <w:rPr>
          <w:rFonts w:hint="eastAsia" w:ascii="新宋体" w:hAnsi="新宋体" w:eastAsia="新宋体" w:cs="新宋体"/>
          <w:color w:val="000000"/>
          <w:kern w:val="0"/>
          <w:sz w:val="24"/>
          <w:szCs w:val="24"/>
          <w:highlight w:val="none"/>
          <w:lang w:val="en-US" w:eastAsia="zh-CN"/>
        </w:rPr>
      </w:pPr>
      <w:r>
        <w:rPr>
          <w:rFonts w:hint="eastAsia" w:ascii="宋体" w:hAnsi="宋体" w:eastAsia="宋体" w:cs="新宋体"/>
          <w:color w:val="000000"/>
          <w:kern w:val="0"/>
          <w:sz w:val="24"/>
          <w:szCs w:val="24"/>
          <w:highlight w:val="none"/>
        </w:rPr>
        <w:t>▲19、</w:t>
      </w:r>
      <w:r>
        <w:rPr>
          <w:rFonts w:hint="eastAsia" w:ascii="新宋体" w:hAnsi="新宋体" w:eastAsia="新宋体" w:cs="新宋体"/>
          <w:color w:val="000000"/>
          <w:kern w:val="0"/>
          <w:sz w:val="24"/>
          <w:szCs w:val="24"/>
          <w:highlight w:val="none"/>
        </w:rPr>
        <w:t>电池：AAA（1.5V）锂电池，碱性电池/可反复充电镍氢电池均可选择</w:t>
      </w:r>
    </w:p>
    <w:p w14:paraId="4C3CBDC7">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hint="eastAsia" w:ascii="新宋体" w:hAnsi="新宋体" w:eastAsia="新宋体" w:cs="新宋体"/>
          <w:color w:val="000000"/>
          <w:kern w:val="0"/>
          <w:sz w:val="24"/>
          <w:szCs w:val="24"/>
          <w:highlight w:val="none"/>
        </w:rPr>
      </w:pPr>
      <w:r>
        <w:rPr>
          <w:rFonts w:hint="eastAsia" w:ascii="新宋体" w:hAnsi="新宋体" w:eastAsia="新宋体" w:cs="新宋体"/>
          <w:color w:val="000000"/>
          <w:kern w:val="0"/>
          <w:sz w:val="24"/>
          <w:szCs w:val="24"/>
          <w:highlight w:val="none"/>
        </w:rPr>
        <w:t>20、大剂量输注速率：1.5U/min和15U/min</w:t>
      </w:r>
    </w:p>
    <w:p w14:paraId="5782848A">
      <w:pPr>
        <w:keepNext w:val="0"/>
        <w:keepLines w:val="0"/>
        <w:pageBreakBefore w:val="0"/>
        <w:widowControl/>
        <w:numPr>
          <w:ilvl w:val="0"/>
          <w:numId w:val="1"/>
        </w:numPr>
        <w:kinsoku/>
        <w:wordWrap/>
        <w:overflowPunct/>
        <w:topLinePunct w:val="0"/>
        <w:autoSpaceDE w:val="0"/>
        <w:autoSpaceDN w:val="0"/>
        <w:bidi w:val="0"/>
        <w:adjustRightInd/>
        <w:snapToGrid/>
        <w:spacing w:line="360" w:lineRule="auto"/>
        <w:ind w:left="0" w:firstLine="0" w:firstLineChars="0"/>
        <w:jc w:val="left"/>
        <w:textAlignment w:val="center"/>
        <w:rPr>
          <w:rFonts w:hint="eastAsia" w:ascii="新宋体" w:hAnsi="新宋体" w:eastAsia="新宋体" w:cs="新宋体"/>
          <w:color w:val="000000"/>
          <w:kern w:val="0"/>
          <w:sz w:val="24"/>
          <w:szCs w:val="24"/>
          <w:highlight w:val="none"/>
        </w:rPr>
      </w:pPr>
      <w:r>
        <w:rPr>
          <w:rFonts w:hint="eastAsia" w:ascii="新宋体" w:hAnsi="新宋体" w:eastAsia="新宋体" w:cs="新宋体"/>
          <w:color w:val="000000"/>
          <w:kern w:val="0"/>
          <w:sz w:val="24"/>
          <w:szCs w:val="24"/>
          <w:highlight w:val="none"/>
        </w:rPr>
        <w:t>设备应</w:t>
      </w:r>
      <w:r>
        <w:rPr>
          <w:rFonts w:hint="eastAsia" w:ascii="新宋体" w:hAnsi="新宋体" w:eastAsia="新宋体" w:cs="新宋体"/>
          <w:color w:val="000000"/>
          <w:kern w:val="0"/>
          <w:sz w:val="24"/>
          <w:szCs w:val="24"/>
          <w:highlight w:val="none"/>
          <w:lang w:val="en-US" w:eastAsia="zh-CN"/>
        </w:rPr>
        <w:t>具备</w:t>
      </w:r>
      <w:r>
        <w:rPr>
          <w:rFonts w:hint="eastAsia" w:ascii="新宋体" w:hAnsi="新宋体" w:eastAsia="新宋体" w:cs="新宋体"/>
          <w:color w:val="000000"/>
          <w:kern w:val="0"/>
          <w:sz w:val="24"/>
          <w:szCs w:val="24"/>
          <w:highlight w:val="none"/>
        </w:rPr>
        <w:t>开放数据接口，并配合医院相关信息系统对接</w:t>
      </w:r>
    </w:p>
    <w:p w14:paraId="18F4EF49">
      <w:pPr>
        <w:keepNext w:val="0"/>
        <w:keepLines w:val="0"/>
        <w:pageBreakBefore w:val="0"/>
        <w:widowControl/>
        <w:numPr>
          <w:ilvl w:val="0"/>
          <w:numId w:val="0"/>
        </w:numPr>
        <w:kinsoku/>
        <w:wordWrap/>
        <w:overflowPunct/>
        <w:topLinePunct w:val="0"/>
        <w:autoSpaceDE w:val="0"/>
        <w:autoSpaceDN w:val="0"/>
        <w:bidi w:val="0"/>
        <w:adjustRightInd/>
        <w:snapToGrid/>
        <w:spacing w:line="360" w:lineRule="auto"/>
        <w:ind w:left="0" w:firstLine="0" w:firstLineChars="0"/>
        <w:jc w:val="left"/>
        <w:textAlignment w:val="center"/>
        <w:rPr>
          <w:rFonts w:hint="default" w:ascii="新宋体" w:hAnsi="新宋体" w:eastAsia="新宋体" w:cs="新宋体"/>
          <w:color w:val="000000"/>
          <w:kern w:val="0"/>
          <w:sz w:val="24"/>
          <w:szCs w:val="24"/>
          <w:highlight w:val="none"/>
          <w:lang w:val="en-US" w:eastAsia="zh-CN"/>
        </w:rPr>
      </w:pPr>
      <w:r>
        <w:rPr>
          <w:rFonts w:hint="eastAsia" w:ascii="新宋体" w:hAnsi="新宋体" w:eastAsia="新宋体" w:cs="新宋体"/>
          <w:color w:val="000000"/>
          <w:kern w:val="0"/>
          <w:sz w:val="24"/>
          <w:szCs w:val="24"/>
          <w:highlight w:val="none"/>
          <w:lang w:val="en-US" w:eastAsia="zh-CN"/>
        </w:rPr>
        <w:t>（三）配置清单</w:t>
      </w:r>
    </w:p>
    <w:p w14:paraId="67682FDC">
      <w:pPr>
        <w:spacing w:line="360" w:lineRule="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1</w:t>
      </w:r>
      <w:r>
        <w:rPr>
          <w:rFonts w:hint="eastAsia" w:ascii="新宋体" w:hAnsi="新宋体" w:eastAsia="新宋体" w:cs="新宋体"/>
          <w:color w:val="auto"/>
          <w:kern w:val="0"/>
          <w:sz w:val="24"/>
          <w:szCs w:val="24"/>
          <w:highlight w:val="none"/>
          <w:lang w:eastAsia="zh-CN"/>
        </w:rPr>
        <w:t>、</w:t>
      </w:r>
      <w:r>
        <w:rPr>
          <w:rFonts w:hint="eastAsia" w:ascii="新宋体" w:hAnsi="新宋体" w:eastAsia="新宋体" w:cs="新宋体"/>
          <w:color w:val="auto"/>
          <w:kern w:val="0"/>
          <w:sz w:val="24"/>
          <w:szCs w:val="24"/>
          <w:highlight w:val="none"/>
        </w:rPr>
        <w:t>胰岛素泵主机</w:t>
      </w:r>
      <w:r>
        <w:rPr>
          <w:rFonts w:hint="eastAsia" w:ascii="新宋体" w:hAnsi="新宋体" w:eastAsia="新宋体" w:cs="新宋体"/>
          <w:color w:val="auto"/>
          <w:kern w:val="0"/>
          <w:sz w:val="24"/>
          <w:szCs w:val="24"/>
          <w:highlight w:val="none"/>
        </w:rPr>
        <w:tab/>
      </w:r>
      <w:r>
        <w:rPr>
          <w:rFonts w:hint="eastAsia" w:ascii="新宋体" w:hAnsi="新宋体" w:eastAsia="新宋体" w:cs="新宋体"/>
          <w:color w:val="auto"/>
          <w:kern w:val="0"/>
          <w:sz w:val="24"/>
          <w:szCs w:val="24"/>
          <w:highlight w:val="none"/>
        </w:rPr>
        <w:t>1台</w:t>
      </w:r>
      <w:r>
        <w:rPr>
          <w:rFonts w:hint="eastAsia" w:ascii="新宋体" w:hAnsi="新宋体" w:eastAsia="新宋体" w:cs="新宋体"/>
          <w:color w:val="auto"/>
          <w:kern w:val="0"/>
          <w:sz w:val="24"/>
          <w:szCs w:val="24"/>
          <w:highlight w:val="none"/>
        </w:rPr>
        <w:tab/>
      </w:r>
    </w:p>
    <w:p w14:paraId="757D2031">
      <w:pPr>
        <w:spacing w:line="360" w:lineRule="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2</w:t>
      </w:r>
      <w:r>
        <w:rPr>
          <w:rFonts w:hint="eastAsia" w:ascii="新宋体" w:hAnsi="新宋体" w:eastAsia="新宋体" w:cs="新宋体"/>
          <w:color w:val="auto"/>
          <w:kern w:val="0"/>
          <w:sz w:val="24"/>
          <w:szCs w:val="24"/>
          <w:highlight w:val="none"/>
          <w:lang w:eastAsia="zh-CN"/>
        </w:rPr>
        <w:t>、</w:t>
      </w:r>
      <w:r>
        <w:rPr>
          <w:rFonts w:hint="eastAsia" w:ascii="新宋体" w:hAnsi="新宋体" w:eastAsia="新宋体" w:cs="新宋体"/>
          <w:color w:val="auto"/>
          <w:kern w:val="0"/>
          <w:sz w:val="24"/>
          <w:szCs w:val="24"/>
          <w:highlight w:val="none"/>
        </w:rPr>
        <w:t>腰带夹子</w:t>
      </w:r>
      <w:r>
        <w:rPr>
          <w:rFonts w:hint="eastAsia" w:ascii="新宋体" w:hAnsi="新宋体" w:eastAsia="新宋体" w:cs="新宋体"/>
          <w:color w:val="auto"/>
          <w:kern w:val="0"/>
          <w:sz w:val="24"/>
          <w:szCs w:val="24"/>
          <w:highlight w:val="none"/>
        </w:rPr>
        <w:tab/>
      </w:r>
      <w:r>
        <w:rPr>
          <w:rFonts w:hint="eastAsia" w:ascii="新宋体" w:hAnsi="新宋体" w:eastAsia="新宋体" w:cs="新宋体"/>
          <w:color w:val="auto"/>
          <w:kern w:val="0"/>
          <w:sz w:val="24"/>
          <w:szCs w:val="24"/>
          <w:highlight w:val="none"/>
          <w:lang w:val="en-US" w:eastAsia="zh-CN"/>
        </w:rPr>
        <w:t xml:space="preserve">      1</w:t>
      </w:r>
      <w:r>
        <w:rPr>
          <w:rFonts w:hint="eastAsia" w:ascii="新宋体" w:hAnsi="新宋体" w:eastAsia="新宋体" w:cs="新宋体"/>
          <w:color w:val="auto"/>
          <w:kern w:val="0"/>
          <w:sz w:val="24"/>
          <w:szCs w:val="24"/>
          <w:highlight w:val="none"/>
        </w:rPr>
        <w:t>个</w:t>
      </w:r>
      <w:r>
        <w:rPr>
          <w:rFonts w:hint="eastAsia" w:ascii="新宋体" w:hAnsi="新宋体" w:eastAsia="新宋体" w:cs="新宋体"/>
          <w:color w:val="auto"/>
          <w:kern w:val="0"/>
          <w:sz w:val="24"/>
          <w:szCs w:val="24"/>
          <w:highlight w:val="none"/>
        </w:rPr>
        <w:tab/>
      </w:r>
      <w:r>
        <w:rPr>
          <w:rFonts w:hint="eastAsia" w:ascii="新宋体" w:hAnsi="新宋体" w:eastAsia="新宋体" w:cs="新宋体"/>
          <w:color w:val="auto"/>
          <w:kern w:val="0"/>
          <w:sz w:val="24"/>
          <w:szCs w:val="24"/>
          <w:highlight w:val="none"/>
        </w:rPr>
        <w:t>用于患者佩戴</w:t>
      </w:r>
    </w:p>
    <w:p w14:paraId="351CC9DA">
      <w:pPr>
        <w:spacing w:line="360" w:lineRule="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4</w:t>
      </w:r>
      <w:r>
        <w:rPr>
          <w:rFonts w:hint="eastAsia" w:ascii="新宋体" w:hAnsi="新宋体" w:eastAsia="新宋体" w:cs="新宋体"/>
          <w:color w:val="auto"/>
          <w:kern w:val="0"/>
          <w:sz w:val="24"/>
          <w:szCs w:val="24"/>
          <w:highlight w:val="none"/>
          <w:lang w:eastAsia="zh-CN"/>
        </w:rPr>
        <w:t>、</w:t>
      </w:r>
      <w:r>
        <w:rPr>
          <w:rFonts w:hint="eastAsia" w:ascii="新宋体" w:hAnsi="新宋体" w:eastAsia="新宋体" w:cs="新宋体"/>
          <w:color w:val="auto"/>
          <w:kern w:val="0"/>
          <w:sz w:val="24"/>
          <w:szCs w:val="24"/>
          <w:highlight w:val="none"/>
        </w:rPr>
        <w:t>硅胶保护套</w:t>
      </w:r>
      <w:r>
        <w:rPr>
          <w:rFonts w:hint="eastAsia" w:ascii="新宋体" w:hAnsi="新宋体" w:eastAsia="新宋体" w:cs="新宋体"/>
          <w:color w:val="auto"/>
          <w:kern w:val="0"/>
          <w:sz w:val="24"/>
          <w:szCs w:val="24"/>
          <w:highlight w:val="none"/>
        </w:rPr>
        <w:tab/>
      </w:r>
      <w:r>
        <w:rPr>
          <w:rFonts w:hint="eastAsia" w:ascii="新宋体" w:hAnsi="新宋体" w:eastAsia="新宋体" w:cs="新宋体"/>
          <w:color w:val="auto"/>
          <w:kern w:val="0"/>
          <w:sz w:val="24"/>
          <w:szCs w:val="24"/>
          <w:highlight w:val="none"/>
        </w:rPr>
        <w:t>1个</w:t>
      </w:r>
      <w:r>
        <w:rPr>
          <w:rFonts w:hint="eastAsia" w:ascii="新宋体" w:hAnsi="新宋体" w:eastAsia="新宋体" w:cs="新宋体"/>
          <w:color w:val="auto"/>
          <w:kern w:val="0"/>
          <w:sz w:val="24"/>
          <w:szCs w:val="24"/>
          <w:highlight w:val="none"/>
        </w:rPr>
        <w:tab/>
      </w:r>
      <w:r>
        <w:rPr>
          <w:rFonts w:hint="eastAsia" w:ascii="新宋体" w:hAnsi="新宋体" w:eastAsia="新宋体" w:cs="新宋体"/>
          <w:color w:val="auto"/>
          <w:kern w:val="0"/>
          <w:sz w:val="24"/>
          <w:szCs w:val="24"/>
          <w:highlight w:val="none"/>
        </w:rPr>
        <w:t>主机保护</w:t>
      </w:r>
    </w:p>
    <w:p w14:paraId="1301C00D">
      <w:pPr>
        <w:spacing w:line="360" w:lineRule="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5</w:t>
      </w:r>
      <w:r>
        <w:rPr>
          <w:rFonts w:hint="eastAsia" w:ascii="新宋体" w:hAnsi="新宋体" w:eastAsia="新宋体" w:cs="新宋体"/>
          <w:color w:val="auto"/>
          <w:kern w:val="0"/>
          <w:sz w:val="24"/>
          <w:szCs w:val="24"/>
          <w:highlight w:val="none"/>
          <w:lang w:eastAsia="zh-CN"/>
        </w:rPr>
        <w:t>、</w:t>
      </w:r>
      <w:r>
        <w:rPr>
          <w:rFonts w:hint="eastAsia" w:ascii="新宋体" w:hAnsi="新宋体" w:eastAsia="新宋体" w:cs="新宋体"/>
          <w:color w:val="auto"/>
          <w:kern w:val="0"/>
          <w:sz w:val="24"/>
          <w:szCs w:val="24"/>
          <w:highlight w:val="none"/>
        </w:rPr>
        <w:t>活动保护帽</w:t>
      </w:r>
      <w:r>
        <w:rPr>
          <w:rFonts w:hint="eastAsia" w:ascii="新宋体" w:hAnsi="新宋体" w:eastAsia="新宋体" w:cs="新宋体"/>
          <w:color w:val="auto"/>
          <w:kern w:val="0"/>
          <w:sz w:val="24"/>
          <w:szCs w:val="24"/>
          <w:highlight w:val="none"/>
        </w:rPr>
        <w:tab/>
      </w:r>
      <w:r>
        <w:rPr>
          <w:rFonts w:hint="eastAsia" w:ascii="新宋体" w:hAnsi="新宋体" w:eastAsia="新宋体" w:cs="新宋体"/>
          <w:color w:val="auto"/>
          <w:kern w:val="0"/>
          <w:sz w:val="24"/>
          <w:szCs w:val="24"/>
          <w:highlight w:val="none"/>
        </w:rPr>
        <w:t>1个</w:t>
      </w:r>
      <w:r>
        <w:rPr>
          <w:rFonts w:hint="eastAsia" w:ascii="新宋体" w:hAnsi="新宋体" w:eastAsia="新宋体" w:cs="新宋体"/>
          <w:color w:val="auto"/>
          <w:kern w:val="0"/>
          <w:sz w:val="24"/>
          <w:szCs w:val="24"/>
          <w:highlight w:val="none"/>
        </w:rPr>
        <w:tab/>
      </w:r>
      <w:r>
        <w:rPr>
          <w:rFonts w:hint="eastAsia" w:ascii="新宋体" w:hAnsi="新宋体" w:eastAsia="新宋体" w:cs="新宋体"/>
          <w:color w:val="auto"/>
          <w:kern w:val="0"/>
          <w:sz w:val="24"/>
          <w:szCs w:val="24"/>
          <w:highlight w:val="none"/>
        </w:rPr>
        <w:t>输注接口保护</w:t>
      </w:r>
    </w:p>
    <w:p w14:paraId="6BC2F481">
      <w:pPr>
        <w:spacing w:line="360" w:lineRule="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6</w:t>
      </w:r>
      <w:r>
        <w:rPr>
          <w:rFonts w:hint="eastAsia" w:ascii="新宋体" w:hAnsi="新宋体" w:eastAsia="新宋体" w:cs="新宋体"/>
          <w:color w:val="auto"/>
          <w:kern w:val="0"/>
          <w:sz w:val="24"/>
          <w:szCs w:val="24"/>
          <w:highlight w:val="none"/>
          <w:lang w:eastAsia="zh-CN"/>
        </w:rPr>
        <w:t>、</w:t>
      </w:r>
      <w:r>
        <w:rPr>
          <w:rFonts w:hint="eastAsia" w:ascii="新宋体" w:hAnsi="新宋体" w:eastAsia="新宋体" w:cs="新宋体"/>
          <w:color w:val="auto"/>
          <w:kern w:val="0"/>
          <w:sz w:val="24"/>
          <w:szCs w:val="24"/>
          <w:highlight w:val="none"/>
        </w:rPr>
        <w:t>管夹</w:t>
      </w:r>
      <w:r>
        <w:rPr>
          <w:rFonts w:hint="eastAsia" w:ascii="新宋体" w:hAnsi="新宋体" w:eastAsia="新宋体" w:cs="新宋体"/>
          <w:color w:val="auto"/>
          <w:kern w:val="0"/>
          <w:sz w:val="24"/>
          <w:szCs w:val="24"/>
          <w:highlight w:val="none"/>
        </w:rPr>
        <w:tab/>
      </w:r>
      <w:r>
        <w:rPr>
          <w:rFonts w:hint="eastAsia" w:ascii="新宋体" w:hAnsi="新宋体" w:eastAsia="新宋体" w:cs="新宋体"/>
          <w:color w:val="auto"/>
          <w:kern w:val="0"/>
          <w:sz w:val="24"/>
          <w:szCs w:val="24"/>
          <w:highlight w:val="none"/>
          <w:lang w:val="en-US" w:eastAsia="zh-CN"/>
        </w:rPr>
        <w:t xml:space="preserve">      </w:t>
      </w:r>
      <w:r>
        <w:rPr>
          <w:rFonts w:hint="eastAsia" w:ascii="新宋体" w:hAnsi="新宋体" w:eastAsia="新宋体" w:cs="新宋体"/>
          <w:color w:val="auto"/>
          <w:kern w:val="0"/>
          <w:sz w:val="24"/>
          <w:szCs w:val="24"/>
          <w:highlight w:val="none"/>
        </w:rPr>
        <w:t>1个</w:t>
      </w:r>
      <w:r>
        <w:rPr>
          <w:rFonts w:hint="eastAsia" w:ascii="新宋体" w:hAnsi="新宋体" w:eastAsia="新宋体" w:cs="新宋体"/>
          <w:color w:val="auto"/>
          <w:kern w:val="0"/>
          <w:sz w:val="24"/>
          <w:szCs w:val="24"/>
          <w:highlight w:val="none"/>
        </w:rPr>
        <w:tab/>
      </w:r>
      <w:r>
        <w:rPr>
          <w:rFonts w:hint="eastAsia" w:ascii="新宋体" w:hAnsi="新宋体" w:eastAsia="新宋体" w:cs="新宋体"/>
          <w:color w:val="auto"/>
          <w:kern w:val="0"/>
          <w:sz w:val="24"/>
          <w:szCs w:val="24"/>
          <w:highlight w:val="none"/>
        </w:rPr>
        <w:t>输注管路固定</w:t>
      </w:r>
    </w:p>
    <w:p w14:paraId="00293F5E">
      <w:pPr>
        <w:spacing w:line="360" w:lineRule="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7</w:t>
      </w:r>
      <w:r>
        <w:rPr>
          <w:rFonts w:hint="eastAsia" w:ascii="新宋体" w:hAnsi="新宋体" w:eastAsia="新宋体" w:cs="新宋体"/>
          <w:color w:val="auto"/>
          <w:kern w:val="0"/>
          <w:sz w:val="24"/>
          <w:szCs w:val="24"/>
          <w:highlight w:val="none"/>
          <w:lang w:eastAsia="zh-CN"/>
        </w:rPr>
        <w:t>、</w:t>
      </w:r>
      <w:r>
        <w:rPr>
          <w:rFonts w:hint="eastAsia" w:ascii="新宋体" w:hAnsi="新宋体" w:eastAsia="新宋体" w:cs="新宋体"/>
          <w:color w:val="auto"/>
          <w:kern w:val="0"/>
          <w:sz w:val="24"/>
          <w:szCs w:val="24"/>
          <w:highlight w:val="none"/>
        </w:rPr>
        <w:t>电池</w:t>
      </w:r>
      <w:r>
        <w:rPr>
          <w:rFonts w:hint="eastAsia" w:ascii="新宋体" w:hAnsi="新宋体" w:eastAsia="新宋体" w:cs="新宋体"/>
          <w:color w:val="auto"/>
          <w:kern w:val="0"/>
          <w:sz w:val="24"/>
          <w:szCs w:val="24"/>
          <w:highlight w:val="none"/>
          <w:lang w:val="en-US" w:eastAsia="zh-CN"/>
        </w:rPr>
        <w:t xml:space="preserve">      </w:t>
      </w:r>
      <w:r>
        <w:rPr>
          <w:rFonts w:hint="eastAsia" w:ascii="新宋体" w:hAnsi="新宋体" w:eastAsia="新宋体" w:cs="新宋体"/>
          <w:color w:val="auto"/>
          <w:kern w:val="0"/>
          <w:sz w:val="24"/>
          <w:szCs w:val="24"/>
          <w:highlight w:val="none"/>
        </w:rPr>
        <w:tab/>
      </w:r>
      <w:r>
        <w:rPr>
          <w:rFonts w:hint="eastAsia" w:ascii="新宋体" w:hAnsi="新宋体" w:eastAsia="新宋体" w:cs="新宋体"/>
          <w:color w:val="auto"/>
          <w:kern w:val="0"/>
          <w:sz w:val="24"/>
          <w:szCs w:val="24"/>
          <w:highlight w:val="none"/>
        </w:rPr>
        <w:t>2节</w:t>
      </w:r>
      <w:r>
        <w:rPr>
          <w:rFonts w:hint="eastAsia" w:ascii="新宋体" w:hAnsi="新宋体" w:eastAsia="新宋体" w:cs="新宋体"/>
          <w:color w:val="auto"/>
          <w:kern w:val="0"/>
          <w:sz w:val="24"/>
          <w:szCs w:val="24"/>
          <w:highlight w:val="none"/>
        </w:rPr>
        <w:tab/>
      </w:r>
      <w:r>
        <w:rPr>
          <w:rFonts w:hint="eastAsia" w:ascii="新宋体" w:hAnsi="新宋体" w:eastAsia="新宋体" w:cs="新宋体"/>
          <w:color w:val="auto"/>
          <w:kern w:val="0"/>
          <w:sz w:val="24"/>
          <w:szCs w:val="24"/>
          <w:highlight w:val="none"/>
        </w:rPr>
        <w:t>AA（1.5V）锂电池或碱性电池</w:t>
      </w:r>
    </w:p>
    <w:p w14:paraId="35D74CB9">
      <w:pPr>
        <w:spacing w:line="360" w:lineRule="auto"/>
        <w:rPr>
          <w:rFonts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8</w:t>
      </w:r>
      <w:r>
        <w:rPr>
          <w:rFonts w:hint="eastAsia" w:ascii="新宋体" w:hAnsi="新宋体" w:eastAsia="新宋体" w:cs="新宋体"/>
          <w:color w:val="auto"/>
          <w:kern w:val="0"/>
          <w:sz w:val="24"/>
          <w:szCs w:val="24"/>
          <w:highlight w:val="none"/>
          <w:lang w:eastAsia="zh-CN"/>
        </w:rPr>
        <w:t>、</w:t>
      </w:r>
      <w:r>
        <w:rPr>
          <w:rFonts w:hint="eastAsia" w:ascii="新宋体" w:hAnsi="新宋体" w:eastAsia="新宋体" w:cs="新宋体"/>
          <w:color w:val="auto"/>
          <w:kern w:val="0"/>
          <w:sz w:val="24"/>
          <w:szCs w:val="24"/>
          <w:highlight w:val="none"/>
        </w:rPr>
        <w:t>电池盖</w:t>
      </w:r>
      <w:r>
        <w:rPr>
          <w:rFonts w:hint="eastAsia" w:ascii="新宋体" w:hAnsi="新宋体" w:eastAsia="新宋体" w:cs="新宋体"/>
          <w:color w:val="auto"/>
          <w:kern w:val="0"/>
          <w:sz w:val="24"/>
          <w:szCs w:val="24"/>
          <w:highlight w:val="none"/>
          <w:lang w:val="en-US" w:eastAsia="zh-CN"/>
        </w:rPr>
        <w:t xml:space="preserve">   </w:t>
      </w:r>
      <w:r>
        <w:rPr>
          <w:rFonts w:hint="eastAsia" w:ascii="新宋体" w:hAnsi="新宋体" w:eastAsia="新宋体" w:cs="新宋体"/>
          <w:color w:val="auto"/>
          <w:kern w:val="0"/>
          <w:sz w:val="24"/>
          <w:szCs w:val="24"/>
          <w:highlight w:val="none"/>
        </w:rPr>
        <w:tab/>
      </w:r>
      <w:r>
        <w:rPr>
          <w:rFonts w:hint="eastAsia" w:ascii="新宋体" w:hAnsi="新宋体" w:eastAsia="新宋体" w:cs="新宋体"/>
          <w:color w:val="auto"/>
          <w:kern w:val="0"/>
          <w:sz w:val="24"/>
          <w:szCs w:val="24"/>
          <w:highlight w:val="none"/>
        </w:rPr>
        <w:t>1个</w:t>
      </w:r>
      <w:r>
        <w:rPr>
          <w:rFonts w:hint="eastAsia" w:ascii="新宋体" w:hAnsi="新宋体" w:eastAsia="新宋体" w:cs="新宋体"/>
          <w:color w:val="auto"/>
          <w:kern w:val="0"/>
          <w:sz w:val="24"/>
          <w:szCs w:val="24"/>
          <w:highlight w:val="none"/>
        </w:rPr>
        <w:tab/>
      </w:r>
      <w:r>
        <w:rPr>
          <w:rFonts w:hint="eastAsia" w:ascii="新宋体" w:hAnsi="新宋体" w:eastAsia="新宋体" w:cs="新宋体"/>
          <w:color w:val="auto"/>
          <w:kern w:val="0"/>
          <w:sz w:val="24"/>
          <w:szCs w:val="24"/>
          <w:highlight w:val="none"/>
        </w:rPr>
        <w:t>备用</w:t>
      </w:r>
    </w:p>
    <w:p w14:paraId="6CB1C177">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auto"/>
        <w:rPr>
          <w:rFonts w:hint="eastAsia" w:ascii="宋体" w:hAnsi="宋体" w:eastAsia="宋体" w:cs="宋体"/>
          <w:bCs/>
          <w:sz w:val="24"/>
          <w:highlight w:val="none"/>
          <w:lang w:eastAsia="zh-CN"/>
        </w:rPr>
      </w:pPr>
    </w:p>
    <w:p w14:paraId="6DAE2C98">
      <w:pPr>
        <w:keepNext w:val="0"/>
        <w:keepLines w:val="0"/>
        <w:pageBreakBefore w:val="0"/>
        <w:widowControl/>
        <w:kinsoku/>
        <w:wordWrap/>
        <w:overflowPunct/>
        <w:topLinePunct w:val="0"/>
        <w:autoSpaceDE w:val="0"/>
        <w:autoSpaceDN w:val="0"/>
        <w:bidi w:val="0"/>
        <w:adjustRightInd w:val="0"/>
        <w:snapToGrid w:val="0"/>
        <w:spacing w:before="157" w:beforeLines="50" w:line="360" w:lineRule="auto"/>
        <w:textAlignment w:val="auto"/>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2.2 采购标的需满足的服务标准、期限、效率等要求；</w:t>
      </w:r>
    </w:p>
    <w:p w14:paraId="7C6100B5">
      <w:pPr>
        <w:tabs>
          <w:tab w:val="left" w:pos="900"/>
        </w:tabs>
        <w:autoSpaceDE/>
        <w:autoSpaceDN/>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（1）采购标的需满足的服务标准、效率要求</w:t>
      </w:r>
    </w:p>
    <w:p w14:paraId="4ACFF337">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rPr>
        <w:t>供应商发运货物时，每台设备要提供一整套中文的技术资料，包括安装、操作手册、使用说明、维修保养手册、电路图、零配件清单等，这些资料费应包括在投标报价内。如果采购人确认供应商提供的技术资料不完整或在运输过程中丢失，供应商需保证在收到采购人通知后3天内将这些资料免费寄给采购人。</w:t>
      </w:r>
    </w:p>
    <w:p w14:paraId="290B7F8F">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供应商应在保证在接到采购人通知的一周内，自付费用在采购人指定所在地对设备进行安装、调试和试运行，直到该产品的技术指标完全符合合同要求为止。供应商技术人员的费用，如：差旅费、住宿费等应计入投标报价。供应商安装人员应自备必要的专用工具、量具及调试用的材料等。</w:t>
      </w:r>
    </w:p>
    <w:p w14:paraId="12AEFAE4">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供应商应有能力做好售后服务工作和提供技术保障。供应商或投标产品制造商应设有专业的售后服务维修机构，有充足的零件储备和能力相当的技术服务人员，</w:t>
      </w:r>
      <w:r>
        <w:rPr>
          <w:rFonts w:hint="eastAsia" w:ascii="宋体" w:hAnsi="宋体" w:eastAsia="宋体" w:cs="宋体"/>
          <w:b w:val="0"/>
          <w:bCs w:val="0"/>
          <w:color w:val="auto"/>
          <w:sz w:val="24"/>
          <w:szCs w:val="24"/>
          <w:highlight w:val="none"/>
          <w:lang w:val="en-US" w:eastAsia="zh-CN"/>
        </w:rPr>
        <w:t>并保证投标产品停产后至少10年的备件供应。</w:t>
      </w:r>
    </w:p>
    <w:p w14:paraId="22272F4D">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4.应提供原厂维修配件明细表及报价单(如提供公开信息渠道可查询到的，可免提供，但须注明查询方法及来源)。</w:t>
      </w:r>
    </w:p>
    <w:p w14:paraId="52DA02AB">
      <w:pPr>
        <w:keepNext w:val="0"/>
        <w:keepLines w:val="0"/>
        <w:pageBreakBefore w:val="0"/>
        <w:widowControl w:val="0"/>
        <w:numPr>
          <w:ilvl w:val="0"/>
          <w:numId w:val="0"/>
        </w:numPr>
        <w:kinsoku/>
        <w:wordWrap/>
        <w:overflowPunct/>
        <w:topLinePunct w:val="0"/>
        <w:autoSpaceDE w:val="0"/>
        <w:autoSpaceDN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zh-CN" w:bidi="ar-SA"/>
        </w:rPr>
        <w:t>5.</w:t>
      </w:r>
      <w:r>
        <w:rPr>
          <w:rFonts w:hint="eastAsia" w:ascii="宋体" w:hAnsi="宋体" w:eastAsia="宋体" w:cs="宋体"/>
          <w:b w:val="0"/>
          <w:bCs w:val="0"/>
          <w:color w:val="auto"/>
          <w:sz w:val="24"/>
          <w:szCs w:val="24"/>
          <w:highlight w:val="none"/>
          <w:lang w:val="en-US" w:eastAsia="en-US" w:bidi="ar-SA"/>
        </w:rPr>
        <w:t>供应商应负责投标货物质量保证期内的免费维修和配件供应，供应商售后服务维修机构应备有所购货物及时维修所需的关键零部件。</w:t>
      </w:r>
    </w:p>
    <w:p w14:paraId="14228F4C">
      <w:pPr>
        <w:keepNext w:val="0"/>
        <w:keepLines w:val="0"/>
        <w:pageBreakBefore w:val="0"/>
        <w:widowControl w:val="0"/>
        <w:numPr>
          <w:ilvl w:val="0"/>
          <w:numId w:val="0"/>
        </w:numPr>
        <w:kinsoku/>
        <w:wordWrap/>
        <w:overflowPunct/>
        <w:topLinePunct w:val="0"/>
        <w:autoSpaceDE w:val="0"/>
        <w:autoSpaceDN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zh-CN" w:bidi="ar-SA"/>
        </w:rPr>
        <w:t>6.</w:t>
      </w:r>
      <w:r>
        <w:rPr>
          <w:rFonts w:hint="eastAsia" w:ascii="宋体" w:hAnsi="宋体" w:eastAsia="宋体" w:cs="宋体"/>
          <w:b w:val="0"/>
          <w:bCs w:val="0"/>
          <w:color w:val="auto"/>
          <w:sz w:val="24"/>
          <w:szCs w:val="24"/>
          <w:highlight w:val="none"/>
          <w:lang w:val="en-US" w:eastAsia="en-US" w:bidi="ar-SA"/>
        </w:rPr>
        <w:t>供应商应保证在质量保证期内提供投标货物专用的软件和相应数据库资料的免费升级服务。（如果有）</w:t>
      </w:r>
    </w:p>
    <w:p w14:paraId="17AAE132">
      <w:pPr>
        <w:keepNext w:val="0"/>
        <w:keepLines w:val="0"/>
        <w:pageBreakBefore w:val="0"/>
        <w:widowControl w:val="0"/>
        <w:numPr>
          <w:ilvl w:val="0"/>
          <w:numId w:val="0"/>
        </w:numPr>
        <w:kinsoku/>
        <w:wordWrap/>
        <w:overflowPunct/>
        <w:topLinePunct w:val="0"/>
        <w:autoSpaceDE w:val="0"/>
        <w:autoSpaceDN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zh-CN" w:bidi="ar-SA"/>
        </w:rPr>
        <w:t>7.</w:t>
      </w:r>
      <w:r>
        <w:rPr>
          <w:rFonts w:hint="eastAsia" w:ascii="宋体" w:hAnsi="宋体" w:eastAsia="宋体" w:cs="宋体"/>
          <w:b w:val="0"/>
          <w:bCs w:val="0"/>
          <w:color w:val="auto"/>
          <w:sz w:val="24"/>
          <w:szCs w:val="24"/>
          <w:highlight w:val="none"/>
          <w:lang w:val="en-US" w:eastAsia="en-US" w:bidi="ar-SA"/>
        </w:rPr>
        <w:t>在合同执行期和质量保证期内，供应商应保证在收到要求提供维修服务的通知后</w:t>
      </w:r>
      <w:r>
        <w:rPr>
          <w:rFonts w:hint="eastAsia" w:ascii="宋体" w:hAnsi="宋体" w:eastAsia="宋体" w:cs="宋体"/>
          <w:b w:val="0"/>
          <w:bCs w:val="0"/>
          <w:color w:val="auto"/>
          <w:sz w:val="24"/>
          <w:szCs w:val="24"/>
          <w:highlight w:val="none"/>
          <w:u w:val="single"/>
          <w:lang w:val="en-US" w:eastAsia="zh-CN" w:bidi="ar-SA"/>
        </w:rPr>
        <w:t>1</w:t>
      </w:r>
      <w:r>
        <w:rPr>
          <w:rFonts w:hint="eastAsia" w:ascii="宋体" w:hAnsi="宋体" w:eastAsia="宋体" w:cs="宋体"/>
          <w:b w:val="0"/>
          <w:bCs w:val="0"/>
          <w:color w:val="auto"/>
          <w:sz w:val="24"/>
          <w:szCs w:val="24"/>
          <w:highlight w:val="none"/>
          <w:lang w:val="en-US" w:eastAsia="en-US" w:bidi="ar-SA"/>
        </w:rPr>
        <w:t>小时内给予反馈，</w:t>
      </w:r>
      <w:r>
        <w:rPr>
          <w:rFonts w:hint="eastAsia" w:ascii="宋体" w:hAnsi="宋体" w:eastAsia="宋体" w:cs="宋体"/>
          <w:b w:val="0"/>
          <w:bCs w:val="0"/>
          <w:color w:val="auto"/>
          <w:sz w:val="24"/>
          <w:szCs w:val="24"/>
          <w:highlight w:val="none"/>
          <w:u w:val="single"/>
          <w:lang w:val="en-US" w:eastAsia="zh-CN" w:bidi="ar-SA"/>
        </w:rPr>
        <w:t>4</w:t>
      </w:r>
      <w:r>
        <w:rPr>
          <w:rFonts w:hint="eastAsia" w:ascii="宋体" w:hAnsi="宋体" w:eastAsia="宋体" w:cs="宋体"/>
          <w:b w:val="0"/>
          <w:bCs w:val="0"/>
          <w:color w:val="auto"/>
          <w:sz w:val="24"/>
          <w:szCs w:val="24"/>
          <w:highlight w:val="none"/>
          <w:lang w:val="en-US" w:eastAsia="en-US" w:bidi="ar-SA"/>
        </w:rPr>
        <w:t>小时内派合格的技术人员赴现场提供免费服务，解决问题。如不能按采购人要求的时间予以修复，供应商应保证免费提供同类备用设备，供采购人使用。</w:t>
      </w:r>
    </w:p>
    <w:p w14:paraId="6137096B">
      <w:pPr>
        <w:keepNext w:val="0"/>
        <w:keepLines w:val="0"/>
        <w:pageBreakBefore w:val="0"/>
        <w:widowControl w:val="0"/>
        <w:numPr>
          <w:ilvl w:val="0"/>
          <w:numId w:val="0"/>
        </w:numPr>
        <w:kinsoku/>
        <w:wordWrap/>
        <w:overflowPunct/>
        <w:topLinePunct w:val="0"/>
        <w:autoSpaceDE w:val="0"/>
        <w:autoSpaceDN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zh-CN" w:bidi="ar-SA"/>
        </w:rPr>
        <w:t>8.</w:t>
      </w:r>
      <w:r>
        <w:rPr>
          <w:rFonts w:hint="eastAsia" w:ascii="宋体" w:hAnsi="宋体" w:eastAsia="宋体" w:cs="宋体"/>
          <w:b w:val="0"/>
          <w:bCs w:val="0"/>
          <w:color w:val="auto"/>
          <w:sz w:val="24"/>
          <w:szCs w:val="24"/>
          <w:highlight w:val="none"/>
          <w:lang w:val="en-US" w:eastAsia="en-US" w:bidi="ar-SA"/>
        </w:rPr>
        <w:t>投标时须提供有关其投标产品专业的售后服务（维修站）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p>
    <w:p w14:paraId="7399E50B">
      <w:pPr>
        <w:widowControl w:val="0"/>
        <w:autoSpaceDE w:val="0"/>
        <w:autoSpaceDN w:val="0"/>
        <w:spacing w:before="50" w:line="360" w:lineRule="auto"/>
        <w:ind w:firstLine="480" w:firstLineChars="200"/>
        <w:rPr>
          <w:rFonts w:ascii="宋体" w:hAnsi="宋体" w:eastAsia="宋体" w:cs="宋体"/>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9.</w:t>
      </w:r>
      <w:r>
        <w:rPr>
          <w:rFonts w:hint="eastAsia" w:ascii="宋体" w:hAnsi="宋体" w:eastAsia="宋体" w:cs="宋体"/>
          <w:b w:val="0"/>
          <w:bCs w:val="0"/>
          <w:color w:val="auto"/>
          <w:sz w:val="24"/>
          <w:szCs w:val="24"/>
          <w:highlight w:val="none"/>
          <w:lang w:val="en-US" w:eastAsia="en-US" w:bidi="ar-SA"/>
        </w:rPr>
        <w:t>货物运输符合的相关国际惯例，试剂、耗材运达所产生的费用由供应商负责。运输途中的货物破损及损失风险由供应商承担，供应商承担运费。</w:t>
      </w:r>
    </w:p>
    <w:p w14:paraId="1346A289">
      <w:pPr>
        <w:widowControl w:val="0"/>
        <w:autoSpaceDE w:val="0"/>
        <w:autoSpaceDN w:val="0"/>
        <w:spacing w:before="50" w:line="360" w:lineRule="auto"/>
        <w:ind w:firstLine="480" w:firstLineChars="20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（2）采购标的需满足的服务期限要求</w:t>
      </w:r>
    </w:p>
    <w:p w14:paraId="3893F84E">
      <w:pPr>
        <w:widowControl w:val="0"/>
        <w:autoSpaceDE w:val="0"/>
        <w:autoSpaceDN w:val="0"/>
        <w:spacing w:line="360" w:lineRule="auto"/>
        <w:ind w:firstLine="480" w:firstLineChars="200"/>
        <w:rPr>
          <w:rFonts w:ascii="宋体" w:hAnsi="宋体" w:eastAsia="宋体" w:cs="宋体"/>
          <w:b/>
          <w:bCs/>
          <w:sz w:val="24"/>
          <w:szCs w:val="24"/>
          <w:highlight w:val="none"/>
          <w:lang w:val="en-US" w:eastAsia="zh-CN" w:bidi="ar-SA"/>
        </w:rPr>
      </w:pPr>
      <w:r>
        <w:rPr>
          <w:rFonts w:hint="eastAsia" w:ascii="宋体" w:hAnsi="宋体" w:eastAsia="宋体" w:cs="宋体"/>
          <w:sz w:val="24"/>
          <w:szCs w:val="24"/>
          <w:highlight w:val="none"/>
          <w:lang w:val="en-US" w:eastAsia="zh-CN" w:bidi="ar-SA"/>
        </w:rPr>
        <w:t>1. 质量保证期（保修期）及服务要求：详见本章“采购需求中商务要求4.质保服务”。</w:t>
      </w:r>
    </w:p>
    <w:p w14:paraId="27637DC5">
      <w:pPr>
        <w:tabs>
          <w:tab w:val="left" w:pos="900"/>
        </w:tabs>
        <w:spacing w:before="156" w:beforeLines="50" w:line="360" w:lineRule="auto"/>
        <w:ind w:firstLine="482" w:firstLineChars="200"/>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2.3为落实政府采购政策需满足的要求；</w:t>
      </w:r>
    </w:p>
    <w:p w14:paraId="34AFC98D">
      <w:pPr>
        <w:tabs>
          <w:tab w:val="left" w:pos="900"/>
        </w:tabs>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0334E3D9">
      <w:pPr>
        <w:tabs>
          <w:tab w:val="left" w:pos="900"/>
        </w:tabs>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（2）监狱企业扶持政策：供应商所投产品为监狱企业制造的，将视同为小型或微型企业，将对该投标产品的投标价给予10%的扣除。</w:t>
      </w:r>
      <w:r>
        <w:rPr>
          <w:rFonts w:hint="eastAsia" w:ascii="宋体" w:hAnsi="宋体" w:eastAsia="宋体" w:cs="宋体"/>
          <w:iCs/>
          <w:sz w:val="24"/>
          <w:szCs w:val="24"/>
          <w:highlight w:val="none"/>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ascii="宋体" w:hAnsi="宋体" w:eastAsia="宋体" w:cs="宋体"/>
          <w:sz w:val="24"/>
          <w:szCs w:val="24"/>
          <w:highlight w:val="none"/>
          <w:lang w:eastAsia="zh-CN"/>
        </w:rPr>
        <w:t>。（专门面向中小企业采购或预留份额的情况不适用）</w:t>
      </w:r>
    </w:p>
    <w:p w14:paraId="269CA0CE">
      <w:pPr>
        <w:tabs>
          <w:tab w:val="left" w:pos="900"/>
        </w:tabs>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20A82B0F">
      <w:pPr>
        <w:autoSpaceDE/>
        <w:autoSpaceDN/>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（4）鼓励节能、环保政策：依据《财政部发展改革委生态环境部市场监管总局关于调整优化节能产品、环境标志产品政府采购执行机制的通知（财库（2019）9号）》执行。</w:t>
      </w:r>
    </w:p>
    <w:p w14:paraId="010E56E0">
      <w:pPr>
        <w:autoSpaceDE/>
        <w:autoSpaceDN/>
        <w:spacing w:before="20" w:line="360" w:lineRule="auto"/>
        <w:ind w:firstLine="480" w:firstLineChars="200"/>
        <w:rPr>
          <w:rFonts w:hint="eastAsia" w:ascii="宋体" w:hAnsi="宋体" w:eastAsia="宋体" w:cs="宋体"/>
          <w:b/>
          <w:bCs/>
          <w:sz w:val="24"/>
          <w:szCs w:val="24"/>
          <w:highlight w:val="none"/>
          <w:lang w:eastAsia="zh-CN"/>
        </w:rPr>
      </w:pPr>
      <w:r>
        <w:rPr>
          <w:rFonts w:hint="eastAsia" w:ascii="宋体" w:hAnsi="宋体" w:eastAsia="宋体" w:cs="宋体"/>
          <w:sz w:val="24"/>
          <w:szCs w:val="24"/>
          <w:highlight w:val="none"/>
          <w:lang w:val="en-US" w:eastAsia="zh-CN"/>
        </w:rPr>
        <w:t>5）实施本国产品标准及相关政策：依据《</w:t>
      </w:r>
      <w:r>
        <w:rPr>
          <w:rFonts w:hint="eastAsia" w:ascii="宋体" w:hAnsi="宋体" w:eastAsia="宋体" w:cs="宋体"/>
          <w:i w:val="0"/>
          <w:iCs w:val="0"/>
          <w:caps w:val="0"/>
          <w:color w:val="000000"/>
          <w:spacing w:val="0"/>
          <w:sz w:val="24"/>
          <w:szCs w:val="24"/>
          <w:highlight w:val="none"/>
          <w:shd w:val="clear" w:fill="FFFFFF"/>
        </w:rPr>
        <w:t>国务院办公厅关于在政府采购中实施本国产品标准及相关政策的通知</w:t>
      </w:r>
      <w:r>
        <w:rPr>
          <w:rFonts w:hint="eastAsia" w:ascii="宋体" w:hAnsi="宋体" w:eastAsia="宋体" w:cs="宋体"/>
          <w:sz w:val="24"/>
          <w:szCs w:val="24"/>
          <w:highlight w:val="none"/>
          <w:lang w:val="en-US" w:eastAsia="zh-CN"/>
        </w:rPr>
        <w:t>》（国办发〔2025〕34号）规定，</w:t>
      </w:r>
      <w:r>
        <w:rPr>
          <w:rFonts w:hint="eastAsia" w:ascii="宋体" w:hAnsi="宋体" w:eastAsia="宋体" w:cs="宋体"/>
          <w:sz w:val="24"/>
          <w:szCs w:val="24"/>
          <w:highlight w:val="none"/>
        </w:rPr>
        <w:t>本项目供应商所投产品</w:t>
      </w:r>
      <w:r>
        <w:rPr>
          <w:rFonts w:hint="eastAsia" w:ascii="宋体" w:hAnsi="宋体" w:eastAsia="宋体" w:cs="宋体"/>
          <w:i w:val="0"/>
          <w:iCs w:val="0"/>
          <w:caps w:val="0"/>
          <w:color w:val="000000"/>
          <w:spacing w:val="0"/>
          <w:sz w:val="24"/>
          <w:szCs w:val="24"/>
          <w:highlight w:val="none"/>
          <w:shd w:val="clear" w:fill="FFFFFF"/>
        </w:rPr>
        <w:t>在中国境内生产，即在中华人民共和国关境内实现从原材料、组件到产品的属性改变。</w:t>
      </w:r>
      <w:r>
        <w:rPr>
          <w:rFonts w:hint="eastAsia" w:ascii="宋体" w:hAnsi="宋体" w:eastAsia="宋体" w:cs="宋体"/>
          <w:i w:val="0"/>
          <w:iCs w:val="0"/>
          <w:caps w:val="0"/>
          <w:color w:val="000000"/>
          <w:spacing w:val="0"/>
          <w:sz w:val="24"/>
          <w:szCs w:val="24"/>
          <w:highlight w:val="none"/>
          <w:shd w:val="clear" w:fill="FFFFFF"/>
          <w:lang w:val="en-US" w:eastAsia="zh-CN"/>
        </w:rPr>
        <w:t>且</w:t>
      </w:r>
      <w:r>
        <w:rPr>
          <w:rFonts w:hint="eastAsia" w:ascii="宋体" w:hAnsi="宋体" w:eastAsia="宋体" w:cs="宋体"/>
          <w:i w:val="0"/>
          <w:iCs w:val="0"/>
          <w:caps w:val="0"/>
          <w:color w:val="000000"/>
          <w:spacing w:val="0"/>
          <w:sz w:val="24"/>
          <w:szCs w:val="24"/>
          <w:highlight w:val="none"/>
          <w:shd w:val="clear" w:fill="FFFFFF"/>
        </w:rPr>
        <w:t>在中国境内生产的组件成本占比应当达到规定比例</w:t>
      </w:r>
      <w:r>
        <w:rPr>
          <w:rFonts w:hint="eastAsia" w:ascii="宋体" w:hAnsi="宋体" w:eastAsia="宋体" w:cs="宋体"/>
          <w:sz w:val="24"/>
          <w:szCs w:val="24"/>
          <w:highlight w:val="none"/>
        </w:rPr>
        <w:t>，</w:t>
      </w:r>
      <w:r>
        <w:rPr>
          <w:rFonts w:hint="eastAsia" w:ascii="宋体" w:hAnsi="宋体" w:eastAsia="宋体" w:cs="宋体"/>
          <w:i w:val="0"/>
          <w:iCs w:val="0"/>
          <w:caps w:val="0"/>
          <w:color w:val="000000"/>
          <w:spacing w:val="0"/>
          <w:sz w:val="24"/>
          <w:szCs w:val="24"/>
          <w:highlight w:val="none"/>
          <w:shd w:val="clear" w:fill="FFFFFF"/>
        </w:rPr>
        <w:t>依法对本国产品给予价格评审优惠，对本国产品的报价给予20%的价格扣除，用扣除后的价格参与评审。</w:t>
      </w:r>
      <w:r>
        <w:rPr>
          <w:rFonts w:hint="eastAsia" w:ascii="宋体" w:hAnsi="宋体" w:eastAsia="宋体" w:cs="宋体"/>
          <w:b/>
          <w:bCs/>
          <w:sz w:val="24"/>
          <w:szCs w:val="24"/>
          <w:highlight w:val="none"/>
        </w:rPr>
        <w:t>供应商应出具招标文件要求的</w:t>
      </w:r>
      <w:r>
        <w:rPr>
          <w:rFonts w:hint="eastAsia" w:ascii="宋体" w:hAnsi="宋体" w:eastAsia="宋体" w:cs="宋体"/>
          <w:b/>
          <w:bCs/>
          <w:sz w:val="24"/>
          <w:szCs w:val="24"/>
          <w:highlight w:val="none"/>
          <w:lang w:val="en-US" w:eastAsia="zh-CN"/>
        </w:rPr>
        <w:t>证明材料</w:t>
      </w:r>
      <w:r>
        <w:rPr>
          <w:rFonts w:hint="eastAsia" w:ascii="宋体" w:hAnsi="宋体" w:eastAsia="宋体" w:cs="宋体"/>
          <w:b/>
          <w:bCs/>
          <w:sz w:val="24"/>
          <w:szCs w:val="24"/>
          <w:highlight w:val="none"/>
        </w:rPr>
        <w:t>给予证明，否则评标时不予认可</w:t>
      </w:r>
      <w:r>
        <w:rPr>
          <w:rFonts w:hint="eastAsia" w:ascii="宋体" w:hAnsi="宋体" w:eastAsia="宋体" w:cs="宋体"/>
          <w:sz w:val="24"/>
          <w:szCs w:val="24"/>
          <w:highlight w:val="none"/>
        </w:rPr>
        <w:t>。</w:t>
      </w:r>
      <w:r>
        <w:rPr>
          <w:rFonts w:hint="eastAsia" w:ascii="宋体" w:hAnsi="宋体" w:eastAsia="宋体" w:cs="宋体"/>
          <w:b/>
          <w:bCs/>
          <w:sz w:val="24"/>
          <w:szCs w:val="24"/>
          <w:highlight w:val="none"/>
        </w:rPr>
        <w:t>供应商应对提交的</w:t>
      </w:r>
      <w:r>
        <w:rPr>
          <w:rFonts w:hint="eastAsia" w:ascii="宋体" w:hAnsi="宋体" w:eastAsia="宋体" w:cs="宋体"/>
          <w:b/>
          <w:bCs/>
          <w:sz w:val="24"/>
          <w:szCs w:val="24"/>
          <w:highlight w:val="none"/>
          <w:lang w:val="en-US" w:eastAsia="zh-CN"/>
        </w:rPr>
        <w:t>证明材料</w:t>
      </w:r>
      <w:r>
        <w:rPr>
          <w:rFonts w:hint="eastAsia" w:ascii="宋体" w:hAnsi="宋体" w:eastAsia="宋体" w:cs="宋体"/>
          <w:b/>
          <w:bCs/>
          <w:sz w:val="24"/>
          <w:szCs w:val="24"/>
          <w:highlight w:val="none"/>
        </w:rPr>
        <w:t>真实性负责，</w:t>
      </w:r>
      <w:r>
        <w:rPr>
          <w:rFonts w:hint="eastAsia" w:ascii="宋体" w:hAnsi="宋体" w:eastAsia="宋体" w:cs="宋体"/>
          <w:sz w:val="24"/>
          <w:szCs w:val="24"/>
          <w:highlight w:val="none"/>
        </w:rPr>
        <w:t>提交</w:t>
      </w:r>
      <w:r>
        <w:rPr>
          <w:rFonts w:hint="eastAsia" w:ascii="宋体" w:hAnsi="宋体" w:eastAsia="宋体" w:cs="宋体"/>
          <w:sz w:val="24"/>
          <w:szCs w:val="24"/>
          <w:highlight w:val="none"/>
          <w:lang w:val="en-US" w:eastAsia="zh-CN"/>
        </w:rPr>
        <w:t>证明材料</w:t>
      </w:r>
      <w:r>
        <w:rPr>
          <w:rFonts w:hint="eastAsia" w:ascii="宋体" w:hAnsi="宋体" w:eastAsia="宋体" w:cs="宋体"/>
          <w:sz w:val="24"/>
          <w:szCs w:val="24"/>
          <w:highlight w:val="none"/>
        </w:rPr>
        <w:t>不真实的，应承担相应的法律责任。</w:t>
      </w:r>
    </w:p>
    <w:p w14:paraId="3A0E7610">
      <w:pPr>
        <w:autoSpaceDE/>
        <w:autoSpaceDN/>
        <w:spacing w:before="20" w:line="360" w:lineRule="auto"/>
        <w:ind w:firstLine="482" w:firstLineChars="200"/>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2.4采购标的的其他技术、服务等要求；</w:t>
      </w:r>
    </w:p>
    <w:p w14:paraId="6E7ED94C">
      <w:pPr>
        <w:tabs>
          <w:tab w:val="left" w:pos="900"/>
        </w:tabs>
        <w:spacing w:line="360" w:lineRule="auto"/>
        <w:ind w:firstLine="482" w:firstLineChars="200"/>
        <w:rPr>
          <w:rFonts w:ascii="宋体" w:hAnsi="宋体" w:eastAsia="宋体" w:cs="宋体"/>
          <w:b/>
          <w:bCs/>
          <w:iCs/>
          <w:sz w:val="24"/>
          <w:szCs w:val="24"/>
          <w:highlight w:val="none"/>
          <w:lang w:eastAsia="zh-CN"/>
        </w:rPr>
      </w:pPr>
      <w:bookmarkStart w:id="12" w:name="_Toc7340"/>
      <w:r>
        <w:rPr>
          <w:rFonts w:hint="eastAsia" w:ascii="宋体" w:hAnsi="宋体" w:eastAsia="宋体" w:cs="宋体"/>
          <w:b/>
          <w:bCs/>
          <w:sz w:val="24"/>
          <w:szCs w:val="24"/>
          <w:highlight w:val="none"/>
          <w:lang w:eastAsia="zh-CN"/>
        </w:rPr>
        <w:t>（1）对于技术规格中标注“★”号的技术参数代表实质性指标，不满足该指标项将直接导致投标被拒绝。</w:t>
      </w:r>
    </w:p>
    <w:p w14:paraId="79E99EBA">
      <w:pPr>
        <w:tabs>
          <w:tab w:val="left" w:pos="900"/>
        </w:tabs>
        <w:spacing w:line="360" w:lineRule="auto"/>
        <w:ind w:firstLine="482" w:firstLineChars="200"/>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（2）须在投标文件中提供所投设备油印彩页并加盖公章。</w:t>
      </w:r>
    </w:p>
    <w:p w14:paraId="28FB4E20">
      <w:pPr>
        <w:tabs>
          <w:tab w:val="left" w:pos="900"/>
        </w:tabs>
        <w:spacing w:line="360" w:lineRule="auto"/>
        <w:ind w:firstLine="482" w:firstLineChars="200"/>
        <w:rPr>
          <w:rFonts w:ascii="宋体" w:hAnsi="宋体" w:eastAsia="宋体" w:cs="宋体"/>
          <w:b/>
          <w:bCs/>
          <w:iCs/>
          <w:sz w:val="24"/>
          <w:szCs w:val="24"/>
          <w:highlight w:val="none"/>
          <w:lang w:eastAsia="zh-CN"/>
        </w:rPr>
      </w:pPr>
      <w:r>
        <w:rPr>
          <w:rFonts w:hint="eastAsia" w:ascii="宋体" w:hAnsi="宋体" w:eastAsia="宋体" w:cs="宋体"/>
          <w:b/>
          <w:bCs/>
          <w:sz w:val="24"/>
          <w:szCs w:val="24"/>
          <w:highlight w:val="none"/>
          <w:lang w:eastAsia="zh-CN"/>
        </w:rPr>
        <w:t>（3）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r>
        <w:rPr>
          <w:rFonts w:hint="eastAsia" w:ascii="宋体" w:hAnsi="宋体" w:eastAsia="宋体" w:cs="宋体"/>
          <w:b/>
          <w:bCs/>
          <w:iCs/>
          <w:sz w:val="24"/>
          <w:szCs w:val="24"/>
          <w:highlight w:val="none"/>
          <w:lang w:eastAsia="zh-CN"/>
        </w:rPr>
        <w:t xml:space="preserve">。 </w:t>
      </w:r>
    </w:p>
    <w:p w14:paraId="750BC9C1">
      <w:pPr>
        <w:tabs>
          <w:tab w:val="left" w:pos="900"/>
        </w:tabs>
        <w:spacing w:line="360" w:lineRule="auto"/>
        <w:ind w:firstLine="480" w:firstLineChars="200"/>
        <w:rPr>
          <w:rFonts w:ascii="宋体" w:hAnsi="宋体" w:eastAsia="宋体" w:cs="宋体"/>
          <w:iCs/>
          <w:sz w:val="24"/>
          <w:szCs w:val="24"/>
          <w:highlight w:val="none"/>
          <w:lang w:eastAsia="zh-CN"/>
        </w:rPr>
      </w:pPr>
      <w:r>
        <w:rPr>
          <w:rFonts w:hint="eastAsia" w:ascii="宋体" w:hAnsi="宋体" w:eastAsia="宋体" w:cs="宋体"/>
          <w:sz w:val="24"/>
          <w:szCs w:val="24"/>
          <w:highlight w:val="none"/>
          <w:lang w:eastAsia="zh-CN"/>
        </w:rPr>
        <w:t>（4）</w:t>
      </w:r>
      <w:r>
        <w:rPr>
          <w:rFonts w:hint="eastAsia" w:ascii="宋体" w:hAnsi="宋体" w:eastAsia="宋体" w:cs="宋体"/>
          <w:iCs/>
          <w:sz w:val="24"/>
          <w:szCs w:val="24"/>
          <w:highlight w:val="none"/>
          <w:lang w:eastAsia="zh-CN"/>
        </w:rPr>
        <w:t xml:space="preserve">投标人所提供的部件之间及设备之间的连线或接插件均视为设备内部部件，应包含在相应的配置中。 </w:t>
      </w:r>
    </w:p>
    <w:p w14:paraId="340BF2B6">
      <w:pPr>
        <w:tabs>
          <w:tab w:val="left" w:pos="900"/>
        </w:tabs>
        <w:spacing w:line="360" w:lineRule="auto"/>
        <w:ind w:firstLine="480" w:firstLineChars="200"/>
        <w:rPr>
          <w:rFonts w:ascii="宋体" w:hAnsi="宋体" w:eastAsia="宋体" w:cs="宋体"/>
          <w:iCs/>
          <w:sz w:val="24"/>
          <w:szCs w:val="24"/>
          <w:highlight w:val="none"/>
          <w:lang w:eastAsia="zh-CN"/>
        </w:rPr>
      </w:pPr>
      <w:r>
        <w:rPr>
          <w:rFonts w:hint="eastAsia" w:ascii="宋体" w:hAnsi="宋体" w:eastAsia="宋体" w:cs="宋体"/>
          <w:sz w:val="24"/>
          <w:szCs w:val="24"/>
          <w:highlight w:val="none"/>
          <w:lang w:eastAsia="zh-CN"/>
        </w:rPr>
        <w:t>（5）</w:t>
      </w:r>
      <w:r>
        <w:rPr>
          <w:rFonts w:hint="eastAsia" w:ascii="宋体" w:hAnsi="宋体" w:eastAsia="宋体" w:cs="宋体"/>
          <w:iCs/>
          <w:sz w:val="24"/>
          <w:szCs w:val="24"/>
          <w:highlight w:val="none"/>
          <w:lang w:eastAsia="zh-CN"/>
        </w:rPr>
        <w:t xml:space="preserve">工作条件：除了在技术规格中另有规定外，投标人提供的一切仪器、设备和系统，应符合下列条件： </w:t>
      </w:r>
    </w:p>
    <w:p w14:paraId="3D1ADA95">
      <w:pPr>
        <w:tabs>
          <w:tab w:val="left" w:pos="900"/>
        </w:tabs>
        <w:spacing w:line="360" w:lineRule="auto"/>
        <w:ind w:firstLine="480" w:firstLineChars="200"/>
        <w:rPr>
          <w:rFonts w:ascii="宋体" w:hAnsi="宋体" w:eastAsia="宋体" w:cs="宋体"/>
          <w:iCs/>
          <w:sz w:val="24"/>
          <w:szCs w:val="24"/>
          <w:highlight w:val="none"/>
          <w:lang w:eastAsia="zh-CN"/>
        </w:rPr>
      </w:pPr>
      <w:r>
        <w:rPr>
          <w:rFonts w:hint="eastAsia" w:ascii="宋体" w:hAnsi="宋体" w:eastAsia="宋体" w:cs="宋体"/>
          <w:iCs/>
          <w:sz w:val="24"/>
          <w:szCs w:val="24"/>
          <w:highlight w:val="none"/>
          <w:lang w:eastAsia="zh-CN"/>
        </w:rPr>
        <w:t xml:space="preserve">1）仪器设备的插头要符合中国电工标准。如不符合，则应提供适合仪器插头的插座，必须要有接地。 </w:t>
      </w:r>
    </w:p>
    <w:p w14:paraId="5E49CA02">
      <w:pPr>
        <w:tabs>
          <w:tab w:val="left" w:pos="900"/>
        </w:tabs>
        <w:spacing w:line="360" w:lineRule="auto"/>
        <w:ind w:firstLine="480" w:firstLineChars="200"/>
        <w:rPr>
          <w:rFonts w:ascii="宋体" w:hAnsi="宋体" w:eastAsia="宋体" w:cs="宋体"/>
          <w:iCs/>
          <w:sz w:val="24"/>
          <w:szCs w:val="24"/>
          <w:highlight w:val="none"/>
          <w:lang w:eastAsia="zh-CN"/>
        </w:rPr>
      </w:pPr>
      <w:r>
        <w:rPr>
          <w:rFonts w:hint="eastAsia" w:ascii="宋体" w:hAnsi="宋体" w:eastAsia="宋体" w:cs="宋体"/>
          <w:iCs/>
          <w:sz w:val="24"/>
          <w:szCs w:val="24"/>
          <w:highlight w:val="none"/>
          <w:lang w:eastAsia="zh-CN"/>
        </w:rPr>
        <w:t>2）如果仪器设备需特殊的工作条件（如：水、电源、磁场强度、特殊温度、湿度、震动强度等），投标人应在有关投标文件中加以说明。</w:t>
      </w:r>
    </w:p>
    <w:p w14:paraId="78893461">
      <w:pPr>
        <w:tabs>
          <w:tab w:val="left" w:pos="900"/>
        </w:tabs>
        <w:spacing w:line="360" w:lineRule="auto"/>
        <w:ind w:firstLine="480" w:firstLineChars="200"/>
        <w:rPr>
          <w:rFonts w:ascii="宋体" w:hAnsi="宋体" w:eastAsia="宋体" w:cs="宋体"/>
          <w:iCs/>
          <w:color w:val="FF0000"/>
          <w:sz w:val="24"/>
          <w:szCs w:val="24"/>
          <w:highlight w:val="none"/>
          <w:lang w:eastAsia="zh-CN"/>
        </w:rPr>
      </w:pPr>
      <w:r>
        <w:rPr>
          <w:rFonts w:hint="eastAsia" w:ascii="宋体" w:hAnsi="宋体" w:eastAsia="宋体" w:cs="宋体"/>
          <w:iCs/>
          <w:sz w:val="24"/>
          <w:szCs w:val="24"/>
          <w:highlight w:val="none"/>
          <w:lang w:eastAsia="zh-CN"/>
        </w:rPr>
        <w:t xml:space="preserve">（6）培训要求：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  </w:t>
      </w:r>
    </w:p>
    <w:bookmarkEnd w:id="12"/>
    <w:p w14:paraId="3C97F45B">
      <w:pPr>
        <w:tabs>
          <w:tab w:val="left" w:pos="900"/>
        </w:tabs>
        <w:spacing w:before="156" w:beforeLines="50" w:line="360" w:lineRule="auto"/>
        <w:ind w:firstLine="482" w:firstLineChars="200"/>
        <w:rPr>
          <w:rFonts w:ascii="宋体" w:hAnsi="宋体" w:eastAsia="宋体" w:cs="宋体"/>
          <w:b/>
          <w:sz w:val="24"/>
          <w:szCs w:val="24"/>
          <w:highlight w:val="none"/>
          <w:lang w:eastAsia="zh-CN"/>
        </w:rPr>
      </w:pPr>
      <w:r>
        <w:rPr>
          <w:rFonts w:hint="eastAsia" w:ascii="宋体" w:hAnsi="宋体" w:eastAsia="宋体" w:cs="宋体"/>
          <w:b/>
          <w:sz w:val="24"/>
          <w:szCs w:val="24"/>
          <w:highlight w:val="none"/>
          <w:lang w:eastAsia="zh-CN"/>
        </w:rPr>
        <w:t>3.采购标的的验收标准</w:t>
      </w:r>
    </w:p>
    <w:p w14:paraId="0DA4D70A">
      <w:pPr>
        <w:autoSpaceDE/>
        <w:autoSpaceDN/>
        <w:spacing w:line="360" w:lineRule="auto"/>
        <w:ind w:firstLine="480" w:firstLineChars="200"/>
        <w:rPr>
          <w:rFonts w:hint="eastAsia" w:ascii="宋体" w:hAnsi="宋体" w:eastAsia="宋体" w:cs="宋体"/>
          <w:b w:val="0"/>
          <w:bCs/>
          <w:sz w:val="24"/>
          <w:szCs w:val="21"/>
          <w:highlight w:val="none"/>
          <w:lang w:eastAsia="zh-CN"/>
        </w:rPr>
      </w:pPr>
      <w:r>
        <w:rPr>
          <w:rFonts w:hint="eastAsia" w:ascii="宋体" w:hAnsi="宋体" w:eastAsia="宋体" w:cs="宋体"/>
          <w:b w:val="0"/>
          <w:bCs/>
          <w:sz w:val="24"/>
          <w:szCs w:val="21"/>
          <w:highlight w:val="none"/>
          <w:lang w:val="en-US" w:eastAsia="zh-CN"/>
        </w:rPr>
        <w:t>3.</w:t>
      </w:r>
      <w:r>
        <w:rPr>
          <w:rFonts w:hint="eastAsia" w:ascii="宋体" w:hAnsi="宋体" w:eastAsia="宋体" w:cs="宋体"/>
          <w:b w:val="0"/>
          <w:bCs/>
          <w:sz w:val="24"/>
          <w:szCs w:val="21"/>
          <w:highlight w:val="none"/>
          <w:lang w:eastAsia="zh-CN"/>
        </w:rPr>
        <w:t>1、采购标的的验收标准</w:t>
      </w:r>
    </w:p>
    <w:p w14:paraId="3A047E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（1）投标人应保证在发货前对货物的质量、规格、性能、数量和重量等进行准确而全面的检验，并出具一份证明货物符合合同规定的</w:t>
      </w:r>
      <w:bookmarkStart w:id="21" w:name="_GoBack"/>
      <w:bookmarkEnd w:id="21"/>
      <w:r>
        <w:rPr>
          <w:rFonts w:hint="eastAsia" w:ascii="宋体" w:hAnsi="宋体" w:eastAsia="宋体" w:cs="宋体"/>
          <w:color w:val="auto"/>
          <w:kern w:val="0"/>
          <w:sz w:val="24"/>
          <w:szCs w:val="24"/>
          <w:highlight w:val="none"/>
          <w:lang w:val="en-US" w:eastAsia="zh-CN"/>
        </w:rPr>
        <w:t xml:space="preserve">证书。该证书将作为提交付款单据的一部分，但有关质量、规格、性能、数量或重要的检验不应视为最终检验。投标人检验的结果和详细要求应在质量证书中加以说明。 </w:t>
      </w:r>
    </w:p>
    <w:p w14:paraId="000C2F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 xml:space="preserve">（2）货物运抵采购项目（标的）交付的地点后，采购人将在 7 个工作日内组织验收，由采购人组织验收小组，对货物的数量、外观、包装、质量、安全、功能及性能等进行验收，项目验收依据为采购合同、招标文件和投标文件。验收小组将根据验收情况制作验收备忘录并签署验收意见。 </w:t>
      </w:r>
    </w:p>
    <w:p w14:paraId="2D154152">
      <w:pPr>
        <w:keepNext w:val="0"/>
        <w:keepLines w:val="0"/>
        <w:pageBreakBefore w:val="0"/>
        <w:kinsoku/>
        <w:wordWrap/>
        <w:overflowPunct/>
        <w:topLinePunct w:val="0"/>
        <w:autoSpaceDE/>
        <w:autoSpaceDN/>
        <w:bidi w:val="0"/>
        <w:adjustRightInd w:val="0"/>
        <w:snapToGrid/>
        <w:spacing w:line="360" w:lineRule="auto"/>
        <w:jc w:val="center"/>
        <w:textAlignment w:val="baseline"/>
        <w:outlineLvl w:val="0"/>
      </w:pPr>
      <w:bookmarkStart w:id="13" w:name="_Toc24181"/>
      <w:r>
        <w:rPr>
          <w:rFonts w:hint="eastAsia" w:ascii="宋体" w:hAnsi="宋体" w:eastAsia="宋体" w:cs="宋体"/>
          <w:color w:val="auto"/>
          <w:kern w:val="0"/>
          <w:sz w:val="24"/>
          <w:szCs w:val="24"/>
          <w:highlight w:val="none"/>
          <w:lang w:val="en-US" w:eastAsia="zh-CN"/>
        </w:rPr>
        <w:t xml:space="preserve">  </w:t>
      </w:r>
      <w:bookmarkStart w:id="14" w:name="_Toc7740"/>
      <w:bookmarkStart w:id="15" w:name="_Toc10892"/>
      <w:bookmarkStart w:id="16" w:name="_Toc13153"/>
      <w:r>
        <w:rPr>
          <w:rFonts w:hint="eastAsia" w:ascii="宋体" w:hAnsi="宋体" w:eastAsia="宋体" w:cs="宋体"/>
          <w:color w:val="auto"/>
          <w:kern w:val="0"/>
          <w:sz w:val="24"/>
          <w:szCs w:val="24"/>
          <w:highlight w:val="none"/>
          <w:lang w:val="en-US" w:eastAsia="zh-CN"/>
        </w:rPr>
        <w:t>（3）投标人应负责使所供计量仪器通过计量部门的验收，并承担相关费用（包括运</w:t>
      </w:r>
      <w:bookmarkEnd w:id="14"/>
      <w:bookmarkEnd w:id="15"/>
      <w:bookmarkEnd w:id="16"/>
      <w:bookmarkStart w:id="17" w:name="_Toc14846"/>
      <w:bookmarkStart w:id="18" w:name="_Toc28918"/>
      <w:bookmarkStart w:id="19" w:name="_Toc9700"/>
      <w:r>
        <w:rPr>
          <w:rFonts w:hint="eastAsia" w:ascii="宋体" w:hAnsi="宋体" w:eastAsia="宋体" w:cs="宋体"/>
          <w:color w:val="auto"/>
          <w:kern w:val="0"/>
          <w:sz w:val="24"/>
          <w:szCs w:val="24"/>
          <w:highlight w:val="none"/>
          <w:lang w:val="en-US" w:eastAsia="zh-CN"/>
        </w:rPr>
        <w:t>费）。若</w:t>
      </w:r>
      <w:bookmarkEnd w:id="13"/>
      <w:bookmarkStart w:id="20" w:name="_Toc14175"/>
      <w:r>
        <w:rPr>
          <w:rFonts w:hint="eastAsia" w:ascii="宋体" w:hAnsi="宋体" w:eastAsia="宋体" w:cs="宋体"/>
          <w:color w:val="auto"/>
          <w:kern w:val="0"/>
          <w:sz w:val="24"/>
          <w:szCs w:val="24"/>
          <w:highlight w:val="none"/>
          <w:lang w:val="en-US" w:eastAsia="zh-CN"/>
        </w:rPr>
        <w:t>需要，应在检测期间提供备用仪器，以便不影响采购人的使用。</w:t>
      </w:r>
      <w:bookmarkEnd w:id="17"/>
      <w:bookmarkEnd w:id="18"/>
      <w:bookmarkEnd w:id="19"/>
      <w:bookmarkEnd w:id="2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decorative"/>
    <w:pitch w:val="default"/>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CEDEBF"/>
    <w:multiLevelType w:val="singleLevel"/>
    <w:tmpl w:val="99CEDEBF"/>
    <w:lvl w:ilvl="0" w:tentative="0">
      <w:start w:val="2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444C26"/>
    <w:rsid w:val="1DC0363D"/>
    <w:rsid w:val="25D043BC"/>
    <w:rsid w:val="2EA258C3"/>
    <w:rsid w:val="36B80769"/>
    <w:rsid w:val="38444C26"/>
    <w:rsid w:val="3E530FD1"/>
    <w:rsid w:val="57D05FA1"/>
    <w:rsid w:val="692844CB"/>
    <w:rsid w:val="7B2F6A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1"/>
    <w:pPr>
      <w:outlineLvl w:val="0"/>
    </w:pPr>
    <w:rPr>
      <w:sz w:val="36"/>
      <w:szCs w:val="36"/>
    </w:rPr>
  </w:style>
  <w:style w:type="paragraph" w:styleId="3">
    <w:name w:val="heading 2"/>
    <w:basedOn w:val="1"/>
    <w:next w:val="1"/>
    <w:qFormat/>
    <w:uiPriority w:val="1"/>
    <w:pPr>
      <w:ind w:left="121"/>
      <w:outlineLvl w:val="1"/>
    </w:pPr>
    <w:rPr>
      <w:sz w:val="32"/>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rPr>
      <w:sz w:val="24"/>
      <w:szCs w:val="24"/>
    </w:rPr>
  </w:style>
  <w:style w:type="paragraph" w:styleId="5">
    <w:name w:val="Plain Text"/>
    <w:basedOn w:val="1"/>
    <w:unhideWhenUsed/>
    <w:qFormat/>
    <w:uiPriority w:val="0"/>
    <w:rPr>
      <w:rFonts w:hAnsi="Courier New" w:cs="Courier New"/>
      <w:sz w:val="24"/>
      <w:szCs w:val="21"/>
    </w:rPr>
  </w:style>
  <w:style w:type="paragraph" w:styleId="6">
    <w:name w:val="toc 2"/>
    <w:basedOn w:val="1"/>
    <w:next w:val="1"/>
    <w:qFormat/>
    <w:uiPriority w:val="39"/>
    <w:pPr>
      <w:tabs>
        <w:tab w:val="right" w:leader="dot" w:pos="8937"/>
      </w:tabs>
      <w:spacing w:line="312" w:lineRule="auto"/>
      <w:ind w:left="420" w:leftChars="200"/>
    </w:pPr>
  </w:style>
  <w:style w:type="paragraph" w:styleId="7">
    <w:name w:val="Title"/>
    <w:basedOn w:val="1"/>
    <w:qFormat/>
    <w:uiPriority w:val="0"/>
    <w:pPr>
      <w:jc w:val="center"/>
      <w:outlineLvl w:val="0"/>
    </w:pPr>
    <w:rPr>
      <w:b/>
      <w:sz w:val="32"/>
      <w:szCs w:val="20"/>
    </w:rPr>
  </w:style>
  <w:style w:type="paragraph" w:customStyle="1" w:styleId="10">
    <w:name w:val="列表段落1"/>
    <w:basedOn w:val="1"/>
    <w:qFormat/>
    <w:uiPriority w:val="1"/>
    <w:pPr>
      <w:spacing w:before="134"/>
      <w:ind w:left="1196" w:hanging="720"/>
    </w:pPr>
    <w:rPr>
      <w:sz w:val="20"/>
    </w:rPr>
  </w:style>
  <w:style w:type="paragraph" w:customStyle="1" w:styleId="11">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6944</Words>
  <Characters>8743</Characters>
  <Lines>0</Lines>
  <Paragraphs>0</Paragraphs>
  <TotalTime>0</TotalTime>
  <ScaleCrop>false</ScaleCrop>
  <LinksUpToDate>false</LinksUpToDate>
  <CharactersWithSpaces>8871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2026-05-26T09:23:00Z</dcterms:created>
  <dc:creator>王崴</dc:creator>
  <cp:lastModifiedBy>王崴</cp:lastModifiedBy>
  <dcterms:modified xsi:type="dcterms:W3CDTF">2026-09-30T07:53:07Z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AAF2E0C7C6124112BB1D7BCBD48612D1_11</vt:lpwstr>
  </property>
  <property fmtid="{D5CDD505-2E9C-101B-9397-08002B2CF9AE}" pid="4" name="KSOTemplateDocerSaveRecord">
    <vt:lpwstr>eyJoZGlkIjoiYzJkNmQ0NDE4YzEzNGRmM2Y2YjQ4M2I3YzVkZjVlNzUiLCJ1c2VySWQiOiI4NDYxOTIwMTUifQ==</vt:lpwstr>
  </property>
</Properties>
</file>