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774C1D">
      <w:pPr>
        <w:widowControl w:val="0"/>
        <w:tabs>
          <w:tab w:val="left" w:pos="1630"/>
        </w:tabs>
        <w:autoSpaceDE w:val="0"/>
        <w:autoSpaceDN w:val="0"/>
        <w:spacing w:line="460" w:lineRule="exact"/>
        <w:ind w:left="8"/>
        <w:jc w:val="center"/>
        <w:outlineLvl w:val="0"/>
        <w:rPr>
          <w:rFonts w:ascii="宋体" w:hAnsi="宋体" w:eastAsia="宋体" w:cs="宋体"/>
          <w:sz w:val="36"/>
          <w:szCs w:val="36"/>
          <w:lang w:val="en-US" w:eastAsia="zh-CN" w:bidi="ar-SA"/>
        </w:rPr>
      </w:pPr>
      <w:r>
        <w:rPr>
          <w:rFonts w:hint="eastAsia" w:ascii="宋体" w:hAnsi="宋体" w:eastAsia="宋体" w:cs="宋体"/>
          <w:b/>
          <w:bCs/>
          <w:sz w:val="36"/>
          <w:szCs w:val="36"/>
          <w:lang w:val="en-US" w:eastAsia="zh-CN" w:bidi="ar-SA"/>
        </w:rPr>
        <w:t>采购需求</w:t>
      </w:r>
    </w:p>
    <w:p w14:paraId="50405912">
      <w:pPr>
        <w:widowControl w:val="0"/>
        <w:autoSpaceDE w:val="0"/>
        <w:autoSpaceDN w:val="0"/>
        <w:spacing w:before="1"/>
        <w:ind w:left="121"/>
        <w:rPr>
          <w:rFonts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一、采购标的</w:t>
      </w:r>
    </w:p>
    <w:p w14:paraId="4ABE2B3D">
      <w:pPr>
        <w:widowControl w:val="0"/>
        <w:tabs>
          <w:tab w:val="left" w:pos="470"/>
          <w:tab w:val="left" w:pos="7040"/>
        </w:tabs>
        <w:autoSpaceDE w:val="0"/>
        <w:autoSpaceDN w:val="0"/>
        <w:spacing w:before="154" w:line="360" w:lineRule="auto"/>
        <w:ind w:left="121" w:right="1830" w:firstLine="269" w:firstLineChars="100"/>
        <w:rPr>
          <w:rFonts w:ascii="宋体" w:hAnsi="宋体" w:eastAsia="宋体" w:cs="宋体"/>
          <w:sz w:val="24"/>
          <w:szCs w:val="22"/>
          <w:lang w:val="en-US" w:eastAsia="zh-CN" w:bidi="ar-SA"/>
        </w:rPr>
      </w:pPr>
      <w:r>
        <w:rPr>
          <w:rFonts w:hint="eastAsia" w:ascii="宋体" w:hAnsi="宋体" w:eastAsia="宋体" w:cs="宋体"/>
          <w:spacing w:val="-2"/>
          <w:w w:val="114"/>
          <w:sz w:val="24"/>
          <w:szCs w:val="24"/>
          <w:lang w:val="en-US" w:eastAsia="zh-CN" w:bidi="ar-SA"/>
        </w:rPr>
        <w:t>1.</w:t>
      </w:r>
      <w:r>
        <w:rPr>
          <w:rFonts w:hint="eastAsia" w:ascii="宋体" w:hAnsi="宋体" w:eastAsia="宋体" w:cs="宋体"/>
          <w:sz w:val="24"/>
          <w:szCs w:val="22"/>
          <w:lang w:val="en-US" w:eastAsia="zh-CN" w:bidi="ar-SA"/>
        </w:rPr>
        <w:t>采购标的（货物需求一览表）</w:t>
      </w:r>
    </w:p>
    <w:tbl>
      <w:tblPr>
        <w:tblStyle w:val="3"/>
        <w:tblW w:w="770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86"/>
        <w:gridCol w:w="3084"/>
        <w:gridCol w:w="1551"/>
        <w:gridCol w:w="2082"/>
      </w:tblGrid>
      <w:tr w14:paraId="613A5E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D7EAD">
            <w:pPr>
              <w:widowControl w:val="0"/>
              <w:autoSpaceDE w:val="0"/>
              <w:autoSpaceDN w:val="0"/>
              <w:jc w:val="center"/>
              <w:rPr>
                <w:rFonts w:ascii="宋体" w:hAnsi="宋体" w:eastAsia="宋体" w:cs="宋体"/>
                <w:b/>
                <w:bCs/>
                <w:sz w:val="24"/>
                <w:szCs w:val="24"/>
                <w:lang w:val="en-US" w:eastAsia="zh-CN" w:bidi="ar-SA"/>
              </w:rPr>
            </w:pPr>
            <w:bookmarkStart w:id="0" w:name="RANGE!J9"/>
            <w:r>
              <w:rPr>
                <w:rFonts w:hint="eastAsia" w:ascii="宋体" w:hAnsi="宋体" w:eastAsia="宋体" w:cs="宋体"/>
                <w:b/>
                <w:bCs/>
                <w:sz w:val="24"/>
                <w:szCs w:val="24"/>
                <w:lang w:val="en-US" w:eastAsia="zh-CN" w:bidi="ar-SA"/>
              </w:rPr>
              <w:t>包号</w:t>
            </w:r>
            <w:bookmarkEnd w:id="0"/>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A7E2D">
            <w:pPr>
              <w:widowControl w:val="0"/>
              <w:autoSpaceDE w:val="0"/>
              <w:autoSpaceDN w:val="0"/>
              <w:jc w:val="center"/>
              <w:rPr>
                <w:rFonts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标的名称</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3F1B1">
            <w:pPr>
              <w:widowControl w:val="0"/>
              <w:autoSpaceDE w:val="0"/>
              <w:autoSpaceDN w:val="0"/>
              <w:jc w:val="center"/>
              <w:rPr>
                <w:rFonts w:ascii="宋体" w:hAnsi="宋体" w:eastAsia="宋体" w:cs="宋体"/>
                <w:b/>
                <w:bCs/>
                <w:sz w:val="24"/>
                <w:szCs w:val="24"/>
                <w:highlight w:val="none"/>
                <w:lang w:val="en-US" w:eastAsia="en-US" w:bidi="ar-SA"/>
              </w:rPr>
            </w:pPr>
            <w:r>
              <w:rPr>
                <w:rFonts w:hint="eastAsia" w:ascii="宋体" w:hAnsi="宋体" w:eastAsia="宋体" w:cs="宋体"/>
                <w:b/>
                <w:bCs/>
                <w:sz w:val="24"/>
                <w:szCs w:val="24"/>
                <w:highlight w:val="none"/>
                <w:lang w:val="en-US" w:eastAsia="en-US" w:bidi="ar-SA"/>
              </w:rPr>
              <w:t>数量</w:t>
            </w:r>
          </w:p>
        </w:tc>
        <w:tc>
          <w:tcPr>
            <w:tcW w:w="2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3D951">
            <w:pPr>
              <w:widowControl w:val="0"/>
              <w:autoSpaceDE w:val="0"/>
              <w:autoSpaceDN w:val="0"/>
              <w:jc w:val="center"/>
              <w:rPr>
                <w:rFonts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是否允许采购进口产品</w:t>
            </w:r>
          </w:p>
        </w:tc>
      </w:tr>
      <w:tr w14:paraId="3AE177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9" w:hRule="atLeast"/>
          <w:tblHeader/>
          <w:jc w:val="center"/>
        </w:trPr>
        <w:tc>
          <w:tcPr>
            <w:tcW w:w="986" w:type="dxa"/>
            <w:tcBorders>
              <w:top w:val="single" w:color="000000" w:sz="4" w:space="0"/>
              <w:left w:val="single" w:color="000000" w:sz="4" w:space="0"/>
              <w:right w:val="single" w:color="000000" w:sz="4" w:space="0"/>
            </w:tcBorders>
            <w:shd w:val="clear" w:color="auto" w:fill="auto"/>
            <w:vAlign w:val="center"/>
          </w:tcPr>
          <w:p w14:paraId="67B876CF">
            <w:pPr>
              <w:widowControl w:val="0"/>
              <w:autoSpaceDE w:val="0"/>
              <w:autoSpaceDN w:val="0"/>
              <w:jc w:val="center"/>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1</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971C3">
            <w:pPr>
              <w:widowControl w:val="0"/>
              <w:autoSpaceDE w:val="0"/>
              <w:autoSpaceDN w:val="0"/>
              <w:jc w:val="center"/>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核心存储扩容</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421B1">
            <w:pPr>
              <w:widowControl/>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详见“二、技术要求”</w:t>
            </w:r>
          </w:p>
        </w:tc>
        <w:tc>
          <w:tcPr>
            <w:tcW w:w="2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F68A4">
            <w:pPr>
              <w:widowControl/>
              <w:jc w:val="center"/>
              <w:rPr>
                <w:rFonts w:ascii="宋体" w:hAnsi="宋体" w:eastAsia="宋体" w:cs="宋体"/>
                <w:sz w:val="24"/>
                <w:szCs w:val="24"/>
                <w:lang w:eastAsia="zh-CN"/>
              </w:rPr>
            </w:pPr>
            <w:r>
              <w:rPr>
                <w:rFonts w:hint="eastAsia" w:ascii="宋体" w:hAnsi="宋体" w:eastAsia="宋体" w:cs="宋体"/>
                <w:sz w:val="24"/>
                <w:szCs w:val="24"/>
              </w:rPr>
              <w:t>否</w:t>
            </w:r>
          </w:p>
        </w:tc>
      </w:tr>
    </w:tbl>
    <w:p w14:paraId="18AFFC03">
      <w:pPr>
        <w:widowControl w:val="0"/>
        <w:tabs>
          <w:tab w:val="left" w:pos="1197"/>
        </w:tabs>
        <w:autoSpaceDE w:val="0"/>
        <w:autoSpaceDN w:val="0"/>
        <w:spacing w:before="0" w:line="486" w:lineRule="exact"/>
        <w:ind w:left="0" w:right="233" w:firstLine="0"/>
        <w:jc w:val="both"/>
        <w:rPr>
          <w:rFonts w:ascii="宋体" w:hAnsi="宋体" w:eastAsia="宋体" w:cs="宋体"/>
          <w:b/>
          <w:bCs/>
          <w:sz w:val="24"/>
          <w:szCs w:val="22"/>
          <w:lang w:val="en-US" w:eastAsia="zh-CN" w:bidi="ar-SA"/>
        </w:rPr>
      </w:pPr>
      <w:r>
        <w:rPr>
          <w:rFonts w:hint="eastAsia" w:ascii="宋体" w:hAnsi="宋体" w:eastAsia="宋体" w:cs="宋体"/>
          <w:b/>
          <w:bCs/>
          <w:sz w:val="24"/>
          <w:szCs w:val="22"/>
          <w:lang w:val="en-US" w:eastAsia="zh-CN" w:bidi="ar-SA"/>
        </w:rPr>
        <w:t>二、商务要求</w:t>
      </w:r>
    </w:p>
    <w:p w14:paraId="690DF8A1">
      <w:pPr>
        <w:widowControl w:val="0"/>
        <w:tabs>
          <w:tab w:val="left" w:pos="1197"/>
        </w:tabs>
        <w:autoSpaceDE w:val="0"/>
        <w:autoSpaceDN w:val="0"/>
        <w:spacing w:before="0" w:line="486" w:lineRule="exact"/>
        <w:ind w:left="0" w:right="233" w:firstLine="0"/>
        <w:jc w:val="both"/>
        <w:rPr>
          <w:rFonts w:ascii="宋体" w:hAnsi="宋体" w:eastAsia="宋体" w:cs="宋体"/>
          <w:b/>
          <w:bCs/>
          <w:sz w:val="24"/>
          <w:szCs w:val="24"/>
          <w:highlight w:val="none"/>
          <w:lang w:val="en-US" w:eastAsia="zh-CN" w:bidi="ar-SA"/>
        </w:rPr>
      </w:pPr>
      <w:r>
        <w:rPr>
          <w:rFonts w:hint="eastAsia" w:ascii="宋体" w:hAnsi="宋体" w:eastAsia="宋体" w:cs="宋体"/>
          <w:b/>
          <w:bCs/>
          <w:sz w:val="24"/>
          <w:szCs w:val="24"/>
          <w:lang w:val="en-US" w:eastAsia="zh-CN" w:bidi="ar-SA"/>
        </w:rPr>
        <w:t>1.交</w:t>
      </w:r>
      <w:r>
        <w:rPr>
          <w:rFonts w:hint="eastAsia" w:ascii="宋体" w:hAnsi="宋体" w:eastAsia="宋体" w:cs="宋体"/>
          <w:b/>
          <w:bCs/>
          <w:sz w:val="24"/>
          <w:szCs w:val="24"/>
          <w:highlight w:val="none"/>
          <w:lang w:val="en-US" w:eastAsia="zh-CN" w:bidi="ar-SA"/>
        </w:rPr>
        <w:t>货时间和地点：</w:t>
      </w:r>
    </w:p>
    <w:p w14:paraId="21834030">
      <w:pPr>
        <w:widowControl w:val="0"/>
        <w:tabs>
          <w:tab w:val="left" w:pos="1197"/>
        </w:tabs>
        <w:autoSpaceDE w:val="0"/>
        <w:autoSpaceDN w:val="0"/>
        <w:spacing w:before="0" w:line="486" w:lineRule="exact"/>
        <w:ind w:left="0" w:right="233" w:firstLine="480" w:firstLineChars="200"/>
        <w:jc w:val="both"/>
        <w:rPr>
          <w:rFonts w:ascii="宋体" w:hAnsi="宋体" w:eastAsia="宋体" w:cs="宋体"/>
          <w:sz w:val="24"/>
          <w:szCs w:val="24"/>
          <w:highlight w:val="none"/>
          <w:lang w:val="en-US" w:eastAsia="zh-CN" w:bidi="ar-SA"/>
        </w:rPr>
      </w:pPr>
      <w:bookmarkStart w:id="1" w:name="_Toc24278"/>
      <w:bookmarkStart w:id="2" w:name="_Toc14802"/>
      <w:bookmarkStart w:id="3" w:name="_Toc256196753"/>
      <w:bookmarkStart w:id="4" w:name="_Toc8925"/>
      <w:bookmarkStart w:id="5" w:name="_Toc23382"/>
      <w:r>
        <w:rPr>
          <w:rFonts w:hint="eastAsia" w:ascii="宋体" w:hAnsi="宋体" w:eastAsia="宋体" w:cs="宋体"/>
          <w:sz w:val="24"/>
          <w:szCs w:val="24"/>
          <w:highlight w:val="none"/>
          <w:lang w:val="en-US" w:eastAsia="zh-CN" w:bidi="ar-SA"/>
        </w:rPr>
        <w:t>1.1 交货时间：</w:t>
      </w:r>
      <w:bookmarkEnd w:id="1"/>
      <w:bookmarkEnd w:id="2"/>
      <w:bookmarkEnd w:id="3"/>
      <w:bookmarkEnd w:id="4"/>
      <w:bookmarkEnd w:id="5"/>
      <w:r>
        <w:rPr>
          <w:rFonts w:hint="eastAsia" w:ascii="宋体" w:hAnsi="宋体" w:eastAsia="宋体" w:cs="宋体"/>
          <w:sz w:val="24"/>
          <w:szCs w:val="24"/>
          <w:highlight w:val="none"/>
          <w:lang w:val="en-US" w:eastAsia="zh-CN" w:bidi="ar-SA"/>
        </w:rPr>
        <w:t>合同签订后一个月内设备到货及实施完毕</w:t>
      </w:r>
      <w:r>
        <w:rPr>
          <w:rFonts w:hint="eastAsia" w:ascii="宋体" w:hAnsi="宋体" w:eastAsia="宋体" w:cs="宋体"/>
          <w:color w:val="000000"/>
          <w:sz w:val="24"/>
          <w:szCs w:val="22"/>
          <w:highlight w:val="none"/>
          <w:lang w:val="en-US" w:eastAsia="zh-CN" w:bidi="ar-SA"/>
        </w:rPr>
        <w:t>。</w:t>
      </w:r>
    </w:p>
    <w:p w14:paraId="29AB7F6E">
      <w:pPr>
        <w:widowControl w:val="0"/>
        <w:tabs>
          <w:tab w:val="left" w:pos="1197"/>
        </w:tabs>
        <w:autoSpaceDE w:val="0"/>
        <w:autoSpaceDN w:val="0"/>
        <w:spacing w:before="0" w:line="486" w:lineRule="exact"/>
        <w:ind w:left="0" w:right="233" w:firstLine="480" w:firstLineChars="200"/>
        <w:jc w:val="both"/>
        <w:rPr>
          <w:rFonts w:ascii="宋体" w:hAnsi="宋体" w:eastAsia="宋体" w:cs="宋体"/>
          <w:sz w:val="24"/>
          <w:szCs w:val="24"/>
          <w:highlight w:val="none"/>
          <w:lang w:val="en-US" w:eastAsia="zh-CN" w:bidi="ar-SA"/>
        </w:rPr>
      </w:pPr>
      <w:bookmarkStart w:id="6" w:name="_Toc8853"/>
      <w:bookmarkStart w:id="7" w:name="_Toc30936"/>
      <w:bookmarkStart w:id="8" w:name="_Toc194115436"/>
      <w:bookmarkStart w:id="9" w:name="_Toc6107"/>
      <w:bookmarkStart w:id="10" w:name="_Toc19535"/>
      <w:r>
        <w:rPr>
          <w:rFonts w:hint="eastAsia" w:ascii="宋体" w:hAnsi="宋体" w:eastAsia="宋体" w:cs="宋体"/>
          <w:sz w:val="24"/>
          <w:szCs w:val="24"/>
          <w:highlight w:val="none"/>
          <w:lang w:val="en-US" w:eastAsia="zh-CN" w:bidi="ar-SA"/>
        </w:rPr>
        <w:t>1.2 交货地点：</w:t>
      </w:r>
      <w:bookmarkEnd w:id="6"/>
      <w:bookmarkEnd w:id="7"/>
      <w:bookmarkEnd w:id="8"/>
      <w:bookmarkEnd w:id="9"/>
      <w:bookmarkEnd w:id="10"/>
      <w:r>
        <w:rPr>
          <w:rFonts w:hint="eastAsia" w:ascii="宋体" w:hAnsi="宋体" w:eastAsia="宋体" w:cs="宋体"/>
          <w:sz w:val="24"/>
          <w:szCs w:val="24"/>
          <w:highlight w:val="none"/>
          <w:lang w:val="en-US" w:eastAsia="zh-CN" w:bidi="ar-SA"/>
        </w:rPr>
        <w:t>首都医科大学附属北京地坛医院（北京市朝阳区京顺东街8号）</w:t>
      </w:r>
    </w:p>
    <w:p w14:paraId="14A61CCC">
      <w:pPr>
        <w:widowControl w:val="0"/>
        <w:tabs>
          <w:tab w:val="left" w:pos="1197"/>
        </w:tabs>
        <w:autoSpaceDE w:val="0"/>
        <w:autoSpaceDN w:val="0"/>
        <w:spacing w:before="0" w:line="486" w:lineRule="exact"/>
        <w:ind w:left="0" w:right="233" w:firstLine="0"/>
        <w:jc w:val="both"/>
        <w:rPr>
          <w:rFonts w:hint="default" w:ascii="宋体" w:hAnsi="宋体" w:eastAsia="宋体" w:cs="宋体"/>
          <w:sz w:val="20"/>
          <w:szCs w:val="22"/>
          <w:highlight w:val="none"/>
          <w:lang w:val="en-US" w:eastAsia="zh-CN" w:bidi="ar-SA"/>
        </w:rPr>
      </w:pPr>
      <w:r>
        <w:rPr>
          <w:rFonts w:hint="eastAsia" w:ascii="宋体" w:hAnsi="宋体" w:eastAsia="宋体" w:cs="宋体"/>
          <w:b/>
          <w:bCs/>
          <w:sz w:val="24"/>
          <w:szCs w:val="24"/>
          <w:highlight w:val="none"/>
          <w:lang w:val="en-US" w:eastAsia="zh-CN" w:bidi="ar-SA"/>
        </w:rPr>
        <w:t>2.付款条件（进度和方式）</w:t>
      </w:r>
      <w:r>
        <w:rPr>
          <w:rFonts w:hint="eastAsia" w:ascii="宋体" w:hAnsi="宋体" w:eastAsia="宋体" w:cs="宋体"/>
          <w:sz w:val="24"/>
          <w:szCs w:val="24"/>
          <w:highlight w:val="none"/>
          <w:lang w:val="en-US" w:eastAsia="zh-CN" w:bidi="ar-SA"/>
        </w:rPr>
        <w:t>：详见“拟签订的合同文本”。</w:t>
      </w:r>
    </w:p>
    <w:p w14:paraId="76BF7510">
      <w:pPr>
        <w:widowControl w:val="0"/>
        <w:tabs>
          <w:tab w:val="left" w:pos="1197"/>
        </w:tabs>
        <w:autoSpaceDE w:val="0"/>
        <w:autoSpaceDN w:val="0"/>
        <w:spacing w:before="0" w:line="486" w:lineRule="exact"/>
        <w:ind w:left="0" w:right="233" w:firstLine="0"/>
        <w:jc w:val="both"/>
        <w:rPr>
          <w:rFonts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3.包装和运输（如适用，须满足《关于印发〈商品包装政府采购需求标准（试行）〉、〈快递包装政府采购需求标准（试行）〉的通知》（财办库﹝2020﹞123号））：</w:t>
      </w:r>
      <w:r>
        <w:rPr>
          <w:rFonts w:hint="eastAsia" w:ascii="宋体" w:hAnsi="宋体" w:eastAsia="宋体" w:cs="宋体"/>
          <w:sz w:val="24"/>
          <w:szCs w:val="24"/>
          <w:lang w:val="en-US" w:eastAsia="zh-CN" w:bidi="ar-SA"/>
        </w:rPr>
        <w:t>由卖方负责包装和运输。</w:t>
      </w:r>
    </w:p>
    <w:p w14:paraId="3CB16B38">
      <w:pPr>
        <w:widowControl w:val="0"/>
        <w:tabs>
          <w:tab w:val="left" w:pos="1197"/>
        </w:tabs>
        <w:autoSpaceDE w:val="0"/>
        <w:autoSpaceDN w:val="0"/>
        <w:spacing w:before="0" w:line="486" w:lineRule="exact"/>
        <w:ind w:left="0" w:right="233" w:firstLine="0"/>
        <w:jc w:val="both"/>
        <w:rPr>
          <w:rFonts w:hint="eastAsia"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4.质保服务：</w:t>
      </w:r>
    </w:p>
    <w:p w14:paraId="4EBBB835">
      <w:pPr>
        <w:widowControl w:val="0"/>
        <w:tabs>
          <w:tab w:val="left" w:pos="1197"/>
        </w:tabs>
        <w:autoSpaceDE w:val="0"/>
        <w:autoSpaceDN w:val="0"/>
        <w:spacing w:before="0" w:line="486" w:lineRule="exact"/>
        <w:ind w:left="0" w:right="233" w:firstLine="0"/>
        <w:jc w:val="both"/>
        <w:rPr>
          <w:rFonts w:hint="default" w:ascii="宋体" w:hAnsi="宋体" w:eastAsia="宋体" w:cs="宋体"/>
          <w:b w:val="0"/>
          <w:bCs w:val="0"/>
          <w:sz w:val="24"/>
          <w:szCs w:val="24"/>
          <w:highlight w:val="none"/>
          <w:lang w:val="en-US" w:eastAsia="zh-CN" w:bidi="ar-SA"/>
        </w:rPr>
      </w:pPr>
      <w:r>
        <w:rPr>
          <w:rFonts w:hint="default" w:ascii="宋体" w:hAnsi="宋体" w:eastAsia="宋体" w:cs="宋体"/>
          <w:b w:val="0"/>
          <w:bCs w:val="0"/>
          <w:sz w:val="24"/>
          <w:szCs w:val="24"/>
          <w:highlight w:val="none"/>
          <w:lang w:val="en-US" w:eastAsia="zh-CN" w:bidi="ar-SA"/>
        </w:rPr>
        <w:t>系统终验通过后提供扩容硬盘三年免费质保。免费期过后，维保比例不得超过合同总金额的10%。</w:t>
      </w:r>
    </w:p>
    <w:p w14:paraId="2859689D">
      <w:pPr>
        <w:widowControl w:val="0"/>
        <w:tabs>
          <w:tab w:val="left" w:pos="880"/>
        </w:tabs>
        <w:autoSpaceDE w:val="0"/>
        <w:autoSpaceDN w:val="0"/>
        <w:spacing w:before="0" w:line="486" w:lineRule="exact"/>
        <w:ind w:left="0" w:right="6326" w:firstLine="0"/>
        <w:jc w:val="both"/>
        <w:rPr>
          <w:rFonts w:ascii="宋体" w:hAnsi="宋体" w:eastAsia="宋体" w:cs="宋体"/>
          <w:sz w:val="24"/>
          <w:szCs w:val="24"/>
          <w:highlight w:val="none"/>
          <w:lang w:val="en-US" w:eastAsia="zh-CN" w:bidi="ar-SA"/>
        </w:rPr>
      </w:pPr>
      <w:r>
        <w:rPr>
          <w:rFonts w:hint="eastAsia" w:ascii="宋体" w:hAnsi="宋体" w:eastAsia="宋体" w:cs="宋体"/>
          <w:b/>
          <w:bCs/>
          <w:sz w:val="24"/>
          <w:szCs w:val="24"/>
          <w:highlight w:val="none"/>
          <w:lang w:val="en-US" w:eastAsia="zh-CN" w:bidi="ar-SA"/>
        </w:rPr>
        <w:t>三、技术要求</w:t>
      </w:r>
    </w:p>
    <w:p w14:paraId="2F4A0C8F">
      <w:pPr>
        <w:spacing w:line="486" w:lineRule="exact"/>
        <w:ind w:firstLine="241" w:firstLineChars="100"/>
        <w:contextualSpacing/>
        <w:rPr>
          <w:rFonts w:ascii="宋体" w:hAnsi="宋体" w:eastAsia="宋体" w:cs="宋体"/>
          <w:b/>
          <w:bCs/>
          <w:sz w:val="24"/>
          <w:szCs w:val="24"/>
          <w:lang w:eastAsia="zh-CN"/>
        </w:rPr>
      </w:pPr>
      <w:r>
        <w:rPr>
          <w:rFonts w:hint="eastAsia" w:ascii="宋体" w:hAnsi="宋体" w:eastAsia="宋体" w:cs="宋体"/>
          <w:b/>
          <w:bCs/>
          <w:sz w:val="24"/>
          <w:szCs w:val="24"/>
          <w:lang w:eastAsia="zh-CN"/>
        </w:rPr>
        <w:t>1. 基本要求</w:t>
      </w:r>
    </w:p>
    <w:p w14:paraId="0FF205FC">
      <w:pPr>
        <w:spacing w:line="486" w:lineRule="exact"/>
        <w:ind w:firstLine="241" w:firstLineChars="100"/>
        <w:contextualSpacing/>
        <w:rPr>
          <w:rFonts w:ascii="宋体" w:hAnsi="宋体" w:eastAsia="宋体" w:cs="宋体"/>
          <w:b/>
          <w:bCs/>
          <w:sz w:val="24"/>
          <w:szCs w:val="24"/>
          <w:lang w:eastAsia="zh-CN"/>
        </w:rPr>
      </w:pPr>
      <w:r>
        <w:rPr>
          <w:rFonts w:hint="eastAsia" w:ascii="宋体" w:hAnsi="宋体" w:eastAsia="宋体" w:cs="宋体"/>
          <w:b/>
          <w:bCs/>
          <w:sz w:val="24"/>
          <w:szCs w:val="24"/>
          <w:lang w:eastAsia="zh-CN"/>
        </w:rPr>
        <w:t>1.1 采购标的需实现的功能或者目标</w:t>
      </w:r>
    </w:p>
    <w:p w14:paraId="3B16B29C">
      <w:pPr>
        <w:adjustRightInd w:val="0"/>
        <w:spacing w:line="486" w:lineRule="exact"/>
        <w:ind w:firstLine="480" w:firstLineChars="200"/>
        <w:rPr>
          <w:rFonts w:hint="eastAsia" w:ascii="Arial Regular" w:hAnsi="Arial Regular" w:eastAsia="宋体" w:cs="Arial Regular"/>
          <w:bCs/>
          <w:sz w:val="24"/>
          <w:szCs w:val="24"/>
          <w:highlight w:val="none"/>
          <w:lang w:val="en-US" w:eastAsia="zh-CN"/>
        </w:rPr>
      </w:pPr>
      <w:r>
        <w:rPr>
          <w:rFonts w:hint="eastAsia" w:ascii="宋体" w:hAnsi="宋体" w:eastAsia="宋体" w:cs="宋体"/>
          <w:sz w:val="24"/>
          <w:szCs w:val="24"/>
          <w:lang w:eastAsia="zh-CN"/>
        </w:rPr>
        <w:t>本次招标采</w:t>
      </w:r>
      <w:r>
        <w:rPr>
          <w:rFonts w:hint="eastAsia" w:ascii="宋体" w:hAnsi="宋体" w:eastAsia="宋体" w:cs="宋体"/>
          <w:sz w:val="24"/>
          <w:szCs w:val="24"/>
          <w:highlight w:val="none"/>
          <w:lang w:eastAsia="zh-CN"/>
        </w:rPr>
        <w:t>购是为</w:t>
      </w:r>
      <w:r>
        <w:rPr>
          <w:rFonts w:hint="eastAsia" w:ascii="宋体" w:hAnsi="宋体" w:eastAsia="宋体" w:cs="宋体"/>
          <w:kern w:val="2"/>
          <w:sz w:val="24"/>
          <w:szCs w:val="24"/>
          <w:highlight w:val="none"/>
          <w:lang w:eastAsia="zh-CN"/>
        </w:rPr>
        <w:t>首都医科大学附属北京地坛医院</w:t>
      </w:r>
      <w:r>
        <w:rPr>
          <w:rFonts w:hint="eastAsia" w:ascii="宋体" w:hAnsi="宋体" w:eastAsia="宋体" w:cs="宋体"/>
          <w:sz w:val="24"/>
          <w:highlight w:val="none"/>
          <w:lang w:eastAsia="zh-CN"/>
        </w:rPr>
        <w:t>配置</w:t>
      </w:r>
      <w:r>
        <w:rPr>
          <w:rFonts w:hint="eastAsia" w:ascii="Arial Regular" w:hAnsi="Arial Regular" w:eastAsia="宋体" w:cs="Arial Regular"/>
          <w:bCs/>
          <w:sz w:val="24"/>
          <w:szCs w:val="24"/>
          <w:highlight w:val="none"/>
          <w:lang w:val="en-US" w:eastAsia="zh-CN"/>
        </w:rPr>
        <w:t>核心存储固态硬盘硬件产品，对现有核心存储空间进行扩容，为核心虚拟化平台（VMware）和HIS数据库提供更大的存储空间，满足业务系统的需求，同时为业务系统的增长提供充足的存储空间，保障现有业务系统的连续性和可靠性。</w:t>
      </w:r>
    </w:p>
    <w:p w14:paraId="48C7B48B">
      <w:pPr>
        <w:adjustRightInd w:val="0"/>
        <w:spacing w:line="486" w:lineRule="exact"/>
        <w:ind w:firstLine="480" w:firstLineChars="2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供应商应根据招标文件所提出的技术规格和服务要求，综合考虑所投货物的适用性，选择具有最佳性能价格比的货物前来投标。供应商应以先进的技术、优良的服务和优惠的价格，充分显示自己的竞争实力。</w:t>
      </w:r>
    </w:p>
    <w:p w14:paraId="10D853C3">
      <w:pPr>
        <w:spacing w:line="486" w:lineRule="exact"/>
        <w:ind w:firstLine="241" w:firstLineChars="100"/>
        <w:contextualSpacing/>
        <w:rPr>
          <w:rFonts w:ascii="宋体" w:hAnsi="宋体" w:eastAsia="宋体" w:cs="宋体"/>
          <w:sz w:val="24"/>
          <w:szCs w:val="24"/>
          <w:lang w:eastAsia="zh-CN"/>
        </w:rPr>
      </w:pPr>
      <w:r>
        <w:rPr>
          <w:rFonts w:hint="eastAsia" w:ascii="宋体" w:hAnsi="宋体" w:eastAsia="宋体" w:cs="宋体"/>
          <w:b/>
          <w:bCs/>
          <w:sz w:val="24"/>
          <w:szCs w:val="24"/>
          <w:lang w:eastAsia="zh-CN"/>
        </w:rPr>
        <w:t>1.2 需执行的国家相关标准、行业标准、地方标准或者其他标准、规范</w:t>
      </w:r>
    </w:p>
    <w:p w14:paraId="1D38ED3A">
      <w:pPr>
        <w:autoSpaceDE/>
        <w:autoSpaceDN/>
        <w:spacing w:line="486" w:lineRule="exact"/>
        <w:ind w:left="240" w:leftChars="109" w:firstLine="240" w:firstLineChars="100"/>
        <w:rPr>
          <w:rFonts w:ascii="宋体" w:hAnsi="宋体" w:eastAsia="宋体" w:cs="宋体"/>
          <w:sz w:val="24"/>
          <w:szCs w:val="24"/>
          <w:lang w:eastAsia="zh-CN"/>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lang w:eastAsia="zh-CN"/>
        </w:rPr>
        <w:t>)投标产品及制造商应符合国家有关部门规定的相应技术、计量、节能、安全和环保法规及标准，如国家有关部门对投标产品或其制造商有强制性规定或要求的，投标产品或其制造商必须符合相应规定或要求，供应商须提供相关证明文件。</w:t>
      </w:r>
    </w:p>
    <w:p w14:paraId="7A6C51E3">
      <w:pPr>
        <w:spacing w:line="486" w:lineRule="exact"/>
        <w:ind w:firstLine="241" w:firstLineChars="100"/>
        <w:contextualSpacing/>
        <w:rPr>
          <w:rFonts w:ascii="宋体" w:hAnsi="宋体" w:eastAsia="宋体" w:cs="宋体"/>
          <w:b/>
          <w:bCs/>
          <w:sz w:val="24"/>
          <w:szCs w:val="24"/>
          <w:lang w:eastAsia="zh-CN"/>
        </w:rPr>
      </w:pPr>
      <w:r>
        <w:rPr>
          <w:rFonts w:hint="eastAsia" w:ascii="宋体" w:hAnsi="宋体" w:eastAsia="宋体" w:cs="宋体"/>
          <w:b/>
          <w:bCs/>
          <w:sz w:val="24"/>
          <w:szCs w:val="24"/>
          <w:lang w:eastAsia="zh-CN"/>
        </w:rPr>
        <w:t>2.货物技术要求</w:t>
      </w:r>
    </w:p>
    <w:p w14:paraId="086E4127">
      <w:pPr>
        <w:widowControl/>
        <w:spacing w:line="486" w:lineRule="exact"/>
        <w:ind w:left="-1" w:firstLine="241" w:firstLineChars="100"/>
        <w:contextualSpacing/>
        <w:rPr>
          <w:rFonts w:ascii="宋体" w:hAnsi="宋体" w:eastAsia="宋体" w:cs="宋体"/>
          <w:b/>
          <w:bCs/>
          <w:sz w:val="24"/>
          <w:szCs w:val="24"/>
          <w:lang w:eastAsia="zh-CN"/>
        </w:rPr>
      </w:pPr>
      <w:r>
        <w:rPr>
          <w:rFonts w:hint="eastAsia" w:ascii="宋体" w:hAnsi="宋体" w:eastAsia="宋体" w:cs="宋体"/>
          <w:b/>
          <w:bCs/>
          <w:sz w:val="24"/>
          <w:szCs w:val="24"/>
          <w:lang w:eastAsia="zh-CN"/>
        </w:rPr>
        <w:t>2.1 采购标的需满足的性能、材料、结构、外观、质量、安全、技术规格、物理特性等要求；</w:t>
      </w:r>
    </w:p>
    <w:tbl>
      <w:tblPr>
        <w:tblStyle w:val="3"/>
        <w:tblW w:w="107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5"/>
        <w:gridCol w:w="1212"/>
        <w:gridCol w:w="1131"/>
        <w:gridCol w:w="5631"/>
        <w:gridCol w:w="1897"/>
      </w:tblGrid>
      <w:tr w14:paraId="20818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35" w:type="dxa"/>
            <w:tcBorders>
              <w:top w:val="single" w:color="auto" w:sz="4" w:space="0"/>
              <w:left w:val="single" w:color="auto" w:sz="4" w:space="0"/>
              <w:bottom w:val="single" w:color="auto" w:sz="4" w:space="0"/>
              <w:right w:val="single" w:color="auto" w:sz="4" w:space="0"/>
              <w:tl2br w:val="nil"/>
              <w:tr2bl w:val="nil"/>
            </w:tcBorders>
            <w:vAlign w:val="center"/>
          </w:tcPr>
          <w:p w14:paraId="419BB56E">
            <w:pPr>
              <w:widowControl/>
              <w:spacing w:beforeLines="0" w:afterLines="0" w:line="240" w:lineRule="auto"/>
              <w:jc w:val="center"/>
              <w:rPr>
                <w:rFonts w:hint="default" w:ascii="宋体" w:hAnsi="宋体" w:eastAsia="宋体" w:cs="宋体"/>
                <w:b/>
                <w:sz w:val="24"/>
                <w:szCs w:val="24"/>
                <w:highlight w:val="none"/>
              </w:rPr>
            </w:pPr>
            <w:r>
              <w:rPr>
                <w:rFonts w:hint="default" w:ascii="宋体" w:hAnsi="宋体" w:eastAsia="宋体" w:cs="宋体"/>
                <w:b/>
                <w:sz w:val="24"/>
                <w:szCs w:val="24"/>
                <w:highlight w:val="none"/>
              </w:rPr>
              <w:t>序号</w:t>
            </w:r>
          </w:p>
        </w:tc>
        <w:tc>
          <w:tcPr>
            <w:tcW w:w="1212" w:type="dxa"/>
            <w:tcBorders>
              <w:top w:val="single" w:color="auto" w:sz="4" w:space="0"/>
              <w:left w:val="single" w:color="auto" w:sz="4" w:space="0"/>
              <w:bottom w:val="single" w:color="auto" w:sz="4" w:space="0"/>
              <w:right w:val="single" w:color="auto" w:sz="4" w:space="0"/>
              <w:tl2br w:val="nil"/>
              <w:tr2bl w:val="nil"/>
            </w:tcBorders>
            <w:vAlign w:val="center"/>
          </w:tcPr>
          <w:p w14:paraId="259A13B8">
            <w:pPr>
              <w:widowControl/>
              <w:spacing w:beforeLines="0" w:afterLines="0" w:line="240" w:lineRule="auto"/>
              <w:jc w:val="center"/>
              <w:rPr>
                <w:rFonts w:hint="default" w:ascii="宋体" w:hAnsi="宋体" w:eastAsia="宋体" w:cs="宋体"/>
                <w:b/>
                <w:sz w:val="24"/>
                <w:szCs w:val="24"/>
                <w:highlight w:val="none"/>
              </w:rPr>
            </w:pPr>
            <w:r>
              <w:rPr>
                <w:rFonts w:hint="default" w:ascii="宋体" w:hAnsi="宋体" w:eastAsia="宋体" w:cs="宋体"/>
                <w:b/>
                <w:sz w:val="24"/>
                <w:szCs w:val="24"/>
                <w:highlight w:val="none"/>
              </w:rPr>
              <w:t>指标项</w:t>
            </w:r>
          </w:p>
        </w:tc>
        <w:tc>
          <w:tcPr>
            <w:tcW w:w="1131" w:type="dxa"/>
            <w:tcBorders>
              <w:top w:val="single" w:color="auto" w:sz="4" w:space="0"/>
              <w:left w:val="single" w:color="auto" w:sz="4" w:space="0"/>
              <w:bottom w:val="single" w:color="auto" w:sz="4" w:space="0"/>
              <w:right w:val="single" w:color="auto" w:sz="4" w:space="0"/>
              <w:tl2br w:val="nil"/>
              <w:tr2bl w:val="nil"/>
            </w:tcBorders>
            <w:vAlign w:val="center"/>
          </w:tcPr>
          <w:p w14:paraId="32DF3F5F">
            <w:pPr>
              <w:widowControl/>
              <w:spacing w:beforeLines="0" w:afterLines="0" w:line="240" w:lineRule="auto"/>
              <w:jc w:val="center"/>
              <w:rPr>
                <w:rFonts w:hint="default" w:ascii="宋体" w:hAnsi="宋体" w:eastAsia="宋体" w:cs="宋体"/>
                <w:b/>
                <w:sz w:val="24"/>
                <w:szCs w:val="24"/>
                <w:highlight w:val="none"/>
              </w:rPr>
            </w:pPr>
            <w:r>
              <w:rPr>
                <w:rFonts w:hint="default" w:ascii="宋体" w:hAnsi="宋体" w:eastAsia="宋体" w:cs="宋体"/>
                <w:b/>
                <w:sz w:val="24"/>
                <w:szCs w:val="24"/>
                <w:highlight w:val="none"/>
              </w:rPr>
              <w:t>重要性</w:t>
            </w:r>
          </w:p>
        </w:tc>
        <w:tc>
          <w:tcPr>
            <w:tcW w:w="5631" w:type="dxa"/>
            <w:tcBorders>
              <w:top w:val="single" w:color="auto" w:sz="4" w:space="0"/>
              <w:left w:val="single" w:color="auto" w:sz="4" w:space="0"/>
              <w:bottom w:val="single" w:color="auto" w:sz="4" w:space="0"/>
              <w:right w:val="single" w:color="auto" w:sz="4" w:space="0"/>
              <w:tl2br w:val="nil"/>
              <w:tr2bl w:val="nil"/>
            </w:tcBorders>
            <w:vAlign w:val="center"/>
          </w:tcPr>
          <w:p w14:paraId="68469AE1">
            <w:pPr>
              <w:widowControl/>
              <w:spacing w:beforeLines="0" w:afterLines="0" w:line="240" w:lineRule="auto"/>
              <w:jc w:val="center"/>
              <w:rPr>
                <w:rFonts w:hint="default" w:ascii="宋体" w:hAnsi="宋体" w:eastAsia="宋体" w:cs="宋体"/>
                <w:b/>
                <w:sz w:val="24"/>
                <w:szCs w:val="24"/>
                <w:highlight w:val="none"/>
              </w:rPr>
            </w:pPr>
            <w:r>
              <w:rPr>
                <w:rFonts w:hint="default" w:ascii="宋体" w:hAnsi="宋体" w:eastAsia="宋体" w:cs="宋体"/>
                <w:b/>
                <w:sz w:val="24"/>
                <w:szCs w:val="24"/>
                <w:highlight w:val="none"/>
              </w:rPr>
              <w:t>指标要求</w:t>
            </w:r>
          </w:p>
        </w:tc>
        <w:tc>
          <w:tcPr>
            <w:tcW w:w="1897" w:type="dxa"/>
            <w:tcBorders>
              <w:top w:val="single" w:color="auto" w:sz="4" w:space="0"/>
              <w:left w:val="single" w:color="auto" w:sz="4" w:space="0"/>
              <w:bottom w:val="single" w:color="auto" w:sz="4" w:space="0"/>
              <w:right w:val="single" w:color="auto" w:sz="4" w:space="0"/>
              <w:tl2br w:val="nil"/>
              <w:tr2bl w:val="nil"/>
            </w:tcBorders>
            <w:vAlign w:val="center"/>
          </w:tcPr>
          <w:p w14:paraId="5DC2FB4C">
            <w:pPr>
              <w:widowControl/>
              <w:spacing w:beforeLines="0" w:afterLines="0" w:line="240" w:lineRule="auto"/>
              <w:jc w:val="center"/>
              <w:rPr>
                <w:rFonts w:hint="default" w:ascii="宋体" w:hAnsi="宋体" w:eastAsia="宋体" w:cs="宋体"/>
                <w:b/>
                <w:sz w:val="24"/>
                <w:szCs w:val="24"/>
                <w:highlight w:val="none"/>
              </w:rPr>
            </w:pPr>
            <w:r>
              <w:rPr>
                <w:rFonts w:hint="default" w:ascii="宋体" w:hAnsi="宋体" w:eastAsia="宋体" w:cs="宋体"/>
                <w:b/>
                <w:sz w:val="24"/>
                <w:szCs w:val="24"/>
                <w:highlight w:val="none"/>
              </w:rPr>
              <w:t>证明材料要求</w:t>
            </w:r>
          </w:p>
        </w:tc>
      </w:tr>
      <w:tr w14:paraId="5BA98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835" w:type="dxa"/>
            <w:tcBorders>
              <w:top w:val="single" w:color="auto" w:sz="4" w:space="0"/>
              <w:left w:val="single" w:color="auto" w:sz="4" w:space="0"/>
              <w:bottom w:val="single" w:color="auto" w:sz="4" w:space="0"/>
              <w:right w:val="single" w:color="auto" w:sz="4" w:space="0"/>
              <w:tl2br w:val="nil"/>
              <w:tr2bl w:val="nil"/>
            </w:tcBorders>
            <w:vAlign w:val="center"/>
          </w:tcPr>
          <w:p w14:paraId="4FCB2003">
            <w:pPr>
              <w:widowControl/>
              <w:spacing w:beforeLines="0" w:afterLines="0" w:line="240" w:lineRule="auto"/>
              <w:jc w:val="center"/>
              <w:rPr>
                <w:rFonts w:hint="default" w:ascii="宋体" w:hAnsi="宋体" w:eastAsia="宋体" w:cs="宋体"/>
                <w:sz w:val="24"/>
                <w:szCs w:val="24"/>
                <w:highlight w:val="none"/>
              </w:rPr>
            </w:pPr>
            <w:r>
              <w:rPr>
                <w:rFonts w:hint="default" w:ascii="宋体" w:hAnsi="宋体" w:eastAsia="宋体" w:cs="宋体"/>
                <w:sz w:val="24"/>
                <w:szCs w:val="24"/>
                <w:highlight w:val="none"/>
              </w:rPr>
              <w:t>1</w:t>
            </w:r>
          </w:p>
        </w:tc>
        <w:tc>
          <w:tcPr>
            <w:tcW w:w="1212" w:type="dxa"/>
            <w:tcBorders>
              <w:top w:val="single" w:color="auto" w:sz="4" w:space="0"/>
              <w:left w:val="single" w:color="auto" w:sz="4" w:space="0"/>
              <w:bottom w:val="single" w:color="auto" w:sz="4" w:space="0"/>
              <w:right w:val="single" w:color="auto" w:sz="4" w:space="0"/>
              <w:tl2br w:val="nil"/>
              <w:tr2bl w:val="nil"/>
            </w:tcBorders>
            <w:vAlign w:val="center"/>
          </w:tcPr>
          <w:p w14:paraId="59BC07CD">
            <w:pPr>
              <w:widowControl/>
              <w:spacing w:beforeLines="0" w:afterLines="0" w:line="240" w:lineRule="auto"/>
              <w:jc w:val="center"/>
              <w:rPr>
                <w:rFonts w:hint="default" w:ascii="宋体" w:hAnsi="宋体" w:eastAsia="宋体" w:cs="宋体"/>
                <w:sz w:val="24"/>
                <w:szCs w:val="24"/>
                <w:highlight w:val="none"/>
              </w:rPr>
            </w:pPr>
            <w:r>
              <w:rPr>
                <w:rFonts w:hint="default" w:ascii="宋体" w:hAnsi="宋体" w:eastAsia="宋体" w:cs="宋体"/>
                <w:sz w:val="24"/>
                <w:szCs w:val="24"/>
                <w:highlight w:val="none"/>
              </w:rPr>
              <w:t>兼容性要求</w:t>
            </w:r>
          </w:p>
        </w:tc>
        <w:tc>
          <w:tcPr>
            <w:tcW w:w="1131" w:type="dxa"/>
            <w:tcBorders>
              <w:top w:val="single" w:color="auto" w:sz="4" w:space="0"/>
              <w:left w:val="single" w:color="auto" w:sz="4" w:space="0"/>
              <w:bottom w:val="single" w:color="auto" w:sz="4" w:space="0"/>
              <w:right w:val="single" w:color="auto" w:sz="4" w:space="0"/>
              <w:tl2br w:val="nil"/>
              <w:tr2bl w:val="nil"/>
            </w:tcBorders>
            <w:vAlign w:val="center"/>
          </w:tcPr>
          <w:p w14:paraId="35E89E91">
            <w:pPr>
              <w:widowControl/>
              <w:spacing w:beforeLines="0" w:afterLines="0" w:line="240" w:lineRule="auto"/>
              <w:jc w:val="center"/>
              <w:rPr>
                <w:rFonts w:hint="default" w:ascii="宋体" w:hAnsi="宋体" w:eastAsia="宋体" w:cs="宋体"/>
                <w:sz w:val="24"/>
                <w:szCs w:val="24"/>
                <w:highlight w:val="none"/>
              </w:rPr>
            </w:pPr>
            <w:r>
              <w:rPr>
                <w:rFonts w:hint="default" w:ascii="宋体" w:hAnsi="宋体" w:eastAsia="宋体" w:cs="宋体"/>
                <w:sz w:val="24"/>
                <w:szCs w:val="24"/>
                <w:highlight w:val="none"/>
              </w:rPr>
              <w:t>★</w:t>
            </w:r>
          </w:p>
        </w:tc>
        <w:tc>
          <w:tcPr>
            <w:tcW w:w="5631" w:type="dxa"/>
            <w:tcBorders>
              <w:top w:val="single" w:color="auto" w:sz="4" w:space="0"/>
              <w:left w:val="single" w:color="auto" w:sz="4" w:space="0"/>
              <w:bottom w:val="single" w:color="auto" w:sz="4" w:space="0"/>
              <w:right w:val="single" w:color="auto" w:sz="4" w:space="0"/>
              <w:tl2br w:val="nil"/>
              <w:tr2bl w:val="nil"/>
            </w:tcBorders>
            <w:vAlign w:val="center"/>
          </w:tcPr>
          <w:p w14:paraId="6D291B62">
            <w:pPr>
              <w:widowControl/>
              <w:spacing w:beforeLines="0" w:afterLines="0" w:line="240" w:lineRule="auto"/>
              <w:rPr>
                <w:rFonts w:hint="default" w:ascii="宋体" w:hAnsi="宋体" w:eastAsia="宋体" w:cs="宋体"/>
                <w:b/>
                <w:sz w:val="24"/>
                <w:szCs w:val="24"/>
                <w:highlight w:val="none"/>
              </w:rPr>
            </w:pPr>
            <w:r>
              <w:rPr>
                <w:rFonts w:hint="default" w:ascii="宋体" w:hAnsi="宋体" w:eastAsia="宋体" w:cs="宋体"/>
                <w:sz w:val="24"/>
                <w:szCs w:val="24"/>
                <w:highlight w:val="none"/>
              </w:rPr>
              <w:t>新购固态硬盘需兼容H3C CF6650存储。</w:t>
            </w:r>
          </w:p>
        </w:tc>
        <w:tc>
          <w:tcPr>
            <w:tcW w:w="1897" w:type="dxa"/>
            <w:tcBorders>
              <w:top w:val="single" w:color="auto" w:sz="4" w:space="0"/>
              <w:left w:val="single" w:color="auto" w:sz="4" w:space="0"/>
              <w:bottom w:val="single" w:color="auto" w:sz="4" w:space="0"/>
              <w:right w:val="single" w:color="auto" w:sz="4" w:space="0"/>
              <w:tl2br w:val="nil"/>
              <w:tr2bl w:val="nil"/>
            </w:tcBorders>
            <w:vAlign w:val="center"/>
          </w:tcPr>
          <w:p w14:paraId="7A31CFF7">
            <w:pPr>
              <w:widowControl/>
              <w:spacing w:beforeLines="0" w:afterLines="0" w:line="240" w:lineRule="auto"/>
              <w:rPr>
                <w:rFonts w:hint="default" w:ascii="宋体" w:hAnsi="宋体" w:eastAsia="宋体" w:cs="宋体"/>
                <w:sz w:val="24"/>
                <w:szCs w:val="24"/>
                <w:highlight w:val="none"/>
              </w:rPr>
            </w:pPr>
          </w:p>
        </w:tc>
      </w:tr>
      <w:tr w14:paraId="47B99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835" w:type="dxa"/>
            <w:tcBorders>
              <w:top w:val="single" w:color="auto" w:sz="4" w:space="0"/>
              <w:left w:val="single" w:color="auto" w:sz="4" w:space="0"/>
              <w:bottom w:val="single" w:color="auto" w:sz="4" w:space="0"/>
              <w:right w:val="single" w:color="auto" w:sz="4" w:space="0"/>
              <w:tl2br w:val="nil"/>
              <w:tr2bl w:val="nil"/>
            </w:tcBorders>
            <w:vAlign w:val="center"/>
          </w:tcPr>
          <w:p w14:paraId="6EF7513E">
            <w:pPr>
              <w:widowControl/>
              <w:spacing w:beforeLines="0" w:afterLines="0" w:line="240" w:lineRule="auto"/>
              <w:jc w:val="center"/>
              <w:rPr>
                <w:rFonts w:hint="default" w:ascii="宋体" w:hAnsi="宋体" w:eastAsia="宋体" w:cs="宋体"/>
                <w:sz w:val="24"/>
                <w:szCs w:val="24"/>
                <w:highlight w:val="none"/>
              </w:rPr>
            </w:pPr>
            <w:r>
              <w:rPr>
                <w:rFonts w:hint="default" w:ascii="宋体" w:hAnsi="宋体" w:eastAsia="宋体" w:cs="宋体"/>
                <w:sz w:val="24"/>
                <w:szCs w:val="24"/>
                <w:highlight w:val="none"/>
              </w:rPr>
              <w:t>2</w:t>
            </w:r>
          </w:p>
        </w:tc>
        <w:tc>
          <w:tcPr>
            <w:tcW w:w="1212" w:type="dxa"/>
            <w:tcBorders>
              <w:top w:val="single" w:color="auto" w:sz="4" w:space="0"/>
              <w:left w:val="single" w:color="auto" w:sz="4" w:space="0"/>
              <w:bottom w:val="single" w:color="auto" w:sz="4" w:space="0"/>
              <w:right w:val="single" w:color="auto" w:sz="4" w:space="0"/>
              <w:tl2br w:val="nil"/>
              <w:tr2bl w:val="nil"/>
            </w:tcBorders>
            <w:vAlign w:val="center"/>
          </w:tcPr>
          <w:p w14:paraId="68E2CB9F">
            <w:pPr>
              <w:widowControl/>
              <w:spacing w:beforeLines="0" w:afterLines="0" w:line="240" w:lineRule="auto"/>
              <w:jc w:val="center"/>
              <w:rPr>
                <w:rFonts w:hint="default" w:ascii="宋体" w:hAnsi="宋体" w:eastAsia="宋体" w:cs="宋体"/>
                <w:sz w:val="24"/>
                <w:szCs w:val="24"/>
                <w:highlight w:val="none"/>
              </w:rPr>
            </w:pPr>
            <w:r>
              <w:rPr>
                <w:rFonts w:hint="default" w:ascii="宋体" w:hAnsi="宋体" w:eastAsia="宋体" w:cs="宋体"/>
                <w:sz w:val="24"/>
                <w:szCs w:val="24"/>
                <w:highlight w:val="none"/>
              </w:rPr>
              <w:t>实配硬盘</w:t>
            </w:r>
          </w:p>
        </w:tc>
        <w:tc>
          <w:tcPr>
            <w:tcW w:w="1131" w:type="dxa"/>
            <w:tcBorders>
              <w:top w:val="single" w:color="auto" w:sz="4" w:space="0"/>
              <w:left w:val="single" w:color="auto" w:sz="4" w:space="0"/>
              <w:bottom w:val="single" w:color="auto" w:sz="4" w:space="0"/>
              <w:right w:val="single" w:color="auto" w:sz="4" w:space="0"/>
              <w:tl2br w:val="nil"/>
              <w:tr2bl w:val="nil"/>
            </w:tcBorders>
            <w:vAlign w:val="center"/>
          </w:tcPr>
          <w:p w14:paraId="43EE0B36">
            <w:pPr>
              <w:widowControl/>
              <w:spacing w:beforeLines="0" w:afterLines="0" w:line="240" w:lineRule="auto"/>
              <w:jc w:val="center"/>
              <w:rPr>
                <w:rFonts w:hint="default" w:ascii="宋体" w:hAnsi="宋体" w:eastAsia="宋体" w:cs="宋体"/>
                <w:sz w:val="24"/>
                <w:szCs w:val="24"/>
                <w:highlight w:val="none"/>
              </w:rPr>
            </w:pPr>
            <w:bookmarkStart w:id="11" w:name="OLE_LINK1"/>
            <w:r>
              <w:rPr>
                <w:rFonts w:hint="default" w:ascii="宋体" w:hAnsi="宋体" w:eastAsia="宋体" w:cs="宋体"/>
                <w:sz w:val="24"/>
                <w:szCs w:val="24"/>
                <w:highlight w:val="none"/>
              </w:rPr>
              <w:t>★</w:t>
            </w:r>
            <w:bookmarkEnd w:id="11"/>
          </w:p>
        </w:tc>
        <w:tc>
          <w:tcPr>
            <w:tcW w:w="5631" w:type="dxa"/>
            <w:tcBorders>
              <w:top w:val="single" w:color="auto" w:sz="4" w:space="0"/>
              <w:left w:val="single" w:color="auto" w:sz="4" w:space="0"/>
              <w:bottom w:val="single" w:color="auto" w:sz="4" w:space="0"/>
              <w:right w:val="single" w:color="auto" w:sz="4" w:space="0"/>
              <w:tl2br w:val="nil"/>
              <w:tr2bl w:val="nil"/>
            </w:tcBorders>
            <w:vAlign w:val="center"/>
          </w:tcPr>
          <w:p w14:paraId="69D8DEAD">
            <w:pPr>
              <w:widowControl/>
              <w:numPr>
                <w:ilvl w:val="0"/>
                <w:numId w:val="0"/>
              </w:numPr>
              <w:spacing w:beforeLines="0" w:afterLines="0" w:line="240" w:lineRule="auto"/>
              <w:rPr>
                <w:rFonts w:hint="default" w:ascii="宋体" w:hAnsi="宋体" w:eastAsia="宋体" w:cs="宋体"/>
                <w:sz w:val="24"/>
                <w:szCs w:val="24"/>
                <w:highlight w:val="none"/>
              </w:rPr>
            </w:pPr>
            <w:r>
              <w:rPr>
                <w:rFonts w:hint="default" w:ascii="宋体" w:hAnsi="宋体" w:eastAsia="宋体" w:cs="宋体"/>
                <w:color w:val="000000"/>
                <w:sz w:val="24"/>
                <w:szCs w:val="24"/>
                <w:highlight w:val="none"/>
              </w:rPr>
              <w:t>本次扩容2台存储，扩容采用固态硬盘，单台存储扩容7.68TB NVMe SSD硬盘≥12块。</w:t>
            </w:r>
          </w:p>
        </w:tc>
        <w:tc>
          <w:tcPr>
            <w:tcW w:w="1897" w:type="dxa"/>
            <w:tcBorders>
              <w:top w:val="single" w:color="auto" w:sz="4" w:space="0"/>
              <w:left w:val="single" w:color="auto" w:sz="4" w:space="0"/>
              <w:bottom w:val="single" w:color="auto" w:sz="4" w:space="0"/>
              <w:right w:val="single" w:color="auto" w:sz="4" w:space="0"/>
              <w:tl2br w:val="nil"/>
              <w:tr2bl w:val="nil"/>
            </w:tcBorders>
            <w:vAlign w:val="center"/>
          </w:tcPr>
          <w:p w14:paraId="5A2C4AE1">
            <w:pPr>
              <w:widowControl/>
              <w:spacing w:beforeLines="0" w:afterLines="0" w:line="240" w:lineRule="auto"/>
              <w:rPr>
                <w:rFonts w:hint="default" w:ascii="宋体" w:hAnsi="宋体" w:eastAsia="宋体" w:cs="宋体"/>
                <w:sz w:val="24"/>
                <w:szCs w:val="24"/>
                <w:highlight w:val="none"/>
              </w:rPr>
            </w:pPr>
          </w:p>
        </w:tc>
      </w:tr>
      <w:tr w14:paraId="207C0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835" w:type="dxa"/>
            <w:tcBorders>
              <w:top w:val="single" w:color="auto" w:sz="4" w:space="0"/>
              <w:left w:val="single" w:color="auto" w:sz="4" w:space="0"/>
              <w:bottom w:val="single" w:color="auto" w:sz="4" w:space="0"/>
              <w:right w:val="single" w:color="auto" w:sz="4" w:space="0"/>
              <w:tl2br w:val="nil"/>
              <w:tr2bl w:val="nil"/>
            </w:tcBorders>
            <w:vAlign w:val="center"/>
          </w:tcPr>
          <w:p w14:paraId="0371BAB8">
            <w:pPr>
              <w:widowControl/>
              <w:spacing w:beforeLines="0" w:afterLines="0" w:line="240" w:lineRule="auto"/>
              <w:jc w:val="center"/>
              <w:rPr>
                <w:rFonts w:hint="default" w:ascii="宋体" w:hAnsi="宋体" w:eastAsia="宋体" w:cs="宋体"/>
                <w:sz w:val="24"/>
                <w:szCs w:val="24"/>
                <w:highlight w:val="none"/>
              </w:rPr>
            </w:pPr>
            <w:r>
              <w:rPr>
                <w:rFonts w:hint="default" w:ascii="宋体" w:hAnsi="宋体" w:eastAsia="宋体" w:cs="宋体"/>
                <w:sz w:val="24"/>
                <w:szCs w:val="24"/>
                <w:highlight w:val="none"/>
              </w:rPr>
              <w:t>3</w:t>
            </w:r>
          </w:p>
        </w:tc>
        <w:tc>
          <w:tcPr>
            <w:tcW w:w="1212" w:type="dxa"/>
            <w:tcBorders>
              <w:top w:val="single" w:color="auto" w:sz="4" w:space="0"/>
              <w:left w:val="single" w:color="auto" w:sz="4" w:space="0"/>
              <w:bottom w:val="single" w:color="auto" w:sz="4" w:space="0"/>
              <w:right w:val="single" w:color="auto" w:sz="4" w:space="0"/>
              <w:tl2br w:val="nil"/>
              <w:tr2bl w:val="nil"/>
            </w:tcBorders>
            <w:vAlign w:val="center"/>
          </w:tcPr>
          <w:p w14:paraId="67B8BF4F">
            <w:pPr>
              <w:widowControl/>
              <w:spacing w:beforeLines="0" w:afterLines="0" w:line="240" w:lineRule="auto"/>
              <w:jc w:val="center"/>
              <w:rPr>
                <w:rFonts w:hint="default" w:ascii="宋体" w:hAnsi="宋体" w:eastAsia="宋体" w:cs="宋体"/>
                <w:sz w:val="24"/>
                <w:szCs w:val="24"/>
                <w:highlight w:val="none"/>
              </w:rPr>
            </w:pPr>
            <w:r>
              <w:rPr>
                <w:rFonts w:hint="default" w:ascii="宋体" w:hAnsi="宋体" w:eastAsia="宋体" w:cs="宋体"/>
                <w:color w:val="000000"/>
                <w:sz w:val="24"/>
                <w:szCs w:val="24"/>
                <w:highlight w:val="none"/>
              </w:rPr>
              <w:t>统一存储池</w:t>
            </w:r>
          </w:p>
        </w:tc>
        <w:tc>
          <w:tcPr>
            <w:tcW w:w="1131" w:type="dxa"/>
            <w:tcBorders>
              <w:top w:val="single" w:color="auto" w:sz="4" w:space="0"/>
              <w:left w:val="single" w:color="auto" w:sz="4" w:space="0"/>
              <w:bottom w:val="single" w:color="auto" w:sz="4" w:space="0"/>
              <w:right w:val="single" w:color="auto" w:sz="4" w:space="0"/>
              <w:tl2br w:val="nil"/>
              <w:tr2bl w:val="nil"/>
            </w:tcBorders>
            <w:vAlign w:val="center"/>
          </w:tcPr>
          <w:p w14:paraId="19C2D1A0">
            <w:pPr>
              <w:widowControl/>
              <w:spacing w:beforeLines="0" w:afterLines="0" w:line="240" w:lineRule="auto"/>
              <w:jc w:val="center"/>
              <w:rPr>
                <w:rFonts w:hint="default" w:ascii="宋体" w:hAnsi="宋体" w:eastAsia="宋体" w:cs="宋体"/>
                <w:sz w:val="24"/>
                <w:szCs w:val="24"/>
                <w:highlight w:val="none"/>
              </w:rPr>
            </w:pPr>
            <w:r>
              <w:rPr>
                <w:rFonts w:hint="default" w:ascii="宋体" w:hAnsi="宋体" w:eastAsia="宋体" w:cs="宋体"/>
                <w:sz w:val="24"/>
                <w:szCs w:val="24"/>
                <w:highlight w:val="none"/>
              </w:rPr>
              <w:t>★</w:t>
            </w:r>
          </w:p>
        </w:tc>
        <w:tc>
          <w:tcPr>
            <w:tcW w:w="5631" w:type="dxa"/>
            <w:tcBorders>
              <w:top w:val="single" w:color="auto" w:sz="4" w:space="0"/>
              <w:left w:val="single" w:color="auto" w:sz="4" w:space="0"/>
              <w:bottom w:val="single" w:color="auto" w:sz="4" w:space="0"/>
              <w:right w:val="single" w:color="auto" w:sz="4" w:space="0"/>
              <w:tl2br w:val="nil"/>
              <w:tr2bl w:val="nil"/>
            </w:tcBorders>
            <w:vAlign w:val="center"/>
          </w:tcPr>
          <w:p w14:paraId="5B7992D7">
            <w:pPr>
              <w:widowControl/>
              <w:spacing w:beforeLines="0" w:afterLines="0" w:line="240" w:lineRule="auto"/>
              <w:rPr>
                <w:rFonts w:hint="default" w:ascii="宋体" w:hAnsi="宋体" w:eastAsia="宋体" w:cs="宋体"/>
                <w:sz w:val="24"/>
                <w:szCs w:val="24"/>
                <w:highlight w:val="none"/>
              </w:rPr>
            </w:pPr>
            <w:r>
              <w:rPr>
                <w:rFonts w:hint="default" w:ascii="宋体" w:hAnsi="宋体" w:eastAsia="宋体" w:cs="宋体"/>
                <w:color w:val="000000"/>
                <w:sz w:val="24"/>
                <w:szCs w:val="24"/>
                <w:highlight w:val="none"/>
              </w:rPr>
              <w:t>支持与采购人现有存储统一管理，统一存储池，非纳管形式实现。采购方将进行验证，如不能实现，需额外提供≥2 台全闪存储设备，支持双活部署，单台配置双控制器，双控制器缓存≥544GB，配置≥8个32Gb FC主机接口，≥4个10Gb主机接口，≥10个1Gb主机接口，≥24块7.68TB NVMe SSD硬盘。</w:t>
            </w:r>
          </w:p>
        </w:tc>
        <w:tc>
          <w:tcPr>
            <w:tcW w:w="1897" w:type="dxa"/>
            <w:tcBorders>
              <w:top w:val="single" w:color="auto" w:sz="4" w:space="0"/>
              <w:left w:val="single" w:color="auto" w:sz="4" w:space="0"/>
              <w:bottom w:val="single" w:color="auto" w:sz="4" w:space="0"/>
              <w:right w:val="single" w:color="auto" w:sz="4" w:space="0"/>
              <w:tl2br w:val="nil"/>
              <w:tr2bl w:val="nil"/>
            </w:tcBorders>
            <w:vAlign w:val="center"/>
          </w:tcPr>
          <w:p w14:paraId="21119F27">
            <w:pPr>
              <w:widowControl/>
              <w:spacing w:beforeLines="0" w:afterLines="0" w:line="240" w:lineRule="auto"/>
              <w:rPr>
                <w:rFonts w:hint="default" w:ascii="宋体" w:hAnsi="宋体" w:eastAsia="宋体" w:cs="宋体"/>
                <w:sz w:val="24"/>
                <w:szCs w:val="24"/>
                <w:highlight w:val="none"/>
              </w:rPr>
            </w:pPr>
            <w:r>
              <w:rPr>
                <w:rFonts w:hint="default" w:ascii="宋体" w:hAnsi="宋体" w:eastAsia="宋体" w:cs="宋体"/>
                <w:color w:val="000000"/>
                <w:sz w:val="24"/>
                <w:szCs w:val="24"/>
                <w:highlight w:val="none"/>
              </w:rPr>
              <w:t>提供投标人针对本项目的统一存储池承诺书并加盖投标人公章。</w:t>
            </w:r>
          </w:p>
        </w:tc>
      </w:tr>
      <w:tr w14:paraId="790BC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835" w:type="dxa"/>
            <w:tcBorders>
              <w:top w:val="single" w:color="auto" w:sz="4" w:space="0"/>
              <w:left w:val="single" w:color="auto" w:sz="4" w:space="0"/>
              <w:bottom w:val="single" w:color="auto" w:sz="4" w:space="0"/>
              <w:right w:val="single" w:color="auto" w:sz="4" w:space="0"/>
              <w:tl2br w:val="nil"/>
              <w:tr2bl w:val="nil"/>
            </w:tcBorders>
            <w:vAlign w:val="center"/>
          </w:tcPr>
          <w:p w14:paraId="0E03BEC1">
            <w:pPr>
              <w:widowControl/>
              <w:spacing w:beforeLines="0" w:afterLines="0" w:line="240" w:lineRule="auto"/>
              <w:jc w:val="center"/>
              <w:rPr>
                <w:rFonts w:hint="default" w:ascii="宋体" w:hAnsi="宋体" w:eastAsia="宋体" w:cs="宋体"/>
                <w:sz w:val="24"/>
                <w:szCs w:val="24"/>
                <w:highlight w:val="none"/>
              </w:rPr>
            </w:pPr>
            <w:r>
              <w:rPr>
                <w:rFonts w:hint="default" w:ascii="宋体" w:hAnsi="宋体" w:eastAsia="宋体" w:cs="宋体"/>
                <w:sz w:val="24"/>
                <w:szCs w:val="24"/>
                <w:highlight w:val="none"/>
              </w:rPr>
              <w:t>4</w:t>
            </w:r>
          </w:p>
        </w:tc>
        <w:tc>
          <w:tcPr>
            <w:tcW w:w="1212" w:type="dxa"/>
            <w:tcBorders>
              <w:top w:val="single" w:color="auto" w:sz="4" w:space="0"/>
              <w:left w:val="single" w:color="auto" w:sz="4" w:space="0"/>
              <w:bottom w:val="single" w:color="auto" w:sz="4" w:space="0"/>
              <w:right w:val="single" w:color="auto" w:sz="4" w:space="0"/>
              <w:tl2br w:val="nil"/>
              <w:tr2bl w:val="nil"/>
            </w:tcBorders>
            <w:vAlign w:val="center"/>
          </w:tcPr>
          <w:p w14:paraId="05E789C5">
            <w:pPr>
              <w:widowControl/>
              <w:spacing w:beforeLines="0" w:afterLines="0" w:line="240" w:lineRule="auto"/>
              <w:jc w:val="center"/>
              <w:rPr>
                <w:rFonts w:hint="default" w:ascii="宋体" w:hAnsi="宋体" w:eastAsia="宋体" w:cs="宋体"/>
                <w:color w:val="000000"/>
                <w:sz w:val="24"/>
                <w:szCs w:val="24"/>
                <w:highlight w:val="none"/>
              </w:rPr>
            </w:pPr>
            <w:r>
              <w:rPr>
                <w:rFonts w:hint="default" w:ascii="宋体" w:hAnsi="宋体" w:eastAsia="宋体" w:cs="宋体"/>
                <w:color w:val="000000"/>
                <w:sz w:val="24"/>
                <w:szCs w:val="24"/>
                <w:highlight w:val="none"/>
              </w:rPr>
              <w:t>集成服务</w:t>
            </w:r>
          </w:p>
        </w:tc>
        <w:tc>
          <w:tcPr>
            <w:tcW w:w="1131" w:type="dxa"/>
            <w:tcBorders>
              <w:top w:val="single" w:color="auto" w:sz="4" w:space="0"/>
              <w:left w:val="single" w:color="auto" w:sz="4" w:space="0"/>
              <w:bottom w:val="single" w:color="auto" w:sz="4" w:space="0"/>
              <w:right w:val="single" w:color="auto" w:sz="4" w:space="0"/>
              <w:tl2br w:val="nil"/>
              <w:tr2bl w:val="nil"/>
            </w:tcBorders>
            <w:vAlign w:val="center"/>
          </w:tcPr>
          <w:p w14:paraId="0C47141B">
            <w:pPr>
              <w:widowControl/>
              <w:spacing w:beforeLines="0" w:afterLines="0" w:line="240" w:lineRule="auto"/>
              <w:jc w:val="center"/>
              <w:rPr>
                <w:rFonts w:hint="default" w:ascii="宋体" w:hAnsi="宋体" w:eastAsia="宋体" w:cs="宋体"/>
                <w:color w:val="000000"/>
                <w:sz w:val="24"/>
                <w:szCs w:val="24"/>
                <w:highlight w:val="none"/>
              </w:rPr>
            </w:pPr>
            <w:r>
              <w:rPr>
                <w:rFonts w:hint="default" w:ascii="宋体" w:hAnsi="宋体" w:eastAsia="宋体" w:cs="宋体"/>
                <w:color w:val="000000"/>
                <w:sz w:val="24"/>
                <w:szCs w:val="24"/>
                <w:highlight w:val="none"/>
              </w:rPr>
              <w:t>#</w:t>
            </w:r>
          </w:p>
        </w:tc>
        <w:tc>
          <w:tcPr>
            <w:tcW w:w="5631" w:type="dxa"/>
            <w:tcBorders>
              <w:top w:val="single" w:color="auto" w:sz="4" w:space="0"/>
              <w:left w:val="single" w:color="auto" w:sz="4" w:space="0"/>
              <w:bottom w:val="single" w:color="auto" w:sz="4" w:space="0"/>
              <w:right w:val="single" w:color="auto" w:sz="4" w:space="0"/>
              <w:tl2br w:val="nil"/>
              <w:tr2bl w:val="nil"/>
            </w:tcBorders>
            <w:vAlign w:val="center"/>
          </w:tcPr>
          <w:p w14:paraId="1FDD461F">
            <w:pPr>
              <w:widowControl/>
              <w:numPr>
                <w:ilvl w:val="0"/>
                <w:numId w:val="1"/>
              </w:numPr>
              <w:spacing w:beforeLines="0" w:afterLines="0" w:line="240" w:lineRule="auto"/>
              <w:rPr>
                <w:rFonts w:hint="default" w:ascii="宋体" w:hAnsi="宋体" w:eastAsia="宋体" w:cs="宋体"/>
                <w:color w:val="000000"/>
                <w:sz w:val="24"/>
                <w:szCs w:val="24"/>
                <w:highlight w:val="none"/>
              </w:rPr>
            </w:pPr>
            <w:r>
              <w:rPr>
                <w:rFonts w:hint="default" w:ascii="宋体" w:hAnsi="宋体" w:eastAsia="宋体" w:cs="宋体"/>
                <w:color w:val="000000"/>
                <w:sz w:val="24"/>
                <w:szCs w:val="24"/>
                <w:highlight w:val="none"/>
              </w:rPr>
              <w:t>提供存储的扩容咨询服务和实施服务，对存储和虚拟化集群内业务的关联关系，当前配置进行梳理。完成咨询后提供存储的扩容实施服务，存储扩容空间配置为双活模式，同时将存储空间提供给虚拟化集群使用。</w:t>
            </w:r>
          </w:p>
          <w:p w14:paraId="537C6074">
            <w:pPr>
              <w:widowControl/>
              <w:numPr>
                <w:ilvl w:val="0"/>
                <w:numId w:val="1"/>
              </w:numPr>
              <w:spacing w:beforeLines="0" w:afterLines="0" w:line="240" w:lineRule="auto"/>
              <w:rPr>
                <w:rFonts w:hint="default" w:ascii="宋体" w:hAnsi="宋体" w:eastAsia="宋体" w:cs="宋体"/>
                <w:color w:val="000000"/>
                <w:sz w:val="24"/>
                <w:szCs w:val="24"/>
                <w:highlight w:val="none"/>
              </w:rPr>
            </w:pPr>
            <w:r>
              <w:rPr>
                <w:rFonts w:hint="default" w:ascii="宋体" w:hAnsi="宋体" w:eastAsia="宋体" w:cs="宋体"/>
                <w:color w:val="000000"/>
                <w:sz w:val="24"/>
                <w:szCs w:val="24"/>
                <w:highlight w:val="none"/>
              </w:rPr>
              <w:t>完成存储扩容后，提供存储的数据均衡服务。</w:t>
            </w:r>
          </w:p>
          <w:p w14:paraId="261F7E0C">
            <w:pPr>
              <w:widowControl/>
              <w:spacing w:beforeLines="0" w:afterLines="0" w:line="240" w:lineRule="auto"/>
              <w:rPr>
                <w:rFonts w:hint="default" w:ascii="宋体" w:hAnsi="宋体" w:eastAsia="宋体" w:cs="宋体"/>
                <w:color w:val="000000"/>
                <w:sz w:val="24"/>
                <w:szCs w:val="24"/>
                <w:highlight w:val="none"/>
              </w:rPr>
            </w:pPr>
            <w:r>
              <w:rPr>
                <w:rFonts w:hint="default" w:ascii="宋体" w:hAnsi="宋体" w:eastAsia="宋体" w:cs="宋体"/>
                <w:color w:val="000000"/>
                <w:sz w:val="24"/>
                <w:szCs w:val="24"/>
                <w:highlight w:val="none"/>
              </w:rPr>
              <w:t>（3）按照实际业务要求和厂商要求，对核心业务生产/灾备数据库提供存储空间扩容服务，提供扩容方案，并保障扩容过程保障业务连续性。</w:t>
            </w:r>
          </w:p>
          <w:p w14:paraId="463AC68D">
            <w:pPr>
              <w:widowControl/>
              <w:spacing w:beforeLines="0" w:afterLines="0" w:line="240" w:lineRule="auto"/>
              <w:rPr>
                <w:rFonts w:hint="default" w:ascii="宋体" w:hAnsi="宋体" w:eastAsia="宋体" w:cs="宋体"/>
                <w:sz w:val="24"/>
                <w:szCs w:val="24"/>
                <w:highlight w:val="none"/>
              </w:rPr>
            </w:pPr>
            <w:r>
              <w:rPr>
                <w:rFonts w:hint="default" w:ascii="宋体" w:hAnsi="宋体" w:eastAsia="宋体" w:cs="宋体"/>
                <w:color w:val="000000"/>
                <w:sz w:val="24"/>
                <w:szCs w:val="24"/>
                <w:highlight w:val="none"/>
              </w:rPr>
              <w:t>（4）提供系统集成服务实施期间及后续系统试运行期间生产业务的备份服务，现场提供备份容量不少于150TB的备份一体机供医院免费使用，设备使用时间不少于6个月。</w:t>
            </w:r>
          </w:p>
        </w:tc>
        <w:tc>
          <w:tcPr>
            <w:tcW w:w="1897" w:type="dxa"/>
            <w:tcBorders>
              <w:top w:val="single" w:color="auto" w:sz="4" w:space="0"/>
              <w:left w:val="single" w:color="auto" w:sz="4" w:space="0"/>
              <w:bottom w:val="single" w:color="auto" w:sz="4" w:space="0"/>
              <w:right w:val="single" w:color="auto" w:sz="4" w:space="0"/>
              <w:tl2br w:val="nil"/>
              <w:tr2bl w:val="nil"/>
            </w:tcBorders>
            <w:vAlign w:val="center"/>
          </w:tcPr>
          <w:p w14:paraId="5EAF9E3E">
            <w:pPr>
              <w:widowControl/>
              <w:spacing w:beforeLines="0" w:afterLines="0" w:line="240" w:lineRule="auto"/>
              <w:rPr>
                <w:rFonts w:hint="default" w:ascii="宋体" w:hAnsi="宋体" w:eastAsia="宋体" w:cs="宋体"/>
                <w:sz w:val="24"/>
                <w:szCs w:val="24"/>
                <w:highlight w:val="none"/>
              </w:rPr>
            </w:pPr>
            <w:r>
              <w:rPr>
                <w:rFonts w:hint="default" w:ascii="宋体" w:hAnsi="宋体" w:eastAsia="宋体" w:cs="宋体"/>
                <w:color w:val="000000"/>
                <w:sz w:val="24"/>
                <w:szCs w:val="24"/>
                <w:highlight w:val="none"/>
              </w:rPr>
              <w:t>提供投标人针对本项目的系统集成服务承诺书并加盖投标人公章。</w:t>
            </w:r>
          </w:p>
        </w:tc>
      </w:tr>
    </w:tbl>
    <w:p w14:paraId="16786F55">
      <w:pPr>
        <w:keepNext w:val="0"/>
        <w:keepLines w:val="0"/>
        <w:pageBreakBefore w:val="0"/>
        <w:widowControl/>
        <w:kinsoku/>
        <w:wordWrap/>
        <w:overflowPunct/>
        <w:topLinePunct w:val="0"/>
        <w:bidi w:val="0"/>
        <w:adjustRightInd w:val="0"/>
        <w:snapToGrid w:val="0"/>
        <w:spacing w:line="360" w:lineRule="auto"/>
        <w:ind w:left="0" w:firstLine="0" w:firstLineChars="0"/>
        <w:textAlignment w:val="auto"/>
        <w:rPr>
          <w:rFonts w:ascii="宋体" w:hAnsi="宋体" w:eastAsia="宋体" w:cs="宋体"/>
          <w:b/>
          <w:bCs/>
          <w:sz w:val="24"/>
          <w:szCs w:val="24"/>
          <w:lang w:eastAsia="zh-CN"/>
        </w:rPr>
      </w:pPr>
      <w:r>
        <w:rPr>
          <w:rFonts w:hint="eastAsia" w:ascii="宋体" w:hAnsi="宋体" w:eastAsia="宋体" w:cs="宋体"/>
          <w:b/>
          <w:bCs/>
          <w:sz w:val="24"/>
          <w:szCs w:val="24"/>
          <w:lang w:eastAsia="zh-CN"/>
        </w:rPr>
        <w:t>2.2 采购标的需满足的服务标准、期限、效率等要求；</w:t>
      </w:r>
    </w:p>
    <w:p w14:paraId="3AAE9A9E">
      <w:pPr>
        <w:keepNext w:val="0"/>
        <w:keepLines w:val="0"/>
        <w:pageBreakBefore w:val="0"/>
        <w:tabs>
          <w:tab w:val="left" w:pos="900"/>
        </w:tabs>
        <w:kinsoku/>
        <w:wordWrap/>
        <w:overflowPunct/>
        <w:topLinePunct w:val="0"/>
        <w:autoSpaceDE/>
        <w:autoSpaceDN/>
        <w:bidi w:val="0"/>
        <w:spacing w:line="360" w:lineRule="auto"/>
        <w:ind w:left="0" w:firstLine="0" w:firstLineChars="0"/>
        <w:textAlignment w:val="auto"/>
        <w:rPr>
          <w:rFonts w:ascii="宋体" w:hAnsi="宋体" w:eastAsia="宋体" w:cs="宋体"/>
          <w:sz w:val="24"/>
          <w:szCs w:val="24"/>
          <w:lang w:eastAsia="zh-CN"/>
        </w:rPr>
      </w:pPr>
      <w:r>
        <w:rPr>
          <w:rFonts w:hint="eastAsia" w:ascii="宋体" w:hAnsi="宋体" w:eastAsia="宋体" w:cs="宋体"/>
          <w:sz w:val="24"/>
          <w:szCs w:val="24"/>
          <w:lang w:eastAsia="zh-CN"/>
        </w:rPr>
        <w:t>（1）采购标的需满足的服务标准、效率要求</w:t>
      </w:r>
    </w:p>
    <w:p w14:paraId="1F007F5E">
      <w:pPr>
        <w:keepNext w:val="0"/>
        <w:keepLines w:val="0"/>
        <w:pageBreakBefore w:val="0"/>
        <w:kinsoku/>
        <w:wordWrap/>
        <w:overflowPunct/>
        <w:topLinePunct w:val="0"/>
        <w:bidi w:val="0"/>
        <w:spacing w:line="360" w:lineRule="auto"/>
        <w:ind w:left="0" w:firstLine="0" w:firstLineChars="0"/>
        <w:textAlignment w:val="auto"/>
        <w:rPr>
          <w:rFonts w:ascii="宋体" w:hAnsi="宋体" w:eastAsia="宋体" w:cs="宋体"/>
          <w:sz w:val="24"/>
          <w:szCs w:val="24"/>
          <w:lang w:eastAsia="zh-CN"/>
        </w:rPr>
      </w:pP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供应商应在保证在接到采购人通知的一周内，自付费用在采购人指定所在地对设备进行安装、调试和试运行，直到该产品的技术指标完全符合合同要求为止。供应商技术人员的费用，如：差旅费、住宿费等应计入投标报价。供应商安装人员应自备必要的专用工具、量具及调试用的材料等。</w:t>
      </w:r>
    </w:p>
    <w:p w14:paraId="7CCEE2B5">
      <w:pPr>
        <w:keepNext w:val="0"/>
        <w:keepLines w:val="0"/>
        <w:pageBreakBefore w:val="0"/>
        <w:widowControl w:val="0"/>
        <w:kinsoku/>
        <w:wordWrap/>
        <w:overflowPunct/>
        <w:topLinePunct w:val="0"/>
        <w:autoSpaceDE w:val="0"/>
        <w:autoSpaceDN w:val="0"/>
        <w:bidi w:val="0"/>
        <w:spacing w:line="360" w:lineRule="auto"/>
        <w:ind w:left="0" w:firstLine="0" w:firstLineChars="0"/>
        <w:textAlignment w:val="auto"/>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（2）采购标的需满足的服务期限要求</w:t>
      </w:r>
    </w:p>
    <w:p w14:paraId="5A0514CE">
      <w:pPr>
        <w:keepNext w:val="0"/>
        <w:keepLines w:val="0"/>
        <w:pageBreakBefore w:val="0"/>
        <w:widowControl w:val="0"/>
        <w:kinsoku/>
        <w:wordWrap/>
        <w:overflowPunct/>
        <w:topLinePunct w:val="0"/>
        <w:autoSpaceDE w:val="0"/>
        <w:autoSpaceDN w:val="0"/>
        <w:bidi w:val="0"/>
        <w:spacing w:line="360" w:lineRule="auto"/>
        <w:ind w:left="0" w:firstLine="0" w:firstLineChars="0"/>
        <w:textAlignment w:val="auto"/>
        <w:rPr>
          <w:rFonts w:ascii="宋体" w:hAnsi="宋体" w:eastAsia="宋体" w:cs="宋体"/>
          <w:b w:val="0"/>
          <w:bCs w:val="0"/>
          <w:sz w:val="24"/>
          <w:szCs w:val="24"/>
          <w:lang w:val="en-US" w:eastAsia="zh-CN" w:bidi="ar-SA"/>
        </w:rPr>
      </w:pPr>
      <w:r>
        <w:rPr>
          <w:rFonts w:hint="eastAsia" w:ascii="宋体" w:hAnsi="宋体" w:eastAsia="宋体" w:cs="宋体"/>
          <w:b w:val="0"/>
          <w:bCs w:val="0"/>
          <w:sz w:val="24"/>
          <w:szCs w:val="24"/>
          <w:lang w:val="en-US" w:eastAsia="zh-CN" w:bidi="ar-SA"/>
        </w:rPr>
        <w:t>1. 质量保证期（保修期）及服务要求：详见本章“采购需求中商务要求4.质保服务”。</w:t>
      </w:r>
    </w:p>
    <w:p w14:paraId="27E9CC7F">
      <w:pPr>
        <w:keepNext w:val="0"/>
        <w:keepLines w:val="0"/>
        <w:pageBreakBefore w:val="0"/>
        <w:tabs>
          <w:tab w:val="left" w:pos="900"/>
        </w:tabs>
        <w:kinsoku/>
        <w:wordWrap/>
        <w:overflowPunct/>
        <w:topLinePunct w:val="0"/>
        <w:bidi w:val="0"/>
        <w:spacing w:line="360" w:lineRule="auto"/>
        <w:ind w:left="0" w:firstLine="0" w:firstLineChars="0"/>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w:t>
      </w:r>
      <w:r>
        <w:rPr>
          <w:rFonts w:hint="eastAsia" w:ascii="宋体" w:hAnsi="宋体" w:eastAsia="宋体" w:cs="宋体"/>
          <w:b w:val="0"/>
          <w:bCs w:val="0"/>
          <w:sz w:val="24"/>
          <w:szCs w:val="24"/>
          <w:lang w:eastAsia="zh-CN"/>
        </w:rPr>
        <w:t>售后服务</w:t>
      </w:r>
      <w:r>
        <w:rPr>
          <w:rFonts w:hint="eastAsia" w:ascii="宋体" w:hAnsi="宋体" w:eastAsia="宋体" w:cs="宋体"/>
          <w:b w:val="0"/>
          <w:bCs w:val="0"/>
          <w:sz w:val="24"/>
          <w:szCs w:val="24"/>
          <w:lang w:val="en-US" w:eastAsia="zh-CN"/>
        </w:rPr>
        <w:t>要求</w:t>
      </w:r>
    </w:p>
    <w:p w14:paraId="3E7EFCD5">
      <w:pPr>
        <w:keepNext w:val="0"/>
        <w:keepLines w:val="0"/>
        <w:pageBreakBefore w:val="0"/>
        <w:tabs>
          <w:tab w:val="left" w:pos="900"/>
        </w:tabs>
        <w:kinsoku/>
        <w:wordWrap/>
        <w:overflowPunct/>
        <w:topLinePunct w:val="0"/>
        <w:bidi w:val="0"/>
        <w:spacing w:line="360" w:lineRule="auto"/>
        <w:ind w:left="0" w:firstLine="0" w:firstLineChars="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1）技术支持服务：质保期内供应商应提供售后及技术支持服务，质保期后供应商提供技术支持服务。</w:t>
      </w:r>
    </w:p>
    <w:p w14:paraId="45C0F100">
      <w:pPr>
        <w:keepNext w:val="0"/>
        <w:keepLines w:val="0"/>
        <w:pageBreakBefore w:val="0"/>
        <w:tabs>
          <w:tab w:val="left" w:pos="900"/>
        </w:tabs>
        <w:kinsoku/>
        <w:wordWrap/>
        <w:overflowPunct/>
        <w:topLinePunct w:val="0"/>
        <w:bidi w:val="0"/>
        <w:spacing w:line="360" w:lineRule="auto"/>
        <w:ind w:left="0" w:firstLine="0" w:firstLineChars="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2）供应商有良好的售后服务能力，并提供质保期内的售后免费服务及设备软件升级服务，在保修期内提供7*24小时远程支持服务，如需现场服务，在2小时内赶到现场排除故障。</w:t>
      </w:r>
    </w:p>
    <w:p w14:paraId="3DC8B578">
      <w:pPr>
        <w:keepNext w:val="0"/>
        <w:keepLines w:val="0"/>
        <w:pageBreakBefore w:val="0"/>
        <w:tabs>
          <w:tab w:val="left" w:pos="900"/>
        </w:tabs>
        <w:kinsoku/>
        <w:wordWrap/>
        <w:overflowPunct/>
        <w:topLinePunct w:val="0"/>
        <w:bidi w:val="0"/>
        <w:spacing w:line="360" w:lineRule="auto"/>
        <w:ind w:left="0" w:firstLine="0" w:firstLineChars="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对于出现的紧急问题技术支持需求，及时派遣技术人员在半小时内与院方取得联系；对于所有现场技术服务，在故障处理完毕后填写《故障维修和预防性维护记录》。</w:t>
      </w:r>
    </w:p>
    <w:p w14:paraId="686549D7">
      <w:pPr>
        <w:keepNext w:val="0"/>
        <w:keepLines w:val="0"/>
        <w:pageBreakBefore w:val="0"/>
        <w:tabs>
          <w:tab w:val="left" w:pos="900"/>
        </w:tabs>
        <w:kinsoku/>
        <w:wordWrap/>
        <w:overflowPunct/>
        <w:topLinePunct w:val="0"/>
        <w:bidi w:val="0"/>
        <w:spacing w:line="360" w:lineRule="auto"/>
        <w:ind w:left="0" w:firstLine="0" w:firstLineChars="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3）硬件保修期自硬件验收合格之日起算，软件许可更新和技术支持自项目验收合格之日起算。</w:t>
      </w:r>
    </w:p>
    <w:p w14:paraId="7B508053">
      <w:pPr>
        <w:keepNext w:val="0"/>
        <w:keepLines w:val="0"/>
        <w:pageBreakBefore w:val="0"/>
        <w:tabs>
          <w:tab w:val="left" w:pos="900"/>
        </w:tabs>
        <w:kinsoku/>
        <w:wordWrap/>
        <w:overflowPunct/>
        <w:topLinePunct w:val="0"/>
        <w:bidi w:val="0"/>
        <w:spacing w:line="360" w:lineRule="auto"/>
        <w:ind w:left="0" w:firstLine="0" w:firstLineChars="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4）安装培训由专业的技术工程师进行，针对所投设备的基本性能、构造和原理、安装与调试方法、使用操作方法、日常维护和保养方法、安全知识及有关注意事项、常见故障诊断和排除方法、贮存和保管要求等。具体培训时间方式需要和科室协商沟通，培训次数不计，直至相关人员掌握全部内容和日常故障的处理。</w:t>
      </w:r>
    </w:p>
    <w:p w14:paraId="5EBDB56C">
      <w:pPr>
        <w:keepNext w:val="0"/>
        <w:keepLines w:val="0"/>
        <w:pageBreakBefore w:val="0"/>
        <w:tabs>
          <w:tab w:val="left" w:pos="900"/>
        </w:tabs>
        <w:kinsoku/>
        <w:wordWrap/>
        <w:overflowPunct/>
        <w:topLinePunct w:val="0"/>
        <w:bidi w:val="0"/>
        <w:spacing w:line="360" w:lineRule="auto"/>
        <w:ind w:left="0" w:firstLine="0" w:firstLineChars="0"/>
        <w:textAlignment w:val="auto"/>
        <w:rPr>
          <w:rFonts w:ascii="宋体" w:hAnsi="宋体" w:eastAsia="宋体" w:cs="宋体"/>
          <w:b/>
          <w:bCs/>
          <w:sz w:val="24"/>
          <w:szCs w:val="24"/>
          <w:lang w:eastAsia="zh-CN"/>
        </w:rPr>
      </w:pPr>
      <w:r>
        <w:rPr>
          <w:rFonts w:hint="eastAsia" w:ascii="宋体" w:hAnsi="宋体" w:eastAsia="宋体" w:cs="宋体"/>
          <w:b/>
          <w:bCs/>
          <w:sz w:val="24"/>
          <w:szCs w:val="24"/>
          <w:lang w:eastAsia="zh-CN"/>
        </w:rPr>
        <w:t>2.3为落实政府采购政策需满足的要求；</w:t>
      </w:r>
    </w:p>
    <w:p w14:paraId="0A0A00C5">
      <w:pPr>
        <w:keepNext w:val="0"/>
        <w:keepLines w:val="0"/>
        <w:pageBreakBefore w:val="0"/>
        <w:tabs>
          <w:tab w:val="left" w:pos="900"/>
        </w:tabs>
        <w:kinsoku/>
        <w:wordWrap/>
        <w:overflowPunct/>
        <w:topLinePunct w:val="0"/>
        <w:bidi w:val="0"/>
        <w:spacing w:line="360" w:lineRule="auto"/>
        <w:ind w:left="0" w:firstLine="0" w:firstLineChars="0"/>
        <w:textAlignment w:val="auto"/>
        <w:rPr>
          <w:rFonts w:ascii="宋体" w:hAnsi="宋体" w:eastAsia="宋体" w:cs="宋体"/>
          <w:sz w:val="24"/>
          <w:szCs w:val="24"/>
          <w:lang w:eastAsia="zh-CN"/>
        </w:rPr>
      </w:pPr>
      <w:r>
        <w:rPr>
          <w:rFonts w:hint="eastAsia" w:ascii="宋体" w:hAnsi="宋体" w:eastAsia="宋体" w:cs="宋体"/>
          <w:sz w:val="24"/>
          <w:szCs w:val="24"/>
          <w:lang w:eastAsia="zh-CN"/>
        </w:rPr>
        <w:t>（1）促进中小企业发展政策：根据《政府采购促进中小企业发展管理办法》的通知（财库〔2020〕46号）规定，本项目供应商所投产品为中小企业制造的，供应商应出具招标文件要求的《中小企业声明函》给予证明，否则评标时不予认可。供应商应对提交的中小企业声明函的真实性负责，提交的中小企业声明函不真实的，应承担相应的法律责任。</w:t>
      </w:r>
    </w:p>
    <w:p w14:paraId="5A7D20C6">
      <w:pPr>
        <w:keepNext w:val="0"/>
        <w:keepLines w:val="0"/>
        <w:pageBreakBefore w:val="0"/>
        <w:tabs>
          <w:tab w:val="left" w:pos="900"/>
        </w:tabs>
        <w:kinsoku/>
        <w:wordWrap/>
        <w:overflowPunct/>
        <w:topLinePunct w:val="0"/>
        <w:bidi w:val="0"/>
        <w:spacing w:line="360" w:lineRule="auto"/>
        <w:ind w:left="0" w:firstLine="0" w:firstLineChars="0"/>
        <w:textAlignment w:val="auto"/>
        <w:rPr>
          <w:rFonts w:ascii="宋体" w:hAnsi="宋体" w:eastAsia="宋体" w:cs="宋体"/>
          <w:sz w:val="24"/>
          <w:szCs w:val="24"/>
          <w:lang w:eastAsia="zh-CN"/>
        </w:rPr>
      </w:pPr>
      <w:r>
        <w:rPr>
          <w:rFonts w:hint="eastAsia" w:ascii="宋体" w:hAnsi="宋体" w:eastAsia="宋体" w:cs="宋体"/>
          <w:sz w:val="24"/>
          <w:szCs w:val="24"/>
          <w:lang w:eastAsia="zh-CN"/>
        </w:rPr>
        <w:t>（2）监狱企业扶持政策：供应商所投产品为监狱企业制造的，将视同为小型或微型企业，将对该投标产品的投标价给予10%的扣除。</w:t>
      </w:r>
      <w:r>
        <w:rPr>
          <w:rFonts w:hint="eastAsia" w:ascii="宋体" w:hAnsi="宋体" w:eastAsia="宋体" w:cs="宋体"/>
          <w:iCs/>
          <w:sz w:val="24"/>
          <w:szCs w:val="24"/>
          <w:lang w:eastAsia="zh-CN"/>
        </w:rPr>
        <w:t>应提供由省级以上监狱管理局、戒毒管理局（含新疆生产建设兵团）出具的属于监狱企业的证明文件。供应商应对提交的属于监狱企业的证明文件的真实性负责，提交的监狱企业的证明文件不真实的，应承担相应的法律责任</w:t>
      </w:r>
      <w:r>
        <w:rPr>
          <w:rFonts w:hint="eastAsia" w:ascii="宋体" w:hAnsi="宋体" w:eastAsia="宋体" w:cs="宋体"/>
          <w:sz w:val="24"/>
          <w:szCs w:val="24"/>
          <w:lang w:eastAsia="zh-CN"/>
        </w:rPr>
        <w:t>。（专门面向中小企业采购或预留份额的情况不适用）</w:t>
      </w:r>
    </w:p>
    <w:p w14:paraId="744D7F46">
      <w:pPr>
        <w:keepNext w:val="0"/>
        <w:keepLines w:val="0"/>
        <w:pageBreakBefore w:val="0"/>
        <w:tabs>
          <w:tab w:val="left" w:pos="900"/>
        </w:tabs>
        <w:kinsoku/>
        <w:wordWrap/>
        <w:overflowPunct/>
        <w:topLinePunct w:val="0"/>
        <w:bidi w:val="0"/>
        <w:spacing w:line="360" w:lineRule="auto"/>
        <w:ind w:left="0" w:firstLine="0" w:firstLineChars="0"/>
        <w:textAlignment w:val="auto"/>
        <w:rPr>
          <w:rFonts w:ascii="宋体" w:hAnsi="宋体" w:eastAsia="宋体" w:cs="宋体"/>
          <w:sz w:val="24"/>
          <w:szCs w:val="24"/>
          <w:lang w:eastAsia="zh-CN"/>
        </w:rPr>
      </w:pPr>
      <w:r>
        <w:rPr>
          <w:rFonts w:hint="eastAsia" w:ascii="宋体" w:hAnsi="宋体" w:eastAsia="宋体" w:cs="宋体"/>
          <w:sz w:val="24"/>
          <w:szCs w:val="24"/>
          <w:lang w:eastAsia="zh-CN"/>
        </w:rPr>
        <w:t>（3）促进残疾人就业政府采购政策：根据《三部门联合发布关于促进残疾人就业政府采购政策的通知》（财库〔2017〕141号）规定，符合条件的残疾人福利性单位在参加本项目政府采购活动时，供应商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专门面向中小企业采购或预留份额的情况不适用）</w:t>
      </w:r>
    </w:p>
    <w:p w14:paraId="429918A1">
      <w:pPr>
        <w:keepNext w:val="0"/>
        <w:keepLines w:val="0"/>
        <w:pageBreakBefore w:val="0"/>
        <w:kinsoku/>
        <w:wordWrap/>
        <w:overflowPunct/>
        <w:topLinePunct w:val="0"/>
        <w:autoSpaceDE/>
        <w:autoSpaceDN/>
        <w:bidi w:val="0"/>
        <w:spacing w:line="360" w:lineRule="auto"/>
        <w:ind w:left="0" w:firstLine="0" w:firstLineChars="0"/>
        <w:textAlignment w:val="auto"/>
        <w:rPr>
          <w:rFonts w:ascii="宋体" w:hAnsi="宋体" w:eastAsia="宋体" w:cs="宋体"/>
          <w:sz w:val="24"/>
          <w:szCs w:val="24"/>
          <w:lang w:eastAsia="zh-CN"/>
        </w:rPr>
      </w:pPr>
      <w:r>
        <w:rPr>
          <w:rFonts w:hint="eastAsia" w:ascii="宋体" w:hAnsi="宋体" w:eastAsia="宋体" w:cs="宋体"/>
          <w:sz w:val="24"/>
          <w:szCs w:val="24"/>
          <w:lang w:eastAsia="zh-CN"/>
        </w:rPr>
        <w:t>（4）鼓励节能、环保政策：依据《财政部发展改革委生态环境部市场监管总局关于调整优化节能产品、环境标志产品政府采购执行机制的通知（财库（2019）9号）》执行。</w:t>
      </w:r>
    </w:p>
    <w:p w14:paraId="1B5D2755">
      <w:pPr>
        <w:keepNext w:val="0"/>
        <w:keepLines w:val="0"/>
        <w:pageBreakBefore w:val="0"/>
        <w:kinsoku/>
        <w:wordWrap/>
        <w:overflowPunct/>
        <w:topLinePunct w:val="0"/>
        <w:autoSpaceDE/>
        <w:autoSpaceDN/>
        <w:bidi w:val="0"/>
        <w:spacing w:line="360" w:lineRule="auto"/>
        <w:ind w:left="0" w:firstLine="0" w:firstLineChars="0"/>
        <w:textAlignment w:val="auto"/>
        <w:rPr>
          <w:rFonts w:ascii="宋体" w:hAnsi="宋体" w:eastAsia="宋体" w:cs="宋体"/>
          <w:b/>
          <w:bCs/>
          <w:sz w:val="24"/>
          <w:szCs w:val="24"/>
          <w:lang w:eastAsia="zh-CN"/>
        </w:rPr>
      </w:pPr>
      <w:r>
        <w:rPr>
          <w:rFonts w:hint="eastAsia" w:ascii="宋体" w:hAnsi="宋体" w:eastAsia="宋体" w:cs="宋体"/>
          <w:sz w:val="24"/>
          <w:szCs w:val="24"/>
          <w:lang w:eastAsia="zh-CN"/>
        </w:rPr>
        <w:t>5）实施本国产品标准及相关政策：依据《</w:t>
      </w:r>
      <w:r>
        <w:rPr>
          <w:rFonts w:hint="eastAsia" w:ascii="宋体" w:hAnsi="宋体" w:eastAsia="宋体" w:cs="宋体"/>
          <w:color w:val="000000"/>
          <w:sz w:val="24"/>
          <w:szCs w:val="24"/>
          <w:shd w:val="clear" w:color="auto" w:fill="FFFFFF"/>
          <w:lang w:eastAsia="zh-CN"/>
        </w:rPr>
        <w:t>国务院办公厅关于在政府采购中实施本国产品标准及相关政策的通知</w:t>
      </w:r>
      <w:r>
        <w:rPr>
          <w:rFonts w:hint="eastAsia" w:ascii="宋体" w:hAnsi="宋体" w:eastAsia="宋体" w:cs="宋体"/>
          <w:sz w:val="24"/>
          <w:szCs w:val="24"/>
          <w:lang w:eastAsia="zh-CN"/>
        </w:rPr>
        <w:t>》（国办发〔2025〕34号）规定，本项目供应商所投产品</w:t>
      </w:r>
      <w:r>
        <w:rPr>
          <w:rFonts w:hint="eastAsia" w:ascii="宋体" w:hAnsi="宋体" w:eastAsia="宋体" w:cs="宋体"/>
          <w:color w:val="000000"/>
          <w:sz w:val="24"/>
          <w:szCs w:val="24"/>
          <w:shd w:val="clear" w:color="auto" w:fill="FFFFFF"/>
          <w:lang w:eastAsia="zh-CN"/>
        </w:rPr>
        <w:t>在中国境内生产，即在中华人民共和国关境内实现从原材料、组件到产品的属性改变。且在中国境内生产的组件成本占比应当达到规定比例</w:t>
      </w:r>
      <w:r>
        <w:rPr>
          <w:rFonts w:hint="eastAsia" w:ascii="宋体" w:hAnsi="宋体" w:eastAsia="宋体" w:cs="宋体"/>
          <w:sz w:val="24"/>
          <w:szCs w:val="24"/>
          <w:lang w:eastAsia="zh-CN"/>
        </w:rPr>
        <w:t>，</w:t>
      </w:r>
      <w:r>
        <w:rPr>
          <w:rFonts w:hint="eastAsia" w:ascii="宋体" w:hAnsi="宋体" w:eastAsia="宋体" w:cs="宋体"/>
          <w:color w:val="000000"/>
          <w:sz w:val="24"/>
          <w:szCs w:val="24"/>
          <w:shd w:val="clear" w:color="auto" w:fill="FFFFFF"/>
          <w:lang w:eastAsia="zh-CN"/>
        </w:rPr>
        <w:t>依法对本国产品给予价格评审优惠，对本国产品的报价给予20%的价格扣除，用扣除后的价格参与评审。</w:t>
      </w:r>
      <w:r>
        <w:rPr>
          <w:rFonts w:hint="eastAsia" w:ascii="宋体" w:hAnsi="宋体" w:eastAsia="宋体" w:cs="宋体"/>
          <w:b/>
          <w:bCs/>
          <w:sz w:val="24"/>
          <w:szCs w:val="24"/>
          <w:lang w:eastAsia="zh-CN"/>
        </w:rPr>
        <w:t>供应商应出具招标文件要求的证明材料给予证明，否则评标时不予认可</w:t>
      </w:r>
      <w:r>
        <w:rPr>
          <w:rFonts w:hint="eastAsia" w:ascii="宋体" w:hAnsi="宋体" w:eastAsia="宋体" w:cs="宋体"/>
          <w:sz w:val="24"/>
          <w:szCs w:val="24"/>
          <w:lang w:eastAsia="zh-CN"/>
        </w:rPr>
        <w:t>。</w:t>
      </w:r>
      <w:r>
        <w:rPr>
          <w:rFonts w:hint="eastAsia" w:ascii="宋体" w:hAnsi="宋体" w:eastAsia="宋体" w:cs="宋体"/>
          <w:b/>
          <w:bCs/>
          <w:sz w:val="24"/>
          <w:szCs w:val="24"/>
          <w:lang w:eastAsia="zh-CN"/>
        </w:rPr>
        <w:t>供应商应对提交的证明材料真实性负责，</w:t>
      </w:r>
      <w:r>
        <w:rPr>
          <w:rFonts w:hint="eastAsia" w:ascii="宋体" w:hAnsi="宋体" w:eastAsia="宋体" w:cs="宋体"/>
          <w:sz w:val="24"/>
          <w:szCs w:val="24"/>
          <w:lang w:eastAsia="zh-CN"/>
        </w:rPr>
        <w:t>提交证明材料不真实的，应承担相应的法律责任。</w:t>
      </w:r>
    </w:p>
    <w:p w14:paraId="042B78B0">
      <w:pPr>
        <w:keepNext w:val="0"/>
        <w:keepLines w:val="0"/>
        <w:pageBreakBefore w:val="0"/>
        <w:kinsoku/>
        <w:wordWrap/>
        <w:overflowPunct/>
        <w:topLinePunct w:val="0"/>
        <w:autoSpaceDE/>
        <w:autoSpaceDN/>
        <w:bidi w:val="0"/>
        <w:spacing w:line="360" w:lineRule="auto"/>
        <w:ind w:left="0" w:firstLine="0" w:firstLineChars="0"/>
        <w:textAlignment w:val="auto"/>
        <w:rPr>
          <w:rFonts w:ascii="宋体" w:hAnsi="宋体" w:eastAsia="宋体" w:cs="宋体"/>
          <w:b/>
          <w:bCs/>
          <w:sz w:val="24"/>
          <w:szCs w:val="24"/>
          <w:lang w:eastAsia="zh-CN"/>
        </w:rPr>
      </w:pPr>
      <w:r>
        <w:rPr>
          <w:rFonts w:hint="eastAsia" w:ascii="宋体" w:hAnsi="宋体" w:eastAsia="宋体" w:cs="宋体"/>
          <w:b/>
          <w:bCs/>
          <w:sz w:val="24"/>
          <w:szCs w:val="24"/>
          <w:lang w:eastAsia="zh-CN"/>
        </w:rPr>
        <w:t>2.4采购标的的其他技术、服务等要求；</w:t>
      </w:r>
    </w:p>
    <w:p w14:paraId="45B51323">
      <w:pPr>
        <w:keepNext w:val="0"/>
        <w:keepLines w:val="0"/>
        <w:pageBreakBefore w:val="0"/>
        <w:tabs>
          <w:tab w:val="left" w:pos="900"/>
        </w:tabs>
        <w:kinsoku/>
        <w:wordWrap/>
        <w:overflowPunct/>
        <w:topLinePunct w:val="0"/>
        <w:bidi w:val="0"/>
        <w:spacing w:line="360" w:lineRule="auto"/>
        <w:ind w:left="0" w:firstLine="0" w:firstLineChars="0"/>
        <w:textAlignment w:val="auto"/>
        <w:rPr>
          <w:rFonts w:ascii="宋体" w:hAnsi="宋体" w:eastAsia="宋体" w:cs="宋体"/>
          <w:b/>
          <w:bCs/>
          <w:iCs/>
          <w:sz w:val="24"/>
          <w:szCs w:val="24"/>
          <w:lang w:eastAsia="zh-CN"/>
        </w:rPr>
      </w:pPr>
      <w:bookmarkStart w:id="12" w:name="_Toc7340"/>
      <w:r>
        <w:rPr>
          <w:rFonts w:hint="eastAsia" w:ascii="宋体" w:hAnsi="宋体" w:eastAsia="宋体" w:cs="宋体"/>
          <w:b/>
          <w:bCs/>
          <w:sz w:val="24"/>
          <w:szCs w:val="24"/>
          <w:lang w:eastAsia="zh-CN"/>
        </w:rPr>
        <w:t>（1）对于技术规格中标注“★”号的技术参数代表实质性指标，不满足该指标项将直接导致投标被拒绝。</w:t>
      </w:r>
    </w:p>
    <w:p w14:paraId="3ED62D64">
      <w:pPr>
        <w:keepNext w:val="0"/>
        <w:keepLines w:val="0"/>
        <w:pageBreakBefore w:val="0"/>
        <w:tabs>
          <w:tab w:val="left" w:pos="900"/>
        </w:tabs>
        <w:kinsoku/>
        <w:wordWrap/>
        <w:overflowPunct/>
        <w:topLinePunct w:val="0"/>
        <w:bidi w:val="0"/>
        <w:spacing w:line="360" w:lineRule="auto"/>
        <w:ind w:left="0" w:firstLine="0" w:firstLineChars="0"/>
        <w:textAlignment w:val="auto"/>
        <w:rPr>
          <w:rFonts w:ascii="宋体" w:hAnsi="宋体" w:eastAsia="宋体" w:cs="宋体"/>
          <w:b/>
          <w:bCs/>
          <w:sz w:val="24"/>
          <w:szCs w:val="24"/>
          <w:lang w:eastAsia="zh-CN"/>
        </w:rPr>
      </w:pPr>
      <w:r>
        <w:rPr>
          <w:rFonts w:hint="eastAsia" w:ascii="宋体" w:hAnsi="宋体" w:eastAsia="宋体" w:cs="宋体"/>
          <w:b/>
          <w:bCs/>
          <w:sz w:val="24"/>
          <w:szCs w:val="24"/>
          <w:lang w:eastAsia="zh-CN"/>
        </w:rPr>
        <w:t>（2）须在投标文件中提供所投设备油印彩页并加盖公章。</w:t>
      </w:r>
    </w:p>
    <w:p w14:paraId="408302B4">
      <w:pPr>
        <w:keepNext w:val="0"/>
        <w:keepLines w:val="0"/>
        <w:pageBreakBefore w:val="0"/>
        <w:tabs>
          <w:tab w:val="left" w:pos="900"/>
        </w:tabs>
        <w:kinsoku/>
        <w:wordWrap/>
        <w:overflowPunct/>
        <w:topLinePunct w:val="0"/>
        <w:bidi w:val="0"/>
        <w:spacing w:line="360" w:lineRule="auto"/>
        <w:ind w:left="0" w:firstLine="0" w:firstLineChars="0"/>
        <w:textAlignment w:val="auto"/>
        <w:rPr>
          <w:rFonts w:ascii="宋体" w:hAnsi="宋体" w:eastAsia="宋体" w:cs="宋体"/>
          <w:b/>
          <w:bCs/>
          <w:iCs/>
          <w:sz w:val="24"/>
          <w:szCs w:val="24"/>
          <w:lang w:eastAsia="zh-CN"/>
        </w:rPr>
      </w:pPr>
      <w:r>
        <w:rPr>
          <w:rFonts w:hint="eastAsia" w:ascii="宋体" w:hAnsi="宋体" w:eastAsia="宋体" w:cs="宋体"/>
          <w:b/>
          <w:bCs/>
          <w:sz w:val="24"/>
          <w:szCs w:val="24"/>
          <w:lang w:eastAsia="zh-CN"/>
        </w:rPr>
        <w:t>（3）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号的技术参数，投标人须在投标文件中按照招标文件技术规格的要求提供技术应答的证明材料，如技术规格中无特殊要求则应提交本条款规定的技术支持资料。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r>
        <w:rPr>
          <w:rFonts w:hint="eastAsia" w:ascii="宋体" w:hAnsi="宋体" w:eastAsia="宋体" w:cs="宋体"/>
          <w:b/>
          <w:bCs/>
          <w:iCs/>
          <w:sz w:val="24"/>
          <w:szCs w:val="24"/>
          <w:lang w:eastAsia="zh-CN"/>
        </w:rPr>
        <w:t xml:space="preserve">。 </w:t>
      </w:r>
    </w:p>
    <w:p w14:paraId="13F1C5D4">
      <w:pPr>
        <w:keepNext w:val="0"/>
        <w:keepLines w:val="0"/>
        <w:pageBreakBefore w:val="0"/>
        <w:tabs>
          <w:tab w:val="left" w:pos="900"/>
        </w:tabs>
        <w:kinsoku/>
        <w:wordWrap/>
        <w:overflowPunct/>
        <w:topLinePunct w:val="0"/>
        <w:bidi w:val="0"/>
        <w:spacing w:line="360" w:lineRule="auto"/>
        <w:ind w:left="0" w:firstLine="0" w:firstLineChars="0"/>
        <w:textAlignment w:val="auto"/>
        <w:rPr>
          <w:rFonts w:ascii="宋体" w:hAnsi="宋体" w:eastAsia="宋体" w:cs="宋体"/>
          <w:iCs/>
          <w:sz w:val="24"/>
          <w:szCs w:val="24"/>
          <w:lang w:eastAsia="zh-CN"/>
        </w:rPr>
      </w:pPr>
      <w:r>
        <w:rPr>
          <w:rFonts w:hint="eastAsia" w:ascii="宋体" w:hAnsi="宋体" w:eastAsia="宋体" w:cs="宋体"/>
          <w:sz w:val="24"/>
          <w:szCs w:val="24"/>
          <w:lang w:eastAsia="zh-CN"/>
        </w:rPr>
        <w:t>（4）</w:t>
      </w:r>
      <w:r>
        <w:rPr>
          <w:rFonts w:hint="eastAsia" w:ascii="宋体" w:hAnsi="宋体" w:eastAsia="宋体" w:cs="宋体"/>
          <w:iCs/>
          <w:sz w:val="24"/>
          <w:szCs w:val="24"/>
          <w:lang w:eastAsia="zh-CN"/>
        </w:rPr>
        <w:t xml:space="preserve">投标人所提供的部件之间及设备之间的连线或接插件均视为设备内部部件，应包含在相应的配置中。 </w:t>
      </w:r>
    </w:p>
    <w:p w14:paraId="6B48F990">
      <w:pPr>
        <w:keepNext w:val="0"/>
        <w:keepLines w:val="0"/>
        <w:pageBreakBefore w:val="0"/>
        <w:tabs>
          <w:tab w:val="left" w:pos="900"/>
        </w:tabs>
        <w:kinsoku/>
        <w:wordWrap/>
        <w:overflowPunct/>
        <w:topLinePunct w:val="0"/>
        <w:bidi w:val="0"/>
        <w:spacing w:line="360" w:lineRule="auto"/>
        <w:ind w:left="0" w:firstLine="0" w:firstLineChars="0"/>
        <w:textAlignment w:val="auto"/>
        <w:rPr>
          <w:rFonts w:ascii="宋体" w:hAnsi="宋体" w:eastAsia="宋体" w:cs="宋体"/>
          <w:iCs/>
          <w:sz w:val="24"/>
          <w:szCs w:val="24"/>
          <w:lang w:eastAsia="zh-CN"/>
        </w:rPr>
      </w:pPr>
      <w:r>
        <w:rPr>
          <w:rFonts w:hint="eastAsia" w:ascii="宋体" w:hAnsi="宋体" w:eastAsia="宋体" w:cs="宋体"/>
          <w:sz w:val="24"/>
          <w:szCs w:val="24"/>
          <w:lang w:eastAsia="zh-CN"/>
        </w:rPr>
        <w:t>（5）</w:t>
      </w:r>
      <w:r>
        <w:rPr>
          <w:rFonts w:hint="eastAsia" w:ascii="宋体" w:hAnsi="宋体" w:eastAsia="宋体" w:cs="宋体"/>
          <w:iCs/>
          <w:sz w:val="24"/>
          <w:szCs w:val="24"/>
          <w:lang w:eastAsia="zh-CN"/>
        </w:rPr>
        <w:t xml:space="preserve">工作条件：除了在技术规格中另有规定外，投标人提供的一切仪器、设备和系统，应符合下列条件： </w:t>
      </w:r>
    </w:p>
    <w:p w14:paraId="0ED4685C">
      <w:pPr>
        <w:keepNext w:val="0"/>
        <w:keepLines w:val="0"/>
        <w:pageBreakBefore w:val="0"/>
        <w:tabs>
          <w:tab w:val="left" w:pos="900"/>
        </w:tabs>
        <w:kinsoku/>
        <w:wordWrap/>
        <w:overflowPunct/>
        <w:topLinePunct w:val="0"/>
        <w:bidi w:val="0"/>
        <w:spacing w:line="360" w:lineRule="auto"/>
        <w:ind w:left="0" w:firstLine="0" w:firstLineChars="0"/>
        <w:textAlignment w:val="auto"/>
        <w:rPr>
          <w:rFonts w:ascii="宋体" w:hAnsi="宋体" w:eastAsia="宋体" w:cs="宋体"/>
          <w:iCs/>
          <w:sz w:val="24"/>
          <w:szCs w:val="24"/>
          <w:lang w:eastAsia="zh-CN"/>
        </w:rPr>
      </w:pPr>
      <w:r>
        <w:rPr>
          <w:rFonts w:hint="eastAsia" w:ascii="宋体" w:hAnsi="宋体" w:eastAsia="宋体" w:cs="宋体"/>
          <w:iCs/>
          <w:sz w:val="24"/>
          <w:szCs w:val="24"/>
          <w:lang w:eastAsia="zh-CN"/>
        </w:rPr>
        <w:t xml:space="preserve">1）仪器设备的插头要符合中国电工标准。如不符合，则应提供适合仪器插头的插座，必须要有接地。 </w:t>
      </w:r>
    </w:p>
    <w:p w14:paraId="74460EA7">
      <w:pPr>
        <w:keepNext w:val="0"/>
        <w:keepLines w:val="0"/>
        <w:pageBreakBefore w:val="0"/>
        <w:tabs>
          <w:tab w:val="left" w:pos="900"/>
        </w:tabs>
        <w:kinsoku/>
        <w:wordWrap/>
        <w:overflowPunct/>
        <w:topLinePunct w:val="0"/>
        <w:bidi w:val="0"/>
        <w:spacing w:line="360" w:lineRule="auto"/>
        <w:ind w:left="0" w:firstLine="0" w:firstLineChars="0"/>
        <w:textAlignment w:val="auto"/>
        <w:rPr>
          <w:rFonts w:ascii="宋体" w:hAnsi="宋体" w:eastAsia="宋体" w:cs="宋体"/>
          <w:iCs/>
          <w:sz w:val="24"/>
          <w:szCs w:val="24"/>
          <w:lang w:eastAsia="zh-CN"/>
        </w:rPr>
      </w:pPr>
      <w:r>
        <w:rPr>
          <w:rFonts w:hint="eastAsia" w:ascii="宋体" w:hAnsi="宋体" w:eastAsia="宋体" w:cs="宋体"/>
          <w:iCs/>
          <w:sz w:val="24"/>
          <w:szCs w:val="24"/>
          <w:lang w:eastAsia="zh-CN"/>
        </w:rPr>
        <w:t>2）如果仪器设备需特殊的工作条件（如：水、电源、磁场强度、特殊温度、湿度、震动强度等），投标人应在有关投标文件中加以说明。</w:t>
      </w:r>
    </w:p>
    <w:p w14:paraId="1F21D04D">
      <w:pPr>
        <w:keepNext w:val="0"/>
        <w:keepLines w:val="0"/>
        <w:pageBreakBefore w:val="0"/>
        <w:tabs>
          <w:tab w:val="left" w:pos="900"/>
        </w:tabs>
        <w:kinsoku/>
        <w:wordWrap/>
        <w:overflowPunct/>
        <w:topLinePunct w:val="0"/>
        <w:bidi w:val="0"/>
        <w:spacing w:line="360" w:lineRule="auto"/>
        <w:ind w:left="0" w:firstLine="0" w:firstLineChars="0"/>
        <w:textAlignment w:val="auto"/>
        <w:rPr>
          <w:rFonts w:ascii="宋体" w:hAnsi="宋体" w:eastAsia="宋体" w:cs="宋体"/>
          <w:iCs/>
          <w:color w:val="FF0000"/>
          <w:sz w:val="24"/>
          <w:szCs w:val="24"/>
          <w:lang w:eastAsia="zh-CN"/>
        </w:rPr>
      </w:pPr>
      <w:r>
        <w:rPr>
          <w:rFonts w:hint="eastAsia" w:ascii="宋体" w:hAnsi="宋体" w:eastAsia="宋体" w:cs="宋体"/>
          <w:iCs/>
          <w:sz w:val="24"/>
          <w:szCs w:val="24"/>
          <w:lang w:eastAsia="zh-CN"/>
        </w:rPr>
        <w:t xml:space="preserve">（6）培训要求：培训是指涉及产品基本原理、安装、调试、操作使用和保养维修等有关内容的学习。投标人应保证在采购人指定交货地点对每包（品目）最终用户设备操作人员提供不少于1天的免费培训。投标人投标时应提供详细的培训方案（应包括对培训内容、培训对象、培训时间做出计划，包括培训时间、地点、人次、方式、预计培训结果等）。培训教员的差旅费、食宿费、培训教材等费用，应计入投标报价。  </w:t>
      </w:r>
    </w:p>
    <w:bookmarkEnd w:id="12"/>
    <w:p w14:paraId="2C8A62F4">
      <w:pPr>
        <w:keepNext w:val="0"/>
        <w:keepLines w:val="0"/>
        <w:pageBreakBefore w:val="0"/>
        <w:tabs>
          <w:tab w:val="left" w:pos="900"/>
        </w:tabs>
        <w:kinsoku/>
        <w:wordWrap/>
        <w:overflowPunct/>
        <w:topLinePunct w:val="0"/>
        <w:bidi w:val="0"/>
        <w:spacing w:line="360" w:lineRule="auto"/>
        <w:ind w:left="0" w:firstLine="0" w:firstLineChars="0"/>
        <w:textAlignment w:val="auto"/>
        <w:rPr>
          <w:rFonts w:ascii="宋体" w:hAnsi="宋体" w:eastAsia="宋体" w:cs="宋体"/>
          <w:b/>
          <w:sz w:val="24"/>
          <w:szCs w:val="24"/>
          <w:lang w:eastAsia="zh-CN"/>
        </w:rPr>
      </w:pPr>
      <w:r>
        <w:rPr>
          <w:rFonts w:hint="eastAsia" w:ascii="宋体" w:hAnsi="宋体" w:eastAsia="宋体" w:cs="宋体"/>
          <w:b/>
          <w:sz w:val="24"/>
          <w:szCs w:val="24"/>
          <w:lang w:eastAsia="zh-CN"/>
        </w:rPr>
        <w:t>3.采购标的的验收标准</w:t>
      </w:r>
    </w:p>
    <w:p w14:paraId="21A68B46">
      <w:pPr>
        <w:keepNext w:val="0"/>
        <w:keepLines w:val="0"/>
        <w:pageBreakBefore w:val="0"/>
        <w:kinsoku/>
        <w:wordWrap/>
        <w:overflowPunct/>
        <w:topLinePunct w:val="0"/>
        <w:autoSpaceDE/>
        <w:autoSpaceDN/>
        <w:bidi w:val="0"/>
        <w:spacing w:line="360" w:lineRule="auto"/>
        <w:ind w:left="0" w:firstLine="0" w:firstLineChars="0"/>
        <w:textAlignment w:val="auto"/>
        <w:rPr>
          <w:rFonts w:ascii="宋体" w:hAnsi="宋体" w:eastAsia="宋体" w:cs="宋体"/>
          <w:bCs/>
          <w:sz w:val="24"/>
          <w:szCs w:val="21"/>
          <w:lang w:eastAsia="zh-CN"/>
        </w:rPr>
      </w:pPr>
      <w:r>
        <w:rPr>
          <w:rFonts w:hint="eastAsia" w:ascii="宋体" w:hAnsi="宋体" w:eastAsia="宋体" w:cs="宋体"/>
          <w:bCs/>
          <w:sz w:val="24"/>
          <w:szCs w:val="21"/>
          <w:lang w:eastAsia="zh-CN"/>
        </w:rPr>
        <w:t>3.1、采购标的的验收标准</w:t>
      </w:r>
    </w:p>
    <w:p w14:paraId="2BC2B47F">
      <w:pPr>
        <w:keepNext w:val="0"/>
        <w:keepLines w:val="0"/>
        <w:pageBreakBefore w:val="0"/>
        <w:kinsoku/>
        <w:wordWrap/>
        <w:overflowPunct/>
        <w:topLinePunct w:val="0"/>
        <w:autoSpaceDE/>
        <w:autoSpaceDN/>
        <w:bidi w:val="0"/>
        <w:spacing w:line="360" w:lineRule="auto"/>
        <w:ind w:left="0" w:firstLine="0" w:firstLineChars="0"/>
        <w:textAlignment w:val="auto"/>
        <w:rPr>
          <w:rFonts w:ascii="宋体" w:hAnsi="宋体" w:eastAsia="宋体" w:cs="宋体"/>
          <w:bCs/>
          <w:sz w:val="24"/>
          <w:szCs w:val="21"/>
          <w:lang w:eastAsia="zh-CN"/>
        </w:rPr>
      </w:pPr>
      <w:r>
        <w:rPr>
          <w:rFonts w:hint="eastAsia" w:ascii="宋体" w:hAnsi="宋体" w:eastAsia="宋体" w:cs="宋体"/>
          <w:bCs/>
          <w:sz w:val="24"/>
          <w:szCs w:val="21"/>
          <w:lang w:eastAsia="zh-CN"/>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4AE1956D">
      <w:pPr>
        <w:keepNext w:val="0"/>
        <w:keepLines w:val="0"/>
        <w:pageBreakBefore w:val="0"/>
        <w:kinsoku/>
        <w:wordWrap/>
        <w:overflowPunct/>
        <w:topLinePunct w:val="0"/>
        <w:autoSpaceDE/>
        <w:autoSpaceDN/>
        <w:bidi w:val="0"/>
        <w:spacing w:line="360" w:lineRule="auto"/>
        <w:ind w:left="0" w:firstLine="0" w:firstLineChars="0"/>
        <w:textAlignment w:val="auto"/>
        <w:rPr>
          <w:rFonts w:ascii="宋体" w:hAnsi="宋体" w:eastAsia="宋体" w:cs="宋体"/>
          <w:bCs/>
          <w:sz w:val="24"/>
          <w:szCs w:val="21"/>
          <w:lang w:eastAsia="zh-CN"/>
        </w:rPr>
      </w:pPr>
      <w:r>
        <w:rPr>
          <w:rFonts w:hint="eastAsia" w:ascii="宋体" w:hAnsi="宋体" w:eastAsia="宋体" w:cs="宋体"/>
          <w:bCs/>
          <w:sz w:val="24"/>
          <w:szCs w:val="21"/>
          <w:lang w:eastAsia="zh-CN"/>
        </w:rPr>
        <w:t>（2）货物运抵采购项目（标的）交付的地点后，采购人将在7个工作日内组织验收，由采购人组织验收小组，对货物的数量、外观、质量、安全、功能及性能等进行验收，项目验收依据为采购合同、招标文件和投标文件。验收小组将根据验收情况制作验收备忘录并签署验收意见。</w:t>
      </w:r>
    </w:p>
    <w:p w14:paraId="4B82E215">
      <w:pPr>
        <w:keepNext w:val="0"/>
        <w:keepLines w:val="0"/>
        <w:pageBreakBefore w:val="0"/>
        <w:kinsoku/>
        <w:wordWrap/>
        <w:overflowPunct/>
        <w:topLinePunct w:val="0"/>
        <w:autoSpaceDE/>
        <w:autoSpaceDN/>
        <w:bidi w:val="0"/>
        <w:spacing w:line="360" w:lineRule="auto"/>
        <w:ind w:left="0" w:firstLine="0" w:firstLineChars="0"/>
        <w:textAlignment w:val="auto"/>
        <w:rPr>
          <w:rFonts w:hint="eastAsia" w:ascii="宋体" w:hAnsi="宋体" w:eastAsia="宋体" w:cs="宋体"/>
          <w:bCs/>
          <w:sz w:val="24"/>
          <w:szCs w:val="21"/>
          <w:lang w:eastAsia="zh-CN"/>
        </w:rPr>
      </w:pPr>
      <w:r>
        <w:rPr>
          <w:rFonts w:hint="eastAsia" w:ascii="宋体" w:hAnsi="宋体" w:eastAsia="宋体" w:cs="宋体"/>
          <w:bCs/>
          <w:sz w:val="24"/>
          <w:szCs w:val="21"/>
          <w:lang w:eastAsia="zh-CN"/>
        </w:rPr>
        <w:t>（3）投标人应负责使所供计量仪器通过计量部门的验收，并承担相关费用（包括运费）。若需要，应在检测期间提供备用仪器，以便不影响采购人的使用。</w:t>
      </w:r>
    </w:p>
    <w:p w14:paraId="534C3E4B">
      <w:bookmarkStart w:id="13" w:name="_GoBack"/>
      <w:bookmarkEnd w:id="13"/>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Arial Regular">
    <w:altName w:val="Arial"/>
    <w:panose1 w:val="020B0604020202090204"/>
    <w:charset w:val="00"/>
    <w:family w:val="auto"/>
    <w:pitch w:val="default"/>
    <w:sig w:usb0="00000000" w:usb1="00000000"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BE7ED">
    <w:pPr>
      <w:widowControl w:val="0"/>
      <w:tabs>
        <w:tab w:val="center" w:pos="4153"/>
        <w:tab w:val="right" w:pos="8306"/>
      </w:tabs>
      <w:autoSpaceDE w:val="0"/>
      <w:autoSpaceDN w:val="0"/>
      <w:snapToGrid w:val="0"/>
      <w:rPr>
        <w:rFonts w:ascii="宋体" w:hAnsi="宋体" w:eastAsia="宋体" w:cs="宋体"/>
        <w:sz w:val="18"/>
        <w:szCs w:val="22"/>
        <w:lang w:val="en-US" w:eastAsia="en-US" w:bidi="ar-SA"/>
      </w:rPr>
    </w:pPr>
    <w:r>
      <w:rPr>
        <w:rFonts w:ascii="宋体" w:hAnsi="宋体" w:eastAsia="宋体" w:cs="宋体"/>
        <w:sz w:val="18"/>
        <w:szCs w:val="22"/>
        <w:lang w:val="en-US" w:eastAsia="en-US"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8C35E43">
                          <w:pPr>
                            <w:widowControl w:val="0"/>
                            <w:tabs>
                              <w:tab w:val="center" w:pos="4153"/>
                              <w:tab w:val="right" w:pos="8306"/>
                            </w:tabs>
                            <w:autoSpaceDE w:val="0"/>
                            <w:autoSpaceDN w:val="0"/>
                            <w:snapToGrid w:val="0"/>
                            <w:rPr>
                              <w:rFonts w:ascii="宋体" w:hAnsi="宋体" w:eastAsia="宋体" w:cs="宋体"/>
                              <w:sz w:val="18"/>
                              <w:szCs w:val="22"/>
                              <w:lang w:val="en-US" w:eastAsia="en-US" w:bidi="ar-SA"/>
                            </w:rPr>
                          </w:pPr>
                          <w:r>
                            <w:rPr>
                              <w:rFonts w:ascii="宋体" w:hAnsi="宋体" w:eastAsia="宋体" w:cs="宋体"/>
                              <w:sz w:val="18"/>
                              <w:szCs w:val="22"/>
                              <w:lang w:val="en-US" w:eastAsia="en-US" w:bidi="ar-SA"/>
                            </w:rPr>
                            <w:fldChar w:fldCharType="begin"/>
                          </w:r>
                          <w:r>
                            <w:rPr>
                              <w:rFonts w:ascii="宋体" w:hAnsi="宋体" w:eastAsia="宋体" w:cs="宋体"/>
                              <w:sz w:val="18"/>
                              <w:szCs w:val="22"/>
                              <w:lang w:val="en-US" w:eastAsia="en-US" w:bidi="ar-SA"/>
                            </w:rPr>
                            <w:instrText xml:space="preserve"> PAGE  \* MERGEFORMAT </w:instrText>
                          </w:r>
                          <w:r>
                            <w:rPr>
                              <w:rFonts w:ascii="宋体" w:hAnsi="宋体" w:eastAsia="宋体" w:cs="宋体"/>
                              <w:sz w:val="18"/>
                              <w:szCs w:val="22"/>
                              <w:lang w:val="en-US" w:eastAsia="en-US" w:bidi="ar-SA"/>
                            </w:rPr>
                            <w:fldChar w:fldCharType="separate"/>
                          </w:r>
                          <w:r>
                            <w:rPr>
                              <w:rFonts w:ascii="宋体" w:hAnsi="宋体" w:eastAsia="宋体" w:cs="宋体"/>
                              <w:sz w:val="18"/>
                              <w:szCs w:val="22"/>
                              <w:lang w:val="en-US" w:eastAsia="en-US" w:bidi="ar-SA"/>
                            </w:rPr>
                            <w:t>47</w:t>
                          </w:r>
                          <w:r>
                            <w:rPr>
                              <w:rFonts w:ascii="宋体" w:hAnsi="宋体" w:eastAsia="宋体" w:cs="宋体"/>
                              <w:sz w:val="18"/>
                              <w:szCs w:val="22"/>
                              <w:lang w:val="en-US" w:eastAsia="en-US"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34oms6AgAAcQ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AN+KJrOgIAAHEEAAAOAAAAAAAAAAEAIAAAAB8BAABkcnMvZTJvRG9j&#10;LnhtbFBLBQYAAAAABgAGAFkBAADLBQAAAAA=&#10;">
              <v:fill on="f" focussize="0,0"/>
              <v:stroke on="f" weight="0.5pt"/>
              <v:imagedata o:title=""/>
              <o:lock v:ext="edit" aspectratio="f"/>
              <v:textbox inset="0mm,0mm,0mm,0mm" style="mso-fit-shape-to-text:t;">
                <w:txbxContent>
                  <w:p w14:paraId="78C35E43">
                    <w:pPr>
                      <w:widowControl w:val="0"/>
                      <w:tabs>
                        <w:tab w:val="center" w:pos="4153"/>
                        <w:tab w:val="right" w:pos="8306"/>
                      </w:tabs>
                      <w:autoSpaceDE w:val="0"/>
                      <w:autoSpaceDN w:val="0"/>
                      <w:snapToGrid w:val="0"/>
                      <w:rPr>
                        <w:rFonts w:ascii="宋体" w:hAnsi="宋体" w:eastAsia="宋体" w:cs="宋体"/>
                        <w:sz w:val="18"/>
                        <w:szCs w:val="22"/>
                        <w:lang w:val="en-US" w:eastAsia="en-US" w:bidi="ar-SA"/>
                      </w:rPr>
                    </w:pPr>
                    <w:r>
                      <w:rPr>
                        <w:rFonts w:ascii="宋体" w:hAnsi="宋体" w:eastAsia="宋体" w:cs="宋体"/>
                        <w:sz w:val="18"/>
                        <w:szCs w:val="22"/>
                        <w:lang w:val="en-US" w:eastAsia="en-US" w:bidi="ar-SA"/>
                      </w:rPr>
                      <w:fldChar w:fldCharType="begin"/>
                    </w:r>
                    <w:r>
                      <w:rPr>
                        <w:rFonts w:ascii="宋体" w:hAnsi="宋体" w:eastAsia="宋体" w:cs="宋体"/>
                        <w:sz w:val="18"/>
                        <w:szCs w:val="22"/>
                        <w:lang w:val="en-US" w:eastAsia="en-US" w:bidi="ar-SA"/>
                      </w:rPr>
                      <w:instrText xml:space="preserve"> PAGE  \* MERGEFORMAT </w:instrText>
                    </w:r>
                    <w:r>
                      <w:rPr>
                        <w:rFonts w:ascii="宋体" w:hAnsi="宋体" w:eastAsia="宋体" w:cs="宋体"/>
                        <w:sz w:val="18"/>
                        <w:szCs w:val="22"/>
                        <w:lang w:val="en-US" w:eastAsia="en-US" w:bidi="ar-SA"/>
                      </w:rPr>
                      <w:fldChar w:fldCharType="separate"/>
                    </w:r>
                    <w:r>
                      <w:rPr>
                        <w:rFonts w:ascii="宋体" w:hAnsi="宋体" w:eastAsia="宋体" w:cs="宋体"/>
                        <w:sz w:val="18"/>
                        <w:szCs w:val="22"/>
                        <w:lang w:val="en-US" w:eastAsia="en-US" w:bidi="ar-SA"/>
                      </w:rPr>
                      <w:t>47</w:t>
                    </w:r>
                    <w:r>
                      <w:rPr>
                        <w:rFonts w:ascii="宋体" w:hAnsi="宋体" w:eastAsia="宋体" w:cs="宋体"/>
                        <w:sz w:val="18"/>
                        <w:szCs w:val="22"/>
                        <w:lang w:val="en-US" w:eastAsia="en-US" w:bidi="ar-SA"/>
                      </w:rPr>
                      <w:fldChar w:fldCharType="end"/>
                    </w:r>
                  </w:p>
                </w:txbxContent>
              </v:textbox>
            </v:shape>
          </w:pict>
        </mc:Fallback>
      </mc:AlternateContent>
    </w:r>
  </w:p>
  <w:p w14:paraId="52E7E1CB">
    <w:pPr>
      <w:rPr>
        <w:rFonts w:ascii="宋体" w:hAnsi="宋体" w:eastAsia="宋体" w:cs="宋体"/>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38BF0">
    <w:pPr>
      <w:rPr>
        <w:rFonts w:ascii="宋体" w:hAnsi="宋体" w:eastAsia="宋体" w:cs="宋体"/>
      </w:rPr>
    </w:pPr>
    <w:r>
      <w:rPr>
        <w:rFonts w:ascii="宋体" w:hAnsi="宋体" w:eastAsia="宋体" w:cs="宋体"/>
      </w:rPr>
      <w:tab/>
    </w:r>
    <w:r>
      <w:rPr>
        <w:rFonts w:ascii="宋体" w:hAnsi="宋体" w:eastAsia="宋体" w:cs="宋体"/>
      </w:rPr>
      <w:tab/>
    </w:r>
    <w:r>
      <w:rPr>
        <w:rFonts w:ascii="宋体" w:hAnsi="宋体" w:eastAsia="宋体" w:cs="宋体"/>
      </w:rPr>
      <w:tab/>
    </w:r>
    <w:r>
      <w:rPr>
        <w:rFonts w:ascii="宋体" w:hAnsi="宋体" w:eastAsia="宋体" w:cs="宋体"/>
      </w:rPr>
      <w:tab/>
    </w:r>
    <w:r>
      <w:rPr>
        <w:rFonts w:ascii="宋体" w:hAnsi="宋体" w:eastAsia="宋体" w:cs="宋体"/>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88416A"/>
    <w:multiLevelType w:val="multilevel"/>
    <w:tmpl w:val="D388416A"/>
    <w:lvl w:ilvl="0" w:tentative="0">
      <w:start w:val="1"/>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34287D"/>
    <w:rsid w:val="2EF52E8E"/>
    <w:rsid w:val="43AF6F86"/>
    <w:rsid w:val="5034287D"/>
    <w:rsid w:val="59235C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en-US" w:bidi="ar-SA"/>
    </w:rPr>
  </w:style>
  <w:style w:type="paragraph" w:styleId="2">
    <w:name w:val="heading 1"/>
    <w:basedOn w:val="1"/>
    <w:next w:val="1"/>
    <w:qFormat/>
    <w:uiPriority w:val="1"/>
    <w:pPr>
      <w:outlineLvl w:val="0"/>
    </w:pPr>
    <w:rPr>
      <w:sz w:val="36"/>
      <w:szCs w:val="36"/>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6">
    <w:name w:val="List Paragraph"/>
    <w:basedOn w:val="1"/>
    <w:qFormat/>
    <w:uiPriority w:val="34"/>
    <w:pPr>
      <w:ind w:left="720"/>
      <w:contextualSpacing/>
    </w:pPr>
  </w:style>
  <w:style w:type="paragraph" w:customStyle="1" w:styleId="7">
    <w:name w:val="Table Paragraph"/>
    <w:basedOn w:val="1"/>
    <w:qFormat/>
    <w:uiPriority w:val="1"/>
  </w:style>
  <w:style w:type="paragraph" w:customStyle="1" w:styleId="8">
    <w:name w:val="列出段落1"/>
    <w:basedOn w:val="1"/>
    <w:qFormat/>
    <w:uiPriority w:val="1"/>
    <w:pPr>
      <w:spacing w:before="134"/>
      <w:ind w:left="1196" w:hanging="720"/>
    </w:pPr>
    <w:rPr>
      <w:sz w:val="20"/>
    </w:rPr>
  </w:style>
  <w:style w:type="paragraph" w:customStyle="1" w:styleId="9">
    <w:name w:val="列表段落1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1682</Words>
  <Characters>1734</Characters>
  <Lines>0</Lines>
  <Paragraphs>0</Paragraphs>
  <TotalTime>0</TotalTime>
  <ScaleCrop>false</ScaleCrop>
  <LinksUpToDate>false</LinksUpToDate>
  <CharactersWithSpaces>1738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2026-06-16T03:04:00Z</dcterms:created>
  <dc:creator>王崴</dc:creator>
  <cp:lastModifiedBy>王崴</cp:lastModifiedBy>
  <dcterms:modified xsi:type="dcterms:W3CDTF">2026-09-30T08:11:27Z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7D86952B72FA417289CD8924C9ED0B3C_11</vt:lpwstr>
  </property>
  <property fmtid="{D5CDD505-2E9C-101B-9397-08002B2CF9AE}" pid="4" name="KSOTemplateDocerSaveRecord">
    <vt:lpwstr>eyJoZGlkIjoiYzJkNmQ0NDE4YzEzNGRmM2Y2YjQ4M2I3YzVkZjVlNzUiLCJ1c2VySWQiOiI4NDYxOTIwMTUifQ==</vt:lpwstr>
  </property>
</Properties>
</file>