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0B3A7">
      <w:pPr>
        <w:spacing w:line="36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  <w:highlight w:val="none"/>
        </w:rPr>
      </w:pPr>
      <w:r>
        <w:rPr>
          <w:rFonts w:ascii="Times New Roman" w:hAnsi="Times New Roman" w:cs="Times New Roman"/>
          <w:b/>
          <w:sz w:val="36"/>
          <w:szCs w:val="36"/>
          <w:highlight w:val="none"/>
        </w:rPr>
        <w:t>采购需求</w:t>
      </w:r>
    </w:p>
    <w:p w14:paraId="039D5BAE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采购标的</w:t>
      </w:r>
    </w:p>
    <w:p w14:paraId="34643D3A">
      <w:pPr>
        <w:numPr>
          <w:ilvl w:val="0"/>
          <w:numId w:val="2"/>
        </w:numPr>
        <w:spacing w:line="360" w:lineRule="auto"/>
        <w:contextualSpacing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采购标的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3211"/>
        <w:gridCol w:w="1911"/>
        <w:gridCol w:w="1853"/>
      </w:tblGrid>
      <w:tr w14:paraId="67F91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1" w:type="dxa"/>
            <w:noWrap w:val="0"/>
            <w:vAlign w:val="center"/>
          </w:tcPr>
          <w:p w14:paraId="589B81ED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序号</w:t>
            </w:r>
          </w:p>
        </w:tc>
        <w:tc>
          <w:tcPr>
            <w:tcW w:w="3211" w:type="dxa"/>
            <w:noWrap w:val="0"/>
            <w:vAlign w:val="center"/>
          </w:tcPr>
          <w:p w14:paraId="37C927C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货物或服务名称</w:t>
            </w:r>
          </w:p>
        </w:tc>
        <w:tc>
          <w:tcPr>
            <w:tcW w:w="1911" w:type="dxa"/>
            <w:noWrap w:val="0"/>
            <w:vAlign w:val="center"/>
          </w:tcPr>
          <w:p w14:paraId="50BEF79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数量</w:t>
            </w:r>
          </w:p>
        </w:tc>
        <w:tc>
          <w:tcPr>
            <w:tcW w:w="1853" w:type="dxa"/>
            <w:noWrap w:val="0"/>
            <w:vAlign w:val="center"/>
          </w:tcPr>
          <w:p w14:paraId="48720C1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单位</w:t>
            </w:r>
          </w:p>
        </w:tc>
      </w:tr>
      <w:tr w14:paraId="3D69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321" w:type="dxa"/>
            <w:noWrap w:val="0"/>
            <w:vAlign w:val="center"/>
          </w:tcPr>
          <w:p w14:paraId="1A33351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3211" w:type="dxa"/>
            <w:noWrap w:val="0"/>
            <w:vAlign w:val="top"/>
          </w:tcPr>
          <w:p w14:paraId="422EB49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北京小汤山医院2026年应急病房物业管理服务采购项目</w:t>
            </w:r>
          </w:p>
        </w:tc>
        <w:tc>
          <w:tcPr>
            <w:tcW w:w="1911" w:type="dxa"/>
            <w:noWrap w:val="0"/>
            <w:vAlign w:val="center"/>
          </w:tcPr>
          <w:p w14:paraId="7EA6685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853" w:type="dxa"/>
            <w:noWrap w:val="0"/>
            <w:vAlign w:val="center"/>
          </w:tcPr>
          <w:p w14:paraId="749E614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</w:t>
            </w:r>
          </w:p>
        </w:tc>
      </w:tr>
    </w:tbl>
    <w:p w14:paraId="6DF2859F">
      <w:pPr>
        <w:numPr>
          <w:ilvl w:val="0"/>
          <w:numId w:val="2"/>
        </w:numPr>
        <w:spacing w:line="360" w:lineRule="auto"/>
        <w:contextualSpacing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项目背景/项目概述</w:t>
      </w:r>
    </w:p>
    <w:p w14:paraId="4E9C2906">
      <w:pPr>
        <w:spacing w:line="360" w:lineRule="auto"/>
        <w:ind w:firstLine="640" w:firstLineChars="200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2020年3月，为满足新冠疫情防控需求，北京小汤山医院在院内北侧建成应急病房，项目总占地面积100953.384㎡、总建筑面积77694㎡，配套建筑包括食堂、污水站、洗衣房、液氧站、锅炉房等后勤保障用房。</w:t>
      </w:r>
    </w:p>
    <w:p w14:paraId="22396E7A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商务要求</w:t>
      </w:r>
    </w:p>
    <w:p w14:paraId="547808E5">
      <w:pPr>
        <w:numPr>
          <w:ilvl w:val="0"/>
          <w:numId w:val="3"/>
        </w:numPr>
        <w:spacing w:line="360" w:lineRule="auto"/>
        <w:contextualSpacing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交付（实施）的时间（期限）和地点（范围）</w:t>
      </w:r>
    </w:p>
    <w:p w14:paraId="302C8E49">
      <w:pPr>
        <w:spacing w:line="360" w:lineRule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实施时间：合同生效后，接到采购人通知后入场</w:t>
      </w:r>
    </w:p>
    <w:p w14:paraId="14DA6B2E">
      <w:pPr>
        <w:spacing w:line="360" w:lineRule="auto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服务期限：自合同签订之日起1年。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本项目资金来源为财政资金，如遇上级政策调整或其他不可抗力影响（应急病房拆除）导致合同无法履行，自一方通知对方知悉之日起合同自动终止，双方依据已履行义务办理结算。中标人未履约部分对应的合同款，应自合同终止之日起10个工作日内退还采购人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。</w:t>
      </w:r>
    </w:p>
    <w:p w14:paraId="7C132EE9">
      <w:pPr>
        <w:spacing w:line="360" w:lineRule="auto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</w:p>
    <w:p w14:paraId="180C5DA4">
      <w:pPr>
        <w:spacing w:line="360" w:lineRule="auto"/>
        <w:rPr>
          <w:rFonts w:hint="eastAsia" w:ascii="仿宋" w:hAnsi="仿宋" w:eastAsia="仿宋" w:cs="仿宋"/>
          <w:i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地点：北京市昌平区小汤山镇北京小汤山医院</w:t>
      </w:r>
    </w:p>
    <w:p w14:paraId="1E526FBD">
      <w:pPr>
        <w:spacing w:line="360" w:lineRule="auto"/>
        <w:contextualSpacing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付款条件（进度和方式）</w:t>
      </w:r>
    </w:p>
    <w:p w14:paraId="0EEA4445">
      <w:pPr>
        <w:spacing w:line="360" w:lineRule="auto"/>
        <w:ind w:firstLine="640" w:firstLineChars="200"/>
        <w:contextualSpacing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合同生效后，服务费按照实际服务时间，以“天”为单位计取，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采购人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按月向中标人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支付服务费。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本项目资金来源为财政资金，如遇上级政策调整或其他不可抗力影响（应急病房拆除）导致合同无法履行，自一方通知对方知悉之日起合同自动终止，双方依据已履行义务办理结算。中标人未履约部分对应的合同款，应自合同终止之日起10个工作日内退还采购人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。</w:t>
      </w:r>
    </w:p>
    <w:p w14:paraId="36537855">
      <w:pPr>
        <w:widowControl w:val="0"/>
        <w:numPr>
          <w:ilvl w:val="0"/>
          <w:numId w:val="1"/>
        </w:numPr>
        <w:spacing w:line="360" w:lineRule="auto"/>
        <w:ind w:left="500" w:hanging="500" w:firstLineChars="0"/>
        <w:contextualSpacing/>
        <w:jc w:val="both"/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kern w:val="2"/>
          <w:sz w:val="32"/>
          <w:szCs w:val="32"/>
          <w:lang w:val="en-US" w:eastAsia="zh-CN" w:bidi="ar-SA"/>
        </w:rPr>
        <w:t>技术要求</w:t>
      </w:r>
    </w:p>
    <w:p w14:paraId="7D02A375">
      <w:pPr>
        <w:spacing w:line="360" w:lineRule="auto"/>
        <w:contextualSpacing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 基本要求</w:t>
      </w:r>
    </w:p>
    <w:p w14:paraId="2BA666A7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本项目实施源于疫情防控需要，目的是保障北京小汤山医院应急病房满足随时启用、收治患者的要求，并落实北京市关于物业服务政府采购的政策要求，服务要求及标准如下：</w:t>
      </w:r>
    </w:p>
    <w:p w14:paraId="4DE47216">
      <w:pPr>
        <w:spacing w:line="360" w:lineRule="auto"/>
        <w:contextualSpacing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 服务内容及要求</w:t>
      </w:r>
    </w:p>
    <w:p w14:paraId="779DC86C">
      <w:pPr>
        <w:widowControl w:val="0"/>
        <w:adjustRightInd w:val="0"/>
        <w:spacing w:line="360" w:lineRule="auto"/>
        <w:ind w:firstLine="569" w:firstLineChars="177"/>
        <w:contextualSpacing/>
        <w:jc w:val="left"/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第一部分：保洁服务</w:t>
      </w:r>
    </w:p>
    <w:p w14:paraId="35FC4508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（1）室外道路</w:t>
      </w:r>
    </w:p>
    <w:p w14:paraId="40FE086E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主要包括：</w:t>
      </w:r>
    </w:p>
    <w:p w14:paraId="39393959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①应急病房及配套设施用房周边道路保洁，定期清扫道路表面的垃圾、落叶、杂草等，确保道路整洁；</w:t>
      </w:r>
    </w:p>
    <w:p w14:paraId="1988089F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②疏通清理雨水排放系统，确保排水畅通，避免积水引发交通安全隐患；</w:t>
      </w:r>
    </w:p>
    <w:p w14:paraId="4975C40D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③交通设施维护：维护并刷新道路标线与标牌，保证交通标识清晰；及时修复道路破损、清除道路障碍物，确保道路畅通；</w:t>
      </w:r>
    </w:p>
    <w:p w14:paraId="5475A0BB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④垃圾分类及环境消杀工作。</w:t>
      </w:r>
    </w:p>
    <w:p w14:paraId="5A007AD3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垃圾分类管理：中标人负责生活垃圾的院内分类收集、规范装袋、标识管理。中标人负责垃圾桶、分类标识日常维护，指导院内规范投放，做好垃圾暂存点日常保洁。由采购人负责院外清运消纳，中标人承担垃圾清运费（含生活垃圾、厨余垃圾、绿化垃圾、建筑垃圾）。相关费用全部包含在物业总价内。</w:t>
      </w:r>
    </w:p>
    <w:p w14:paraId="6B5AE8B6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院区环境消杀（病媒生物防制）：中标人承担服务区域内常态化病媒生物消杀（灭鼠、灭蟑、灭蚊蝇等）；按季节调整作业频次，提供消杀方案、药剂合格证、作业记录。发生突发污染时，按院感要求开展应急消杀。消杀药剂符合国家环保、卫生标准，作业人员持证上岗；如需委托第三方消杀单位，中标人须提前将受托单位资质报送甲方审核备案，相关费用全部包含在物业总价内，采购人不再另行付费。</w:t>
      </w:r>
    </w:p>
    <w:p w14:paraId="1992605D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（2）室内保洁</w:t>
      </w:r>
    </w:p>
    <w:p w14:paraId="0673D112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主要包括：应急病房建筑物内保洁工作。每日至少对建筑物内环境清扫1次；建筑物外立面定期清洗，2米以上外窗玻璃每季度至少清洗1次；楼梯及楼梯间保持干净、无异味、无杂物、无积水，每日至少开展2次清洁作业；</w:t>
      </w:r>
    </w:p>
    <w:p w14:paraId="5E6825AB">
      <w:pPr>
        <w:widowControl w:val="0"/>
        <w:adjustRightInd w:val="0"/>
        <w:spacing w:line="360" w:lineRule="auto"/>
        <w:ind w:firstLine="569" w:firstLineChars="177"/>
        <w:contextualSpacing/>
        <w:jc w:val="left"/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第二部分：绿化养护服务</w:t>
      </w:r>
    </w:p>
    <w:p w14:paraId="548CE2F4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绿化养护总面积约33000㎡。</w:t>
      </w:r>
    </w:p>
    <w:p w14:paraId="0C0949A4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服务内容包含：</w:t>
      </w:r>
    </w:p>
    <w:p w14:paraId="4B6FC02E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浇水：根据气候条件和植物需水量合理安排灌溉，保持土壤水分适宜。</w:t>
      </w:r>
    </w:p>
    <w:p w14:paraId="69E034F1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排涝：排除绿地中多余积水，防止植物受水浸泡受损。</w:t>
      </w:r>
    </w:p>
    <w:p w14:paraId="3A20133C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施肥：根据植物生长需求和土壤肥力状况合理施肥，补充植物生长所需营养。</w:t>
      </w:r>
    </w:p>
    <w:p w14:paraId="618D764E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修剪：根据不同植物的生长特点和景观需求适时修剪，去除病弱枝、枯死枝，保持植物形态美观、生长状态良好。</w:t>
      </w:r>
    </w:p>
    <w:p w14:paraId="0F082774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除草：定期清除绿化区域内的杂草，严禁焚烧杂草，除草作业区域内严禁吸烟，需采取有效防火措施，杜绝安全隐患。</w:t>
      </w:r>
    </w:p>
    <w:p w14:paraId="7A047886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病虫害防治：定期检查植物病虫害情况，采用物理、生物和化学方法及时防治。</w:t>
      </w:r>
    </w:p>
    <w:p w14:paraId="15C8EF07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抹芽：对于乔木和大型灌木，及时清除不定芽，保持树形美观。</w:t>
      </w:r>
    </w:p>
    <w:p w14:paraId="772B0783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抗旱抗涝：干旱季节及时灌溉，防止植物缺水枯死；汛期及时排涝，防止植物受淹。</w:t>
      </w:r>
    </w:p>
    <w:p w14:paraId="387A9DEB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清洁与保洁：定期清理绿化区域内的落叶、垃圾等杂物，保持环境整洁。</w:t>
      </w:r>
    </w:p>
    <w:p w14:paraId="166C8BEB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植物更新补植：根据植物生长周期和景观需求，适时开展植物更新和补植工作。</w:t>
      </w:r>
    </w:p>
    <w:p w14:paraId="515B417C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设施维护：定期检查维护绿化区域设施，及时处理座椅、照明、管线漏水等问题，确保设施正常运行、使用安全。</w:t>
      </w:r>
    </w:p>
    <w:p w14:paraId="0B11CAE7">
      <w:pPr>
        <w:widowControl w:val="0"/>
        <w:adjustRightInd w:val="0"/>
        <w:spacing w:line="360" w:lineRule="auto"/>
        <w:ind w:firstLine="569" w:firstLineChars="177"/>
        <w:contextualSpacing/>
        <w:jc w:val="left"/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第三部分：建筑物日常维修服务</w:t>
      </w:r>
    </w:p>
    <w:p w14:paraId="4F7E520A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服务内容：</w:t>
      </w:r>
    </w:p>
    <w:p w14:paraId="67AA6EAE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1）房屋维修巡检：对应急病房的所有主体房屋进行定期维修巡检，确保房屋结构安全，无渗漏、裂缝等问题。包括食堂、锅炉房、液氧站、对污水站、洗衣房等关键设施开展详细维修巡检，核查其运行状况，保障安全稳定运行。要求：每月至少开展1次房屋结构、公用部位门窗、楼梯、通风道、室内地面、吊顶、室外屋面的安全巡视；每半月至少开展1次大门、围墙、道路、管井、沟渠、雨污水管井、化粪池等的巡查。</w:t>
      </w:r>
    </w:p>
    <w:p w14:paraId="5CA936C1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（2）水暖管道维修巡检</w:t>
      </w:r>
    </w:p>
    <w:p w14:paraId="7219079F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给水系统：巡检生活水泵房，检查水泵运行是否正常、管道阀门有无渗漏，保障24小时供水稳定。同时负责所有洁具水龙头、阀门、高压软管、洗手盆、冲水阀等给排水设备设施的巡检、维护与维修工作。</w:t>
      </w:r>
    </w:p>
    <w:p w14:paraId="7D7D51A9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排水系统：巡检排水管网，负责清理屋面排水口污泥，以及疏通所有排污管。</w:t>
      </w:r>
    </w:p>
    <w:p w14:paraId="61EAF036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供暖系统：巡检供暖设备，保障其正常运行，包含散热器、管道系统、热交换器等设备的日常养护维修。</w:t>
      </w:r>
    </w:p>
    <w:p w14:paraId="5544144A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（3）电气系统维修巡检</w:t>
      </w:r>
    </w:p>
    <w:p w14:paraId="2B6A7256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强电系统：对室内外高低压电器设备、电线电缆、电气照明装置等设备开展日常管理与维护，保障其正常运行使用。</w:t>
      </w:r>
    </w:p>
    <w:p w14:paraId="600CB663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弱电系统：对通讯设备、广播设备、共用天线设备及闭路电视系统、自动监控及报警系统设备等弱电设备与装置开展详细维修巡检，保障其稳定运行。</w:t>
      </w:r>
    </w:p>
    <w:p w14:paraId="48B2C114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（4）空调设备维修巡检</w:t>
      </w:r>
    </w:p>
    <w:p w14:paraId="178033EC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空调系统：对空调系统开展定期巡检，核查设备运行数据，点检各类设备，发现隐患及时处置。</w:t>
      </w:r>
    </w:p>
    <w:p w14:paraId="5E2CAD15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（5）综合维修服务</w:t>
      </w:r>
    </w:p>
    <w:p w14:paraId="3BD374C3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日常巡检：定期巡检，发现异常及时处置，保障设备正常运行。</w:t>
      </w:r>
    </w:p>
    <w:p w14:paraId="6ADFFC53">
      <w:pPr>
        <w:widowControl w:val="0"/>
        <w:adjustRightInd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应急处理：出现故障时，及时开展抢修，保障设备正常运行。</w:t>
      </w:r>
    </w:p>
    <w:p w14:paraId="5B258248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安全管理：严格遵守安全操作规程，保障维修工作安全开展，防范安全事故。</w:t>
      </w:r>
    </w:p>
    <w:p w14:paraId="254E3DEF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制定并执行预防性维修计划，降低设备故障率；做好备件管理，保障备件充足；做好技术资料管理，方便查询使用。</w:t>
      </w:r>
    </w:p>
    <w:p w14:paraId="2A29BB4D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能源管控：在工程运维管理中加强用水、用电管理，提出行之有效的节能管理措施，助力医院整体节能减排工作。</w:t>
      </w:r>
    </w:p>
    <w:p w14:paraId="7E77FDD2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（6）日常维修费用约定 </w:t>
      </w:r>
    </w:p>
    <w:p w14:paraId="61DA8A1F">
      <w:pPr>
        <w:widowControl w:val="0"/>
        <w:adjustRightInd w:val="0"/>
        <w:spacing w:line="360" w:lineRule="auto"/>
        <w:ind w:firstLine="566" w:firstLineChars="177"/>
        <w:contextualSpacing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中标人责应急病房（包含食堂、污水站、洗衣房、液氧站、锅炉房）区域的房屋日常维修维护；单项维修人工+材料费用800元（含）以下由物业公司全额承担；</w:t>
      </w:r>
    </w:p>
    <w:p w14:paraId="162D7F6B">
      <w:pPr>
        <w:widowControl w:val="0"/>
        <w:adjustRightInd w:val="0"/>
        <w:spacing w:line="360" w:lineRule="auto"/>
        <w:ind w:firstLine="569" w:firstLineChars="177"/>
        <w:contextualSpacing/>
        <w:jc w:val="left"/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第四部分：人员配备要求</w:t>
      </w:r>
    </w:p>
    <w:p w14:paraId="1057ACB1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1、投标人需要为采购人配备不少于40人的服务团队。其中行政管理服务人员不少于3人；保洁服务人员不少于20人；绿化养护服务人员不少于5人；设备运行维修服务人员不少于12人。（上述人员配备需提供承诺函并加盖投标人公章）</w:t>
      </w:r>
    </w:p>
    <w:p w14:paraId="3D16E5BC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2、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投标人提供的拟派项目经理资料进行综合评价。</w:t>
      </w:r>
    </w:p>
    <w:p w14:paraId="6FE5153B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（1）具有本科及以上学历，年龄在45岁以下（含）。</w:t>
      </w:r>
    </w:p>
    <w:p w14:paraId="75C62F63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（2）具有五年及以上类似物业项目经理经验。</w:t>
      </w:r>
    </w:p>
    <w:p w14:paraId="76F53AD5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（3）具有中级及以上工程师职称证书。</w:t>
      </w:r>
    </w:p>
    <w:p w14:paraId="54CDCFF4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747D9657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bookmarkStart w:id="0" w:name="OLE_LINK1"/>
      <w:r>
        <w:rPr>
          <w:rFonts w:hint="eastAsia" w:ascii="仿宋" w:hAnsi="仿宋" w:eastAsia="仿宋" w:cs="仿宋"/>
          <w:sz w:val="32"/>
          <w:szCs w:val="32"/>
          <w:highlight w:val="none"/>
        </w:rPr>
        <w:t>3、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投标人提供的拟派部门经理资料进行综合评价。</w:t>
      </w:r>
    </w:p>
    <w:p w14:paraId="139AD433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（1）综合服务经理具有本科及以上学历，年龄在50岁以下（含），具有三年及以上类似管理经验，提供相关证书扫描件或复印件。</w:t>
      </w:r>
    </w:p>
    <w:p w14:paraId="16A5889E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（2）工程经理具有本科及以上学历，年龄在50岁以下（含），具有暖通类中级及以上职称证书，具有三年及以上类似项目管理经验，提供相关证书扫描件或复印件。</w:t>
      </w:r>
      <w:bookmarkEnd w:id="0"/>
    </w:p>
    <w:p w14:paraId="5CBE8735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4、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对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投标人提供的拟派其他技术服务人员（工程运行维修服务人员）资料进行综合评价。</w:t>
      </w:r>
    </w:p>
    <w:p w14:paraId="0F2247A8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（1）氧气运行值守人员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中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至少有4人具有《特种设备作业人员证（固定式压力容器操作R1或快开门式压力容器操作R1）》证书，提供上述证书扫描件或复印件。</w:t>
      </w:r>
    </w:p>
    <w:p w14:paraId="5F592AED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（2）空调维修工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中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至少有2人具有《制冷与空调设备安装修理》证书，提供上述证书扫描件或复印件。</w:t>
      </w:r>
    </w:p>
    <w:p w14:paraId="0AE34191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（3）管道工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中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至少有3人具有《管道工》证书，提供上述证书扫描件或复印件。</w:t>
      </w:r>
    </w:p>
    <w:p w14:paraId="12C5BD29">
      <w:pPr>
        <w:spacing w:line="360" w:lineRule="auto"/>
        <w:ind w:firstLine="320" w:firstLineChars="100"/>
        <w:contextualSpacing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4）维修电工中至少有9人具有《特种作业操作证（电工作业）》证书，其中至少1人同时持有《特种作业操作证（电工作业）》证书及《特种作业操作证（有限空间作业）》证书，至少1人同时具有《特种作业操作《特种作业操作证（电工作业）》、《特种作业操作证（高处作业）》及《中华人民共和国特种设备安全管理和作业人员证（A）》，需提供上述证书的扫描件或复印件。</w:t>
      </w:r>
    </w:p>
    <w:p w14:paraId="068764F5">
      <w:pP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（5）维修焊工至少有2人持有《特种作业操作证（焊接与热切割作业）》证书</w:t>
      </w:r>
    </w:p>
    <w:p w14:paraId="22EDDCC9">
      <w:pPr>
        <w:widowControl/>
        <w:adjustRightInd/>
        <w:ind w:firstLine="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四、信用要求：</w:t>
      </w:r>
    </w:p>
    <w:p w14:paraId="7457E685">
      <w:pPr>
        <w:widowControl/>
        <w:adjustRightInd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投标人或报价人承诺投标或报价截止日前3年内未发生以下事项：</w:t>
      </w:r>
    </w:p>
    <w:p w14:paraId="2CB61A13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1.在招标（交易发起）文件规定的投标（交易响应）截止日起的投标（交易响应）有效期内撤销其投标（交易响应）的；</w:t>
      </w:r>
    </w:p>
    <w:p w14:paraId="64114CBF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2.因供应商自身原因或其他客观情况造成合同履约超期，或经过采购人催告后仍故意或拒绝履行合同义务的；</w:t>
      </w:r>
    </w:p>
    <w:p w14:paraId="7AB7C365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3.因供应商其自身严重或持续的履约缺陷，导致合同被提前终止、索赔或其他类似制裁的；</w:t>
      </w:r>
    </w:p>
    <w:p w14:paraId="73C07946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4.存在拖欠工资的；</w:t>
      </w:r>
    </w:p>
    <w:p w14:paraId="22F9A964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5.存在《京津冀政府采购负面行为清单》（冀财采〔2024〕18号）规定的供应商负面行为的：</w:t>
      </w:r>
    </w:p>
    <w:p w14:paraId="11B75554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（1）具有关联或存在利益冲突的供应商违规参加同一政府采购项目；</w:t>
      </w:r>
    </w:p>
    <w:p w14:paraId="0DA4BB95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（2）供应商不公平竞争；</w:t>
      </w:r>
    </w:p>
    <w:p w14:paraId="51B78E18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（3）供应商恶意串通；</w:t>
      </w:r>
    </w:p>
    <w:p w14:paraId="79AC16B8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（4）其他串通行为；</w:t>
      </w:r>
    </w:p>
    <w:p w14:paraId="6482D253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（5）未按规定签订合同；</w:t>
      </w:r>
    </w:p>
    <w:p w14:paraId="5B540BE3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（6）未按规定履行合同；</w:t>
      </w:r>
    </w:p>
    <w:p w14:paraId="02E0C1F9">
      <w:pPr>
        <w:widowControl/>
        <w:adjustRightInd/>
        <w:ind w:firstLine="0"/>
        <w:jc w:val="left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bidi="ar"/>
        </w:rPr>
        <w:t>（7）在监督检查和投诉处理中提供虚假材料。</w:t>
      </w:r>
    </w:p>
    <w:p w14:paraId="353FFF8A"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38BBD">
    <w:pPr>
      <w:widowControl w:val="0"/>
      <w:snapToGrid w:val="0"/>
      <w:jc w:val="left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4" name="矩形 41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64C680F"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t>81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XW5UtAAAAAFAQAADwAAAAAAAAABACAAAAAiAAAAZHJzL2Rvd25yZXYueG1s&#10;UEsBAhQAFAAAAAgAh07iQNVejY3HAQAAoAMAAA4AAAAAAAAAAQAgAAAAH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64C680F"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t>81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28541"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1DE15F"/>
    <w:multiLevelType w:val="singleLevel"/>
    <w:tmpl w:val="801DE15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6AA13CC"/>
    <w:multiLevelType w:val="singleLevel"/>
    <w:tmpl w:val="96AA13CC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3851098"/>
    <w:multiLevelType w:val="multilevel"/>
    <w:tmpl w:val="13851098"/>
    <w:lvl w:ilvl="0" w:tentative="0">
      <w:start w:val="1"/>
      <w:numFmt w:val="japaneseCounting"/>
      <w:lvlText w:val="%1、"/>
      <w:lvlJc w:val="left"/>
      <w:pPr>
        <w:ind w:left="500" w:hanging="5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341A4"/>
    <w:rsid w:val="193341A4"/>
    <w:rsid w:val="3A2A6DA3"/>
    <w:rsid w:val="68257895"/>
    <w:rsid w:val="6E120394"/>
    <w:rsid w:val="724E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hAnsi="Arial" w:eastAsia="黑体" w:cs="Times New Roman"/>
      <w:b/>
      <w:kern w:val="0"/>
      <w:sz w:val="30"/>
      <w:szCs w:val="20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right="0"/>
      <w:jc w:val="both"/>
    </w:pPr>
    <w:rPr>
      <w:rFonts w:hint="default" w:ascii="Times New Roman" w:hAnsi="Times New Roman" w:eastAsia="仿宋" w:cs="Times New Roman"/>
      <w:kern w:val="2"/>
      <w:sz w:val="24"/>
      <w:szCs w:val="24"/>
      <w:lang w:val="en-US" w:eastAsia="zh-CN" w:bidi="ar"/>
    </w:rPr>
  </w:style>
  <w:style w:type="paragraph" w:styleId="4">
    <w:name w:val="Body Text"/>
    <w:qFormat/>
    <w:uiPriority w:val="0"/>
    <w:pPr>
      <w:widowControl w:val="0"/>
      <w:tabs>
        <w:tab w:val="left" w:pos="567"/>
      </w:tabs>
      <w:spacing w:before="120" w:line="22" w:lineRule="atLeast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paragraph" w:styleId="5">
    <w:name w:val="Body Text Indent"/>
    <w:next w:val="1"/>
    <w:qFormat/>
    <w:uiPriority w:val="0"/>
    <w:pPr>
      <w:widowControl w:val="0"/>
      <w:spacing w:line="360" w:lineRule="auto"/>
      <w:ind w:firstLine="57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6">
    <w:name w:val="Body Text First Indent 2"/>
    <w:qFormat/>
    <w:uiPriority w:val="0"/>
    <w:pPr>
      <w:widowControl w:val="0"/>
      <w:spacing w:after="120" w:line="480" w:lineRule="exact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table" w:styleId="8">
    <w:name w:val="Table Grid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annotation reference"/>
    <w:qFormat/>
    <w:uiPriority w:val="99"/>
    <w:rPr>
      <w:sz w:val="21"/>
      <w:szCs w:val="21"/>
    </w:rPr>
  </w:style>
  <w:style w:type="paragraph" w:styleId="11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2">
    <w:name w:val="font212"/>
    <w:qFormat/>
    <w:uiPriority w:val="0"/>
    <w:rPr>
      <w:rFonts w:ascii="宋体" w:hAnsi="宋体" w:eastAsia="宋体" w:cs="宋体"/>
      <w:color w:val="E0C070"/>
      <w:sz w:val="68"/>
      <w:szCs w:val="68"/>
      <w:u w:val="none"/>
    </w:rPr>
  </w:style>
  <w:style w:type="character" w:customStyle="1" w:styleId="13">
    <w:name w:val="font221"/>
    <w:qFormat/>
    <w:uiPriority w:val="0"/>
    <w:rPr>
      <w:rFonts w:ascii="宋体" w:hAnsi="宋体" w:eastAsia="宋体" w:cs="宋体"/>
      <w:color w:val="F0B050"/>
      <w:sz w:val="68"/>
      <w:szCs w:val="68"/>
      <w:u w:val="none"/>
    </w:rPr>
  </w:style>
  <w:style w:type="character" w:customStyle="1" w:styleId="14">
    <w:name w:val="font231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15">
    <w:name w:val="font191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6">
    <w:name w:val="font201"/>
    <w:qFormat/>
    <w:uiPriority w:val="0"/>
    <w:rPr>
      <w:rFonts w:hint="default" w:ascii="Arial" w:hAnsi="Arial" w:cs="Arial"/>
      <w:color w:val="000000"/>
      <w:sz w:val="15"/>
      <w:szCs w:val="15"/>
      <w:u w:val="none"/>
    </w:rPr>
  </w:style>
  <w:style w:type="character" w:customStyle="1" w:styleId="17">
    <w:name w:val="font341"/>
    <w:qFormat/>
    <w:uiPriority w:val="0"/>
    <w:rPr>
      <w:rFonts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8">
    <w:name w:val="font301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19">
    <w:name w:val="font291"/>
    <w:qFormat/>
    <w:uiPriority w:val="0"/>
    <w:rPr>
      <w:rFonts w:hint="default" w:ascii="Arial" w:hAnsi="Arial" w:cs="Arial"/>
      <w:color w:val="000000"/>
      <w:sz w:val="16"/>
      <w:szCs w:val="16"/>
      <w:u w:val="none"/>
    </w:rPr>
  </w:style>
  <w:style w:type="character" w:customStyle="1" w:styleId="20">
    <w:name w:val="font331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21">
    <w:name w:val="font351"/>
    <w:qFormat/>
    <w:uiPriority w:val="0"/>
    <w:rPr>
      <w:rFonts w:ascii="宋体" w:hAnsi="宋体" w:eastAsia="宋体" w:cs="宋体"/>
      <w:b/>
      <w:bCs/>
      <w:color w:val="000000"/>
      <w:sz w:val="26"/>
      <w:szCs w:val="26"/>
      <w:u w:val="none"/>
    </w:rPr>
  </w:style>
  <w:style w:type="character" w:customStyle="1" w:styleId="22">
    <w:name w:val="font37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23">
    <w:name w:val="font381"/>
    <w:qFormat/>
    <w:uiPriority w:val="0"/>
    <w:rPr>
      <w:rFonts w:ascii="宋体" w:hAnsi="宋体" w:eastAsia="宋体" w:cs="宋体"/>
      <w:b/>
      <w:bCs/>
      <w:color w:val="000000"/>
      <w:sz w:val="30"/>
      <w:szCs w:val="30"/>
      <w:u w:val="none"/>
    </w:rPr>
  </w:style>
  <w:style w:type="character" w:customStyle="1" w:styleId="24">
    <w:name w:val="font422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paragraph" w:customStyle="1" w:styleId="25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6667</Words>
  <Characters>6761</Characters>
  <Lines>0</Lines>
  <Paragraphs>0</Paragraphs>
  <TotalTime>0</TotalTime>
  <ScaleCrop>false</ScaleCrop>
  <LinksUpToDate>false</LinksUpToDate>
  <CharactersWithSpaces>6769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2026-06-29T02:11:00Z</dcterms:created>
  <dc:creator>栋</dc:creator>
  <cp:lastModifiedBy>栋</cp:lastModifiedBy>
  <dcterms:modified xsi:type="dcterms:W3CDTF">2026-09-14T03:15:24Z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000CA6074A9E4212A8F6B56BAAE86944_11</vt:lpwstr>
  </property>
  <property fmtid="{D5CDD505-2E9C-101B-9397-08002B2CF9AE}" pid="4" name="KSOTemplateDocerSaveRecord">
    <vt:lpwstr>eyJoZGlkIjoiOTU5MTdjOGU3ZmY4YzIwMmE0NTgwNDBkMTdmMjJiYTUiLCJ1c2VySWQiOiI0NTA3NDAzODYifQ==</vt:lpwstr>
  </property>
</Properties>
</file>