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93CCDF">
      <w:pPr>
        <w:spacing w:line="360" w:lineRule="auto"/>
        <w:jc w:val="center"/>
        <w:outlineLvl w:val="0"/>
        <w:rPr>
          <w:rFonts w:ascii="Times New Roman" w:hAnsi="Times New Roman" w:eastAsia="宋体" w:cs="Times New Roman"/>
          <w:b/>
          <w:sz w:val="36"/>
          <w:szCs w:val="36"/>
        </w:rPr>
      </w:pPr>
      <w:r>
        <w:rPr>
          <w:rFonts w:ascii="Times New Roman" w:hAnsi="Times New Roman" w:eastAsia="宋体" w:cs="Times New Roman"/>
          <w:b/>
          <w:sz w:val="36"/>
          <w:szCs w:val="36"/>
        </w:rPr>
        <w:t>采购需求</w:t>
      </w:r>
    </w:p>
    <w:p w14:paraId="3DC63E84">
      <w:pPr>
        <w:adjustRightInd w:val="0"/>
        <w:spacing w:line="360" w:lineRule="auto"/>
        <w:jc w:val="left"/>
        <w:textAlignment w:val="baseline"/>
        <w:rPr>
          <w:rFonts w:hint="eastAsia" w:ascii="宋体" w:hAnsi="宋体" w:eastAsia="宋体" w:cs="Times New Roman"/>
          <w:b/>
          <w:sz w:val="24"/>
        </w:rPr>
      </w:pPr>
      <w:r>
        <w:rPr>
          <w:rFonts w:hint="eastAsia" w:ascii="宋体" w:hAnsi="宋体" w:eastAsia="宋体" w:cs="Times New Roman"/>
          <w:b/>
          <w:sz w:val="24"/>
        </w:rPr>
        <w:t>一、</w:t>
      </w:r>
      <w:r>
        <w:rPr>
          <w:rFonts w:ascii="宋体" w:hAnsi="宋体" w:eastAsia="宋体" w:cs="Times New Roman"/>
          <w:b/>
          <w:sz w:val="24"/>
        </w:rPr>
        <w:t>采购标的</w:t>
      </w:r>
    </w:p>
    <w:p w14:paraId="298FDCF1">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1.采购标的</w:t>
      </w:r>
    </w:p>
    <w:tbl>
      <w:tblPr>
        <w:tblStyle w:val="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4252"/>
        <w:gridCol w:w="1134"/>
        <w:gridCol w:w="993"/>
        <w:gridCol w:w="1184"/>
      </w:tblGrid>
      <w:tr w14:paraId="3D0A8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29EE789C">
            <w:pPr>
              <w:spacing w:line="360" w:lineRule="auto"/>
              <w:jc w:val="center"/>
              <w:rPr>
                <w:rFonts w:hint="eastAsia" w:ascii="宋体" w:hAnsi="宋体" w:eastAsia="宋体" w:cs="Times New Roman"/>
                <w:b/>
                <w:sz w:val="24"/>
              </w:rPr>
            </w:pPr>
            <w:r>
              <w:rPr>
                <w:rFonts w:hint="eastAsia" w:ascii="宋体" w:hAnsi="宋体" w:eastAsia="宋体" w:cs="Times New Roman"/>
                <w:b/>
                <w:sz w:val="24"/>
              </w:rPr>
              <w:t>序号</w:t>
            </w:r>
          </w:p>
        </w:tc>
        <w:tc>
          <w:tcPr>
            <w:tcW w:w="4252" w:type="dxa"/>
            <w:vAlign w:val="center"/>
          </w:tcPr>
          <w:p w14:paraId="02933001">
            <w:pPr>
              <w:spacing w:line="360" w:lineRule="auto"/>
              <w:jc w:val="center"/>
              <w:rPr>
                <w:rFonts w:hint="eastAsia" w:ascii="宋体" w:hAnsi="宋体" w:eastAsia="宋体" w:cs="Times New Roman"/>
                <w:b/>
                <w:sz w:val="24"/>
              </w:rPr>
            </w:pPr>
            <w:r>
              <w:rPr>
                <w:rFonts w:hint="eastAsia" w:ascii="宋体" w:hAnsi="宋体" w:eastAsia="宋体" w:cs="Times New Roman"/>
                <w:b/>
                <w:sz w:val="24"/>
              </w:rPr>
              <w:t>标的名称</w:t>
            </w:r>
          </w:p>
        </w:tc>
        <w:tc>
          <w:tcPr>
            <w:tcW w:w="1134" w:type="dxa"/>
            <w:vAlign w:val="center"/>
          </w:tcPr>
          <w:p w14:paraId="3A145BAB">
            <w:pPr>
              <w:spacing w:line="360" w:lineRule="auto"/>
              <w:jc w:val="center"/>
              <w:rPr>
                <w:rFonts w:hint="eastAsia" w:ascii="宋体" w:hAnsi="宋体" w:eastAsia="宋体" w:cs="Times New Roman"/>
                <w:b/>
                <w:sz w:val="24"/>
              </w:rPr>
            </w:pPr>
            <w:r>
              <w:rPr>
                <w:rFonts w:hint="eastAsia" w:ascii="宋体" w:hAnsi="宋体" w:eastAsia="宋体" w:cs="Times New Roman"/>
                <w:b/>
                <w:sz w:val="24"/>
              </w:rPr>
              <w:t>数量</w:t>
            </w:r>
          </w:p>
        </w:tc>
        <w:tc>
          <w:tcPr>
            <w:tcW w:w="993" w:type="dxa"/>
            <w:vAlign w:val="center"/>
          </w:tcPr>
          <w:p w14:paraId="3C575D19">
            <w:pPr>
              <w:spacing w:line="360" w:lineRule="auto"/>
              <w:jc w:val="center"/>
              <w:rPr>
                <w:rFonts w:hint="eastAsia" w:ascii="宋体" w:hAnsi="宋体" w:eastAsia="宋体" w:cs="Times New Roman"/>
                <w:b/>
                <w:sz w:val="24"/>
              </w:rPr>
            </w:pPr>
            <w:r>
              <w:rPr>
                <w:rFonts w:hint="eastAsia" w:ascii="宋体" w:hAnsi="宋体" w:eastAsia="宋体" w:cs="Times New Roman"/>
                <w:b/>
                <w:sz w:val="24"/>
              </w:rPr>
              <w:t>单位</w:t>
            </w:r>
          </w:p>
        </w:tc>
        <w:tc>
          <w:tcPr>
            <w:tcW w:w="1184" w:type="dxa"/>
            <w:vAlign w:val="center"/>
          </w:tcPr>
          <w:p w14:paraId="6856DE4F">
            <w:pPr>
              <w:spacing w:line="360" w:lineRule="auto"/>
              <w:jc w:val="center"/>
              <w:rPr>
                <w:rFonts w:hint="eastAsia" w:ascii="宋体" w:hAnsi="宋体" w:eastAsia="宋体" w:cs="Times New Roman"/>
                <w:b/>
                <w:sz w:val="24"/>
              </w:rPr>
            </w:pPr>
            <w:r>
              <w:rPr>
                <w:rFonts w:hint="eastAsia" w:ascii="宋体" w:hAnsi="宋体" w:eastAsia="宋体" w:cs="Times New Roman"/>
                <w:b/>
                <w:sz w:val="24"/>
              </w:rPr>
              <w:t>备注</w:t>
            </w:r>
          </w:p>
        </w:tc>
      </w:tr>
      <w:tr w14:paraId="7DCAB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37812AF">
            <w:pPr>
              <w:spacing w:line="360" w:lineRule="auto"/>
              <w:jc w:val="center"/>
              <w:rPr>
                <w:rFonts w:hint="eastAsia" w:ascii="宋体" w:hAnsi="宋体" w:eastAsia="宋体" w:cs="Times New Roman"/>
                <w:sz w:val="24"/>
              </w:rPr>
            </w:pPr>
            <w:r>
              <w:rPr>
                <w:rFonts w:hint="eastAsia" w:ascii="宋体" w:hAnsi="宋体" w:eastAsia="宋体" w:cs="Times New Roman"/>
                <w:sz w:val="24"/>
              </w:rPr>
              <w:t>1</w:t>
            </w:r>
          </w:p>
        </w:tc>
        <w:tc>
          <w:tcPr>
            <w:tcW w:w="4252" w:type="dxa"/>
            <w:vAlign w:val="center"/>
          </w:tcPr>
          <w:p w14:paraId="16B1F245">
            <w:pPr>
              <w:spacing w:line="360" w:lineRule="auto"/>
              <w:jc w:val="center"/>
              <w:rPr>
                <w:rFonts w:hint="eastAsia" w:ascii="宋体" w:hAnsi="宋体" w:eastAsia="宋体" w:cs="Times New Roman"/>
                <w:sz w:val="24"/>
              </w:rPr>
            </w:pPr>
            <w:r>
              <w:rPr>
                <w:rFonts w:hint="eastAsia" w:ascii="宋体" w:hAnsi="宋体" w:eastAsia="宋体" w:cs="宋体"/>
                <w:kern w:val="0"/>
                <w:sz w:val="24"/>
                <w:lang w:bidi="ar"/>
              </w:rPr>
              <w:t>北京市团河教育矫治所2026年物业服务采购项目</w:t>
            </w:r>
          </w:p>
        </w:tc>
        <w:tc>
          <w:tcPr>
            <w:tcW w:w="1134" w:type="dxa"/>
            <w:vAlign w:val="center"/>
          </w:tcPr>
          <w:p w14:paraId="7902B751">
            <w:pPr>
              <w:spacing w:line="360" w:lineRule="auto"/>
              <w:jc w:val="center"/>
              <w:rPr>
                <w:rFonts w:hint="eastAsia" w:ascii="宋体" w:hAnsi="宋体" w:eastAsia="宋体" w:cs="Times New Roman"/>
                <w:sz w:val="24"/>
              </w:rPr>
            </w:pPr>
            <w:r>
              <w:rPr>
                <w:rFonts w:hint="eastAsia" w:ascii="宋体" w:hAnsi="宋体" w:eastAsia="宋体" w:cs="Times New Roman"/>
                <w:sz w:val="24"/>
              </w:rPr>
              <w:t>1</w:t>
            </w:r>
          </w:p>
        </w:tc>
        <w:tc>
          <w:tcPr>
            <w:tcW w:w="993" w:type="dxa"/>
            <w:vAlign w:val="center"/>
          </w:tcPr>
          <w:p w14:paraId="66CD8C95">
            <w:pPr>
              <w:spacing w:line="360" w:lineRule="auto"/>
              <w:jc w:val="center"/>
              <w:rPr>
                <w:rFonts w:hint="eastAsia" w:ascii="宋体" w:hAnsi="宋体" w:eastAsia="宋体" w:cs="Times New Roman"/>
                <w:sz w:val="24"/>
              </w:rPr>
            </w:pPr>
            <w:r>
              <w:rPr>
                <w:rFonts w:hint="eastAsia" w:ascii="宋体" w:hAnsi="宋体" w:eastAsia="宋体" w:cs="Times New Roman"/>
                <w:sz w:val="24"/>
              </w:rPr>
              <w:t>项</w:t>
            </w:r>
          </w:p>
        </w:tc>
        <w:tc>
          <w:tcPr>
            <w:tcW w:w="1184" w:type="dxa"/>
            <w:vAlign w:val="center"/>
          </w:tcPr>
          <w:p w14:paraId="0B11A70D">
            <w:pPr>
              <w:spacing w:line="360" w:lineRule="auto"/>
              <w:jc w:val="center"/>
              <w:rPr>
                <w:rFonts w:hint="eastAsia" w:ascii="宋体" w:hAnsi="宋体" w:eastAsia="宋体" w:cs="Times New Roman"/>
                <w:sz w:val="24"/>
              </w:rPr>
            </w:pPr>
          </w:p>
        </w:tc>
      </w:tr>
    </w:tbl>
    <w:p w14:paraId="4077B22F">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2.项目背景</w:t>
      </w:r>
    </w:p>
    <w:p w14:paraId="2A66DA2A">
      <w:pPr>
        <w:adjustRightInd w:val="0"/>
        <w:spacing w:line="360" w:lineRule="auto"/>
        <w:ind w:firstLine="480" w:firstLineChars="200"/>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北京市团河教育矫治所位于北京市大兴区团桂路1号，项目所占地约380亩，需要中标人为我单位提供保洁、绿化、配电维修、设施维修、登记指引及秩序维护服务等。</w:t>
      </w:r>
    </w:p>
    <w:p w14:paraId="10E31CB7">
      <w:pPr>
        <w:adjustRightInd w:val="0"/>
        <w:spacing w:line="360" w:lineRule="auto"/>
        <w:jc w:val="left"/>
        <w:textAlignment w:val="baseline"/>
        <w:rPr>
          <w:rFonts w:hint="eastAsia" w:ascii="宋体" w:hAnsi="宋体" w:eastAsia="宋体" w:cs="Times New Roman"/>
          <w:b/>
          <w:sz w:val="24"/>
        </w:rPr>
      </w:pPr>
      <w:r>
        <w:rPr>
          <w:rFonts w:hint="eastAsia" w:ascii="宋体" w:hAnsi="宋体" w:eastAsia="宋体" w:cs="Times New Roman"/>
          <w:b/>
          <w:sz w:val="24"/>
        </w:rPr>
        <w:t>二、商务要求</w:t>
      </w:r>
    </w:p>
    <w:p w14:paraId="5AC4EC16">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1. 服务期限和服务地点</w:t>
      </w:r>
    </w:p>
    <w:p w14:paraId="370B7690">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服务期限：自合同签订之日起1年，以合同签订为准。</w:t>
      </w:r>
    </w:p>
    <w:p w14:paraId="42A9CCF9">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服务地点：北京市团河教育矫治所位于北京市大兴区团桂路1号办公区、培训区及外围公共区域。</w:t>
      </w:r>
    </w:p>
    <w:p w14:paraId="44D62965">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2. 付款条件（进度和方式）</w:t>
      </w:r>
    </w:p>
    <w:p w14:paraId="526AABA9">
      <w:pPr>
        <w:adjustRightInd w:val="0"/>
        <w:spacing w:line="360" w:lineRule="auto"/>
        <w:ind w:firstLine="480" w:firstLineChars="200"/>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如中标人的物业管理服务符合采购人要求，采购人按每月支付，物业管理服务费应于每月服务结束后且中标人提供符合采购人要求的增值税普通发票十个工作日内支付。以银行转账、汇款等方式支付。</w:t>
      </w:r>
    </w:p>
    <w:p w14:paraId="45F1F1CD">
      <w:pPr>
        <w:adjustRightInd w:val="0"/>
        <w:spacing w:line="360" w:lineRule="auto"/>
        <w:jc w:val="left"/>
        <w:textAlignment w:val="baseline"/>
        <w:rPr>
          <w:rFonts w:hint="eastAsia" w:ascii="宋体" w:hAnsi="宋体" w:eastAsia="宋体" w:cs="Times New Roman"/>
          <w:b/>
          <w:sz w:val="24"/>
        </w:rPr>
      </w:pPr>
      <w:r>
        <w:rPr>
          <w:rFonts w:hint="eastAsia" w:ascii="宋体" w:hAnsi="宋体" w:eastAsia="宋体" w:cs="Times New Roman"/>
          <w:b/>
          <w:sz w:val="24"/>
        </w:rPr>
        <w:t>三、服务内容及要求</w:t>
      </w:r>
    </w:p>
    <w:p w14:paraId="21C331B6">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（一）服务基本要求</w:t>
      </w:r>
    </w:p>
    <w:p w14:paraId="6DC3E8F2">
      <w:pPr>
        <w:adjustRightInd w:val="0"/>
        <w:spacing w:line="360" w:lineRule="auto"/>
        <w:jc w:val="left"/>
        <w:textAlignment w:val="baseline"/>
        <w:rPr>
          <w:rFonts w:hint="eastAsia" w:ascii="宋体" w:hAnsi="宋体" w:eastAsia="宋体" w:cs="宋体"/>
          <w:sz w:val="24"/>
        </w:rPr>
      </w:pPr>
      <w:r>
        <w:rPr>
          <w:rFonts w:hint="eastAsia" w:ascii="宋体" w:hAnsi="宋体" w:eastAsia="宋体" w:cs="宋体"/>
          <w:kern w:val="0"/>
          <w:sz w:val="24"/>
          <w:lang w:bidi="ar"/>
        </w:rPr>
        <w:t>1.中标人须遵守国家法律法规，服从北京市团河教育矫治所统一管理，接受采购人对工作质量、工作效果等方面的监督、检查和考核。</w:t>
      </w:r>
    </w:p>
    <w:p w14:paraId="0717374F">
      <w:pPr>
        <w:adjustRightInd w:val="0"/>
        <w:spacing w:line="360" w:lineRule="auto"/>
        <w:jc w:val="left"/>
        <w:textAlignment w:val="baseline"/>
        <w:rPr>
          <w:rFonts w:hint="eastAsia" w:ascii="宋体" w:hAnsi="宋体" w:eastAsia="宋体" w:cs="宋体"/>
          <w:sz w:val="24"/>
        </w:rPr>
      </w:pPr>
      <w:r>
        <w:rPr>
          <w:rFonts w:hint="eastAsia" w:ascii="宋体" w:hAnsi="宋体" w:eastAsia="宋体" w:cs="宋体"/>
          <w:kern w:val="0"/>
          <w:sz w:val="24"/>
          <w:lang w:bidi="ar"/>
        </w:rPr>
        <w:t>2.物业管理服务工作由中标人负责，不得外包、分包、转让。</w:t>
      </w:r>
    </w:p>
    <w:p w14:paraId="5FF7A5D8">
      <w:pPr>
        <w:adjustRightInd w:val="0"/>
        <w:spacing w:line="360" w:lineRule="auto"/>
        <w:jc w:val="left"/>
        <w:textAlignment w:val="baseline"/>
        <w:rPr>
          <w:rFonts w:hint="eastAsia" w:ascii="宋体" w:hAnsi="宋体" w:eastAsia="宋体" w:cs="宋体"/>
          <w:sz w:val="24"/>
        </w:rPr>
      </w:pPr>
      <w:r>
        <w:rPr>
          <w:rFonts w:hint="eastAsia" w:ascii="宋体" w:hAnsi="宋体" w:eastAsia="宋体" w:cs="宋体"/>
          <w:kern w:val="0"/>
          <w:sz w:val="24"/>
          <w:lang w:bidi="ar"/>
        </w:rPr>
        <w:t>3.中标人自主经营、自负盈亏，所有管理人员、工作人员由中标人自行招聘和管理，食宿、各项待遇均由中标人自行安排,采购人不提供食宿场所；遵守劳动合同法，签订劳动合同，包括但不限于工作人员体检、伤残疾病、雇主责任险等费用均由中标人自理。</w:t>
      </w:r>
    </w:p>
    <w:p w14:paraId="4BC0CAD4">
      <w:pPr>
        <w:adjustRightInd w:val="0"/>
        <w:spacing w:line="360" w:lineRule="auto"/>
        <w:jc w:val="left"/>
        <w:textAlignment w:val="baseline"/>
        <w:rPr>
          <w:rFonts w:hint="eastAsia" w:ascii="宋体" w:hAnsi="宋体" w:eastAsia="宋体" w:cs="宋体"/>
          <w:sz w:val="24"/>
        </w:rPr>
      </w:pPr>
      <w:r>
        <w:rPr>
          <w:rFonts w:hint="eastAsia" w:ascii="宋体" w:hAnsi="宋体" w:eastAsia="宋体" w:cs="宋体"/>
          <w:kern w:val="0"/>
          <w:sz w:val="24"/>
          <w:lang w:bidi="ar"/>
        </w:rPr>
        <w:t>4.采购人无偿为中标人提供物业服务办公场所。</w:t>
      </w:r>
    </w:p>
    <w:p w14:paraId="182A7859">
      <w:pPr>
        <w:adjustRightInd w:val="0"/>
        <w:spacing w:line="360" w:lineRule="auto"/>
        <w:jc w:val="left"/>
        <w:textAlignment w:val="baseline"/>
        <w:rPr>
          <w:rFonts w:hint="eastAsia" w:ascii="宋体" w:hAnsi="宋体" w:eastAsia="宋体" w:cs="宋体"/>
          <w:sz w:val="24"/>
        </w:rPr>
      </w:pPr>
      <w:r>
        <w:rPr>
          <w:rFonts w:hint="eastAsia" w:ascii="宋体" w:hAnsi="宋体" w:eastAsia="宋体" w:cs="宋体"/>
          <w:kern w:val="0"/>
          <w:sz w:val="24"/>
          <w:lang w:bidi="ar"/>
        </w:rPr>
        <w:t>5.中标人负责垃圾分类、归集（厨余垃圾除外）。</w:t>
      </w:r>
    </w:p>
    <w:p w14:paraId="2732D5C8">
      <w:pPr>
        <w:adjustRightInd w:val="0"/>
        <w:spacing w:line="360" w:lineRule="auto"/>
        <w:jc w:val="left"/>
        <w:textAlignment w:val="baseline"/>
        <w:rPr>
          <w:rFonts w:hint="eastAsia" w:ascii="宋体" w:hAnsi="宋体" w:eastAsia="宋体" w:cs="宋体"/>
          <w:sz w:val="24"/>
        </w:rPr>
      </w:pPr>
      <w:r>
        <w:rPr>
          <w:rFonts w:hint="eastAsia" w:ascii="宋体" w:hAnsi="宋体" w:eastAsia="宋体" w:cs="宋体"/>
          <w:kern w:val="0"/>
          <w:sz w:val="24"/>
          <w:lang w:bidi="ar"/>
        </w:rPr>
        <w:t>6.中标人须遵守采购人的工作要求。</w:t>
      </w:r>
    </w:p>
    <w:p w14:paraId="28BEC2A3">
      <w:pPr>
        <w:adjustRightInd w:val="0"/>
        <w:spacing w:line="360" w:lineRule="auto"/>
        <w:jc w:val="left"/>
        <w:textAlignment w:val="baseline"/>
        <w:rPr>
          <w:rFonts w:hint="eastAsia" w:ascii="宋体" w:hAnsi="宋体" w:eastAsia="宋体" w:cs="宋体"/>
          <w:sz w:val="24"/>
        </w:rPr>
      </w:pPr>
      <w:r>
        <w:rPr>
          <w:rFonts w:hint="eastAsia" w:ascii="宋体" w:hAnsi="宋体" w:eastAsia="宋体" w:cs="宋体"/>
          <w:kern w:val="0"/>
          <w:sz w:val="24"/>
          <w:lang w:bidi="ar"/>
        </w:rPr>
        <w:t>7.中标人加强对聘用人员的管理教育，严格遵守采购人内部安全管理制度，不得带领无关人员进入物业项目区域，严禁留宿他人，严禁工作期间饮酒以及酒后上岗。</w:t>
      </w:r>
    </w:p>
    <w:p w14:paraId="0B736111">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（二）服务内容</w:t>
      </w:r>
    </w:p>
    <w:p w14:paraId="6ABA7537">
      <w:pPr>
        <w:spacing w:line="360" w:lineRule="auto"/>
        <w:ind w:firstLine="480" w:firstLineChars="200"/>
        <w:rPr>
          <w:rFonts w:hint="eastAsia" w:ascii="宋体" w:hAnsi="宋体" w:eastAsia="宋体" w:cs="宋体"/>
          <w:kern w:val="0"/>
          <w:sz w:val="24"/>
          <w:lang w:bidi="ar"/>
        </w:rPr>
      </w:pPr>
      <w:r>
        <w:rPr>
          <w:rFonts w:hint="eastAsia" w:ascii="宋体" w:hAnsi="宋体" w:eastAsia="宋体" w:cs="宋体"/>
          <w:kern w:val="0"/>
          <w:sz w:val="24"/>
          <w:lang w:bidi="ar"/>
        </w:rPr>
        <w:t>按照北京市机关事务管理局、北京市财政局和北京市发展和改革委员会发布的《关于在物业管理服务政府采购项目中增加节约型公共机构建设相关要求的指导意见》，严格落实节能降耗相关要求。</w:t>
      </w:r>
    </w:p>
    <w:p w14:paraId="1C386765">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1.保洁服务</w:t>
      </w:r>
    </w:p>
    <w:p w14:paraId="4C06AD11">
      <w:pPr>
        <w:widowControl/>
        <w:tabs>
          <w:tab w:val="left" w:pos="567"/>
        </w:tabs>
        <w:kinsoku w:val="0"/>
        <w:autoSpaceDE w:val="0"/>
        <w:autoSpaceDN w:val="0"/>
        <w:adjustRightInd w:val="0"/>
        <w:snapToGrid w:val="0"/>
        <w:spacing w:before="182" w:line="360" w:lineRule="auto"/>
        <w:ind w:firstLine="480" w:firstLineChars="200"/>
        <w:jc w:val="both"/>
        <w:textAlignment w:val="baseline"/>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提供办公区、培训区及外围公共区域保洁服务。设有办公楼一处，二层，约 1200平方米；武警楼一处，四层，约2200平方米；备勤楼一处，三层，约1900平方米；业务楼一处，二层，约1000 平方米；办公区东大门警戒护卫楼一处，二层，约650平方 米；教学楼一处，四层，约3000平方米； 一号楼一处，四层，约4500平方米；二号楼一处，四层，约4000平方米； 模拟监区实训室一处，约470平方米；警体楼一处，三层，约2600平方米；礼堂一处，约1500平方米；浴室一处，约 430平方米；健身房一处，约400平方米；室内训练场、暖心驿站、培训区大门、所区及培训区等外围大环境。办公区室外宣传橱窗等宣传设施；服务期内进行1次办公区、培训区的建筑物外立面全部玻璃（内外两侧）擦拭及窗帘清洗；公共区域全年灭虫、蚊、蝇工作。上述各项保洁、清洗所需工具及保洁用品均由中标人自行承担，服务地点较为分散，服务标准约2600㎡/人提供服务（含项目经理）。</w:t>
      </w:r>
    </w:p>
    <w:p w14:paraId="416A8152">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2.绿化服务</w:t>
      </w:r>
    </w:p>
    <w:p w14:paraId="5C5E18D2">
      <w:pPr>
        <w:spacing w:line="360" w:lineRule="auto"/>
        <w:rPr>
          <w:rFonts w:hint="eastAsia" w:ascii="宋体" w:hAnsi="宋体" w:eastAsia="宋体" w:cs="宋体"/>
          <w:kern w:val="0"/>
          <w:sz w:val="24"/>
          <w:lang w:bidi="ar"/>
        </w:rPr>
      </w:pPr>
      <w:r>
        <w:rPr>
          <w:rFonts w:hint="eastAsia" w:ascii="宋体" w:hAnsi="宋体" w:eastAsia="宋体" w:cs="宋体"/>
          <w:kern w:val="0"/>
          <w:sz w:val="24"/>
          <w:lang w:bidi="ar"/>
        </w:rPr>
        <w:t xml:space="preserve">    提供路面清扫、植被养护等服务。养护面积约70038平方米，含长势较弱树木的救治；培训区内钢网墙内侧面积约为9900平方米，试农区库房四周非种植区面积约为6000平米；眼镜湖、荷花池内及周边水生植物养护及杂草清理;竹林养护； 1-6号车间及2号楼前零星绿植养护约440平米；东大门外侧及停车场草坪修剪、杂草清理，法桐、雪松修剪；樱桃树、山楂树、桃树、梨树、杏树及其它果树管理（包括但不限于施肥、修剪、打药、除草及采摘等）；补充更新包括：需要修复更换因极端天气造成的枯萎草坪，面积约为2100平方米；树木1730棵（树木养护、除虫）以及绿化类垃圾清运等工作，保持现有绿化景观效果；所区路面清扫。中标人自己承担绿化所需车辆、工具、农药、化肥及其它材料，服务地点较为分散，服务标准10000㎡-12000㎡/人提供服务。</w:t>
      </w:r>
    </w:p>
    <w:p w14:paraId="1C348F8D">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3.登记指引及秩序维护服务</w:t>
      </w:r>
    </w:p>
    <w:p w14:paraId="653142DC">
      <w:pPr>
        <w:wordWrap w:val="0"/>
        <w:spacing w:line="360" w:lineRule="auto"/>
        <w:jc w:val="both"/>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 xml:space="preserve">    本项目门岗要求24小时专人值守（含节假日），做好指定区域安全巡查及秩序维护工作，提示和引导机动车辆和非机动车辆在规定停车区域有序停放。</w:t>
      </w:r>
    </w:p>
    <w:p w14:paraId="2982F463">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4.配电维修</w:t>
      </w:r>
    </w:p>
    <w:p w14:paraId="60F326F0">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 xml:space="preserve">    持高、低压证的电工负责所办公区、培训区的配电设施值守及维修，确保工作日出现需要维修事项时，可以同步进行维修，需要两名电工参与值班。</w:t>
      </w:r>
    </w:p>
    <w:p w14:paraId="10789642">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5.设施维修</w:t>
      </w:r>
    </w:p>
    <w:p w14:paraId="3438354A">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 xml:space="preserve">    维修工负责所办公区、培训区的设施维修，确保工作日出现需要维修事项时，可以同步进行维修；开展所办公区、培训区的空调出风口清洁消毒；需要两名维修工参与值班。</w:t>
      </w:r>
    </w:p>
    <w:p w14:paraId="4847AFFF">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6.洗衣服务</w:t>
      </w:r>
    </w:p>
    <w:p w14:paraId="64FA85E1">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 xml:space="preserve">    负责洗衣房、熨烫间、晾衣间保洁工作，同时承担全所民警职工的警服和工装、短期培训使用的床上用品三件套以及所内窗帘的收集、清洗、晾晒、熨烫、叠放、发放工作，我所提供清洗和熨烫设备所需水电、洗衣液、衣架等保洁及洗衣服务所需材料。</w:t>
      </w:r>
    </w:p>
    <w:p w14:paraId="46B434A4">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7.精细清洁服务</w:t>
      </w:r>
    </w:p>
    <w:p w14:paraId="3313EC64">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Times New Roman"/>
          <w:sz w:val="24"/>
        </w:rPr>
        <w:t xml:space="preserve">    负责</w:t>
      </w:r>
      <w:r>
        <w:rPr>
          <w:rFonts w:hint="eastAsia" w:ascii="宋体" w:hAnsi="宋体" w:eastAsia="宋体" w:cs="宋体"/>
          <w:kern w:val="0"/>
          <w:sz w:val="24"/>
          <w:lang w:bidi="ar"/>
        </w:rPr>
        <w:t>政治建警、模拟法庭、执法办案中心、心理咨询、指挥中心、应急处突等实训室及指定区域精细清洁服务；会议、大型活动现场保障服务。</w:t>
      </w:r>
    </w:p>
    <w:p w14:paraId="4F068513">
      <w:pPr>
        <w:adjustRightInd w:val="0"/>
        <w:spacing w:line="360" w:lineRule="auto"/>
        <w:jc w:val="left"/>
        <w:textAlignment w:val="baseline"/>
        <w:rPr>
          <w:rFonts w:hint="eastAsia" w:ascii="宋体" w:hAnsi="宋体" w:eastAsia="宋体" w:cs="Times New Roman"/>
          <w:b/>
          <w:sz w:val="24"/>
        </w:rPr>
      </w:pPr>
      <w:r>
        <w:rPr>
          <w:rFonts w:hint="eastAsia" w:ascii="宋体" w:hAnsi="宋体" w:eastAsia="宋体" w:cs="Times New Roman"/>
          <w:b/>
          <w:sz w:val="24"/>
        </w:rPr>
        <w:t>四、服务验收标准</w:t>
      </w:r>
    </w:p>
    <w:p w14:paraId="4C0F96FF">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（一）保洁</w:t>
      </w:r>
    </w:p>
    <w:p w14:paraId="19B2D1E3">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1.随时听从采购人有关管理人员的安排，认真及时完成合同约定的作业内容。</w:t>
      </w:r>
    </w:p>
    <w:p w14:paraId="7E3C0338">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2.严格遵守采购人的各项规章制度，建立楼管服务机制，在各楼设置责任人，爱护采购人的各种设施，如发现问题及隐患，及时报修。</w:t>
      </w:r>
    </w:p>
    <w:p w14:paraId="27D575D2">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3.在保洁作业中，加强管理，确保安全生产，严格要求工作人员，做好各项防护措施，如在清洁施工作业中给双方或者第三方造成任何财产损害或者人身伤亡事故的，由中标人承担全部赔偿责任，采购人不承担任何责任，如给采购人造成损失的，中标人应当承担采购人的全部损失。</w:t>
      </w:r>
    </w:p>
    <w:p w14:paraId="48B1932D">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4.工作人员在日常工作中，做到配卡上岗，仪表庄重，着装统一。</w:t>
      </w:r>
    </w:p>
    <w:p w14:paraId="4315763A">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5.清洁作业应遵循采购人规定的时间要求，如有变动双方协商解决。</w:t>
      </w:r>
    </w:p>
    <w:p w14:paraId="10E2A8AC">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6.有义务征求采购人的意见，不断总结经验，提高工作质量和服务水平。</w:t>
      </w:r>
    </w:p>
    <w:p w14:paraId="2643ACB2">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7.办公区办公楼、武警楼、备勤楼、业务楼、健身房、培训区一号楼、二号楼、教学楼、警体楼、模拟监区、礼堂、浴室、办公区东大门警戒护卫楼、暖心驿站、培训区大门等公共区域日常清洁服务(不含民警职工日常办公室内及个人宿舍)；垃圾收集及必要的垃圾桶或站的消杀；如遇有会议或活动，听从采购人的安排，确保卫生清洁。</w:t>
      </w:r>
    </w:p>
    <w:p w14:paraId="150D9400">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8.遇有因不可抗力原因采购人执行所区封闭、重大安保等特殊情况，确保按照采购人要求及时安排充足人员开展封闭期间保洁工作。</w:t>
      </w:r>
    </w:p>
    <w:p w14:paraId="7041DBED">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（二）绿化养护</w:t>
      </w:r>
    </w:p>
    <w:p w14:paraId="7973A591">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1.有一支懂技术，能完成工作任务的专业绿化队伍，每天保证至少一名专业技术人员在场，并将岗位规范、操作规程、管理制度及工作人员的名单交采购人审批备案。</w:t>
      </w:r>
    </w:p>
    <w:p w14:paraId="18BED7B4">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 xml:space="preserve">2.根据季节、气候、土壤、植物的生长习性和生长阶段及养护场地的具体情况，合理安排、开展树木及植物的修剪、养护及病虫害的防治工作，并根据采购人要求及时做好养护区域的局部调整，提升绿化美化的观赏性。  </w:t>
      </w:r>
    </w:p>
    <w:p w14:paraId="3497494A">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3.负责区域内各类植物养护及日常巡视检查，如发现各类苗木、设施有被损、被盗等情况时，应及时进行补缺、维修、恢复等处理措施。</w:t>
      </w:r>
    </w:p>
    <w:p w14:paraId="6751FB3E">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4.开展养护工作时，严格遵守政府和有关主管部门对噪音污染、环境保护和安全生产等的管理规定。</w:t>
      </w:r>
    </w:p>
    <w:p w14:paraId="5BFEC040">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5.养护期间，做好养护范围内的地下管线和现有建筑物、构筑物的保护工作。</w:t>
      </w:r>
    </w:p>
    <w:p w14:paraId="39D3FE59">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6.接受采购人的管理、监督、检查和考核，对采购人发出的整改通知，应及时按采购人的要求进行整改。中标人无正当理由拒绝整改时，采购人可以另行委托他人予以整改，所发生的费用由中标人承担。</w:t>
      </w:r>
    </w:p>
    <w:p w14:paraId="110209AD">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7.在绿化作业中，加强管理，确保安全生产，严格要求工作人员，做好各项防护措施，如在维护过程中，给双方或者第三方造成任何财产损害或者人身伤亡事故的，由中标人承担全部赔偿责任，采购人不承担任何责任，如给采购人造成损失的，中标人应当承担采购人的全部损失。中标人工作人员在采购人处工作期间，如发生任何人身伤害或安全事故，非因采购人造成的，由中标人承担全部法律责任。</w:t>
      </w:r>
    </w:p>
    <w:p w14:paraId="7F697EB2">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8.绿化养护产生的垃圾需及时清理，如遇特殊情况，及时与采购人沟通。产生的垃圾需要做好防腐及防火措施。</w:t>
      </w:r>
    </w:p>
    <w:p w14:paraId="5542FD12">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9.如遇降雪、大面积落叶等特殊情况，中标人原有绿化人员数量无法满足及时清扫要求时，中标人必须按照采购人提出的时间及需增加人数的要求，及时补充人员，确保路面清洁。</w:t>
      </w:r>
    </w:p>
    <w:p w14:paraId="48D9EDF4">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10.遇有因不可抗力原因采购人执行所区封闭、重大安保等特殊情况，确保按照采购人要求及时安排充足人员开展封闭期间绿化工作。</w:t>
      </w:r>
    </w:p>
    <w:p w14:paraId="484B6E75">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（三）登记指引及秩序维护服务</w:t>
      </w:r>
    </w:p>
    <w:p w14:paraId="38BF23E3">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1.本项目门岗要求24小时专人值守（含周末及节假日），做好指定区域安全巡查及秩序维护工作。</w:t>
      </w:r>
    </w:p>
    <w:p w14:paraId="62E8B169">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2.根据采购人实际情况，严格落实采购人制定的人员、车辆进出管理制度，做好外来人员、车辆进入核查与登记。</w:t>
      </w:r>
    </w:p>
    <w:p w14:paraId="50A40E87">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3.提示和引导机动车辆和非机动车辆在规定停车区域有序停放，保持消防通道、疏散通道、安全出口畅通。</w:t>
      </w:r>
    </w:p>
    <w:p w14:paraId="4FB31927">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4.熟悉采购人人员情况，妥善处理外来人员一般咨询业务。</w:t>
      </w:r>
    </w:p>
    <w:p w14:paraId="2ECEF112">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5.工作人员的行为必须符合法律和相关部门规定，如有违反，中标人应受到政府相关部门的处罚，相关责任由中标人自行承担和解决。</w:t>
      </w:r>
    </w:p>
    <w:p w14:paraId="02C356DF">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6.在重大活动、重要节日以及突发事件等特殊重点时期，配合采购人做好安全管理和秩序维护等相关工作。</w:t>
      </w:r>
    </w:p>
    <w:p w14:paraId="13440B7B">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7.雨、雪天气时，协助清扫责任区的积水和积雪。</w:t>
      </w:r>
    </w:p>
    <w:p w14:paraId="7668FD8F">
      <w:pPr>
        <w:adjustRightInd w:val="0"/>
        <w:spacing w:line="360" w:lineRule="auto"/>
        <w:jc w:val="left"/>
        <w:textAlignment w:val="baseline"/>
        <w:rPr>
          <w:rFonts w:hint="eastAsia" w:ascii="宋体" w:hAnsi="宋体" w:eastAsia="宋体" w:cs="仿宋_GB2312"/>
          <w:sz w:val="24"/>
        </w:rPr>
      </w:pPr>
      <w:r>
        <w:rPr>
          <w:rFonts w:hint="eastAsia" w:ascii="宋体" w:hAnsi="宋体" w:eastAsia="宋体" w:cs="宋体"/>
          <w:kern w:val="0"/>
          <w:sz w:val="24"/>
          <w:lang w:bidi="ar"/>
        </w:rPr>
        <w:t>8.秩序维护人员身体健康、服务热情、持证上岗。</w:t>
      </w:r>
    </w:p>
    <w:p w14:paraId="4F7D119C">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（四）配电维修</w:t>
      </w:r>
    </w:p>
    <w:p w14:paraId="4DCD51F9">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1.及时完成所办公区、培训区的配电设施值班及维修，参与值班。</w:t>
      </w:r>
    </w:p>
    <w:p w14:paraId="381F1E69">
      <w:pPr>
        <w:adjustRightInd w:val="0"/>
        <w:spacing w:line="360" w:lineRule="auto"/>
        <w:jc w:val="left"/>
        <w:textAlignment w:val="baseline"/>
        <w:rPr>
          <w:rFonts w:hint="eastAsia" w:ascii="宋体" w:hAnsi="宋体" w:eastAsia="宋体" w:cs="Times New Roman"/>
          <w:sz w:val="24"/>
        </w:rPr>
      </w:pPr>
      <w:r>
        <w:rPr>
          <w:rFonts w:hint="eastAsia" w:ascii="宋体" w:hAnsi="宋体" w:eastAsia="宋体" w:cs="Times New Roman"/>
          <w:sz w:val="24"/>
        </w:rPr>
        <w:t>2.按照采购人要求完成临时性工作。</w:t>
      </w:r>
    </w:p>
    <w:p w14:paraId="14D3487A">
      <w:pPr>
        <w:adjustRightInd w:val="0"/>
        <w:spacing w:line="360" w:lineRule="auto"/>
        <w:jc w:val="left"/>
        <w:textAlignment w:val="baseline"/>
        <w:rPr>
          <w:rFonts w:hint="eastAsia" w:ascii="宋体" w:hAnsi="宋体" w:eastAsia="宋体" w:cs="Times New Roman"/>
          <w:sz w:val="24"/>
        </w:rPr>
      </w:pPr>
      <w:r>
        <w:rPr>
          <w:rFonts w:hint="eastAsia" w:ascii="宋体" w:hAnsi="宋体" w:eastAsia="宋体" w:cs="Times New Roman"/>
          <w:sz w:val="24"/>
        </w:rPr>
        <w:t>3.配电</w:t>
      </w:r>
      <w:r>
        <w:rPr>
          <w:rFonts w:hint="eastAsia" w:ascii="宋体" w:hAnsi="宋体" w:eastAsia="宋体" w:cs="宋体"/>
          <w:kern w:val="0"/>
          <w:sz w:val="24"/>
          <w:lang w:bidi="ar"/>
        </w:rPr>
        <w:t>人员身体健康、服务热情、持证上岗，工作人员名单交采购人审批备案。</w:t>
      </w:r>
    </w:p>
    <w:p w14:paraId="4DC9023C">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（五）设施维修</w:t>
      </w:r>
    </w:p>
    <w:p w14:paraId="362AA7A8">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1.及时完成所办公区、培训区的设施维修，参与值班。</w:t>
      </w:r>
    </w:p>
    <w:p w14:paraId="75F4AD3F">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2.雨季前清理全所雨漏管一次，雨季期间根据采购人需求清理。</w:t>
      </w:r>
    </w:p>
    <w:p w14:paraId="6043DA93">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3.按照采购人要求完成临时性工作。</w:t>
      </w:r>
    </w:p>
    <w:p w14:paraId="28C95A7A">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4.对所办公区、培训区的空调出风口进行清洁消毒。</w:t>
      </w:r>
    </w:p>
    <w:p w14:paraId="43E89374">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（六）保洁及洗衣服务</w:t>
      </w:r>
    </w:p>
    <w:p w14:paraId="2357B397">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1.负责洗衣房、熨烫间、晾衣间保洁工作，同时承担全所民警职工的警服和工装、短期培训使用的床上用品三件套以及所内等窗帘的收集、清洗、晾晒、熨烫、叠放、发放工作，我所提供清洗和熨烫设备所需水电、洗衣液、衣架等保洁及洗衣服务所需材料。</w:t>
      </w:r>
    </w:p>
    <w:p w14:paraId="2682B212">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2.按照采购人要求完成临时性工作。</w:t>
      </w:r>
    </w:p>
    <w:p w14:paraId="6DEE7714">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（七）精细清洁服务</w:t>
      </w:r>
    </w:p>
    <w:p w14:paraId="151DEBA1">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1.</w:t>
      </w:r>
      <w:r>
        <w:rPr>
          <w:rFonts w:hint="eastAsia" w:ascii="宋体" w:hAnsi="宋体" w:eastAsia="宋体" w:cs="Times New Roman"/>
          <w:sz w:val="24"/>
        </w:rPr>
        <w:t>负责</w:t>
      </w:r>
      <w:r>
        <w:rPr>
          <w:rFonts w:hint="eastAsia" w:ascii="宋体" w:hAnsi="宋体" w:eastAsia="宋体" w:cs="宋体"/>
          <w:kern w:val="0"/>
          <w:sz w:val="24"/>
          <w:lang w:bidi="ar"/>
        </w:rPr>
        <w:t>政治建警、模拟法庭、执法办案中心、心理咨询、指挥中心、应急处突等实训室及指定区域精细清洁服务；</w:t>
      </w:r>
    </w:p>
    <w:p w14:paraId="17FE82A6">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2.会议、大型活动现场保障服务。</w:t>
      </w:r>
    </w:p>
    <w:p w14:paraId="664B89E0">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3.配合采购人做好保密工作。</w:t>
      </w:r>
    </w:p>
    <w:p w14:paraId="5A03CF0E">
      <w:pPr>
        <w:adjustRightInd w:val="0"/>
        <w:spacing w:line="360" w:lineRule="auto"/>
        <w:jc w:val="left"/>
        <w:textAlignment w:val="baseline"/>
        <w:rPr>
          <w:rFonts w:hint="eastAsia" w:ascii="宋体" w:hAnsi="宋体" w:eastAsia="宋体" w:cs="Times New Roman"/>
          <w:b/>
          <w:sz w:val="24"/>
        </w:rPr>
      </w:pPr>
      <w:bookmarkStart w:id="0" w:name="_Toc22993"/>
      <w:r>
        <w:rPr>
          <w:rFonts w:hint="eastAsia" w:ascii="宋体" w:hAnsi="宋体" w:eastAsia="宋体" w:cs="Times New Roman"/>
          <w:b/>
          <w:sz w:val="24"/>
        </w:rPr>
        <w:t>五、</w:t>
      </w:r>
      <w:bookmarkEnd w:id="0"/>
      <w:r>
        <w:rPr>
          <w:rFonts w:hint="eastAsia" w:ascii="宋体" w:hAnsi="宋体" w:eastAsia="宋体" w:cs="Times New Roman"/>
          <w:b/>
          <w:sz w:val="24"/>
        </w:rPr>
        <w:t>其他要求</w:t>
      </w:r>
    </w:p>
    <w:p w14:paraId="572867F8">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一）为深入贯彻落实中共中央办公厅、国务院办公厅《关于健全社会信用体系的意见》，进一步推动《财政部关于在政府采购活动中查询及使用信用记录有关问题的通知》（财库〔2016〕125号）《国务院关于印发社会信用体系建设规划纲要（2014—2020年）的通知》（国发〔2014〕21号）《关于对重大税收违法案件当事人实施联合惩戒措施的合作备忘录》（发改财金〔2014〕3062号）《关于报送政府采购严重违法失信行为信息记录的通知》（财办库〔2014〕526号）《国务院关于建立完善守信联合激励和失信联合惩戒制度加快推进社会诚信建设的指导意见》（国发〔2016〕33号）《关于做好政府采购有关信用主体标识码登记工作的通知》（财办库〔2016〕320号）《京津冀市场监管部门关于实施深化信用提升助力经营主体高质量发展三年行动方案的意见》《北京市财政局关于进一步优化政府采购营商环境的通知》等政策要求在政府采购工作中落实落地，请供应商承诺投标截止日前3年内未发生以下事项：</w:t>
      </w:r>
    </w:p>
    <w:p w14:paraId="2925C00C">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1.在招标（交易发起）文件规定的投标（交易响应）截止日起的投标（交易响应）有效期内撤销其投标（交易响应）的；</w:t>
      </w:r>
    </w:p>
    <w:p w14:paraId="093FA677">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2.因供应商自身原因或其他客观情况造成合同履约超期，或经过采购人催告后仍故意或拒绝履行合同义务的；</w:t>
      </w:r>
    </w:p>
    <w:p w14:paraId="67F3D742">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3.因供应商其自身严重或持续的履约缺陷，导致合同被提前终止、索赔或其他类似制裁的；</w:t>
      </w:r>
    </w:p>
    <w:p w14:paraId="5E398CCA">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4.存在拖欠工资的；</w:t>
      </w:r>
    </w:p>
    <w:p w14:paraId="261408B0">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5.存在《京津冀政府采购负面行为清单》（冀财采〔2024〕18号）规定的供应商负面行为的：</w:t>
      </w:r>
    </w:p>
    <w:p w14:paraId="0D37E5D6">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（1）具有关联或存在利益冲突的供应商违规参加同一政府采购项目；</w:t>
      </w:r>
    </w:p>
    <w:p w14:paraId="7A74BF07">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（2）供应商不公平竞争；</w:t>
      </w:r>
    </w:p>
    <w:p w14:paraId="57CED3B7">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（3）供应商恶意串通；</w:t>
      </w:r>
    </w:p>
    <w:p w14:paraId="31A7241B">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（4）其他串通行为；</w:t>
      </w:r>
    </w:p>
    <w:p w14:paraId="1B5DF8B5">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（5）未按规定签订合同；</w:t>
      </w:r>
    </w:p>
    <w:p w14:paraId="641E9666">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（6）未按规定履行合同；</w:t>
      </w:r>
    </w:p>
    <w:p w14:paraId="346DB07A">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（7）在监督检查和投诉处理中提供虚假材料。</w:t>
      </w:r>
    </w:p>
    <w:p w14:paraId="388B676C">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二）为在项目中充分落实《政府采购法》规定的“政府采购应当有助于实现国家的经济和社会发展政策目标”等相关要求，以项目为载体推动北京市环境社会治理(ESG)体系高质量发展，请供应商提供在本项目中落实ESG理念的工作措施。</w:t>
      </w:r>
    </w:p>
    <w:p w14:paraId="7160B1C5">
      <w:pPr>
        <w:adjustRightInd w:val="0"/>
        <w:spacing w:line="360" w:lineRule="auto"/>
        <w:jc w:val="left"/>
        <w:textAlignment w:val="baseline"/>
        <w:rPr>
          <w:rFonts w:hint="eastAsia" w:ascii="宋体" w:hAnsi="宋体" w:eastAsia="宋体" w:cs="宋体"/>
          <w:kern w:val="0"/>
          <w:sz w:val="24"/>
          <w:lang w:bidi="ar"/>
        </w:rPr>
      </w:pPr>
      <w:r>
        <w:rPr>
          <w:rFonts w:hint="eastAsia" w:ascii="宋体" w:hAnsi="宋体" w:eastAsia="宋体" w:cs="宋体"/>
          <w:kern w:val="0"/>
          <w:sz w:val="24"/>
          <w:lang w:bidi="ar"/>
        </w:rPr>
        <w:t>（三）按照北京市机关事务管理局、北京市财政局和北京市发展和改革委员会发布的《关于在物业管理服务政府采购项目中增加节约型公共机构建设相关要求的指导意见》，严格落实节能降耗相关要求，提供节能管理方案。</w:t>
      </w:r>
    </w:p>
    <w:p w14:paraId="6DB565CE">
      <w:bookmarkStart w:id="1" w:name="_GoBack"/>
      <w:bookmarkEnd w:id="1"/>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Wingdings 2">
    <w:panose1 w:val="050201020105070707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黑体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EC83043A">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38BBD">
    <w:pPr>
      <w:widowControl w:val="0"/>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4" name="矩形 4104"/>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764C680F">
                          <w:pPr>
                            <w:widowControl w:val="0"/>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2"/>
                              <w:sz w:val="21"/>
                              <w:szCs w:val="24"/>
                              <w:lang w:val="en-US" w:eastAsia="zh-CN" w:bidi="ar-SA"/>
                            </w:rPr>
                            <w:fldChar w:fldCharType="begin"/>
                          </w:r>
                          <w:r>
                            <w:rPr>
                              <w:rFonts w:ascii="Times New Roman" w:hAnsi="Times New Roman" w:eastAsia="宋体" w:cs="Times New Roman"/>
                              <w:kern w:val="2"/>
                              <w:sz w:val="21"/>
                              <w:szCs w:val="24"/>
                              <w:lang w:val="en-US" w:eastAsia="zh-CN" w:bidi="ar-SA"/>
                            </w:rPr>
                            <w:instrText xml:space="preserve">PAGE  </w:instrText>
                          </w:r>
                          <w:r>
                            <w:rPr>
                              <w:rFonts w:ascii="Times New Roman" w:hAnsi="Times New Roman" w:eastAsia="宋体" w:cs="Times New Roman"/>
                              <w:kern w:val="2"/>
                              <w:sz w:val="21"/>
                              <w:szCs w:val="24"/>
                              <w:lang w:val="en-US" w:eastAsia="zh-CN" w:bidi="ar-SA"/>
                            </w:rPr>
                            <w:fldChar w:fldCharType="separate"/>
                          </w:r>
                          <w:r>
                            <w:rPr>
                              <w:rFonts w:ascii="Times New Roman" w:hAnsi="Times New Roman" w:eastAsia="宋体" w:cs="Times New Roman"/>
                              <w:kern w:val="2"/>
                              <w:sz w:val="21"/>
                              <w:szCs w:val="24"/>
                              <w:lang w:val="en-US" w:eastAsia="zh-CN" w:bidi="ar-SA"/>
                            </w:rPr>
                            <w:t>81</w:t>
                          </w:r>
                          <w:r>
                            <w:rPr>
                              <w:rFonts w:ascii="Times New Roman" w:hAnsi="Times New Roman" w:eastAsia="宋体" w:cs="Times New Roman"/>
                              <w:kern w:val="2"/>
                              <w:sz w:val="21"/>
                              <w:szCs w:val="24"/>
                              <w:lang w:val="en-US" w:eastAsia="zh-CN" w:bidi="ar-SA"/>
                            </w:rPr>
                            <w:fldChar w:fldCharType="end"/>
                          </w:r>
                        </w:p>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uXW5UtAAAAAFAQAADwAAAAAAAAABACAAAAAiAAAAZHJzL2Rvd25yZXYueG1s&#10;UEsBAhQAFAAAAAgAh07iQNVejY3HAQAAoAMAAA4AAAAAAAAAAQAgAAAAHwEAAGRycy9lMm9Eb2Mu&#10;eG1sUEsFBgAAAAAGAAYAWQEAAFgFAAAAAA==&#10;">
              <v:fill on="f" focussize="0,0"/>
              <v:stroke on="f"/>
              <v:imagedata o:title=""/>
              <o:lock v:ext="edit" aspectratio="f"/>
              <v:textbox inset="0mm,0mm,0mm,0mm" style="mso-fit-shape-to-text:t;">
                <w:txbxContent>
                  <w:p w14:paraId="764C680F">
                    <w:pPr>
                      <w:widowControl w:val="0"/>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2"/>
                        <w:sz w:val="21"/>
                        <w:szCs w:val="24"/>
                        <w:lang w:val="en-US" w:eastAsia="zh-CN" w:bidi="ar-SA"/>
                      </w:rPr>
                      <w:fldChar w:fldCharType="begin"/>
                    </w:r>
                    <w:r>
                      <w:rPr>
                        <w:rFonts w:ascii="Times New Roman" w:hAnsi="Times New Roman" w:eastAsia="宋体" w:cs="Times New Roman"/>
                        <w:kern w:val="2"/>
                        <w:sz w:val="21"/>
                        <w:szCs w:val="24"/>
                        <w:lang w:val="en-US" w:eastAsia="zh-CN" w:bidi="ar-SA"/>
                      </w:rPr>
                      <w:instrText xml:space="preserve">PAGE  </w:instrText>
                    </w:r>
                    <w:r>
                      <w:rPr>
                        <w:rFonts w:ascii="Times New Roman" w:hAnsi="Times New Roman" w:eastAsia="宋体" w:cs="Times New Roman"/>
                        <w:kern w:val="2"/>
                        <w:sz w:val="21"/>
                        <w:szCs w:val="24"/>
                        <w:lang w:val="en-US" w:eastAsia="zh-CN" w:bidi="ar-SA"/>
                      </w:rPr>
                      <w:fldChar w:fldCharType="separate"/>
                    </w:r>
                    <w:r>
                      <w:rPr>
                        <w:rFonts w:ascii="Times New Roman" w:hAnsi="Times New Roman" w:eastAsia="宋体" w:cs="Times New Roman"/>
                        <w:kern w:val="2"/>
                        <w:sz w:val="21"/>
                        <w:szCs w:val="24"/>
                        <w:lang w:val="en-US" w:eastAsia="zh-CN" w:bidi="ar-SA"/>
                      </w:rPr>
                      <w:t>81</w:t>
                    </w:r>
                    <w:r>
                      <w:rPr>
                        <w:rFonts w:ascii="Times New Roman" w:hAnsi="Times New Roman" w:eastAsia="宋体" w:cs="Times New Roman"/>
                        <w:kern w:val="2"/>
                        <w:sz w:val="21"/>
                        <w:szCs w:val="24"/>
                        <w:lang w:val="en-US" w:eastAsia="zh-CN" w:bidi="ar-SA"/>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28541">
    <w:pPr>
      <w:widowControl w:val="0"/>
      <w:pBdr>
        <w:bottom w:val="none" w:color="auto" w:sz="0" w:space="0"/>
      </w:pBdr>
      <w:snapToGrid w:val="0"/>
      <w:jc w:val="center"/>
      <w:rPr>
        <w:rFonts w:ascii="Times New Roman" w:hAnsi="Times New Roman" w:eastAsia="宋体" w:cs="Times New Roman"/>
        <w:kern w:val="0"/>
        <w:sz w:val="18"/>
        <w:szCs w:val="18"/>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3341A4"/>
    <w:rsid w:val="193341A4"/>
    <w:rsid w:val="337315F0"/>
    <w:rsid w:val="3A2A6DA3"/>
    <w:rsid w:val="68257895"/>
    <w:rsid w:val="6E120394"/>
    <w:rsid w:val="724E07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iPriority="99"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next w:val="1"/>
    <w:qFormat/>
    <w:uiPriority w:val="0"/>
    <w:pPr>
      <w:keepNext/>
      <w:keepLines/>
      <w:widowControl w:val="0"/>
      <w:autoSpaceDE w:val="0"/>
      <w:autoSpaceDN w:val="0"/>
      <w:adjustRightInd w:val="0"/>
      <w:spacing w:before="120" w:line="300" w:lineRule="auto"/>
      <w:jc w:val="center"/>
      <w:outlineLvl w:val="1"/>
    </w:pPr>
    <w:rPr>
      <w:rFonts w:ascii="Arial" w:hAnsi="Arial" w:eastAsia="黑体" w:cs="Times New Roman"/>
      <w:b/>
      <w:kern w:val="0"/>
      <w:sz w:val="30"/>
      <w:szCs w:val="20"/>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Salutation"/>
    <w:next w:val="1"/>
    <w:unhideWhenUsed/>
    <w:qFormat/>
    <w:uiPriority w:val="99"/>
    <w:pPr>
      <w:keepNext w:val="0"/>
      <w:keepLines w:val="0"/>
      <w:widowControl w:val="0"/>
      <w:suppressLineNumbers w:val="0"/>
      <w:spacing w:before="0" w:beforeAutospacing="0" w:after="0" w:afterAutospacing="0" w:line="360" w:lineRule="auto"/>
      <w:ind w:left="0" w:right="0"/>
      <w:jc w:val="both"/>
    </w:pPr>
    <w:rPr>
      <w:rFonts w:hint="default" w:ascii="Times New Roman" w:hAnsi="Times New Roman" w:eastAsia="仿宋" w:cs="Times New Roman"/>
      <w:kern w:val="2"/>
      <w:sz w:val="24"/>
      <w:szCs w:val="24"/>
      <w:lang w:val="en-US" w:eastAsia="zh-CN" w:bidi="ar"/>
    </w:rPr>
  </w:style>
  <w:style w:type="paragraph" w:styleId="4">
    <w:name w:val="Body Text"/>
    <w:qFormat/>
    <w:uiPriority w:val="0"/>
    <w:pPr>
      <w:widowControl w:val="0"/>
      <w:tabs>
        <w:tab w:val="left" w:pos="567"/>
      </w:tabs>
      <w:spacing w:before="120" w:line="22" w:lineRule="atLeast"/>
      <w:jc w:val="both"/>
    </w:pPr>
    <w:rPr>
      <w:rFonts w:ascii="宋体" w:hAnsi="宋体" w:eastAsia="宋体" w:cs="Times New Roman"/>
      <w:kern w:val="2"/>
      <w:sz w:val="24"/>
      <w:szCs w:val="24"/>
      <w:lang w:val="en-US" w:eastAsia="zh-CN" w:bidi="ar-SA"/>
    </w:rPr>
  </w:style>
  <w:style w:type="paragraph" w:styleId="5">
    <w:name w:val="Body Text Indent"/>
    <w:next w:val="1"/>
    <w:qFormat/>
    <w:uiPriority w:val="0"/>
    <w:pPr>
      <w:widowControl w:val="0"/>
      <w:spacing w:line="360" w:lineRule="auto"/>
      <w:ind w:firstLine="570"/>
      <w:jc w:val="both"/>
    </w:pPr>
    <w:rPr>
      <w:rFonts w:ascii="Times New Roman" w:hAnsi="Times New Roman" w:eastAsia="宋体" w:cs="Times New Roman"/>
      <w:kern w:val="2"/>
      <w:sz w:val="24"/>
      <w:szCs w:val="24"/>
      <w:lang w:val="en-US" w:eastAsia="zh-CN" w:bidi="ar-SA"/>
    </w:rPr>
  </w:style>
  <w:style w:type="paragraph" w:styleId="6">
    <w:name w:val="Body Text First Indent 2"/>
    <w:qFormat/>
    <w:uiPriority w:val="0"/>
    <w:pPr>
      <w:widowControl w:val="0"/>
      <w:spacing w:after="120" w:line="480" w:lineRule="exact"/>
      <w:ind w:left="420" w:leftChars="200" w:firstLine="420" w:firstLineChars="200"/>
      <w:jc w:val="both"/>
    </w:pPr>
    <w:rPr>
      <w:rFonts w:ascii="Times New Roman" w:hAnsi="Times New Roman" w:eastAsia="宋体" w:cs="Times New Roman"/>
      <w:kern w:val="2"/>
      <w:sz w:val="24"/>
      <w:szCs w:val="20"/>
      <w:lang w:val="en-US" w:eastAsia="zh-CN" w:bidi="ar-SA"/>
    </w:rPr>
  </w:style>
  <w:style w:type="table" w:styleId="8">
    <w:name w:val="Table Grid"/>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annotation reference"/>
    <w:qFormat/>
    <w:uiPriority w:val="99"/>
    <w:rPr>
      <w:sz w:val="21"/>
      <w:szCs w:val="21"/>
    </w:rPr>
  </w:style>
  <w:style w:type="paragraph" w:styleId="11">
    <w:name w:val="List Paragraph"/>
    <w:qFormat/>
    <w:uiPriority w:val="34"/>
    <w:pPr>
      <w:widowControl w:val="0"/>
      <w:ind w:firstLine="420" w:firstLineChars="200"/>
      <w:jc w:val="both"/>
    </w:pPr>
    <w:rPr>
      <w:rFonts w:ascii="Calibri" w:hAnsi="Calibri" w:eastAsia="宋体" w:cs="Times New Roman"/>
      <w:kern w:val="2"/>
      <w:sz w:val="21"/>
      <w:szCs w:val="22"/>
      <w:lang w:val="en-US" w:eastAsia="zh-CN" w:bidi="ar-SA"/>
    </w:rPr>
  </w:style>
  <w:style w:type="character" w:customStyle="1" w:styleId="12">
    <w:name w:val="font212"/>
    <w:qFormat/>
    <w:uiPriority w:val="0"/>
    <w:rPr>
      <w:rFonts w:ascii="宋体" w:hAnsi="宋体" w:eastAsia="宋体" w:cs="宋体"/>
      <w:color w:val="E0C070"/>
      <w:sz w:val="68"/>
      <w:szCs w:val="68"/>
      <w:u w:val="none"/>
    </w:rPr>
  </w:style>
  <w:style w:type="character" w:customStyle="1" w:styleId="13">
    <w:name w:val="font221"/>
    <w:qFormat/>
    <w:uiPriority w:val="0"/>
    <w:rPr>
      <w:rFonts w:ascii="宋体" w:hAnsi="宋体" w:eastAsia="宋体" w:cs="宋体"/>
      <w:color w:val="F0B050"/>
      <w:sz w:val="68"/>
      <w:szCs w:val="68"/>
      <w:u w:val="none"/>
    </w:rPr>
  </w:style>
  <w:style w:type="character" w:customStyle="1" w:styleId="14">
    <w:name w:val="font231"/>
    <w:qFormat/>
    <w:uiPriority w:val="0"/>
    <w:rPr>
      <w:rFonts w:hint="default" w:ascii="Arial" w:hAnsi="Arial" w:cs="Arial"/>
      <w:color w:val="000000"/>
      <w:sz w:val="18"/>
      <w:szCs w:val="18"/>
      <w:u w:val="none"/>
    </w:rPr>
  </w:style>
  <w:style w:type="character" w:customStyle="1" w:styleId="15">
    <w:name w:val="font191"/>
    <w:qFormat/>
    <w:uiPriority w:val="0"/>
    <w:rPr>
      <w:rFonts w:hint="default" w:ascii="Arial" w:hAnsi="Arial" w:cs="Arial"/>
      <w:color w:val="000000"/>
      <w:sz w:val="22"/>
      <w:szCs w:val="22"/>
      <w:u w:val="none"/>
    </w:rPr>
  </w:style>
  <w:style w:type="character" w:customStyle="1" w:styleId="16">
    <w:name w:val="font201"/>
    <w:qFormat/>
    <w:uiPriority w:val="0"/>
    <w:rPr>
      <w:rFonts w:hint="default" w:ascii="Arial" w:hAnsi="Arial" w:cs="Arial"/>
      <w:color w:val="000000"/>
      <w:sz w:val="15"/>
      <w:szCs w:val="15"/>
      <w:u w:val="none"/>
    </w:rPr>
  </w:style>
  <w:style w:type="character" w:customStyle="1" w:styleId="17">
    <w:name w:val="font341"/>
    <w:qFormat/>
    <w:uiPriority w:val="0"/>
    <w:rPr>
      <w:rFonts w:ascii="宋体" w:hAnsi="宋体" w:eastAsia="宋体" w:cs="宋体"/>
      <w:b/>
      <w:bCs/>
      <w:color w:val="000000"/>
      <w:sz w:val="28"/>
      <w:szCs w:val="28"/>
      <w:u w:val="none"/>
    </w:rPr>
  </w:style>
  <w:style w:type="character" w:customStyle="1" w:styleId="18">
    <w:name w:val="font301"/>
    <w:qFormat/>
    <w:uiPriority w:val="0"/>
    <w:rPr>
      <w:rFonts w:hint="default" w:ascii="Arial" w:hAnsi="Arial" w:cs="Arial"/>
      <w:color w:val="000000"/>
      <w:sz w:val="18"/>
      <w:szCs w:val="18"/>
      <w:u w:val="none"/>
    </w:rPr>
  </w:style>
  <w:style w:type="character" w:customStyle="1" w:styleId="19">
    <w:name w:val="font291"/>
    <w:qFormat/>
    <w:uiPriority w:val="0"/>
    <w:rPr>
      <w:rFonts w:hint="default" w:ascii="Arial" w:hAnsi="Arial" w:cs="Arial"/>
      <w:color w:val="000000"/>
      <w:sz w:val="16"/>
      <w:szCs w:val="16"/>
      <w:u w:val="none"/>
    </w:rPr>
  </w:style>
  <w:style w:type="character" w:customStyle="1" w:styleId="20">
    <w:name w:val="font331"/>
    <w:qFormat/>
    <w:uiPriority w:val="0"/>
    <w:rPr>
      <w:rFonts w:hint="default" w:ascii="Arial" w:hAnsi="Arial" w:cs="Arial"/>
      <w:color w:val="000000"/>
      <w:sz w:val="19"/>
      <w:szCs w:val="19"/>
      <w:u w:val="none"/>
    </w:rPr>
  </w:style>
  <w:style w:type="character" w:customStyle="1" w:styleId="21">
    <w:name w:val="font351"/>
    <w:qFormat/>
    <w:uiPriority w:val="0"/>
    <w:rPr>
      <w:rFonts w:ascii="宋体" w:hAnsi="宋体" w:eastAsia="宋体" w:cs="宋体"/>
      <w:b/>
      <w:bCs/>
      <w:color w:val="000000"/>
      <w:sz w:val="26"/>
      <w:szCs w:val="26"/>
      <w:u w:val="none"/>
    </w:rPr>
  </w:style>
  <w:style w:type="character" w:customStyle="1" w:styleId="22">
    <w:name w:val="font371"/>
    <w:qFormat/>
    <w:uiPriority w:val="0"/>
    <w:rPr>
      <w:rFonts w:hint="default" w:ascii="Arial" w:hAnsi="Arial" w:cs="Arial"/>
      <w:color w:val="000000"/>
      <w:sz w:val="21"/>
      <w:szCs w:val="21"/>
      <w:u w:val="none"/>
    </w:rPr>
  </w:style>
  <w:style w:type="character" w:customStyle="1" w:styleId="23">
    <w:name w:val="font381"/>
    <w:qFormat/>
    <w:uiPriority w:val="0"/>
    <w:rPr>
      <w:rFonts w:ascii="宋体" w:hAnsi="宋体" w:eastAsia="宋体" w:cs="宋体"/>
      <w:b/>
      <w:bCs/>
      <w:color w:val="000000"/>
      <w:sz w:val="30"/>
      <w:szCs w:val="30"/>
      <w:u w:val="none"/>
    </w:rPr>
  </w:style>
  <w:style w:type="character" w:customStyle="1" w:styleId="24">
    <w:name w:val="font422"/>
    <w:qFormat/>
    <w:uiPriority w:val="0"/>
    <w:rPr>
      <w:rFonts w:hint="default" w:ascii="Arial" w:hAnsi="Arial" w:cs="Arial"/>
      <w:color w:val="000000"/>
      <w:sz w:val="22"/>
      <w:szCs w:val="22"/>
      <w:u w:val="none"/>
    </w:rPr>
  </w:style>
  <w:style w:type="paragraph" w:customStyle="1" w:styleId="25">
    <w:name w:val="Table Text"/>
    <w:semiHidden/>
    <w:qFormat/>
    <w:uiPriority w:val="0"/>
    <w:pPr>
      <w:widowControl w:val="0"/>
      <w:jc w:val="both"/>
    </w:pPr>
    <w:rPr>
      <w:rFonts w:ascii="宋体" w:hAnsi="宋体" w:eastAsia="宋体" w:cs="宋体"/>
      <w:kern w:val="2"/>
      <w:sz w:val="21"/>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3569</Words>
  <Characters>3617</Characters>
  <Lines>0</Lines>
  <Paragraphs>0</Paragraphs>
  <TotalTime>0</TotalTime>
  <ScaleCrop>false</ScaleCrop>
  <LinksUpToDate>false</LinksUpToDate>
  <CharactersWithSpaces>3621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2026-06-29T02:11:00Z</dcterms:created>
  <dc:creator>栋</dc:creator>
  <cp:lastModifiedBy>栋</cp:lastModifiedBy>
  <dcterms:modified xsi:type="dcterms:W3CDTF">2026-09-21T06:41:28Z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000CA6074A9E4212A8F6B56BAAE86944_11</vt:lpwstr>
  </property>
  <property fmtid="{D5CDD505-2E9C-101B-9397-08002B2CF9AE}" pid="4" name="KSOTemplateDocerSaveRecord">
    <vt:lpwstr>eyJoZGlkIjoiOTU5MTdjOGU3ZmY4YzIwMmE0NTgwNDBkMTdmMjJiYTUiLCJ1c2VySWQiOiI0NTA3NDAzODYifQ==</vt:lpwstr>
  </property>
</Properties>
</file>