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EAEFE">
      <w:pPr>
        <w:pageBreakBefore w:val="0"/>
        <w:topLinePunct w:val="0"/>
        <w:bidi w:val="0"/>
        <w:adjustRightInd w:val="0"/>
        <w:snapToGrid w:val="0"/>
        <w:spacing w:line="360" w:lineRule="auto"/>
        <w:jc w:val="center"/>
        <w:outlineLvl w:val="0"/>
        <w:rPr>
          <w:rFonts w:ascii="仿宋" w:hAnsi="仿宋" w:eastAsia="仿宋" w:cs="仿宋"/>
          <w:b/>
          <w:sz w:val="40"/>
          <w:szCs w:val="40"/>
          <w:highlight w:val="none"/>
        </w:rPr>
      </w:pPr>
      <w:bookmarkStart w:id="0" w:name="_Toc99301424"/>
      <w:r>
        <w:rPr>
          <w:rFonts w:hint="eastAsia" w:ascii="仿宋" w:hAnsi="仿宋" w:eastAsia="仿宋" w:cs="仿宋"/>
          <w:b/>
          <w:sz w:val="40"/>
          <w:szCs w:val="40"/>
          <w:highlight w:val="none"/>
        </w:rPr>
        <w:t>第五章   采购需求</w:t>
      </w:r>
      <w:bookmarkEnd w:id="0"/>
    </w:p>
    <w:p w14:paraId="42AA4EAA">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r>
        <w:rPr>
          <w:rFonts w:hint="eastAsia" w:ascii="黑体" w:hAnsi="黑体" w:eastAsia="黑体" w:cs="黑体"/>
          <w:sz w:val="24"/>
          <w:szCs w:val="24"/>
          <w:highlight w:val="none"/>
        </w:rPr>
        <w:t>说明：</w:t>
      </w:r>
    </w:p>
    <w:p w14:paraId="043E587B">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bookmarkStart w:id="1" w:name="_Hlk167284587"/>
      <w:r>
        <w:rPr>
          <w:rFonts w:hint="eastAsia" w:ascii="黑体" w:hAnsi="黑体" w:eastAsia="黑体" w:cs="黑体"/>
          <w:sz w:val="24"/>
          <w:szCs w:val="24"/>
          <w:highlight w:val="none"/>
        </w:rPr>
        <w:t>1. 当采购项目涉及政务信息系统时，采购需求应当符合《政务信息系统政府采购管理暂行办法》（财库〔2017〕210号）的相关要求。</w:t>
      </w:r>
    </w:p>
    <w:p w14:paraId="6825E565">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bookmarkStart w:id="2" w:name="_Hlk168431603"/>
      <w:r>
        <w:rPr>
          <w:rFonts w:hint="eastAsia" w:ascii="黑体" w:hAnsi="黑体" w:eastAsia="黑体" w:cs="黑体"/>
          <w:sz w:val="24"/>
          <w:szCs w:val="24"/>
          <w:highlight w:val="none"/>
        </w:rPr>
        <w:t>2. 采购人及采购代理机构应关注财政部门会同有关部门制定发布的需求标准，结合具体应用场景，根据对应《需求标准》确定采购需求。</w:t>
      </w:r>
    </w:p>
    <w:p w14:paraId="379F8769">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r>
        <w:rPr>
          <w:rFonts w:hint="eastAsia" w:ascii="黑体" w:hAnsi="黑体" w:eastAsia="黑体" w:cs="黑体"/>
          <w:sz w:val="24"/>
          <w:szCs w:val="24"/>
          <w:highlight w:val="none"/>
        </w:rPr>
        <w:t>已发布的需求标准如下：</w:t>
      </w:r>
    </w:p>
    <w:p w14:paraId="763A749D">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r>
        <w:rPr>
          <w:rFonts w:hint="eastAsia" w:ascii="黑体" w:hAnsi="黑体" w:eastAsia="黑体" w:cs="黑体"/>
          <w:sz w:val="24"/>
          <w:szCs w:val="24"/>
          <w:highlight w:val="none"/>
        </w:rPr>
        <w:t>《关于印发〈商品包装政府采购需求标准（试行）〉、〈快递包装政府采购需求标准（试行）〉的通知》（财办库﹝2020﹞123号））</w:t>
      </w:r>
    </w:p>
    <w:p w14:paraId="4F9DFB50">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《绿色数据中心政府采购需求标准（试行）》（财库〔2023〕7号）</w:t>
      </w:r>
    </w:p>
    <w:p w14:paraId="0CDCF4D3">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《台式计算机政府采购需求标准（2023年版）》（财库〔2023〕29号）</w:t>
      </w:r>
    </w:p>
    <w:p w14:paraId="57CB8333">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《便携式计算机政府采购需求标准（2023年版）》（财库〔2023〕30号）</w:t>
      </w:r>
    </w:p>
    <w:p w14:paraId="4EABD221">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《一体式计算机政府采购需求标准（2023年版）》（财库〔2023〕31号）</w:t>
      </w:r>
    </w:p>
    <w:p w14:paraId="682347FA">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《工作站政府采购需求标准（2023年版）》（财库〔2023〕32号）</w:t>
      </w:r>
    </w:p>
    <w:p w14:paraId="064661F7">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《通用服务器政府采购需求标准（2023年版）》（财库〔2023〕33号）</w:t>
      </w:r>
    </w:p>
    <w:p w14:paraId="6455F970">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《操作系统政府采购需求标准（2023年版）》（财库〔2023〕34号）</w:t>
      </w:r>
    </w:p>
    <w:p w14:paraId="60A8C2E7">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《数据库政府采购需求标准（2023年版）》（财库〔2023〕35号）</w:t>
      </w:r>
    </w:p>
    <w:p w14:paraId="70EF1C33">
      <w:pPr>
        <w:pStyle w:val="8"/>
        <w:pageBreakBefore w:val="0"/>
        <w:topLinePunct w:val="0"/>
        <w:bidi w:val="0"/>
        <w:adjustRightInd w:val="0"/>
        <w:snapToGrid w:val="0"/>
        <w:spacing w:before="0" w:beforeAutospacing="0" w:after="0" w:afterAutospacing="0" w:line="360" w:lineRule="auto"/>
        <w:rPr>
          <w:rFonts w:hint="eastAsia" w:ascii="黑体" w:hAnsi="黑体" w:eastAsia="黑体" w:cs="黑体"/>
          <w:kern w:val="2"/>
          <w:sz w:val="24"/>
          <w:szCs w:val="24"/>
          <w:highlight w:val="none"/>
        </w:rPr>
      </w:pPr>
      <w:r>
        <w:rPr>
          <w:rFonts w:hint="eastAsia" w:ascii="黑体" w:hAnsi="黑体" w:eastAsia="黑体" w:cs="黑体"/>
          <w:kern w:val="2"/>
          <w:sz w:val="24"/>
          <w:szCs w:val="24"/>
          <w:highlight w:val="none"/>
        </w:rPr>
        <w:t>《物业管理服务政府采购需求标准（办公场所类）（试行）》（财办库〔2024〕113号）</w:t>
      </w:r>
    </w:p>
    <w:p w14:paraId="4018D097">
      <w:pPr>
        <w:pageBreakBefore w:val="0"/>
        <w:topLinePunct w:val="0"/>
        <w:bidi w:val="0"/>
        <w:adjustRightInd w:val="0"/>
        <w:snapToGrid w:val="0"/>
        <w:spacing w:line="360" w:lineRule="auto"/>
        <w:contextualSpacing/>
        <w:rPr>
          <w:rFonts w:hint="eastAsia" w:ascii="黑体" w:hAnsi="黑体" w:eastAsia="黑体" w:cs="黑体"/>
          <w:sz w:val="24"/>
          <w:szCs w:val="24"/>
          <w:highlight w:val="none"/>
        </w:rPr>
      </w:pPr>
      <w:r>
        <w:rPr>
          <w:rFonts w:hint="eastAsia" w:ascii="黑体" w:hAnsi="黑体" w:eastAsia="黑体" w:cs="黑体"/>
          <w:sz w:val="24"/>
          <w:szCs w:val="24"/>
          <w:highlight w:val="none"/>
        </w:rPr>
        <w:t>如有更新或增加，以财政部门发布为准。</w:t>
      </w:r>
      <w:bookmarkEnd w:id="1"/>
      <w:bookmarkEnd w:id="2"/>
    </w:p>
    <w:p w14:paraId="3A8C10AA">
      <w:pPr>
        <w:pageBreakBefore w:val="0"/>
        <w:widowControl/>
        <w:topLinePunct w:val="0"/>
        <w:bidi w:val="0"/>
        <w:adjustRightInd w:val="0"/>
        <w:snapToGrid w:val="0"/>
        <w:spacing w:line="360" w:lineRule="auto"/>
        <w:jc w:val="left"/>
        <w:rPr>
          <w:rFonts w:hint="eastAsia" w:ascii="仿宋" w:hAnsi="仿宋" w:eastAsia="仿宋" w:cs="仿宋"/>
          <w:b/>
          <w:sz w:val="24"/>
          <w:szCs w:val="24"/>
          <w:highlight w:val="none"/>
          <w:u w:val="none"/>
        </w:rPr>
      </w:pPr>
      <w:r>
        <w:rPr>
          <w:rFonts w:ascii="仿宋" w:hAnsi="仿宋" w:eastAsia="仿宋" w:cs="仿宋"/>
          <w:b/>
          <w:sz w:val="28"/>
          <w:szCs w:val="28"/>
          <w:highlight w:val="none"/>
        </w:rPr>
        <w:br w:type="page"/>
      </w:r>
      <w:r>
        <w:rPr>
          <w:rFonts w:hint="eastAsia" w:ascii="仿宋" w:hAnsi="仿宋" w:eastAsia="仿宋" w:cs="仿宋"/>
          <w:b/>
          <w:sz w:val="24"/>
          <w:szCs w:val="24"/>
          <w:highlight w:val="none"/>
          <w:u w:val="none"/>
          <w:lang w:eastAsia="zh-CN"/>
        </w:rPr>
        <w:t>一、</w:t>
      </w:r>
      <w:r>
        <w:rPr>
          <w:rFonts w:hint="eastAsia" w:ascii="仿宋" w:hAnsi="仿宋" w:eastAsia="仿宋" w:cs="仿宋"/>
          <w:b/>
          <w:sz w:val="24"/>
          <w:szCs w:val="24"/>
          <w:highlight w:val="none"/>
          <w:u w:val="none"/>
        </w:rPr>
        <w:t>采购标的</w:t>
      </w:r>
    </w:p>
    <w:p w14:paraId="33F78666">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1. 采购标的（货物需求一览表或简要服务内容及数量）</w:t>
      </w:r>
    </w:p>
    <w:tbl>
      <w:tblPr>
        <w:tblStyle w:val="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671"/>
        <w:gridCol w:w="2887"/>
        <w:gridCol w:w="671"/>
        <w:gridCol w:w="671"/>
        <w:gridCol w:w="1477"/>
        <w:gridCol w:w="1946"/>
      </w:tblGrid>
      <w:tr w14:paraId="3C3A7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905" w:hRule="atLeast"/>
          <w:tblHeader/>
          <w:jc w:val="center"/>
        </w:trPr>
        <w:tc>
          <w:tcPr>
            <w:tcW w:w="403" w:type="pct"/>
            <w:noWrap w:val="0"/>
            <w:vAlign w:val="center"/>
          </w:tcPr>
          <w:p w14:paraId="574FD0DC">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序号</w:t>
            </w:r>
          </w:p>
        </w:tc>
        <w:tc>
          <w:tcPr>
            <w:tcW w:w="1734" w:type="pct"/>
            <w:noWrap w:val="0"/>
            <w:vAlign w:val="center"/>
          </w:tcPr>
          <w:p w14:paraId="28F2A605">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标的名称</w:t>
            </w:r>
          </w:p>
        </w:tc>
        <w:tc>
          <w:tcPr>
            <w:tcW w:w="403" w:type="pct"/>
            <w:noWrap w:val="0"/>
            <w:vAlign w:val="center"/>
          </w:tcPr>
          <w:p w14:paraId="537DEB3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数量</w:t>
            </w:r>
          </w:p>
        </w:tc>
        <w:tc>
          <w:tcPr>
            <w:tcW w:w="403" w:type="pct"/>
            <w:noWrap w:val="0"/>
            <w:vAlign w:val="center"/>
          </w:tcPr>
          <w:p w14:paraId="0D930862">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单位</w:t>
            </w:r>
          </w:p>
        </w:tc>
        <w:tc>
          <w:tcPr>
            <w:tcW w:w="887" w:type="pct"/>
            <w:noWrap w:val="0"/>
            <w:vAlign w:val="center"/>
          </w:tcPr>
          <w:p w14:paraId="722E69D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单价（元）</w:t>
            </w:r>
          </w:p>
        </w:tc>
        <w:tc>
          <w:tcPr>
            <w:tcW w:w="1169" w:type="pct"/>
            <w:noWrap w:val="0"/>
            <w:vAlign w:val="center"/>
          </w:tcPr>
          <w:p w14:paraId="5741809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b/>
                <w:color w:val="000000"/>
                <w:sz w:val="24"/>
                <w:szCs w:val="24"/>
                <w:highlight w:val="none"/>
                <w:u w:val="none"/>
              </w:rPr>
              <w:t>预算金额（元）</w:t>
            </w:r>
          </w:p>
        </w:tc>
      </w:tr>
      <w:tr w14:paraId="5510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03" w:type="pct"/>
            <w:noWrap w:val="0"/>
            <w:vAlign w:val="center"/>
          </w:tcPr>
          <w:p w14:paraId="440A36CD">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1</w:t>
            </w:r>
          </w:p>
        </w:tc>
        <w:tc>
          <w:tcPr>
            <w:tcW w:w="1734" w:type="pct"/>
            <w:noWrap w:val="0"/>
            <w:vAlign w:val="center"/>
          </w:tcPr>
          <w:p w14:paraId="5D85DD7F">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可移动密封式单舱犬舍成品</w:t>
            </w:r>
          </w:p>
        </w:tc>
        <w:tc>
          <w:tcPr>
            <w:tcW w:w="403" w:type="pct"/>
            <w:noWrap w:val="0"/>
            <w:vAlign w:val="center"/>
          </w:tcPr>
          <w:p w14:paraId="38D4EC8E">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20</w:t>
            </w:r>
          </w:p>
        </w:tc>
        <w:tc>
          <w:tcPr>
            <w:tcW w:w="403" w:type="pct"/>
            <w:noWrap w:val="0"/>
            <w:vAlign w:val="center"/>
          </w:tcPr>
          <w:p w14:paraId="544E5D08">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台</w:t>
            </w:r>
          </w:p>
        </w:tc>
        <w:tc>
          <w:tcPr>
            <w:tcW w:w="887" w:type="pct"/>
            <w:noWrap w:val="0"/>
            <w:vAlign w:val="center"/>
          </w:tcPr>
          <w:p w14:paraId="2CD6833D">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18,700.00</w:t>
            </w:r>
          </w:p>
        </w:tc>
        <w:tc>
          <w:tcPr>
            <w:tcW w:w="1169" w:type="pct"/>
            <w:noWrap w:val="0"/>
            <w:vAlign w:val="center"/>
          </w:tcPr>
          <w:p w14:paraId="46F06B34">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374,000.00</w:t>
            </w:r>
          </w:p>
        </w:tc>
      </w:tr>
      <w:tr w14:paraId="4533B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03" w:type="pct"/>
            <w:noWrap w:val="0"/>
            <w:vAlign w:val="center"/>
          </w:tcPr>
          <w:p w14:paraId="5097B5A6">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2</w:t>
            </w:r>
          </w:p>
        </w:tc>
        <w:tc>
          <w:tcPr>
            <w:tcW w:w="1734" w:type="pct"/>
            <w:noWrap w:val="0"/>
            <w:vAlign w:val="center"/>
          </w:tcPr>
          <w:p w14:paraId="32428D43">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可移动智能模块化集成式可伸缩型犬舱成品</w:t>
            </w:r>
          </w:p>
        </w:tc>
        <w:tc>
          <w:tcPr>
            <w:tcW w:w="403" w:type="pct"/>
            <w:noWrap w:val="0"/>
            <w:vAlign w:val="center"/>
          </w:tcPr>
          <w:p w14:paraId="43A5EB27">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2</w:t>
            </w:r>
          </w:p>
        </w:tc>
        <w:tc>
          <w:tcPr>
            <w:tcW w:w="403" w:type="pct"/>
            <w:noWrap w:val="0"/>
            <w:vAlign w:val="center"/>
          </w:tcPr>
          <w:p w14:paraId="67BCFF24">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台</w:t>
            </w:r>
          </w:p>
        </w:tc>
        <w:tc>
          <w:tcPr>
            <w:tcW w:w="887" w:type="pct"/>
            <w:noWrap w:val="0"/>
            <w:vAlign w:val="center"/>
          </w:tcPr>
          <w:p w14:paraId="6BF9839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150,000.00</w:t>
            </w:r>
          </w:p>
        </w:tc>
        <w:tc>
          <w:tcPr>
            <w:tcW w:w="1169" w:type="pct"/>
            <w:noWrap w:val="0"/>
            <w:vAlign w:val="center"/>
          </w:tcPr>
          <w:p w14:paraId="2AE04AED">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300,000.00</w:t>
            </w:r>
          </w:p>
        </w:tc>
      </w:tr>
      <w:tr w14:paraId="14035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03" w:type="pct"/>
            <w:noWrap w:val="0"/>
            <w:vAlign w:val="center"/>
          </w:tcPr>
          <w:p w14:paraId="6EC1688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3</w:t>
            </w:r>
          </w:p>
        </w:tc>
        <w:tc>
          <w:tcPr>
            <w:tcW w:w="1734" w:type="pct"/>
            <w:noWrap w:val="0"/>
            <w:vAlign w:val="center"/>
          </w:tcPr>
          <w:p w14:paraId="301DBF84">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可移动密封式双舱犬舍成品</w:t>
            </w:r>
          </w:p>
        </w:tc>
        <w:tc>
          <w:tcPr>
            <w:tcW w:w="403" w:type="pct"/>
            <w:noWrap w:val="0"/>
            <w:vAlign w:val="center"/>
          </w:tcPr>
          <w:p w14:paraId="01FED872">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20</w:t>
            </w:r>
          </w:p>
        </w:tc>
        <w:tc>
          <w:tcPr>
            <w:tcW w:w="403" w:type="pct"/>
            <w:noWrap w:val="0"/>
            <w:vAlign w:val="center"/>
          </w:tcPr>
          <w:p w14:paraId="77C28169">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台</w:t>
            </w:r>
          </w:p>
        </w:tc>
        <w:tc>
          <w:tcPr>
            <w:tcW w:w="887" w:type="pct"/>
            <w:noWrap w:val="0"/>
            <w:vAlign w:val="center"/>
          </w:tcPr>
          <w:p w14:paraId="7100885F">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34,800.00</w:t>
            </w:r>
          </w:p>
        </w:tc>
        <w:tc>
          <w:tcPr>
            <w:tcW w:w="1169" w:type="pct"/>
            <w:noWrap w:val="0"/>
            <w:vAlign w:val="center"/>
          </w:tcPr>
          <w:p w14:paraId="487A0153">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sz w:val="24"/>
                <w:szCs w:val="24"/>
                <w:highlight w:val="none"/>
                <w:u w:val="none"/>
              </w:rPr>
            </w:pPr>
            <w:r>
              <w:rPr>
                <w:rFonts w:hint="eastAsia" w:ascii="仿宋" w:hAnsi="仿宋" w:eastAsia="仿宋" w:cs="仿宋"/>
                <w:color w:val="000000"/>
                <w:sz w:val="24"/>
                <w:szCs w:val="24"/>
                <w:highlight w:val="none"/>
                <w:u w:val="none"/>
              </w:rPr>
              <w:t>696,000.00</w:t>
            </w:r>
          </w:p>
        </w:tc>
      </w:tr>
      <w:tr w14:paraId="34D64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891" w:hRule="atLeast"/>
          <w:jc w:val="center"/>
        </w:trPr>
        <w:tc>
          <w:tcPr>
            <w:tcW w:w="2137" w:type="pct"/>
            <w:gridSpan w:val="2"/>
            <w:noWrap w:val="0"/>
            <w:vAlign w:val="center"/>
          </w:tcPr>
          <w:p w14:paraId="590267B4">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color w:val="000000"/>
                <w:sz w:val="24"/>
                <w:szCs w:val="24"/>
                <w:highlight w:val="none"/>
                <w:u w:val="none"/>
              </w:rPr>
            </w:pPr>
            <w:r>
              <w:rPr>
                <w:rFonts w:hint="eastAsia" w:ascii="仿宋" w:hAnsi="仿宋" w:eastAsia="仿宋" w:cs="仿宋"/>
                <w:color w:val="000000"/>
                <w:sz w:val="24"/>
                <w:szCs w:val="24"/>
                <w:highlight w:val="none"/>
                <w:u w:val="none"/>
                <w:lang w:val="en-US" w:eastAsia="zh-CN"/>
              </w:rPr>
              <w:t>总计</w:t>
            </w:r>
          </w:p>
        </w:tc>
        <w:tc>
          <w:tcPr>
            <w:tcW w:w="403" w:type="pct"/>
            <w:noWrap w:val="0"/>
            <w:vAlign w:val="center"/>
          </w:tcPr>
          <w:p w14:paraId="7484AD6B">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color w:val="000000"/>
                <w:sz w:val="24"/>
                <w:szCs w:val="24"/>
                <w:highlight w:val="none"/>
                <w:u w:val="none"/>
                <w:lang w:val="en-US" w:eastAsia="zh-CN"/>
              </w:rPr>
            </w:pPr>
            <w:r>
              <w:rPr>
                <w:rFonts w:hint="eastAsia" w:ascii="仿宋" w:hAnsi="仿宋" w:eastAsia="仿宋" w:cs="仿宋"/>
                <w:color w:val="000000"/>
                <w:sz w:val="24"/>
                <w:szCs w:val="24"/>
                <w:highlight w:val="none"/>
                <w:u w:val="none"/>
                <w:lang w:val="en-US" w:eastAsia="zh-CN"/>
              </w:rPr>
              <w:t>42</w:t>
            </w:r>
          </w:p>
        </w:tc>
        <w:tc>
          <w:tcPr>
            <w:tcW w:w="403" w:type="pct"/>
            <w:noWrap w:val="0"/>
            <w:vAlign w:val="center"/>
          </w:tcPr>
          <w:p w14:paraId="398DCAF1">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color w:val="000000"/>
                <w:sz w:val="24"/>
                <w:szCs w:val="24"/>
                <w:highlight w:val="none"/>
                <w:u w:val="none"/>
                <w:lang w:val="en-US" w:eastAsia="zh-CN"/>
              </w:rPr>
            </w:pPr>
            <w:r>
              <w:rPr>
                <w:rFonts w:hint="eastAsia" w:ascii="仿宋" w:hAnsi="仿宋" w:eastAsia="仿宋" w:cs="仿宋"/>
                <w:color w:val="000000"/>
                <w:sz w:val="24"/>
                <w:szCs w:val="24"/>
                <w:highlight w:val="none"/>
                <w:u w:val="none"/>
                <w:lang w:val="en-US" w:eastAsia="zh-CN"/>
              </w:rPr>
              <w:t>台</w:t>
            </w:r>
          </w:p>
        </w:tc>
        <w:tc>
          <w:tcPr>
            <w:tcW w:w="2056" w:type="pct"/>
            <w:gridSpan w:val="2"/>
            <w:noWrap w:val="0"/>
            <w:vAlign w:val="center"/>
          </w:tcPr>
          <w:p w14:paraId="17DC885C">
            <w:pPr>
              <w:pageBreakBefore w:val="0"/>
              <w:topLinePunct w:val="0"/>
              <w:bidi w:val="0"/>
              <w:adjustRightInd w:val="0"/>
              <w:snapToGrid w:val="0"/>
              <w:spacing w:line="360" w:lineRule="auto"/>
              <w:ind w:left="0" w:leftChars="0" w:right="0" w:rightChars="0" w:firstLine="0" w:firstLineChars="0"/>
              <w:jc w:val="center"/>
              <w:rPr>
                <w:rFonts w:hint="eastAsia" w:ascii="仿宋" w:hAnsi="仿宋" w:eastAsia="仿宋" w:cs="仿宋"/>
                <w:color w:val="000000"/>
                <w:sz w:val="24"/>
                <w:szCs w:val="24"/>
                <w:highlight w:val="none"/>
                <w:u w:val="none"/>
                <w:lang w:val="en-US" w:eastAsia="zh-CN"/>
              </w:rPr>
            </w:pPr>
            <w:r>
              <w:rPr>
                <w:rFonts w:hint="eastAsia" w:ascii="仿宋" w:hAnsi="仿宋" w:eastAsia="仿宋" w:cs="仿宋"/>
                <w:color w:val="000000"/>
                <w:sz w:val="24"/>
                <w:szCs w:val="24"/>
                <w:highlight w:val="none"/>
                <w:u w:val="none"/>
                <w:lang w:val="en-US" w:eastAsia="zh-CN"/>
              </w:rPr>
              <w:t>1</w:t>
            </w:r>
            <w:r>
              <w:rPr>
                <w:rFonts w:hint="eastAsia" w:ascii="仿宋" w:hAnsi="仿宋" w:eastAsia="仿宋" w:cs="仿宋"/>
                <w:color w:val="000000"/>
                <w:sz w:val="24"/>
                <w:szCs w:val="24"/>
                <w:highlight w:val="none"/>
                <w:u w:val="none"/>
              </w:rPr>
              <w:t>,</w:t>
            </w:r>
            <w:r>
              <w:rPr>
                <w:rFonts w:hint="eastAsia" w:ascii="仿宋" w:hAnsi="仿宋" w:eastAsia="仿宋" w:cs="仿宋"/>
                <w:color w:val="000000"/>
                <w:sz w:val="24"/>
                <w:szCs w:val="24"/>
                <w:highlight w:val="none"/>
                <w:u w:val="none"/>
                <w:lang w:val="en-US" w:eastAsia="zh-CN"/>
              </w:rPr>
              <w:t>370</w:t>
            </w:r>
            <w:r>
              <w:rPr>
                <w:rFonts w:hint="eastAsia" w:ascii="仿宋" w:hAnsi="仿宋" w:eastAsia="仿宋" w:cs="仿宋"/>
                <w:color w:val="000000"/>
                <w:sz w:val="24"/>
                <w:szCs w:val="24"/>
                <w:highlight w:val="none"/>
                <w:u w:val="none"/>
              </w:rPr>
              <w:t>,</w:t>
            </w:r>
            <w:r>
              <w:rPr>
                <w:rFonts w:hint="eastAsia" w:ascii="仿宋" w:hAnsi="仿宋" w:eastAsia="仿宋" w:cs="仿宋"/>
                <w:color w:val="000000"/>
                <w:sz w:val="24"/>
                <w:szCs w:val="24"/>
                <w:highlight w:val="none"/>
                <w:u w:val="none"/>
                <w:lang w:val="en-US" w:eastAsia="zh-CN"/>
              </w:rPr>
              <w:t>000.00</w:t>
            </w:r>
          </w:p>
        </w:tc>
      </w:tr>
    </w:tbl>
    <w:p w14:paraId="38B5D302">
      <w:pPr>
        <w:pageBreakBefore w:val="0"/>
        <w:topLinePunct w:val="0"/>
        <w:bidi w:val="0"/>
        <w:adjustRightInd w:val="0"/>
        <w:snapToGrid w:val="0"/>
        <w:spacing w:line="360" w:lineRule="auto"/>
        <w:contextualSpacing/>
        <w:rPr>
          <w:rFonts w:hint="eastAsia" w:ascii="仿宋" w:hAnsi="仿宋" w:eastAsia="仿宋" w:cs="仿宋"/>
          <w:b w:val="0"/>
          <w:bCs/>
          <w:sz w:val="24"/>
          <w:szCs w:val="24"/>
          <w:highlight w:val="none"/>
          <w:u w:val="none"/>
        </w:rPr>
      </w:pPr>
      <w:r>
        <w:rPr>
          <w:rFonts w:hint="eastAsia" w:ascii="仿宋" w:hAnsi="仿宋" w:eastAsia="仿宋" w:cs="仿宋"/>
          <w:bCs/>
          <w:sz w:val="24"/>
          <w:szCs w:val="24"/>
          <w:highlight w:val="none"/>
          <w:u w:val="none"/>
        </w:rPr>
        <w:t>2. 项目背景/项目概述</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为满足警犬训练、教学科研和实战支援需求，现需购置可移动智能犬舍成品42台（套），包括可移动密封式单舱犬舍成品20台、可移动智能模块化集成式可伸缩型犬舱成品2台、可移动密封式双舱犬舍成品20台。</w:t>
      </w:r>
    </w:p>
    <w:p w14:paraId="7D3B99F9">
      <w:pPr>
        <w:pStyle w:val="9"/>
        <w:pageBreakBefore w:val="0"/>
        <w:numPr>
          <w:ilvl w:val="0"/>
          <w:numId w:val="0"/>
        </w:numPr>
        <w:topLinePunct w:val="0"/>
        <w:bidi w:val="0"/>
        <w:adjustRightInd w:val="0"/>
        <w:snapToGrid w:val="0"/>
        <w:spacing w:line="360" w:lineRule="auto"/>
        <w:ind w:leftChars="0"/>
        <w:contextualSpacing/>
        <w:rPr>
          <w:rFonts w:hint="eastAsia" w:ascii="仿宋" w:hAnsi="仿宋" w:eastAsia="仿宋" w:cs="仿宋"/>
          <w:b/>
          <w:sz w:val="24"/>
          <w:szCs w:val="24"/>
          <w:highlight w:val="none"/>
          <w:u w:val="none"/>
        </w:rPr>
      </w:pPr>
      <w:r>
        <w:rPr>
          <w:rFonts w:hint="eastAsia" w:ascii="仿宋" w:hAnsi="仿宋" w:eastAsia="仿宋" w:cs="仿宋"/>
          <w:b/>
          <w:sz w:val="24"/>
          <w:szCs w:val="24"/>
          <w:highlight w:val="none"/>
          <w:u w:val="none"/>
          <w:lang w:eastAsia="zh-CN"/>
        </w:rPr>
        <w:t>二、</w:t>
      </w:r>
      <w:r>
        <w:rPr>
          <w:rFonts w:hint="eastAsia" w:ascii="仿宋" w:hAnsi="仿宋" w:eastAsia="仿宋" w:cs="仿宋"/>
          <w:b/>
          <w:sz w:val="24"/>
          <w:szCs w:val="24"/>
          <w:highlight w:val="none"/>
          <w:u w:val="none"/>
        </w:rPr>
        <w:t>商务要求</w:t>
      </w:r>
    </w:p>
    <w:p w14:paraId="6C261D20">
      <w:pPr>
        <w:pStyle w:val="3"/>
        <w:pageBreakBefore w:val="0"/>
        <w:topLinePunct w:val="0"/>
        <w:bidi w:val="0"/>
        <w:adjustRightInd w:val="0"/>
        <w:snapToGrid w:val="0"/>
        <w:spacing w:before="0" w:after="0" w:line="360" w:lineRule="auto"/>
        <w:rPr>
          <w:rFonts w:hint="eastAsia" w:ascii="仿宋" w:hAnsi="仿宋" w:eastAsia="仿宋" w:cs="仿宋"/>
          <w:bCs/>
          <w:sz w:val="24"/>
          <w:szCs w:val="24"/>
          <w:highlight w:val="none"/>
          <w:u w:val="none"/>
        </w:rPr>
      </w:pPr>
      <w:r>
        <w:rPr>
          <w:rFonts w:hint="eastAsia" w:ascii="仿宋" w:hAnsi="仿宋" w:eastAsia="仿宋" w:cs="仿宋"/>
          <w:sz w:val="24"/>
          <w:szCs w:val="24"/>
          <w:highlight w:val="none"/>
          <w:u w:val="none"/>
        </w:rPr>
        <w:t>1.交付期</w:t>
      </w:r>
      <w:r>
        <w:rPr>
          <w:rFonts w:hint="eastAsia" w:ascii="仿宋" w:hAnsi="仿宋" w:eastAsia="仿宋" w:cs="仿宋"/>
          <w:sz w:val="24"/>
          <w:szCs w:val="24"/>
          <w:highlight w:val="none"/>
          <w:u w:val="none"/>
          <w:lang w:eastAsia="zh-CN"/>
        </w:rPr>
        <w:t>：</w:t>
      </w:r>
      <w:r>
        <w:rPr>
          <w:rFonts w:hint="eastAsia" w:ascii="仿宋" w:hAnsi="仿宋" w:eastAsia="仿宋" w:cs="仿宋"/>
          <w:bCs/>
          <w:sz w:val="24"/>
          <w:szCs w:val="24"/>
          <w:highlight w:val="none"/>
          <w:u w:val="none"/>
        </w:rPr>
        <w:t>合同签订之日起</w:t>
      </w:r>
      <w:r>
        <w:rPr>
          <w:rFonts w:hint="eastAsia" w:ascii="仿宋" w:hAnsi="仿宋" w:eastAsia="仿宋" w:cs="仿宋"/>
          <w:bCs/>
          <w:sz w:val="24"/>
          <w:szCs w:val="24"/>
          <w:highlight w:val="none"/>
          <w:u w:val="none"/>
          <w:lang w:val="en-US" w:eastAsia="zh-CN"/>
        </w:rPr>
        <w:t>60</w:t>
      </w:r>
      <w:r>
        <w:rPr>
          <w:rFonts w:hint="eastAsia" w:ascii="仿宋" w:hAnsi="仿宋" w:eastAsia="仿宋" w:cs="仿宋"/>
          <w:bCs/>
          <w:sz w:val="24"/>
          <w:szCs w:val="24"/>
          <w:highlight w:val="none"/>
          <w:u w:val="none"/>
        </w:rPr>
        <w:t>个日历日内完成全部货物的到货及安装调试。</w:t>
      </w:r>
    </w:p>
    <w:p w14:paraId="7D4A0D8A">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2.实施地点</w:t>
      </w:r>
      <w:r>
        <w:rPr>
          <w:rFonts w:hint="eastAsia" w:ascii="仿宋" w:hAnsi="仿宋" w:eastAsia="仿宋" w:cs="仿宋"/>
          <w:sz w:val="24"/>
          <w:szCs w:val="24"/>
          <w:highlight w:val="none"/>
          <w:u w:val="none"/>
          <w:lang w:eastAsia="zh-CN"/>
        </w:rPr>
        <w:t>：</w:t>
      </w:r>
      <w:r>
        <w:rPr>
          <w:rFonts w:hint="eastAsia" w:ascii="仿宋" w:hAnsi="仿宋" w:eastAsia="仿宋" w:cs="仿宋"/>
          <w:bCs/>
          <w:sz w:val="24"/>
          <w:szCs w:val="24"/>
          <w:highlight w:val="none"/>
          <w:u w:val="none"/>
        </w:rPr>
        <w:t>采购人指定地点。</w:t>
      </w:r>
    </w:p>
    <w:p w14:paraId="19B3BCAB">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3.验收</w:t>
      </w:r>
    </w:p>
    <w:p w14:paraId="4736E079">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3.1 验收方式：</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有权按照一次性终验方式对</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履约情况进行验收，</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应向</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提交到货清单、质量证明文件</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检测报告等</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等验收材料，并配合</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完成履约验收程序。</w:t>
      </w:r>
    </w:p>
    <w:p w14:paraId="7F6DBF4C">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3.2 验收标准：根据验收情况，双方如实填写《合同履约验收报告》，形成验收结论。</w:t>
      </w:r>
    </w:p>
    <w:p w14:paraId="235595D7">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3.3 具体要求：</w:t>
      </w:r>
    </w:p>
    <w:p w14:paraId="57FF6E47">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（1）交付时，</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应向</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提供两份到货清单，</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应按照到货清单对所供货物的质量、规格和数量等进行检验，并签字确认，双方各执一份。</w:t>
      </w:r>
    </w:p>
    <w:p w14:paraId="0E33325C">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（2）</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在到货时发现货物存在数量短缺的，</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应当及时补货；</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对货物的规格、外观等有异议，或对货物的性能进行测试后，发现货物存在质量、技术性能等方面的问题，可要求</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免费换货或直接要求退货。</w:t>
      </w:r>
    </w:p>
    <w:p w14:paraId="2253A85D">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（3）履约验收后，</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在任何时间发现货物存在假冒伪劣、以次充好或者质量不符合国家标准、合同要求等情况的，均有权要求</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更换货物或退货，并有权要求</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赔偿所有的经济损失。</w:t>
      </w:r>
    </w:p>
    <w:p w14:paraId="387B45D4">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4.付款方式</w:t>
      </w:r>
    </w:p>
    <w:p w14:paraId="651C1320">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合同签订生效后</w:t>
      </w:r>
      <w:r>
        <w:rPr>
          <w:rFonts w:hint="eastAsia" w:ascii="仿宋" w:hAnsi="仿宋" w:eastAsia="仿宋" w:cs="仿宋"/>
          <w:bCs/>
          <w:sz w:val="24"/>
          <w:szCs w:val="24"/>
          <w:highlight w:val="none"/>
          <w:u w:val="none"/>
          <w:lang w:val="en-US" w:eastAsia="zh-CN"/>
        </w:rPr>
        <w:t>15</w:t>
      </w:r>
      <w:r>
        <w:rPr>
          <w:rFonts w:hint="eastAsia" w:ascii="仿宋" w:hAnsi="仿宋" w:eastAsia="仿宋" w:cs="仿宋"/>
          <w:bCs/>
          <w:sz w:val="24"/>
          <w:szCs w:val="24"/>
          <w:highlight w:val="none"/>
          <w:u w:val="none"/>
        </w:rPr>
        <w:t>个工作日内，</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向</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支付合同总价的</w:t>
      </w:r>
      <w:r>
        <w:rPr>
          <w:rFonts w:hint="eastAsia" w:ascii="仿宋" w:hAnsi="仿宋" w:eastAsia="仿宋" w:cs="仿宋"/>
          <w:bCs/>
          <w:sz w:val="24"/>
          <w:szCs w:val="24"/>
          <w:highlight w:val="none"/>
          <w:u w:val="none"/>
          <w:lang w:val="en-US" w:eastAsia="zh-CN"/>
        </w:rPr>
        <w:t>50</w:t>
      </w:r>
      <w:r>
        <w:rPr>
          <w:rFonts w:hint="eastAsia" w:ascii="仿宋" w:hAnsi="仿宋" w:eastAsia="仿宋" w:cs="仿宋"/>
          <w:bCs/>
          <w:sz w:val="24"/>
          <w:szCs w:val="24"/>
          <w:highlight w:val="none"/>
          <w:u w:val="none"/>
        </w:rPr>
        <w:t>%预付款；</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交付货物，</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验收合格后</w:t>
      </w:r>
      <w:r>
        <w:rPr>
          <w:rFonts w:hint="eastAsia" w:ascii="仿宋" w:hAnsi="仿宋" w:eastAsia="仿宋" w:cs="仿宋"/>
          <w:bCs/>
          <w:sz w:val="24"/>
          <w:szCs w:val="24"/>
          <w:highlight w:val="none"/>
          <w:u w:val="none"/>
          <w:lang w:val="en-US" w:eastAsia="zh-CN"/>
        </w:rPr>
        <w:t>15</w:t>
      </w:r>
      <w:r>
        <w:rPr>
          <w:rFonts w:hint="eastAsia" w:ascii="仿宋" w:hAnsi="仿宋" w:eastAsia="仿宋" w:cs="仿宋"/>
          <w:bCs/>
          <w:sz w:val="24"/>
          <w:szCs w:val="24"/>
          <w:highlight w:val="none"/>
          <w:u w:val="none"/>
        </w:rPr>
        <w:t>个工作日内，</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向</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支付合同总价</w:t>
      </w:r>
      <w:r>
        <w:rPr>
          <w:rFonts w:hint="eastAsia" w:ascii="仿宋" w:hAnsi="仿宋" w:eastAsia="仿宋" w:cs="仿宋"/>
          <w:bCs/>
          <w:sz w:val="24"/>
          <w:szCs w:val="24"/>
          <w:highlight w:val="none"/>
          <w:u w:val="none"/>
          <w:lang w:val="en-US" w:eastAsia="zh-CN"/>
        </w:rPr>
        <w:t>50</w:t>
      </w:r>
      <w:r>
        <w:rPr>
          <w:rFonts w:hint="eastAsia" w:ascii="仿宋" w:hAnsi="仿宋" w:eastAsia="仿宋" w:cs="仿宋"/>
          <w:bCs/>
          <w:sz w:val="24"/>
          <w:szCs w:val="24"/>
          <w:highlight w:val="none"/>
          <w:u w:val="none"/>
        </w:rPr>
        <w:t>%。</w:t>
      </w:r>
    </w:p>
    <w:p w14:paraId="3AD02961">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5.售后服务</w:t>
      </w:r>
    </w:p>
    <w:p w14:paraId="29F6668A">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5.1质量保证期不少于2年，自</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验收合格之日开始计算。</w:t>
      </w:r>
    </w:p>
    <w:p w14:paraId="636896C1">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5.2质保期内，</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在接到</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报修电话或通知后</w:t>
      </w:r>
      <w:r>
        <w:rPr>
          <w:rFonts w:hint="eastAsia" w:ascii="仿宋" w:hAnsi="仿宋" w:eastAsia="仿宋" w:cs="仿宋"/>
          <w:bCs/>
          <w:sz w:val="24"/>
          <w:szCs w:val="24"/>
          <w:highlight w:val="none"/>
          <w:u w:val="none"/>
          <w:lang w:val="en-US" w:eastAsia="zh-CN"/>
        </w:rPr>
        <w:t>24</w:t>
      </w:r>
      <w:r>
        <w:rPr>
          <w:rFonts w:hint="eastAsia" w:ascii="仿宋" w:hAnsi="仿宋" w:eastAsia="仿宋" w:cs="仿宋"/>
          <w:bCs/>
          <w:sz w:val="24"/>
          <w:szCs w:val="24"/>
          <w:highlight w:val="none"/>
          <w:u w:val="none"/>
        </w:rPr>
        <w:t>小时内进行响应，</w:t>
      </w:r>
      <w:r>
        <w:rPr>
          <w:rFonts w:hint="eastAsia" w:ascii="仿宋" w:hAnsi="仿宋" w:eastAsia="仿宋" w:cs="仿宋"/>
          <w:bCs/>
          <w:sz w:val="24"/>
          <w:szCs w:val="24"/>
          <w:highlight w:val="none"/>
          <w:u w:val="none"/>
          <w:lang w:val="en-US" w:eastAsia="zh-CN"/>
        </w:rPr>
        <w:t>3</w:t>
      </w:r>
      <w:r>
        <w:rPr>
          <w:rFonts w:hint="eastAsia" w:ascii="仿宋" w:hAnsi="仿宋" w:eastAsia="仿宋" w:cs="仿宋"/>
          <w:bCs/>
          <w:sz w:val="24"/>
          <w:szCs w:val="24"/>
          <w:highlight w:val="none"/>
          <w:u w:val="none"/>
        </w:rPr>
        <w:t>个日历日内应维修或更换有缺陷的货物</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相关费用均包含在投标总价内</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，如不能及时完成维修或更换的，</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可采取必要的补救措施，但风险和费用将由</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承担。</w:t>
      </w:r>
    </w:p>
    <w:p w14:paraId="0BE1EBBB">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5.3质保期内，</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应提供货物配套软件的升级、改版和更新服务</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相关费用均包含在投标总价内</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w:t>
      </w:r>
    </w:p>
    <w:p w14:paraId="1524D880">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5.4</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负责为</w:t>
      </w:r>
      <w:r>
        <w:rPr>
          <w:rFonts w:hint="eastAsia" w:ascii="仿宋" w:hAnsi="仿宋" w:eastAsia="仿宋" w:cs="仿宋"/>
          <w:bCs/>
          <w:sz w:val="24"/>
          <w:szCs w:val="24"/>
          <w:highlight w:val="none"/>
          <w:u w:val="none"/>
          <w:lang w:eastAsia="zh-CN"/>
        </w:rPr>
        <w:t>采购人</w:t>
      </w:r>
      <w:r>
        <w:rPr>
          <w:rFonts w:hint="eastAsia" w:ascii="仿宋" w:hAnsi="仿宋" w:eastAsia="仿宋" w:cs="仿宋"/>
          <w:bCs/>
          <w:sz w:val="24"/>
          <w:szCs w:val="24"/>
          <w:highlight w:val="none"/>
          <w:u w:val="none"/>
        </w:rPr>
        <w:t>提供必要的培训服务及现场技术支持</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相关费用均包含在投标总价内</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w:t>
      </w:r>
    </w:p>
    <w:p w14:paraId="2C24EC27">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6.包装和运输</w:t>
      </w:r>
    </w:p>
    <w:p w14:paraId="6F01FD45">
      <w:pPr>
        <w:pageBreakBefore w:val="0"/>
        <w:topLinePunct w:val="0"/>
        <w:bidi w:val="0"/>
        <w:adjustRightInd w:val="0"/>
        <w:snapToGrid w:val="0"/>
        <w:spacing w:line="360" w:lineRule="auto"/>
        <w:ind w:firstLine="480" w:firstLineChars="200"/>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包装须满足《关于印发〈商品包装政府采购需求标准（试行）〉、〈快递包装政府采购需求标准（试行）〉的通知》（财办库〔2020〕123号）要求。运输所发生的所有费用由</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承担。</w:t>
      </w:r>
    </w:p>
    <w:p w14:paraId="158DAB5F">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7.保险</w:t>
      </w:r>
    </w:p>
    <w:p w14:paraId="0E3A387D">
      <w:pPr>
        <w:pageBreakBefore w:val="0"/>
        <w:topLinePunct w:val="0"/>
        <w:bidi w:val="0"/>
        <w:adjustRightInd w:val="0"/>
        <w:snapToGrid w:val="0"/>
        <w:spacing w:line="360" w:lineRule="auto"/>
        <w:ind w:firstLine="480" w:firstLineChars="200"/>
        <w:contextualSpacing/>
        <w:rPr>
          <w:rFonts w:hint="eastAsia" w:ascii="仿宋" w:hAnsi="仿宋" w:eastAsia="仿宋" w:cs="仿宋"/>
          <w:b/>
          <w:i/>
          <w:sz w:val="24"/>
          <w:szCs w:val="24"/>
          <w:highlight w:val="none"/>
          <w:u w:val="none"/>
        </w:rPr>
      </w:pPr>
      <w:r>
        <w:rPr>
          <w:rFonts w:hint="eastAsia" w:ascii="仿宋" w:hAnsi="仿宋" w:eastAsia="仿宋" w:cs="仿宋"/>
          <w:bCs/>
          <w:sz w:val="24"/>
          <w:szCs w:val="24"/>
          <w:highlight w:val="none"/>
          <w:u w:val="none"/>
        </w:rPr>
        <w:t>货物运输保险由</w:t>
      </w:r>
      <w:r>
        <w:rPr>
          <w:rFonts w:hint="eastAsia" w:ascii="仿宋" w:hAnsi="仿宋" w:eastAsia="仿宋" w:cs="仿宋"/>
          <w:bCs/>
          <w:sz w:val="24"/>
          <w:szCs w:val="24"/>
          <w:highlight w:val="none"/>
          <w:u w:val="none"/>
          <w:lang w:eastAsia="zh-CN"/>
        </w:rPr>
        <w:t>投标人</w:t>
      </w:r>
      <w:r>
        <w:rPr>
          <w:rFonts w:hint="eastAsia" w:ascii="仿宋" w:hAnsi="仿宋" w:eastAsia="仿宋" w:cs="仿宋"/>
          <w:bCs/>
          <w:sz w:val="24"/>
          <w:szCs w:val="24"/>
          <w:highlight w:val="none"/>
          <w:u w:val="none"/>
        </w:rPr>
        <w:t>负责办理并承担费用。</w:t>
      </w:r>
    </w:p>
    <w:p w14:paraId="327C4277">
      <w:pPr>
        <w:pStyle w:val="9"/>
        <w:pageBreakBefore w:val="0"/>
        <w:numPr>
          <w:ilvl w:val="0"/>
          <w:numId w:val="0"/>
        </w:numPr>
        <w:topLinePunct w:val="0"/>
        <w:bidi w:val="0"/>
        <w:adjustRightInd w:val="0"/>
        <w:snapToGrid w:val="0"/>
        <w:spacing w:line="360" w:lineRule="auto"/>
        <w:ind w:leftChars="0"/>
        <w:contextualSpacing/>
        <w:rPr>
          <w:rFonts w:hint="eastAsia" w:ascii="仿宋" w:hAnsi="仿宋" w:eastAsia="仿宋" w:cs="仿宋"/>
          <w:b/>
          <w:sz w:val="24"/>
          <w:szCs w:val="24"/>
          <w:highlight w:val="none"/>
          <w:u w:val="none"/>
        </w:rPr>
      </w:pPr>
      <w:r>
        <w:rPr>
          <w:rFonts w:hint="eastAsia" w:ascii="仿宋" w:hAnsi="仿宋" w:eastAsia="仿宋" w:cs="仿宋"/>
          <w:b/>
          <w:sz w:val="24"/>
          <w:szCs w:val="24"/>
          <w:highlight w:val="none"/>
          <w:u w:val="none"/>
          <w:lang w:eastAsia="zh-CN"/>
        </w:rPr>
        <w:t>三、</w:t>
      </w:r>
      <w:r>
        <w:rPr>
          <w:rFonts w:hint="eastAsia" w:ascii="仿宋" w:hAnsi="仿宋" w:eastAsia="仿宋" w:cs="仿宋"/>
          <w:b/>
          <w:sz w:val="24"/>
          <w:szCs w:val="24"/>
          <w:highlight w:val="none"/>
          <w:u w:val="none"/>
        </w:rPr>
        <w:t>技术要求</w:t>
      </w:r>
    </w:p>
    <w:p w14:paraId="0E5256BC">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（一）购置可移动密封式单舱犬舍成品（20台）</w:t>
      </w:r>
    </w:p>
    <w:p w14:paraId="3792A17F">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1</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外观尺寸适用于单犬放置，主舱体尺寸</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1800mm</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长</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w:t>
      </w:r>
      <w:r>
        <w:rPr>
          <w:rFonts w:hint="eastAsia" w:ascii="仿宋" w:hAnsi="仿宋" w:eastAsia="仿宋" w:cs="仿宋"/>
          <w:bCs/>
          <w:sz w:val="24"/>
          <w:szCs w:val="24"/>
          <w:highlight w:val="none"/>
          <w:u w:val="none"/>
        </w:rPr>
        <w:t>1450mm</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宽</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w:t>
      </w:r>
      <w:r>
        <w:rPr>
          <w:rFonts w:hint="eastAsia" w:ascii="仿宋" w:hAnsi="仿宋" w:eastAsia="仿宋" w:cs="仿宋"/>
          <w:bCs/>
          <w:sz w:val="24"/>
          <w:szCs w:val="24"/>
          <w:highlight w:val="none"/>
          <w:u w:val="none"/>
        </w:rPr>
        <w:t>2250mm</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总高</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长、宽、总高误差均≤50mm</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w:t>
      </w:r>
    </w:p>
    <w:p w14:paraId="52FCD738">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rPr>
        <w:t>2</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内部平整无突出物，内部单犬活动范围</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2m²；</w:t>
      </w:r>
    </w:p>
    <w:p w14:paraId="040009E5">
      <w:pPr>
        <w:pStyle w:val="5"/>
        <w:pageBreakBefore w:val="0"/>
        <w:topLinePunct w:val="0"/>
        <w:bidi w:val="0"/>
        <w:adjustRightInd w:val="0"/>
        <w:snapToGrid w:val="0"/>
        <w:spacing w:line="360" w:lineRule="auto"/>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3.外壳材料为</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1.5mm镀锌金属板，表面防腐喷塑处理；内部设置</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1.0mm防抓花纹铝板金属板</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外壳整体焊接密实</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不</w:t>
      </w:r>
      <w:r>
        <w:rPr>
          <w:rFonts w:hint="eastAsia" w:ascii="仿宋" w:hAnsi="仿宋" w:eastAsia="仿宋" w:cs="仿宋"/>
          <w:bCs/>
          <w:sz w:val="24"/>
          <w:szCs w:val="24"/>
          <w:highlight w:val="none"/>
          <w:u w:val="none"/>
          <w:lang w:val="en-US" w:eastAsia="zh-CN"/>
        </w:rPr>
        <w:t>得</w:t>
      </w:r>
      <w:r>
        <w:rPr>
          <w:rFonts w:hint="eastAsia" w:ascii="仿宋" w:hAnsi="仿宋" w:eastAsia="仿宋" w:cs="仿宋"/>
          <w:bCs/>
          <w:sz w:val="24"/>
          <w:szCs w:val="24"/>
          <w:highlight w:val="none"/>
          <w:u w:val="none"/>
        </w:rPr>
        <w:t>采用成品拼</w:t>
      </w:r>
      <w:r>
        <w:rPr>
          <w:rFonts w:hint="eastAsia" w:ascii="仿宋" w:hAnsi="仿宋" w:eastAsia="仿宋" w:cs="仿宋"/>
          <w:bCs/>
          <w:sz w:val="24"/>
          <w:szCs w:val="24"/>
          <w:highlight w:val="none"/>
          <w:u w:val="none"/>
          <w:lang w:val="en-US" w:eastAsia="zh-CN"/>
        </w:rPr>
        <w:t>装式结构或简易组装房结构</w:t>
      </w:r>
      <w:r>
        <w:rPr>
          <w:rFonts w:hint="eastAsia" w:ascii="仿宋" w:hAnsi="仿宋" w:eastAsia="仿宋" w:cs="仿宋"/>
          <w:bCs/>
          <w:sz w:val="24"/>
          <w:szCs w:val="24"/>
          <w:highlight w:val="none"/>
          <w:u w:val="none"/>
        </w:rPr>
        <w:t>；</w:t>
      </w:r>
    </w:p>
    <w:p w14:paraId="325761F1">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4.门板</w:t>
      </w:r>
      <w:r>
        <w:rPr>
          <w:rFonts w:hint="eastAsia" w:ascii="仿宋" w:hAnsi="仿宋" w:eastAsia="仿宋" w:cs="仿宋"/>
          <w:bCs/>
          <w:sz w:val="24"/>
          <w:szCs w:val="24"/>
          <w:highlight w:val="none"/>
          <w:u w:val="none"/>
        </w:rPr>
        <w:t>门</w:t>
      </w:r>
      <w:r>
        <w:rPr>
          <w:rFonts w:hint="eastAsia" w:ascii="仿宋" w:hAnsi="仿宋" w:eastAsia="仿宋" w:cs="仿宋"/>
          <w:bCs/>
          <w:sz w:val="24"/>
          <w:szCs w:val="24"/>
          <w:highlight w:val="none"/>
          <w:u w:val="none"/>
          <w:lang w:val="en-US" w:eastAsia="zh-CN"/>
        </w:rPr>
        <w:t>材料为镀锌金属板，表面防腐喷塑处理</w:t>
      </w:r>
      <w:r>
        <w:rPr>
          <w:rFonts w:hint="eastAsia" w:ascii="仿宋" w:hAnsi="仿宋" w:eastAsia="仿宋" w:cs="仿宋"/>
          <w:bCs/>
          <w:sz w:val="24"/>
          <w:szCs w:val="24"/>
          <w:highlight w:val="none"/>
          <w:u w:val="none"/>
        </w:rPr>
        <w:t>采用金属板</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具备</w:t>
      </w:r>
      <w:r>
        <w:rPr>
          <w:rFonts w:hint="eastAsia" w:ascii="仿宋" w:hAnsi="仿宋" w:eastAsia="仿宋" w:cs="仿宋"/>
          <w:bCs/>
          <w:sz w:val="24"/>
          <w:szCs w:val="24"/>
          <w:highlight w:val="none"/>
          <w:u w:val="none"/>
        </w:rPr>
        <w:t>防喷涂</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防腐蚀</w:t>
      </w:r>
      <w:r>
        <w:rPr>
          <w:rFonts w:hint="eastAsia" w:ascii="仿宋" w:hAnsi="仿宋" w:eastAsia="仿宋" w:cs="仿宋"/>
          <w:bCs/>
          <w:sz w:val="24"/>
          <w:szCs w:val="24"/>
          <w:highlight w:val="none"/>
          <w:u w:val="none"/>
          <w:lang w:val="en-US" w:eastAsia="zh-CN"/>
        </w:rPr>
        <w:t>功能</w:t>
      </w:r>
      <w:r>
        <w:rPr>
          <w:rFonts w:hint="eastAsia" w:ascii="仿宋" w:hAnsi="仿宋" w:eastAsia="仿宋" w:cs="仿宋"/>
          <w:bCs/>
          <w:sz w:val="24"/>
          <w:szCs w:val="24"/>
          <w:highlight w:val="none"/>
          <w:u w:val="none"/>
        </w:rPr>
        <w:t>材质，</w:t>
      </w:r>
      <w:r>
        <w:rPr>
          <w:rFonts w:hint="eastAsia" w:ascii="仿宋" w:hAnsi="仿宋" w:eastAsia="仿宋" w:cs="仿宋"/>
          <w:bCs/>
          <w:sz w:val="24"/>
          <w:szCs w:val="24"/>
          <w:highlight w:val="none"/>
          <w:u w:val="none"/>
          <w:lang w:val="en-US" w:eastAsia="zh-CN"/>
        </w:rPr>
        <w:t>尺寸</w:t>
      </w:r>
      <w:r>
        <w:rPr>
          <w:rFonts w:hint="eastAsia" w:ascii="仿宋" w:hAnsi="仿宋" w:eastAsia="仿宋" w:cs="仿宋"/>
          <w:bCs/>
          <w:sz w:val="24"/>
          <w:szCs w:val="24"/>
          <w:highlight w:val="none"/>
          <w:u w:val="none"/>
        </w:rPr>
        <w:t>可满足人员进出进行清洁工作</w:t>
      </w:r>
      <w:r>
        <w:rPr>
          <w:rFonts w:hint="eastAsia" w:ascii="仿宋" w:hAnsi="仿宋" w:eastAsia="仿宋" w:cs="仿宋"/>
          <w:bCs/>
          <w:sz w:val="24"/>
          <w:szCs w:val="24"/>
          <w:highlight w:val="none"/>
          <w:u w:val="none"/>
          <w:lang w:val="en-US" w:eastAsia="zh-CN"/>
        </w:rPr>
        <w:t>的需求</w:t>
      </w:r>
      <w:r>
        <w:rPr>
          <w:rFonts w:hint="eastAsia" w:ascii="仿宋" w:hAnsi="仿宋" w:eastAsia="仿宋" w:cs="仿宋"/>
          <w:bCs/>
          <w:sz w:val="24"/>
          <w:szCs w:val="24"/>
          <w:highlight w:val="none"/>
          <w:u w:val="none"/>
        </w:rPr>
        <w:t>；</w:t>
      </w:r>
    </w:p>
    <w:p w14:paraId="082D45EF">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5.</w:t>
      </w:r>
      <w:r>
        <w:rPr>
          <w:rFonts w:hint="eastAsia" w:ascii="仿宋" w:hAnsi="仿宋" w:eastAsia="仿宋" w:cs="仿宋"/>
          <w:bCs/>
          <w:sz w:val="24"/>
          <w:szCs w:val="24"/>
          <w:highlight w:val="none"/>
          <w:u w:val="none"/>
        </w:rPr>
        <w:t>窗采用双层中空玻璃材质</w:t>
      </w:r>
      <w:r>
        <w:rPr>
          <w:rFonts w:hint="eastAsia" w:ascii="仿宋" w:hAnsi="仿宋" w:eastAsia="仿宋" w:cs="仿宋"/>
          <w:bCs/>
          <w:sz w:val="24"/>
          <w:szCs w:val="24"/>
          <w:highlight w:val="none"/>
          <w:u w:val="none"/>
          <w:lang w:eastAsia="zh-CN"/>
        </w:rPr>
        <w:t>，门扇透光面积不得小于门扇总面积的50%</w:t>
      </w:r>
      <w:r>
        <w:rPr>
          <w:rFonts w:hint="eastAsia" w:ascii="仿宋" w:hAnsi="仿宋" w:eastAsia="仿宋" w:cs="仿宋"/>
          <w:bCs/>
          <w:sz w:val="24"/>
          <w:szCs w:val="24"/>
          <w:highlight w:val="none"/>
          <w:u w:val="none"/>
        </w:rPr>
        <w:t>；</w:t>
      </w:r>
    </w:p>
    <w:p w14:paraId="32A89837">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#6.</w:t>
      </w:r>
      <w:r>
        <w:rPr>
          <w:rFonts w:hint="eastAsia" w:ascii="仿宋" w:hAnsi="仿宋" w:eastAsia="仿宋" w:cs="仿宋"/>
          <w:bCs/>
          <w:sz w:val="24"/>
          <w:szCs w:val="24"/>
          <w:highlight w:val="none"/>
          <w:u w:val="none"/>
        </w:rPr>
        <w:t>设置隔音措施，犬只在犬舍内吠叫情况下，10米以外环境噪声</w:t>
      </w:r>
      <w:r>
        <w:rPr>
          <w:rFonts w:hint="eastAsia" w:ascii="仿宋" w:hAnsi="仿宋" w:eastAsia="仿宋" w:cs="仿宋"/>
          <w:bCs/>
          <w:sz w:val="24"/>
          <w:szCs w:val="24"/>
          <w:highlight w:val="none"/>
          <w:u w:val="none"/>
          <w:lang w:val="en-US" w:eastAsia="zh-CN"/>
        </w:rPr>
        <w:t>≤</w:t>
      </w:r>
      <w:r>
        <w:rPr>
          <w:rFonts w:hint="eastAsia" w:ascii="仿宋" w:hAnsi="仿宋" w:eastAsia="仿宋" w:cs="仿宋"/>
          <w:bCs/>
          <w:sz w:val="24"/>
          <w:szCs w:val="24"/>
          <w:highlight w:val="none"/>
          <w:u w:val="none"/>
        </w:rPr>
        <w:t>75分贝，50米以外</w:t>
      </w:r>
      <w:r>
        <w:rPr>
          <w:rFonts w:hint="eastAsia" w:ascii="仿宋" w:hAnsi="仿宋" w:eastAsia="仿宋" w:cs="仿宋"/>
          <w:bCs/>
          <w:sz w:val="24"/>
          <w:szCs w:val="24"/>
          <w:highlight w:val="none"/>
          <w:u w:val="none"/>
          <w:lang w:val="en-US" w:eastAsia="zh-CN"/>
        </w:rPr>
        <w:t>≤</w:t>
      </w:r>
      <w:r>
        <w:rPr>
          <w:rFonts w:hint="eastAsia" w:ascii="仿宋" w:hAnsi="仿宋" w:eastAsia="仿宋" w:cs="仿宋"/>
          <w:bCs/>
          <w:sz w:val="24"/>
          <w:szCs w:val="24"/>
          <w:highlight w:val="none"/>
          <w:u w:val="none"/>
        </w:rPr>
        <w:t>60分贝；</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投标人应针对此项提供承诺函并加盖公章，格式自拟</w:t>
      </w:r>
      <w:r>
        <w:rPr>
          <w:rFonts w:hint="eastAsia" w:ascii="仿宋" w:hAnsi="仿宋" w:eastAsia="仿宋" w:cs="仿宋"/>
          <w:bCs/>
          <w:sz w:val="24"/>
          <w:szCs w:val="24"/>
          <w:highlight w:val="none"/>
          <w:u w:val="none"/>
          <w:lang w:eastAsia="zh-CN"/>
        </w:rPr>
        <w:t>）</w:t>
      </w:r>
    </w:p>
    <w:p w14:paraId="16B26724">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#7.</w:t>
      </w:r>
      <w:r>
        <w:rPr>
          <w:rFonts w:hint="eastAsia" w:ascii="仿宋" w:hAnsi="仿宋" w:eastAsia="仿宋" w:cs="仿宋"/>
          <w:bCs/>
          <w:sz w:val="24"/>
          <w:szCs w:val="24"/>
          <w:highlight w:val="none"/>
          <w:u w:val="none"/>
        </w:rPr>
        <w:t>具备保暖隔热层，夏季户外温度30℃以上时，非太阳直射状态下，犬舍内温度</w:t>
      </w:r>
      <w:r>
        <w:rPr>
          <w:rFonts w:hint="eastAsia" w:ascii="仿宋" w:hAnsi="仿宋" w:eastAsia="仿宋" w:cs="仿宋"/>
          <w:bCs/>
          <w:sz w:val="24"/>
          <w:szCs w:val="24"/>
          <w:highlight w:val="none"/>
          <w:u w:val="none"/>
          <w:lang w:val="en-US" w:eastAsia="zh-CN"/>
        </w:rPr>
        <w:t>≤</w:t>
      </w:r>
      <w:r>
        <w:rPr>
          <w:rFonts w:hint="eastAsia" w:ascii="仿宋" w:hAnsi="仿宋" w:eastAsia="仿宋" w:cs="仿宋"/>
          <w:bCs/>
          <w:sz w:val="24"/>
          <w:szCs w:val="24"/>
          <w:highlight w:val="none"/>
          <w:u w:val="none"/>
        </w:rPr>
        <w:t>30℃；</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投标人应针对此项提供承诺函并加盖公章，格式自拟</w:t>
      </w:r>
      <w:r>
        <w:rPr>
          <w:rFonts w:hint="eastAsia" w:ascii="仿宋" w:hAnsi="仿宋" w:eastAsia="仿宋" w:cs="仿宋"/>
          <w:bCs/>
          <w:sz w:val="24"/>
          <w:szCs w:val="24"/>
          <w:highlight w:val="none"/>
          <w:u w:val="none"/>
          <w:lang w:eastAsia="zh-CN"/>
        </w:rPr>
        <w:t>）</w:t>
      </w:r>
    </w:p>
    <w:p w14:paraId="19706A77">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8.</w:t>
      </w:r>
      <w:r>
        <w:rPr>
          <w:rFonts w:hint="eastAsia" w:ascii="仿宋" w:hAnsi="仿宋" w:eastAsia="仿宋" w:cs="仿宋"/>
          <w:bCs/>
          <w:sz w:val="24"/>
          <w:szCs w:val="24"/>
          <w:highlight w:val="none"/>
          <w:u w:val="none"/>
        </w:rPr>
        <w:t>底部设置排泄物收集器，排污口</w:t>
      </w:r>
      <w:r>
        <w:rPr>
          <w:rFonts w:hint="eastAsia" w:ascii="仿宋" w:hAnsi="仿宋" w:eastAsia="仿宋" w:cs="仿宋"/>
          <w:bCs/>
          <w:sz w:val="24"/>
          <w:szCs w:val="24"/>
          <w:highlight w:val="none"/>
          <w:u w:val="none"/>
          <w:lang w:val="en-US" w:eastAsia="zh-CN"/>
        </w:rPr>
        <w:t>直径</w:t>
      </w:r>
      <w:r>
        <w:rPr>
          <w:rFonts w:hint="eastAsia" w:ascii="仿宋" w:hAnsi="仿宋" w:eastAsia="仿宋" w:cs="仿宋"/>
          <w:bCs/>
          <w:sz w:val="24"/>
          <w:szCs w:val="24"/>
          <w:highlight w:val="none"/>
          <w:u w:val="none"/>
        </w:rPr>
        <w:t>设计达到</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rPr>
        <w:t>100mm；</w:t>
      </w:r>
      <w:r>
        <w:rPr>
          <w:rFonts w:hint="eastAsia" w:ascii="仿宋" w:hAnsi="仿宋" w:eastAsia="仿宋" w:cs="仿宋"/>
          <w:bCs/>
          <w:sz w:val="24"/>
          <w:szCs w:val="24"/>
          <w:highlight w:val="none"/>
          <w:u w:val="none"/>
          <w:lang w:val="en-US" w:eastAsia="zh-CN"/>
        </w:rPr>
        <w:t>犬舍</w:t>
      </w:r>
      <w:r>
        <w:rPr>
          <w:rFonts w:hint="eastAsia" w:ascii="仿宋" w:hAnsi="仿宋" w:eastAsia="仿宋" w:cs="仿宋"/>
          <w:bCs/>
          <w:sz w:val="24"/>
          <w:szCs w:val="24"/>
          <w:highlight w:val="none"/>
          <w:u w:val="none"/>
        </w:rPr>
        <w:t>地面</w:t>
      </w:r>
      <w:r>
        <w:rPr>
          <w:rFonts w:hint="eastAsia" w:ascii="仿宋" w:hAnsi="仿宋" w:eastAsia="仿宋" w:cs="仿宋"/>
          <w:bCs/>
          <w:sz w:val="24"/>
          <w:szCs w:val="24"/>
          <w:highlight w:val="none"/>
          <w:u w:val="none"/>
          <w:lang w:val="en-US" w:eastAsia="zh-CN"/>
        </w:rPr>
        <w:t>具备</w:t>
      </w:r>
      <w:r>
        <w:rPr>
          <w:rFonts w:hint="eastAsia" w:ascii="仿宋" w:hAnsi="仿宋" w:eastAsia="仿宋" w:cs="仿宋"/>
          <w:bCs/>
          <w:sz w:val="24"/>
          <w:szCs w:val="24"/>
          <w:highlight w:val="none"/>
          <w:u w:val="none"/>
        </w:rPr>
        <w:t>网格状加宽</w:t>
      </w:r>
      <w:r>
        <w:rPr>
          <w:rFonts w:hint="eastAsia" w:ascii="仿宋" w:hAnsi="仿宋" w:eastAsia="仿宋" w:cs="仿宋"/>
          <w:bCs/>
          <w:sz w:val="24"/>
          <w:szCs w:val="24"/>
          <w:highlight w:val="none"/>
          <w:u w:val="none"/>
          <w:lang w:val="en-US" w:eastAsia="zh-CN"/>
        </w:rPr>
        <w:t>脚踏</w:t>
      </w:r>
      <w:r>
        <w:rPr>
          <w:rFonts w:hint="eastAsia" w:ascii="仿宋" w:hAnsi="仿宋" w:eastAsia="仿宋" w:cs="仿宋"/>
          <w:bCs/>
          <w:sz w:val="24"/>
          <w:szCs w:val="24"/>
          <w:highlight w:val="none"/>
          <w:u w:val="none"/>
        </w:rPr>
        <w:t>板；</w:t>
      </w:r>
    </w:p>
    <w:p w14:paraId="5C89749F">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9.</w:t>
      </w:r>
      <w:r>
        <w:rPr>
          <w:rFonts w:hint="eastAsia" w:ascii="仿宋" w:hAnsi="仿宋" w:eastAsia="仿宋" w:cs="仿宋"/>
          <w:bCs/>
          <w:sz w:val="24"/>
          <w:szCs w:val="24"/>
          <w:highlight w:val="none"/>
          <w:u w:val="none"/>
        </w:rPr>
        <w:t>内部设置可拆卸双喂食器皿等。</w:t>
      </w:r>
    </w:p>
    <w:p w14:paraId="1326A1DB">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（二）可移动智能模块化集成式可伸缩型犬舱成品（2台）</w:t>
      </w:r>
    </w:p>
    <w:p w14:paraId="37DD10FC">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1.外形尺寸：</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3200mm（宽）×7800mm（长）×3300mm（高）</w:t>
      </w:r>
      <w:r>
        <w:rPr>
          <w:rFonts w:hint="eastAsia" w:ascii="仿宋" w:hAnsi="仿宋" w:eastAsia="仿宋" w:cs="仿宋"/>
          <w:sz w:val="24"/>
          <w:szCs w:val="24"/>
          <w:highlight w:val="none"/>
          <w:u w:val="none"/>
          <w:lang w:eastAsia="zh-CN"/>
        </w:rPr>
        <w:t>；</w:t>
      </w:r>
    </w:p>
    <w:p w14:paraId="6D84128E">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kern w:val="2"/>
          <w:sz w:val="24"/>
          <w:szCs w:val="24"/>
          <w:highlight w:val="none"/>
          <w:u w:val="none"/>
        </w:rPr>
      </w:pPr>
      <w:r>
        <w:rPr>
          <w:rFonts w:hint="eastAsia" w:ascii="仿宋" w:hAnsi="仿宋" w:eastAsia="仿宋" w:cs="仿宋"/>
          <w:bCs/>
          <w:kern w:val="2"/>
          <w:sz w:val="24"/>
          <w:szCs w:val="24"/>
          <w:highlight w:val="none"/>
          <w:u w:val="none"/>
          <w:lang w:val="en-US" w:eastAsia="zh-CN"/>
        </w:rPr>
        <w:t>2.</w:t>
      </w:r>
      <w:r>
        <w:rPr>
          <w:rFonts w:hint="eastAsia" w:ascii="仿宋" w:hAnsi="仿宋" w:eastAsia="仿宋" w:cs="仿宋"/>
          <w:bCs/>
          <w:color w:val="auto"/>
          <w:kern w:val="2"/>
          <w:sz w:val="24"/>
          <w:szCs w:val="24"/>
          <w:highlight w:val="none"/>
          <w:u w:val="none"/>
        </w:rPr>
        <w:t>舱体表面采用</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1.5mm镀锌金属板，表面防腐喷塑处理</w:t>
      </w:r>
      <w:r>
        <w:rPr>
          <w:rFonts w:hint="eastAsia" w:ascii="仿宋" w:hAnsi="仿宋" w:eastAsia="仿宋" w:cs="仿宋"/>
          <w:bCs/>
          <w:color w:val="auto"/>
          <w:kern w:val="2"/>
          <w:sz w:val="24"/>
          <w:szCs w:val="24"/>
          <w:highlight w:val="none"/>
          <w:u w:val="none"/>
        </w:rPr>
        <w:t>，</w:t>
      </w:r>
      <w:r>
        <w:rPr>
          <w:rFonts w:hint="eastAsia" w:ascii="仿宋" w:hAnsi="仿宋" w:eastAsia="仿宋" w:cs="仿宋"/>
          <w:bCs/>
          <w:color w:val="auto"/>
          <w:kern w:val="2"/>
          <w:sz w:val="24"/>
          <w:szCs w:val="24"/>
          <w:highlight w:val="none"/>
          <w:u w:val="none"/>
          <w:lang w:val="en-US" w:eastAsia="zh-CN"/>
        </w:rPr>
        <w:t>具备</w:t>
      </w:r>
      <w:r>
        <w:rPr>
          <w:rFonts w:hint="eastAsia" w:ascii="仿宋" w:hAnsi="仿宋" w:eastAsia="仿宋" w:cs="仿宋"/>
          <w:bCs/>
          <w:color w:val="auto"/>
          <w:kern w:val="2"/>
          <w:sz w:val="24"/>
          <w:szCs w:val="24"/>
          <w:highlight w:val="none"/>
          <w:u w:val="none"/>
        </w:rPr>
        <w:t>耐腐蚀</w:t>
      </w:r>
      <w:r>
        <w:rPr>
          <w:rFonts w:hint="eastAsia" w:ascii="仿宋" w:hAnsi="仿宋" w:eastAsia="仿宋" w:cs="仿宋"/>
          <w:bCs/>
          <w:color w:val="auto"/>
          <w:kern w:val="2"/>
          <w:sz w:val="24"/>
          <w:szCs w:val="24"/>
          <w:highlight w:val="none"/>
          <w:u w:val="none"/>
          <w:lang w:eastAsia="zh-CN"/>
        </w:rPr>
        <w:t>、</w:t>
      </w:r>
      <w:r>
        <w:rPr>
          <w:rFonts w:hint="eastAsia" w:ascii="仿宋" w:hAnsi="仿宋" w:eastAsia="仿宋" w:cs="仿宋"/>
          <w:bCs/>
          <w:color w:val="auto"/>
          <w:kern w:val="2"/>
          <w:sz w:val="24"/>
          <w:szCs w:val="24"/>
          <w:highlight w:val="none"/>
          <w:u w:val="none"/>
        </w:rPr>
        <w:t>抗氧化</w:t>
      </w:r>
      <w:r>
        <w:rPr>
          <w:rFonts w:hint="eastAsia" w:ascii="仿宋" w:hAnsi="仿宋" w:eastAsia="仿宋" w:cs="仿宋"/>
          <w:bCs/>
          <w:color w:val="auto"/>
          <w:kern w:val="2"/>
          <w:sz w:val="24"/>
          <w:szCs w:val="24"/>
          <w:highlight w:val="none"/>
          <w:u w:val="none"/>
          <w:lang w:val="en-US" w:eastAsia="zh-CN"/>
        </w:rPr>
        <w:t>功能</w:t>
      </w:r>
      <w:r>
        <w:rPr>
          <w:rFonts w:hint="eastAsia" w:ascii="仿宋" w:hAnsi="仿宋" w:eastAsia="仿宋" w:cs="仿宋"/>
          <w:bCs/>
          <w:kern w:val="2"/>
          <w:sz w:val="24"/>
          <w:szCs w:val="24"/>
          <w:highlight w:val="none"/>
          <w:u w:val="none"/>
          <w:lang w:val="en-US" w:eastAsia="zh-CN"/>
        </w:rPr>
        <w:t>；</w:t>
      </w:r>
    </w:p>
    <w:p w14:paraId="5CCF503C">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kern w:val="2"/>
          <w:sz w:val="24"/>
          <w:szCs w:val="24"/>
          <w:highlight w:val="none"/>
          <w:u w:val="none"/>
          <w:lang w:eastAsia="zh-CN"/>
        </w:rPr>
      </w:pPr>
      <w:r>
        <w:rPr>
          <w:rFonts w:hint="eastAsia" w:ascii="仿宋" w:hAnsi="仿宋" w:eastAsia="仿宋" w:cs="仿宋"/>
          <w:bCs/>
          <w:kern w:val="2"/>
          <w:sz w:val="24"/>
          <w:szCs w:val="24"/>
          <w:highlight w:val="none"/>
          <w:u w:val="none"/>
          <w:lang w:val="en-US" w:eastAsia="zh-CN"/>
        </w:rPr>
        <w:t>3.</w:t>
      </w:r>
      <w:r>
        <w:rPr>
          <w:rFonts w:hint="eastAsia" w:ascii="仿宋" w:hAnsi="仿宋" w:eastAsia="仿宋" w:cs="仿宋"/>
          <w:bCs/>
          <w:kern w:val="2"/>
          <w:sz w:val="24"/>
          <w:szCs w:val="24"/>
          <w:highlight w:val="none"/>
          <w:u w:val="none"/>
        </w:rPr>
        <w:t>犬舱</w:t>
      </w:r>
      <w:r>
        <w:rPr>
          <w:rFonts w:hint="eastAsia" w:ascii="仿宋" w:hAnsi="仿宋" w:eastAsia="仿宋" w:cs="仿宋"/>
          <w:bCs/>
          <w:kern w:val="2"/>
          <w:sz w:val="24"/>
          <w:szCs w:val="24"/>
          <w:highlight w:val="none"/>
          <w:u w:val="none"/>
          <w:lang w:val="en-US" w:eastAsia="zh-CN"/>
        </w:rPr>
        <w:t>内部材质具备</w:t>
      </w:r>
      <w:r>
        <w:rPr>
          <w:rFonts w:hint="eastAsia" w:ascii="仿宋" w:hAnsi="仿宋" w:eastAsia="仿宋" w:cs="仿宋"/>
          <w:bCs/>
          <w:kern w:val="2"/>
          <w:sz w:val="24"/>
          <w:szCs w:val="24"/>
          <w:highlight w:val="none"/>
          <w:u w:val="none"/>
        </w:rPr>
        <w:t>耐磨、易清洁</w:t>
      </w:r>
      <w:r>
        <w:rPr>
          <w:rFonts w:hint="eastAsia" w:ascii="仿宋" w:hAnsi="仿宋" w:eastAsia="仿宋" w:cs="仿宋"/>
          <w:bCs/>
          <w:kern w:val="2"/>
          <w:sz w:val="24"/>
          <w:szCs w:val="24"/>
          <w:highlight w:val="none"/>
          <w:u w:val="none"/>
          <w:lang w:val="en-US" w:eastAsia="zh-CN"/>
        </w:rPr>
        <w:t>等功能</w:t>
      </w:r>
      <w:r>
        <w:rPr>
          <w:rFonts w:hint="eastAsia" w:ascii="仿宋" w:hAnsi="仿宋" w:eastAsia="仿宋" w:cs="仿宋"/>
          <w:bCs/>
          <w:kern w:val="2"/>
          <w:sz w:val="24"/>
          <w:szCs w:val="24"/>
          <w:highlight w:val="none"/>
          <w:u w:val="none"/>
          <w:lang w:eastAsia="zh-CN"/>
        </w:rPr>
        <w:t>；</w:t>
      </w:r>
    </w:p>
    <w:p w14:paraId="21F039B7">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kern w:val="2"/>
          <w:sz w:val="24"/>
          <w:szCs w:val="24"/>
          <w:highlight w:val="none"/>
          <w:u w:val="none"/>
          <w:lang w:eastAsia="zh-CN"/>
        </w:rPr>
      </w:pPr>
      <w:r>
        <w:rPr>
          <w:rFonts w:hint="eastAsia" w:ascii="仿宋" w:hAnsi="仿宋" w:eastAsia="仿宋" w:cs="仿宋"/>
          <w:bCs/>
          <w:kern w:val="2"/>
          <w:sz w:val="24"/>
          <w:szCs w:val="24"/>
          <w:highlight w:val="none"/>
          <w:u w:val="none"/>
          <w:lang w:val="en-US" w:eastAsia="zh-CN"/>
        </w:rPr>
        <w:t>4.</w:t>
      </w:r>
      <w:r>
        <w:rPr>
          <w:rFonts w:hint="eastAsia" w:ascii="仿宋" w:hAnsi="仿宋" w:eastAsia="仿宋" w:cs="仿宋"/>
          <w:bCs/>
          <w:color w:val="auto"/>
          <w:kern w:val="2"/>
          <w:sz w:val="24"/>
          <w:szCs w:val="24"/>
          <w:highlight w:val="none"/>
          <w:u w:val="none"/>
        </w:rPr>
        <w:t>舱体内部</w:t>
      </w:r>
      <w:r>
        <w:rPr>
          <w:rFonts w:hint="eastAsia" w:ascii="仿宋" w:hAnsi="仿宋" w:eastAsia="仿宋" w:cs="仿宋"/>
          <w:bCs/>
          <w:kern w:val="2"/>
          <w:sz w:val="24"/>
          <w:szCs w:val="24"/>
          <w:highlight w:val="none"/>
          <w:u w:val="none"/>
          <w:lang w:val="en-US" w:eastAsia="zh-CN"/>
        </w:rPr>
        <w:t>具备</w:t>
      </w:r>
      <w:r>
        <w:rPr>
          <w:rFonts w:hint="eastAsia" w:ascii="仿宋" w:hAnsi="仿宋" w:eastAsia="仿宋" w:cs="仿宋"/>
          <w:bCs/>
          <w:color w:val="auto"/>
          <w:kern w:val="2"/>
          <w:sz w:val="24"/>
          <w:szCs w:val="24"/>
          <w:highlight w:val="none"/>
          <w:u w:val="none"/>
        </w:rPr>
        <w:t>保温</w:t>
      </w:r>
      <w:r>
        <w:rPr>
          <w:rFonts w:hint="eastAsia" w:ascii="仿宋" w:hAnsi="仿宋" w:eastAsia="仿宋" w:cs="仿宋"/>
          <w:bCs/>
          <w:kern w:val="2"/>
          <w:sz w:val="24"/>
          <w:szCs w:val="24"/>
          <w:highlight w:val="none"/>
          <w:u w:val="none"/>
          <w:lang w:val="en-US" w:eastAsia="zh-CN"/>
        </w:rPr>
        <w:t>层</w:t>
      </w:r>
      <w:r>
        <w:rPr>
          <w:rFonts w:hint="eastAsia" w:ascii="仿宋" w:hAnsi="仿宋" w:eastAsia="仿宋" w:cs="仿宋"/>
          <w:bCs/>
          <w:color w:val="auto"/>
          <w:kern w:val="2"/>
          <w:sz w:val="24"/>
          <w:szCs w:val="24"/>
          <w:highlight w:val="none"/>
          <w:u w:val="none"/>
        </w:rPr>
        <w:t>，</w:t>
      </w:r>
      <w:r>
        <w:rPr>
          <w:rFonts w:hint="eastAsia" w:ascii="仿宋" w:hAnsi="仿宋" w:eastAsia="仿宋" w:cs="仿宋"/>
          <w:bCs/>
          <w:kern w:val="2"/>
          <w:sz w:val="24"/>
          <w:szCs w:val="24"/>
          <w:highlight w:val="none"/>
          <w:u w:val="none"/>
          <w:lang w:val="en-US" w:eastAsia="zh-CN"/>
        </w:rPr>
        <w:t>可抵御至少-</w:t>
      </w:r>
      <w:r>
        <w:rPr>
          <w:rFonts w:hint="eastAsia" w:ascii="仿宋" w:hAnsi="仿宋" w:eastAsia="仿宋" w:cs="仿宋"/>
          <w:bCs/>
          <w:color w:val="auto"/>
          <w:kern w:val="2"/>
          <w:sz w:val="24"/>
          <w:szCs w:val="24"/>
          <w:highlight w:val="none"/>
          <w:u w:val="none"/>
        </w:rPr>
        <w:t>30</w:t>
      </w:r>
      <w:r>
        <w:rPr>
          <w:rFonts w:hint="eastAsia" w:ascii="仿宋" w:hAnsi="仿宋" w:eastAsia="仿宋" w:cs="仿宋"/>
          <w:bCs/>
          <w:kern w:val="2"/>
          <w:sz w:val="24"/>
          <w:szCs w:val="24"/>
          <w:highlight w:val="none"/>
          <w:u w:val="none"/>
          <w:lang w:eastAsia="zh-CN"/>
        </w:rPr>
        <w:t>℃</w:t>
      </w:r>
      <w:r>
        <w:rPr>
          <w:rFonts w:hint="eastAsia" w:ascii="仿宋" w:hAnsi="仿宋" w:eastAsia="仿宋" w:cs="仿宋"/>
          <w:bCs/>
          <w:color w:val="auto"/>
          <w:kern w:val="2"/>
          <w:sz w:val="24"/>
          <w:szCs w:val="24"/>
          <w:highlight w:val="none"/>
          <w:u w:val="none"/>
        </w:rPr>
        <w:t>的</w:t>
      </w:r>
      <w:r>
        <w:rPr>
          <w:rFonts w:hint="eastAsia" w:ascii="仿宋" w:hAnsi="仿宋" w:eastAsia="仿宋" w:cs="仿宋"/>
          <w:bCs/>
          <w:kern w:val="2"/>
          <w:sz w:val="24"/>
          <w:szCs w:val="24"/>
          <w:highlight w:val="none"/>
          <w:u w:val="none"/>
          <w:lang w:val="en-US" w:eastAsia="zh-CN"/>
        </w:rPr>
        <w:t>低温</w:t>
      </w:r>
      <w:r>
        <w:rPr>
          <w:rFonts w:hint="eastAsia" w:ascii="仿宋" w:hAnsi="仿宋" w:eastAsia="仿宋" w:cs="仿宋"/>
          <w:bCs/>
          <w:color w:val="auto"/>
          <w:kern w:val="2"/>
          <w:sz w:val="24"/>
          <w:szCs w:val="24"/>
          <w:highlight w:val="none"/>
          <w:u w:val="none"/>
        </w:rPr>
        <w:t>环境</w:t>
      </w:r>
      <w:r>
        <w:rPr>
          <w:rFonts w:hint="eastAsia" w:ascii="仿宋" w:hAnsi="仿宋" w:eastAsia="仿宋" w:cs="仿宋"/>
          <w:bCs/>
          <w:color w:val="auto"/>
          <w:kern w:val="2"/>
          <w:sz w:val="24"/>
          <w:szCs w:val="24"/>
          <w:highlight w:val="none"/>
          <w:u w:val="none"/>
          <w:lang w:eastAsia="zh-CN"/>
        </w:rPr>
        <w:t>；</w:t>
      </w:r>
    </w:p>
    <w:p w14:paraId="33C88330">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kern w:val="2"/>
          <w:sz w:val="24"/>
          <w:szCs w:val="24"/>
          <w:highlight w:val="none"/>
          <w:u w:val="none"/>
          <w:lang w:val="en-US" w:eastAsia="zh-CN"/>
        </w:rPr>
      </w:pPr>
      <w:r>
        <w:rPr>
          <w:rFonts w:hint="eastAsia" w:ascii="仿宋" w:hAnsi="仿宋" w:eastAsia="仿宋" w:cs="仿宋"/>
          <w:bCs/>
          <w:kern w:val="2"/>
          <w:sz w:val="24"/>
          <w:szCs w:val="24"/>
          <w:highlight w:val="none"/>
          <w:u w:val="none"/>
          <w:lang w:val="en-US" w:eastAsia="zh-CN"/>
        </w:rPr>
        <w:t>5.具备犬粮储藏和加工功能，可储藏犬粮、</w:t>
      </w:r>
      <w:r>
        <w:rPr>
          <w:rFonts w:hint="eastAsia" w:ascii="仿宋" w:hAnsi="仿宋" w:eastAsia="仿宋" w:cs="仿宋"/>
          <w:bCs/>
          <w:kern w:val="2"/>
          <w:sz w:val="24"/>
          <w:szCs w:val="24"/>
          <w:highlight w:val="none"/>
          <w:u w:val="none"/>
        </w:rPr>
        <w:t>需要冷藏或冷冻的食材</w:t>
      </w:r>
      <w:r>
        <w:rPr>
          <w:rFonts w:hint="eastAsia" w:ascii="仿宋" w:hAnsi="仿宋" w:eastAsia="仿宋" w:cs="仿宋"/>
          <w:bCs/>
          <w:kern w:val="2"/>
          <w:sz w:val="24"/>
          <w:szCs w:val="24"/>
          <w:highlight w:val="none"/>
          <w:u w:val="none"/>
          <w:lang w:val="en-US" w:eastAsia="zh-CN"/>
        </w:rPr>
        <w:t>等</w:t>
      </w:r>
    </w:p>
    <w:p w14:paraId="7C7594E2">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kern w:val="2"/>
          <w:sz w:val="24"/>
          <w:szCs w:val="24"/>
          <w:highlight w:val="none"/>
          <w:u w:val="none"/>
          <w:lang w:eastAsia="zh-CN"/>
        </w:rPr>
      </w:pPr>
      <w:r>
        <w:rPr>
          <w:rFonts w:hint="eastAsia" w:ascii="仿宋" w:hAnsi="仿宋" w:eastAsia="仿宋" w:cs="仿宋"/>
          <w:bCs/>
          <w:kern w:val="2"/>
          <w:sz w:val="24"/>
          <w:szCs w:val="24"/>
          <w:highlight w:val="none"/>
          <w:u w:val="none"/>
          <w:lang w:val="en-US" w:eastAsia="zh-CN"/>
        </w:rPr>
        <w:t>可同时具备</w:t>
      </w:r>
      <w:r>
        <w:rPr>
          <w:rFonts w:hint="eastAsia" w:ascii="仿宋" w:hAnsi="仿宋" w:eastAsia="仿宋" w:cs="仿宋"/>
          <w:bCs/>
          <w:kern w:val="2"/>
          <w:sz w:val="24"/>
          <w:szCs w:val="24"/>
          <w:highlight w:val="none"/>
          <w:u w:val="none"/>
        </w:rPr>
        <w:t>轻加工</w:t>
      </w:r>
      <w:r>
        <w:rPr>
          <w:rFonts w:hint="eastAsia" w:ascii="仿宋" w:hAnsi="仿宋" w:eastAsia="仿宋" w:cs="仿宋"/>
          <w:bCs/>
          <w:kern w:val="2"/>
          <w:sz w:val="24"/>
          <w:szCs w:val="24"/>
          <w:highlight w:val="none"/>
          <w:u w:val="none"/>
          <w:lang w:eastAsia="zh-CN"/>
        </w:rPr>
        <w:t>（</w:t>
      </w:r>
      <w:r>
        <w:rPr>
          <w:rFonts w:hint="eastAsia" w:ascii="仿宋" w:hAnsi="仿宋" w:eastAsia="仿宋" w:cs="仿宋"/>
          <w:bCs/>
          <w:kern w:val="2"/>
          <w:sz w:val="24"/>
          <w:szCs w:val="24"/>
          <w:highlight w:val="none"/>
          <w:u w:val="none"/>
          <w:lang w:val="en-US" w:eastAsia="zh-CN"/>
        </w:rPr>
        <w:t>例如切配等</w:t>
      </w:r>
      <w:r>
        <w:rPr>
          <w:rFonts w:hint="eastAsia" w:ascii="仿宋" w:hAnsi="仿宋" w:eastAsia="仿宋" w:cs="仿宋"/>
          <w:bCs/>
          <w:kern w:val="2"/>
          <w:sz w:val="24"/>
          <w:szCs w:val="24"/>
          <w:highlight w:val="none"/>
          <w:u w:val="none"/>
          <w:lang w:eastAsia="zh-CN"/>
        </w:rPr>
        <w:t>）</w:t>
      </w:r>
      <w:r>
        <w:rPr>
          <w:rFonts w:hint="eastAsia" w:ascii="仿宋" w:hAnsi="仿宋" w:eastAsia="仿宋" w:cs="仿宋"/>
          <w:bCs/>
          <w:kern w:val="2"/>
          <w:sz w:val="24"/>
          <w:szCs w:val="24"/>
          <w:highlight w:val="none"/>
          <w:u w:val="none"/>
        </w:rPr>
        <w:t>的条件</w:t>
      </w:r>
      <w:r>
        <w:rPr>
          <w:rFonts w:hint="eastAsia" w:ascii="仿宋" w:hAnsi="仿宋" w:eastAsia="仿宋" w:cs="仿宋"/>
          <w:bCs/>
          <w:kern w:val="2"/>
          <w:sz w:val="24"/>
          <w:szCs w:val="24"/>
          <w:highlight w:val="none"/>
          <w:u w:val="none"/>
          <w:lang w:eastAsia="zh-CN"/>
        </w:rPr>
        <w:t>；</w:t>
      </w:r>
    </w:p>
    <w:p w14:paraId="3D8CDF58">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6.具备全自动清洁功能：配备高压水雾喷头、旋转毛刷和UV-C消毒灯等，实现自动清洁、消毒等功能；</w:t>
      </w:r>
    </w:p>
    <w:p w14:paraId="4982FF30">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7.具备除臭功能；</w:t>
      </w:r>
    </w:p>
    <w:p w14:paraId="3EC7BB52">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8.具备自动温度调节功能；</w:t>
      </w:r>
    </w:p>
    <w:p w14:paraId="66946696">
      <w:pPr>
        <w:pageBreakBefore w:val="0"/>
        <w:widowControl/>
        <w:shd w:val="clear" w:color="auto" w:fill="auto"/>
        <w:topLinePunct w:val="0"/>
        <w:bidi w:val="0"/>
        <w:adjustRightInd w:val="0"/>
        <w:snapToGrid w:val="0"/>
        <w:spacing w:line="360" w:lineRule="auto"/>
        <w:contextualSpacing/>
        <w:jc w:val="left"/>
        <w:rPr>
          <w:rFonts w:hint="eastAsia" w:ascii="仿宋" w:hAnsi="仿宋" w:eastAsia="仿宋" w:cs="仿宋"/>
          <w:bCs/>
          <w:color w:val="auto"/>
          <w:kern w:val="2"/>
          <w:sz w:val="24"/>
          <w:szCs w:val="24"/>
          <w:highlight w:val="none"/>
          <w:u w:val="none"/>
        </w:rPr>
      </w:pPr>
      <w:r>
        <w:rPr>
          <w:rFonts w:hint="eastAsia" w:ascii="仿宋" w:hAnsi="仿宋" w:eastAsia="仿宋" w:cs="仿宋"/>
          <w:bCs/>
          <w:kern w:val="2"/>
          <w:sz w:val="24"/>
          <w:szCs w:val="24"/>
          <w:highlight w:val="none"/>
          <w:u w:val="none"/>
          <w:lang w:val="en-US" w:eastAsia="zh-CN"/>
        </w:rPr>
        <w:t>9.</w:t>
      </w:r>
      <w:r>
        <w:rPr>
          <w:rFonts w:hint="eastAsia" w:ascii="仿宋" w:hAnsi="仿宋" w:eastAsia="仿宋" w:cs="仿宋"/>
          <w:bCs/>
          <w:kern w:val="2"/>
          <w:sz w:val="24"/>
          <w:szCs w:val="24"/>
          <w:highlight w:val="none"/>
          <w:u w:val="none"/>
        </w:rPr>
        <w:t>舱门</w:t>
      </w:r>
      <w:r>
        <w:rPr>
          <w:rFonts w:hint="eastAsia" w:ascii="仿宋" w:hAnsi="仿宋" w:eastAsia="仿宋" w:cs="仿宋"/>
          <w:bCs/>
          <w:kern w:val="2"/>
          <w:sz w:val="24"/>
          <w:szCs w:val="24"/>
          <w:highlight w:val="none"/>
          <w:u w:val="none"/>
          <w:lang w:val="en-US" w:eastAsia="zh-CN"/>
        </w:rPr>
        <w:t>具备手触识别开启功能</w:t>
      </w:r>
      <w:r>
        <w:rPr>
          <w:rFonts w:hint="eastAsia" w:ascii="仿宋" w:hAnsi="仿宋" w:eastAsia="仿宋" w:cs="仿宋"/>
          <w:bCs/>
          <w:kern w:val="2"/>
          <w:sz w:val="24"/>
          <w:szCs w:val="24"/>
          <w:highlight w:val="none"/>
          <w:u w:val="none"/>
          <w:lang w:eastAsia="zh-CN"/>
        </w:rPr>
        <w:t>，</w:t>
      </w:r>
      <w:r>
        <w:rPr>
          <w:rFonts w:hint="eastAsia" w:ascii="仿宋" w:hAnsi="仿宋" w:eastAsia="仿宋" w:cs="仿宋"/>
          <w:bCs/>
          <w:kern w:val="2"/>
          <w:sz w:val="24"/>
          <w:szCs w:val="24"/>
          <w:highlight w:val="none"/>
          <w:u w:val="none"/>
        </w:rPr>
        <w:t>舱门</w:t>
      </w:r>
      <w:r>
        <w:rPr>
          <w:rFonts w:hint="eastAsia" w:ascii="仿宋" w:hAnsi="仿宋" w:eastAsia="仿宋" w:cs="仿宋"/>
          <w:bCs/>
          <w:kern w:val="2"/>
          <w:sz w:val="24"/>
          <w:szCs w:val="24"/>
          <w:highlight w:val="none"/>
          <w:u w:val="none"/>
          <w:lang w:val="en-US" w:eastAsia="zh-CN"/>
        </w:rPr>
        <w:t>具备隔音、防盗功能，具备甲级防火标准</w:t>
      </w:r>
      <w:r>
        <w:rPr>
          <w:rFonts w:hint="eastAsia" w:ascii="仿宋" w:hAnsi="仿宋" w:eastAsia="仿宋" w:cs="仿宋"/>
          <w:bCs/>
          <w:kern w:val="2"/>
          <w:sz w:val="24"/>
          <w:szCs w:val="24"/>
          <w:highlight w:val="none"/>
          <w:u w:val="none"/>
          <w:lang w:eastAsia="zh-CN"/>
        </w:rPr>
        <w:t>；</w:t>
      </w:r>
    </w:p>
    <w:p w14:paraId="728C9045">
      <w:pPr>
        <w:pStyle w:val="4"/>
        <w:pageBreakBefore w:val="0"/>
        <w:topLinePunct w:val="0"/>
        <w:bidi w:val="0"/>
        <w:adjustRightInd w:val="0"/>
        <w:snapToGrid w:val="0"/>
        <w:spacing w:line="360" w:lineRule="auto"/>
        <w:ind w:firstLine="0"/>
        <w:rPr>
          <w:rFonts w:hint="eastAsia" w:ascii="仿宋" w:hAnsi="仿宋" w:eastAsia="仿宋" w:cs="仿宋"/>
          <w:sz w:val="24"/>
          <w:szCs w:val="24"/>
          <w:highlight w:val="none"/>
          <w:u w:val="none"/>
          <w:lang w:val="en-US" w:eastAsia="zh-CN"/>
        </w:rPr>
      </w:pPr>
      <w:r>
        <w:rPr>
          <w:rFonts w:hint="eastAsia" w:ascii="仿宋" w:hAnsi="仿宋" w:eastAsia="仿宋" w:cs="仿宋"/>
          <w:bCs/>
          <w:sz w:val="24"/>
          <w:szCs w:val="24"/>
          <w:highlight w:val="none"/>
          <w:u w:val="none"/>
          <w:lang w:val="en-US" w:eastAsia="zh-CN"/>
        </w:rPr>
        <w:t>10.舱内设置智能温控可调节温度、启动消毒，饲养管理智能机显示犬粮余量（低于20%告警）；安装4K红外摄像机，犬只配置AI管理设备，支持AI算法，实时分析焦躁踱步、睡眠、进食等行为；</w:t>
      </w:r>
    </w:p>
    <w:p w14:paraId="79324BEB">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11.环境系统依据舱内外温湿度及雨雪、光照数据自动调控：高温时启动顶部喷雾及侧窗负压通风降温，低温时启动地暖及空气循环加热，湿度超标时启动除湿，维持适宜犬只的舱内微气候；</w:t>
      </w:r>
    </w:p>
    <w:p w14:paraId="4F6A76CB">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12.主舱内设计模块化可抽拉犬只生活内舱，生活内舱需要可拉出主舱体</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1000mm，该设计需要能扩大犬只生活区域</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0.6倍；该生活内舱可独立开门，结构可直通舱外；</w:t>
      </w:r>
    </w:p>
    <w:p w14:paraId="6C9F5660">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（三）购置可移动密封式双舱犬舍成品（20台）</w:t>
      </w:r>
    </w:p>
    <w:p w14:paraId="46819CE9">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1.外观尺寸适用于双犬放置，主舱体尺寸≥3600mm（长）×1800mm（宽）×2400mm（总高）（宽度不包含空调外挂机等）；</w:t>
      </w:r>
    </w:p>
    <w:p w14:paraId="1312AB18">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2.内部平整无突出物，内部单犬活动范围≥3m²；</w:t>
      </w:r>
    </w:p>
    <w:p w14:paraId="1EFA075F">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3.</w:t>
      </w:r>
      <w:r>
        <w:rPr>
          <w:rFonts w:hint="eastAsia" w:ascii="仿宋" w:hAnsi="仿宋" w:eastAsia="仿宋" w:cs="仿宋"/>
          <w:bCs/>
          <w:sz w:val="24"/>
          <w:szCs w:val="24"/>
          <w:highlight w:val="none"/>
          <w:u w:val="none"/>
        </w:rPr>
        <w:t>外壳</w:t>
      </w:r>
      <w:r>
        <w:rPr>
          <w:rFonts w:hint="eastAsia" w:ascii="仿宋" w:hAnsi="仿宋" w:eastAsia="仿宋" w:cs="仿宋"/>
          <w:bCs/>
          <w:sz w:val="24"/>
          <w:szCs w:val="24"/>
          <w:highlight w:val="none"/>
          <w:u w:val="none"/>
          <w:lang w:val="en-US" w:eastAsia="zh-CN"/>
        </w:rPr>
        <w:t>材料为</w:t>
      </w:r>
      <w:r>
        <w:rPr>
          <w:rFonts w:hint="eastAsia" w:ascii="仿宋" w:hAnsi="仿宋" w:eastAsia="仿宋" w:cs="仿宋"/>
          <w:bCs/>
          <w:sz w:val="24"/>
          <w:szCs w:val="24"/>
          <w:highlight w:val="none"/>
          <w:u w:val="none"/>
        </w:rPr>
        <w:t>金属板</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具备防腐功能，</w:t>
      </w:r>
      <w:r>
        <w:rPr>
          <w:rFonts w:hint="eastAsia" w:ascii="仿宋" w:hAnsi="仿宋" w:eastAsia="仿宋" w:cs="仿宋"/>
          <w:bCs/>
          <w:sz w:val="24"/>
          <w:szCs w:val="24"/>
          <w:highlight w:val="none"/>
          <w:u w:val="none"/>
        </w:rPr>
        <w:t>内部设置防抓金属铝制板</w:t>
      </w:r>
      <w:r>
        <w:rPr>
          <w:rFonts w:hint="eastAsia" w:ascii="仿宋" w:hAnsi="仿宋" w:eastAsia="仿宋" w:cs="仿宋"/>
          <w:bCs/>
          <w:sz w:val="24"/>
          <w:szCs w:val="24"/>
          <w:highlight w:val="none"/>
          <w:u w:val="none"/>
          <w:lang w:val="en-US" w:eastAsia="zh-CN"/>
        </w:rPr>
        <w:t>；</w:t>
      </w:r>
    </w:p>
    <w:p w14:paraId="5CAF1EA9">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rPr>
      </w:pPr>
      <w:r>
        <w:rPr>
          <w:rFonts w:hint="eastAsia" w:ascii="仿宋" w:hAnsi="仿宋" w:eastAsia="仿宋" w:cs="仿宋"/>
          <w:bCs/>
          <w:sz w:val="24"/>
          <w:szCs w:val="24"/>
          <w:highlight w:val="none"/>
          <w:u w:val="none"/>
          <w:lang w:val="en-US" w:eastAsia="zh-CN"/>
        </w:rPr>
        <w:t>4.门板材料为</w:t>
      </w:r>
      <w:r>
        <w:rPr>
          <w:rFonts w:hint="eastAsia" w:ascii="仿宋" w:hAnsi="仿宋" w:eastAsia="仿宋" w:cs="仿宋"/>
          <w:bCs/>
          <w:sz w:val="24"/>
          <w:szCs w:val="24"/>
          <w:highlight w:val="none"/>
          <w:u w:val="none"/>
        </w:rPr>
        <w:t>金属板</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具备</w:t>
      </w:r>
      <w:r>
        <w:rPr>
          <w:rFonts w:hint="eastAsia" w:ascii="仿宋" w:hAnsi="仿宋" w:eastAsia="仿宋" w:cs="仿宋"/>
          <w:bCs/>
          <w:sz w:val="24"/>
          <w:szCs w:val="24"/>
          <w:highlight w:val="none"/>
          <w:u w:val="none"/>
        </w:rPr>
        <w:t>防腐蚀</w:t>
      </w:r>
      <w:r>
        <w:rPr>
          <w:rFonts w:hint="eastAsia" w:ascii="仿宋" w:hAnsi="仿宋" w:eastAsia="仿宋" w:cs="仿宋"/>
          <w:bCs/>
          <w:sz w:val="24"/>
          <w:szCs w:val="24"/>
          <w:highlight w:val="none"/>
          <w:u w:val="none"/>
          <w:lang w:val="en-US" w:eastAsia="zh-CN"/>
        </w:rPr>
        <w:t>功能</w:t>
      </w:r>
      <w:r>
        <w:rPr>
          <w:rFonts w:hint="eastAsia" w:ascii="仿宋" w:hAnsi="仿宋" w:eastAsia="仿宋" w:cs="仿宋"/>
          <w:bCs/>
          <w:sz w:val="24"/>
          <w:szCs w:val="24"/>
          <w:highlight w:val="none"/>
          <w:u w:val="none"/>
        </w:rPr>
        <w:t>，</w:t>
      </w:r>
      <w:r>
        <w:rPr>
          <w:rFonts w:hint="eastAsia" w:ascii="仿宋" w:hAnsi="仿宋" w:eastAsia="仿宋" w:cs="仿宋"/>
          <w:bCs/>
          <w:sz w:val="24"/>
          <w:szCs w:val="24"/>
          <w:highlight w:val="none"/>
          <w:u w:val="none"/>
          <w:lang w:val="en-US" w:eastAsia="zh-CN"/>
        </w:rPr>
        <w:t>尺寸</w:t>
      </w:r>
      <w:r>
        <w:rPr>
          <w:rFonts w:hint="eastAsia" w:ascii="仿宋" w:hAnsi="仿宋" w:eastAsia="仿宋" w:cs="仿宋"/>
          <w:bCs/>
          <w:sz w:val="24"/>
          <w:szCs w:val="24"/>
          <w:highlight w:val="none"/>
          <w:u w:val="none"/>
        </w:rPr>
        <w:t>满足人员进出进行清洁工作</w:t>
      </w:r>
      <w:r>
        <w:rPr>
          <w:rFonts w:hint="eastAsia" w:ascii="仿宋" w:hAnsi="仿宋" w:eastAsia="仿宋" w:cs="仿宋"/>
          <w:bCs/>
          <w:sz w:val="24"/>
          <w:szCs w:val="24"/>
          <w:highlight w:val="none"/>
          <w:u w:val="none"/>
          <w:lang w:val="en-US" w:eastAsia="zh-CN"/>
        </w:rPr>
        <w:t>的需求</w:t>
      </w:r>
      <w:r>
        <w:rPr>
          <w:rFonts w:hint="eastAsia" w:ascii="仿宋" w:hAnsi="仿宋" w:eastAsia="仿宋" w:cs="仿宋"/>
          <w:bCs/>
          <w:sz w:val="24"/>
          <w:szCs w:val="24"/>
          <w:highlight w:val="none"/>
          <w:u w:val="none"/>
        </w:rPr>
        <w:t>；</w:t>
      </w:r>
    </w:p>
    <w:p w14:paraId="5AE8A6DE">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5.窗采用双层中空玻璃材质，中控透光窗面积不低于舱体总表面积的15%；</w:t>
      </w:r>
    </w:p>
    <w:p w14:paraId="6F775CC6">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#6.设置隔音措施，犬只在犬舍内吠叫情况下，10米以外环境噪声≤75分贝，50米以外≤60分贝；</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投标人应针对此项提供承诺函并加盖公章，格式自拟</w:t>
      </w:r>
      <w:r>
        <w:rPr>
          <w:rFonts w:hint="eastAsia" w:ascii="仿宋" w:hAnsi="仿宋" w:eastAsia="仿宋" w:cs="仿宋"/>
          <w:bCs/>
          <w:sz w:val="24"/>
          <w:szCs w:val="24"/>
          <w:highlight w:val="none"/>
          <w:u w:val="none"/>
          <w:lang w:eastAsia="zh-CN"/>
        </w:rPr>
        <w:t>）</w:t>
      </w:r>
    </w:p>
    <w:p w14:paraId="1E4E2169">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#7.需具备保暖隔热层，夏季户外温度30℃以上时，非太阳直射状态下，犬舍内温度≤30℃；</w:t>
      </w:r>
      <w:r>
        <w:rPr>
          <w:rFonts w:hint="eastAsia" w:ascii="仿宋" w:hAnsi="仿宋" w:eastAsia="仿宋" w:cs="仿宋"/>
          <w:bCs/>
          <w:sz w:val="24"/>
          <w:szCs w:val="24"/>
          <w:highlight w:val="none"/>
          <w:u w:val="none"/>
          <w:lang w:eastAsia="zh-CN"/>
        </w:rPr>
        <w:t>（</w:t>
      </w:r>
      <w:r>
        <w:rPr>
          <w:rFonts w:hint="eastAsia" w:ascii="仿宋" w:hAnsi="仿宋" w:eastAsia="仿宋" w:cs="仿宋"/>
          <w:bCs/>
          <w:sz w:val="24"/>
          <w:szCs w:val="24"/>
          <w:highlight w:val="none"/>
          <w:u w:val="none"/>
          <w:lang w:val="en-US" w:eastAsia="zh-CN"/>
        </w:rPr>
        <w:t>投标人应针对此项提供承诺函并加盖公章，格式自拟</w:t>
      </w:r>
      <w:r>
        <w:rPr>
          <w:rFonts w:hint="eastAsia" w:ascii="仿宋" w:hAnsi="仿宋" w:eastAsia="仿宋" w:cs="仿宋"/>
          <w:bCs/>
          <w:sz w:val="24"/>
          <w:szCs w:val="24"/>
          <w:highlight w:val="none"/>
          <w:u w:val="none"/>
          <w:lang w:eastAsia="zh-CN"/>
        </w:rPr>
        <w:t>）</w:t>
      </w:r>
    </w:p>
    <w:p w14:paraId="1D941C23">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8.底部设置排泄物收集器，排污口设计达到≥100mm；犬舍地面具备网格状加宽脚踏板；</w:t>
      </w:r>
    </w:p>
    <w:p w14:paraId="777FD4B6">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9.内部设置可拆卸双喂食器皿等。</w:t>
      </w:r>
    </w:p>
    <w:p w14:paraId="2627E348">
      <w:pPr>
        <w:pStyle w:val="3"/>
        <w:pageBreakBefore w:val="0"/>
        <w:topLinePunct w:val="0"/>
        <w:bidi w:val="0"/>
        <w:adjustRightInd w:val="0"/>
        <w:snapToGrid w:val="0"/>
        <w:spacing w:before="0" w:after="0" w:line="360" w:lineRule="auto"/>
        <w:rPr>
          <w:rFonts w:hint="eastAsia" w:ascii="仿宋" w:hAnsi="仿宋" w:eastAsia="仿宋" w:cs="仿宋"/>
          <w:sz w:val="24"/>
          <w:szCs w:val="24"/>
          <w:highlight w:val="none"/>
          <w:u w:val="none"/>
        </w:rPr>
      </w:pPr>
      <w:r>
        <w:rPr>
          <w:rFonts w:hint="eastAsia" w:ascii="仿宋" w:hAnsi="仿宋" w:eastAsia="仿宋" w:cs="仿宋"/>
          <w:sz w:val="24"/>
          <w:szCs w:val="24"/>
          <w:highlight w:val="none"/>
          <w:u w:val="none"/>
        </w:rPr>
        <w:t>（四）其他要求</w:t>
      </w:r>
    </w:p>
    <w:p w14:paraId="1A023928">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1.投标人所投产品应为全新、未使用过的原厂合格正品。</w:t>
      </w:r>
    </w:p>
    <w:p w14:paraId="52444663">
      <w:pPr>
        <w:pageBreakBefore w:val="0"/>
        <w:topLinePunct w:val="0"/>
        <w:bidi w:val="0"/>
        <w:adjustRightInd w:val="0"/>
        <w:snapToGrid w:val="0"/>
        <w:spacing w:line="360" w:lineRule="auto"/>
        <w:contextualSpacing/>
        <w:rPr>
          <w:rFonts w:hint="eastAsia" w:ascii="仿宋" w:hAnsi="仿宋" w:eastAsia="仿宋" w:cs="仿宋"/>
          <w:bCs/>
          <w:sz w:val="24"/>
          <w:szCs w:val="24"/>
          <w:highlight w:val="none"/>
          <w:u w:val="none"/>
          <w:lang w:val="en-US" w:eastAsia="zh-CN"/>
        </w:rPr>
      </w:pPr>
      <w:r>
        <w:rPr>
          <w:rFonts w:hint="eastAsia" w:ascii="仿宋" w:hAnsi="仿宋" w:eastAsia="仿宋" w:cs="仿宋"/>
          <w:bCs/>
          <w:sz w:val="24"/>
          <w:szCs w:val="24"/>
          <w:highlight w:val="none"/>
          <w:u w:val="none"/>
          <w:lang w:val="en-US" w:eastAsia="zh-CN"/>
        </w:rPr>
        <w:t>2.投标人应提供产品的中文使用说明书、操作手册等技术资料。</w:t>
      </w:r>
    </w:p>
    <w:p w14:paraId="1423D88F">
      <w:pPr>
        <w:pStyle w:val="9"/>
        <w:pageBreakBefore w:val="0"/>
        <w:numPr>
          <w:ilvl w:val="0"/>
          <w:numId w:val="0"/>
        </w:numPr>
        <w:topLinePunct w:val="0"/>
        <w:bidi w:val="0"/>
        <w:adjustRightInd w:val="0"/>
        <w:snapToGrid w:val="0"/>
        <w:spacing w:line="360" w:lineRule="auto"/>
        <w:ind w:leftChars="0"/>
        <w:contextualSpacing/>
        <w:rPr>
          <w:rFonts w:hint="eastAsia" w:ascii="仿宋" w:hAnsi="仿宋" w:eastAsia="仿宋" w:cs="仿宋"/>
          <w:b/>
          <w:sz w:val="24"/>
          <w:szCs w:val="24"/>
          <w:highlight w:val="none"/>
          <w:u w:val="none"/>
          <w:lang w:val="en-US" w:eastAsia="zh-CN"/>
        </w:rPr>
      </w:pPr>
      <w:r>
        <w:rPr>
          <w:rFonts w:hint="eastAsia" w:ascii="仿宋" w:hAnsi="仿宋" w:eastAsia="仿宋" w:cs="仿宋"/>
          <w:b/>
          <w:sz w:val="24"/>
          <w:szCs w:val="24"/>
          <w:highlight w:val="none"/>
          <w:u w:val="none"/>
          <w:lang w:val="en-US" w:eastAsia="zh-CN"/>
        </w:rPr>
        <w:t>四、投标人应在投标阶段，结合项目采购需求，提供供货方案、安装调试方案、质量保证方案、售后服务方案、培训及现场技术支持方案等内容。</w:t>
      </w:r>
    </w:p>
    <w:p w14:paraId="5B929E49">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F676C"/>
    <w:rsid w:val="6A7F6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99"/>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footnote text"/>
    <w:basedOn w:val="1"/>
    <w:qFormat/>
    <w:uiPriority w:val="99"/>
    <w:pPr>
      <w:snapToGrid w:val="0"/>
      <w:jc w:val="left"/>
    </w:pPr>
    <w:rPr>
      <w:sz w:val="18"/>
      <w:szCs w:val="18"/>
    </w:r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annotation text"/>
    <w:basedOn w:val="1"/>
    <w:qFormat/>
    <w:uiPriority w:val="99"/>
    <w:pPr>
      <w:jc w:val="left"/>
    </w:pPr>
  </w:style>
  <w:style w:type="paragraph" w:customStyle="1" w:styleId="8">
    <w:name w:val="pf0"/>
    <w:basedOn w:val="1"/>
    <w:qFormat/>
    <w:uiPriority w:val="0"/>
    <w:pPr>
      <w:widowControl/>
      <w:spacing w:before="100" w:beforeAutospacing="1" w:after="100" w:afterAutospacing="1"/>
      <w:jc w:val="left"/>
    </w:pPr>
    <w:rPr>
      <w:rFonts w:ascii="宋体" w:hAnsi="宋体" w:cs="宋体"/>
      <w:kern w:val="0"/>
      <w:sz w:val="24"/>
    </w:rPr>
  </w:style>
  <w:style w:type="paragraph" w:styleId="9">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2026-09-07T06:54:00Z</dcterms:created>
  <dc:creator>亚希Edison</dc:creator>
  <cp:lastModifiedBy>亚希Edison</cp:lastModifiedBy>
  <dcterms:modified xsi:type="dcterms:W3CDTF">2026-09-07T06:54:51Z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E95897A325C1499AAF4BD9C6B9082540_11</vt:lpwstr>
  </property>
  <property fmtid="{D5CDD505-2E9C-101B-9397-08002B2CF9AE}" pid="4" name="KSOTemplateDocerSaveRecord">
    <vt:lpwstr>eyJoZGlkIjoiNzE2ZTFiZjViMjM5MzhkMmRiY2ZhZGYwMTI5YzgxOGEiLCJ1c2VySWQiOiIyNjk3ODg1OTAifQ==</vt:lpwstr>
  </property>
</Properties>
</file>