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06137">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74FE3A84">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5817DB5B">
      <w:pPr>
        <w:snapToGrid w:val="0"/>
        <w:spacing w:line="360" w:lineRule="auto"/>
        <w:contextualSpacing/>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26471724">
      <w:pPr>
        <w:snapToGrid w:val="0"/>
        <w:spacing w:line="360" w:lineRule="auto"/>
        <w:contextualSpacing/>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104F74D5">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5341BE0F">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1C252583">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581CC0D2">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621E14E6">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3714A8E0">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2E9F73BD">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3627F5BF">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360B834B">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72B8A517">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30A2632F">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60C3D76A">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542BF970">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360D2829">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31CA8B0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852"/>
        <w:gridCol w:w="3296"/>
        <w:gridCol w:w="818"/>
        <w:gridCol w:w="818"/>
        <w:gridCol w:w="2078"/>
      </w:tblGrid>
      <w:tr w14:paraId="1F9E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vAlign w:val="center"/>
          </w:tcPr>
          <w:p w14:paraId="42438499">
            <w:pPr>
              <w:widowControl/>
              <w:jc w:val="center"/>
              <w:rPr>
                <w:rFonts w:ascii="仿宋" w:hAnsi="仿宋" w:eastAsia="仿宋" w:cs="宋体"/>
                <w:kern w:val="0"/>
                <w:sz w:val="24"/>
              </w:rPr>
            </w:pPr>
            <w:r>
              <w:rPr>
                <w:rFonts w:hint="eastAsia" w:ascii="仿宋" w:hAnsi="仿宋" w:eastAsia="仿宋" w:cs="宋体"/>
                <w:kern w:val="0"/>
                <w:sz w:val="24"/>
              </w:rPr>
              <w:t>包号</w:t>
            </w:r>
          </w:p>
        </w:tc>
        <w:tc>
          <w:tcPr>
            <w:tcW w:w="502" w:type="pct"/>
            <w:vAlign w:val="center"/>
          </w:tcPr>
          <w:p w14:paraId="3342B641">
            <w:pPr>
              <w:widowControl/>
              <w:jc w:val="center"/>
              <w:rPr>
                <w:rFonts w:ascii="仿宋" w:hAnsi="仿宋" w:eastAsia="仿宋" w:cs="宋体"/>
                <w:kern w:val="0"/>
                <w:sz w:val="24"/>
              </w:rPr>
            </w:pPr>
            <w:r>
              <w:rPr>
                <w:rFonts w:hint="eastAsia" w:ascii="仿宋" w:hAnsi="仿宋" w:eastAsia="仿宋" w:cs="宋体"/>
                <w:kern w:val="0"/>
                <w:sz w:val="24"/>
              </w:rPr>
              <w:t>品目号</w:t>
            </w:r>
          </w:p>
        </w:tc>
        <w:tc>
          <w:tcPr>
            <w:tcW w:w="1941" w:type="pct"/>
            <w:vAlign w:val="center"/>
          </w:tcPr>
          <w:p w14:paraId="215698D5">
            <w:pPr>
              <w:widowControl/>
              <w:jc w:val="center"/>
              <w:rPr>
                <w:rFonts w:ascii="仿宋" w:hAnsi="仿宋" w:eastAsia="仿宋" w:cs="宋体"/>
                <w:kern w:val="0"/>
                <w:sz w:val="24"/>
              </w:rPr>
            </w:pPr>
            <w:r>
              <w:rPr>
                <w:rFonts w:hint="eastAsia" w:ascii="仿宋" w:hAnsi="仿宋" w:eastAsia="仿宋" w:cs="宋体"/>
                <w:kern w:val="0"/>
                <w:sz w:val="24"/>
              </w:rPr>
              <w:t>标的名称</w:t>
            </w:r>
          </w:p>
        </w:tc>
        <w:tc>
          <w:tcPr>
            <w:tcW w:w="482" w:type="pct"/>
            <w:vAlign w:val="center"/>
          </w:tcPr>
          <w:p w14:paraId="1231E638">
            <w:pPr>
              <w:snapToGrid w:val="0"/>
              <w:jc w:val="center"/>
              <w:rPr>
                <w:rFonts w:ascii="仿宋" w:hAnsi="仿宋" w:eastAsia="仿宋" w:cs="仿宋"/>
                <w:bCs/>
                <w:sz w:val="24"/>
              </w:rPr>
            </w:pPr>
            <w:r>
              <w:rPr>
                <w:rFonts w:hint="eastAsia" w:ascii="仿宋" w:hAnsi="仿宋" w:eastAsia="仿宋" w:cs="仿宋"/>
                <w:bCs/>
                <w:sz w:val="24"/>
              </w:rPr>
              <w:t>数量</w:t>
            </w:r>
          </w:p>
        </w:tc>
        <w:tc>
          <w:tcPr>
            <w:tcW w:w="482" w:type="pct"/>
            <w:vAlign w:val="center"/>
          </w:tcPr>
          <w:p w14:paraId="1F59A6B9">
            <w:pPr>
              <w:snapToGrid w:val="0"/>
              <w:jc w:val="center"/>
              <w:rPr>
                <w:rFonts w:ascii="仿宋" w:hAnsi="仿宋" w:eastAsia="仿宋" w:cs="仿宋"/>
                <w:bCs/>
                <w:sz w:val="24"/>
              </w:rPr>
            </w:pPr>
            <w:r>
              <w:rPr>
                <w:rFonts w:hint="eastAsia" w:ascii="仿宋" w:hAnsi="仿宋" w:eastAsia="仿宋" w:cs="仿宋"/>
                <w:bCs/>
                <w:sz w:val="24"/>
              </w:rPr>
              <w:t>单位</w:t>
            </w:r>
          </w:p>
        </w:tc>
        <w:tc>
          <w:tcPr>
            <w:tcW w:w="1223" w:type="pct"/>
            <w:vAlign w:val="center"/>
          </w:tcPr>
          <w:p w14:paraId="4D5DB969">
            <w:pPr>
              <w:widowControl/>
              <w:jc w:val="center"/>
              <w:rPr>
                <w:rFonts w:ascii="仿宋" w:hAnsi="仿宋" w:eastAsia="仿宋" w:cs="宋体"/>
                <w:kern w:val="0"/>
                <w:sz w:val="24"/>
              </w:rPr>
            </w:pPr>
            <w:r>
              <w:rPr>
                <w:rFonts w:hint="eastAsia" w:ascii="仿宋" w:hAnsi="仿宋" w:eastAsia="仿宋" w:cs="宋体"/>
                <w:kern w:val="0"/>
                <w:sz w:val="24"/>
              </w:rPr>
              <w:t>是否接受进口产品</w:t>
            </w:r>
          </w:p>
        </w:tc>
      </w:tr>
      <w:tr w14:paraId="2BC5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noWrap/>
            <w:vAlign w:val="center"/>
          </w:tcPr>
          <w:p w14:paraId="28234B23">
            <w:pPr>
              <w:snapToGrid w:val="0"/>
              <w:jc w:val="center"/>
              <w:rPr>
                <w:rFonts w:ascii="仿宋" w:hAnsi="仿宋" w:eastAsia="仿宋" w:cs="仿宋"/>
                <w:bCs/>
                <w:sz w:val="24"/>
              </w:rPr>
            </w:pPr>
            <w:r>
              <w:rPr>
                <w:rFonts w:hint="eastAsia" w:ascii="仿宋" w:hAnsi="仿宋" w:eastAsia="仿宋" w:cs="仿宋"/>
                <w:bCs/>
                <w:sz w:val="24"/>
              </w:rPr>
              <w:t>1</w:t>
            </w:r>
          </w:p>
        </w:tc>
        <w:tc>
          <w:tcPr>
            <w:tcW w:w="502" w:type="pct"/>
            <w:noWrap/>
            <w:vAlign w:val="center"/>
          </w:tcPr>
          <w:p w14:paraId="6D064592">
            <w:pPr>
              <w:snapToGrid w:val="0"/>
              <w:jc w:val="center"/>
              <w:rPr>
                <w:rFonts w:ascii="仿宋" w:hAnsi="仿宋" w:eastAsia="仿宋" w:cs="仿宋"/>
                <w:kern w:val="0"/>
                <w:sz w:val="24"/>
                <w:lang w:bidi="ar"/>
              </w:rPr>
            </w:pPr>
            <w:r>
              <w:rPr>
                <w:rFonts w:hint="eastAsia" w:ascii="仿宋" w:hAnsi="仿宋" w:eastAsia="仿宋" w:cs="仿宋"/>
                <w:kern w:val="0"/>
                <w:sz w:val="24"/>
                <w:lang w:bidi="ar"/>
              </w:rPr>
              <w:t>1-1</w:t>
            </w:r>
          </w:p>
        </w:tc>
        <w:tc>
          <w:tcPr>
            <w:tcW w:w="1941" w:type="pct"/>
            <w:vAlign w:val="center"/>
          </w:tcPr>
          <w:p w14:paraId="24A7D34C">
            <w:pPr>
              <w:snapToGrid w:val="0"/>
              <w:jc w:val="center"/>
              <w:rPr>
                <w:rFonts w:ascii="仿宋" w:hAnsi="仿宋" w:eastAsia="仿宋" w:cs="仿宋"/>
                <w:kern w:val="0"/>
                <w:sz w:val="24"/>
                <w:lang w:bidi="ar"/>
              </w:rPr>
            </w:pPr>
            <w:r>
              <w:rPr>
                <w:rFonts w:hint="eastAsia" w:ascii="仿宋" w:hAnsi="仿宋" w:eastAsia="仿宋" w:cs="仿宋"/>
                <w:kern w:val="0"/>
                <w:sz w:val="24"/>
                <w:lang w:bidi="ar"/>
              </w:rPr>
              <w:t>手术吊塔</w:t>
            </w:r>
          </w:p>
        </w:tc>
        <w:tc>
          <w:tcPr>
            <w:tcW w:w="482" w:type="pct"/>
            <w:vAlign w:val="center"/>
          </w:tcPr>
          <w:p w14:paraId="5561DBC1">
            <w:pPr>
              <w:snapToGrid w:val="0"/>
              <w:jc w:val="center"/>
              <w:rPr>
                <w:rFonts w:ascii="仿宋" w:hAnsi="仿宋" w:eastAsia="仿宋" w:cs="仿宋"/>
                <w:kern w:val="0"/>
                <w:sz w:val="24"/>
                <w:lang w:bidi="ar"/>
              </w:rPr>
            </w:pPr>
            <w:r>
              <w:rPr>
                <w:rFonts w:hint="eastAsia" w:ascii="仿宋" w:hAnsi="仿宋" w:eastAsia="仿宋" w:cs="仿宋"/>
                <w:kern w:val="0"/>
                <w:sz w:val="24"/>
                <w:lang w:bidi="ar"/>
              </w:rPr>
              <w:t>10</w:t>
            </w:r>
          </w:p>
        </w:tc>
        <w:tc>
          <w:tcPr>
            <w:tcW w:w="482" w:type="pct"/>
            <w:noWrap/>
            <w:vAlign w:val="center"/>
          </w:tcPr>
          <w:p w14:paraId="26387074">
            <w:pPr>
              <w:snapToGrid w:val="0"/>
              <w:jc w:val="center"/>
              <w:rPr>
                <w:rFonts w:ascii="仿宋" w:hAnsi="仿宋" w:eastAsia="仿宋" w:cs="仿宋"/>
                <w:kern w:val="0"/>
                <w:sz w:val="24"/>
                <w:lang w:bidi="ar"/>
              </w:rPr>
            </w:pPr>
            <w:r>
              <w:rPr>
                <w:rFonts w:hint="eastAsia" w:ascii="仿宋" w:hAnsi="仿宋" w:eastAsia="仿宋" w:cs="仿宋"/>
                <w:kern w:val="0"/>
                <w:sz w:val="24"/>
                <w:lang w:bidi="ar"/>
              </w:rPr>
              <w:t>套</w:t>
            </w:r>
          </w:p>
        </w:tc>
        <w:tc>
          <w:tcPr>
            <w:tcW w:w="1223" w:type="pct"/>
            <w:vAlign w:val="center"/>
          </w:tcPr>
          <w:p w14:paraId="5E3ED6D9">
            <w:pPr>
              <w:widowControl/>
              <w:jc w:val="center"/>
              <w:rPr>
                <w:rFonts w:ascii="仿宋" w:hAnsi="仿宋" w:eastAsia="仿宋" w:cs="宋体"/>
                <w:kern w:val="0"/>
                <w:sz w:val="24"/>
              </w:rPr>
            </w:pPr>
            <w:r>
              <w:rPr>
                <w:rFonts w:ascii="仿宋" w:hAnsi="仿宋" w:eastAsia="仿宋" w:cs="宋体"/>
                <w:kern w:val="0"/>
                <w:sz w:val="24"/>
              </w:rPr>
              <w:t>否</w:t>
            </w:r>
          </w:p>
        </w:tc>
      </w:tr>
      <w:tr w14:paraId="66F3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noWrap/>
            <w:vAlign w:val="center"/>
          </w:tcPr>
          <w:p w14:paraId="47287EC8">
            <w:pPr>
              <w:snapToGrid w:val="0"/>
              <w:jc w:val="center"/>
              <w:rPr>
                <w:rFonts w:ascii="仿宋" w:hAnsi="仿宋" w:eastAsia="仿宋" w:cs="仿宋"/>
                <w:bCs/>
                <w:sz w:val="24"/>
              </w:rPr>
            </w:pPr>
            <w:r>
              <w:rPr>
                <w:rFonts w:hint="eastAsia" w:ascii="仿宋" w:hAnsi="仿宋" w:eastAsia="仿宋" w:cs="仿宋"/>
                <w:bCs/>
                <w:sz w:val="24"/>
              </w:rPr>
              <w:t>2</w:t>
            </w:r>
          </w:p>
        </w:tc>
        <w:tc>
          <w:tcPr>
            <w:tcW w:w="502" w:type="pct"/>
            <w:noWrap/>
            <w:vAlign w:val="center"/>
          </w:tcPr>
          <w:p w14:paraId="77949652">
            <w:pPr>
              <w:snapToGrid w:val="0"/>
              <w:jc w:val="center"/>
              <w:rPr>
                <w:rFonts w:ascii="仿宋" w:hAnsi="仿宋" w:eastAsia="仿宋" w:cs="仿宋"/>
                <w:kern w:val="0"/>
                <w:sz w:val="24"/>
                <w:lang w:bidi="ar"/>
              </w:rPr>
            </w:pPr>
            <w:r>
              <w:rPr>
                <w:rFonts w:hint="eastAsia" w:ascii="仿宋" w:hAnsi="仿宋" w:eastAsia="仿宋" w:cs="仿宋"/>
                <w:kern w:val="0"/>
                <w:sz w:val="24"/>
                <w:lang w:bidi="ar"/>
              </w:rPr>
              <w:t>2-1</w:t>
            </w:r>
          </w:p>
        </w:tc>
        <w:tc>
          <w:tcPr>
            <w:tcW w:w="1941" w:type="pct"/>
            <w:vAlign w:val="center"/>
          </w:tcPr>
          <w:p w14:paraId="1A57B590">
            <w:pPr>
              <w:snapToGrid w:val="0"/>
              <w:jc w:val="center"/>
              <w:rPr>
                <w:rFonts w:ascii="仿宋" w:hAnsi="仿宋" w:eastAsia="仿宋" w:cs="仿宋"/>
                <w:kern w:val="0"/>
                <w:sz w:val="24"/>
                <w:lang w:bidi="ar"/>
              </w:rPr>
            </w:pPr>
            <w:r>
              <w:rPr>
                <w:rFonts w:hint="eastAsia" w:ascii="仿宋" w:hAnsi="仿宋" w:eastAsia="仿宋" w:cs="仿宋"/>
                <w:kern w:val="0"/>
                <w:sz w:val="24"/>
                <w:lang w:bidi="ar"/>
              </w:rPr>
              <w:t>手术无影灯</w:t>
            </w:r>
          </w:p>
        </w:tc>
        <w:tc>
          <w:tcPr>
            <w:tcW w:w="482" w:type="pct"/>
            <w:vAlign w:val="center"/>
          </w:tcPr>
          <w:p w14:paraId="31DD0CD6">
            <w:pPr>
              <w:snapToGrid w:val="0"/>
              <w:jc w:val="center"/>
              <w:rPr>
                <w:rFonts w:ascii="仿宋" w:hAnsi="仿宋" w:eastAsia="仿宋" w:cs="仿宋"/>
                <w:kern w:val="0"/>
                <w:sz w:val="24"/>
                <w:lang w:bidi="ar"/>
              </w:rPr>
            </w:pPr>
            <w:r>
              <w:rPr>
                <w:rFonts w:hint="eastAsia" w:ascii="仿宋" w:hAnsi="仿宋" w:eastAsia="仿宋" w:cs="仿宋"/>
                <w:kern w:val="0"/>
                <w:sz w:val="24"/>
                <w:lang w:bidi="ar"/>
              </w:rPr>
              <w:t>9</w:t>
            </w:r>
          </w:p>
        </w:tc>
        <w:tc>
          <w:tcPr>
            <w:tcW w:w="482" w:type="pct"/>
            <w:noWrap/>
            <w:vAlign w:val="center"/>
          </w:tcPr>
          <w:p w14:paraId="08423813">
            <w:pPr>
              <w:snapToGrid w:val="0"/>
              <w:jc w:val="center"/>
              <w:rPr>
                <w:rFonts w:ascii="仿宋" w:hAnsi="仿宋" w:eastAsia="仿宋" w:cs="仿宋"/>
                <w:kern w:val="0"/>
                <w:sz w:val="24"/>
                <w:lang w:bidi="ar"/>
              </w:rPr>
            </w:pPr>
            <w:r>
              <w:rPr>
                <w:rFonts w:hint="eastAsia" w:ascii="仿宋" w:hAnsi="仿宋" w:eastAsia="仿宋" w:cs="仿宋"/>
                <w:kern w:val="0"/>
                <w:sz w:val="24"/>
                <w:lang w:bidi="ar"/>
              </w:rPr>
              <w:t>套</w:t>
            </w:r>
          </w:p>
        </w:tc>
        <w:tc>
          <w:tcPr>
            <w:tcW w:w="1223" w:type="pct"/>
            <w:vAlign w:val="center"/>
          </w:tcPr>
          <w:p w14:paraId="6F6DEB92">
            <w:pPr>
              <w:widowControl/>
              <w:jc w:val="center"/>
              <w:rPr>
                <w:rFonts w:ascii="仿宋" w:hAnsi="仿宋" w:eastAsia="仿宋" w:cs="宋体"/>
                <w:kern w:val="0"/>
                <w:sz w:val="24"/>
              </w:rPr>
            </w:pPr>
            <w:r>
              <w:rPr>
                <w:rFonts w:ascii="仿宋" w:hAnsi="仿宋" w:eastAsia="仿宋" w:cs="宋体"/>
                <w:kern w:val="0"/>
                <w:sz w:val="24"/>
              </w:rPr>
              <w:t>否</w:t>
            </w:r>
          </w:p>
        </w:tc>
      </w:tr>
    </w:tbl>
    <w:p w14:paraId="187F2FB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14:paraId="62554CB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7D6C6017">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41AF563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7E8BE34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1、交付时间：2026年9月30日前到货，2026年10月1日-2026年10月5日完成安装、调试、检测，达到使用条件。。</w:t>
      </w:r>
    </w:p>
    <w:p w14:paraId="579B36C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2、交付地点：北京肿瘤医院指定地点。</w:t>
      </w:r>
    </w:p>
    <w:p w14:paraId="7891EA7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10DD374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要求投标人在合同签订后30日内向采购人提供合同总价款10%的银行履约保函。</w:t>
      </w:r>
    </w:p>
    <w:p w14:paraId="119E09B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本项目涉及财政资金，按照财政资金支付程序向投标人支付合同款项，第一期合同款支付金额不低于合同总价款的50%，余款在采购人收到财政的后续拨款后的30日内支付。如财政未全额拨款或者未拨款的，由采购人支付余款。</w:t>
      </w:r>
    </w:p>
    <w:p w14:paraId="76E86FE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4E1AAFE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70DA7AB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（四）售后服务（质保期）</w:t>
      </w:r>
    </w:p>
    <w:p w14:paraId="08A3BEB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1、质量保证期（保修期）及服务要求：整机原厂全保不少于3年（含本项目所有第三方设备及辅件），保修期以质量验收合格之日起计算。</w:t>
      </w:r>
    </w:p>
    <w:p w14:paraId="0CD83758">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5DCFDBA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（一）基本要求</w:t>
      </w:r>
    </w:p>
    <w:p w14:paraId="0A2B31E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1、采购标的需实现的功能或者目标</w:t>
      </w:r>
    </w:p>
    <w:p w14:paraId="3625106E">
      <w:pPr>
        <w:snapToGrid w:val="0"/>
        <w:spacing w:line="360" w:lineRule="auto"/>
        <w:ind w:firstLine="480" w:firstLineChars="200"/>
        <w:rPr>
          <w:rFonts w:ascii="仿宋" w:hAnsi="仿宋" w:eastAsia="仿宋" w:cs="仿宋"/>
          <w:bCs/>
          <w:sz w:val="24"/>
        </w:rPr>
      </w:pPr>
      <w:r>
        <w:rPr>
          <w:rFonts w:hint="eastAsia" w:ascii="仿宋" w:hAnsi="仿宋" w:eastAsia="仿宋"/>
          <w:sz w:val="24"/>
        </w:rPr>
        <w:t>本次招标采购是为北京肿瘤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6F40C5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B89A71E">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2.1、</w:t>
      </w:r>
      <w:r>
        <w:rPr>
          <w:rFonts w:ascii="仿宋" w:hAnsi="仿宋" w:eastAsia="仿宋"/>
          <w:b/>
          <w:szCs w:val="24"/>
        </w:rPr>
        <w:t>投标产品属于医疗器械的，应按原国家食品药品监督管理</w:t>
      </w:r>
      <w:r>
        <w:rPr>
          <w:rFonts w:hint="eastAsia" w:ascii="仿宋" w:hAnsi="仿宋" w:eastAsia="仿宋"/>
          <w:b/>
          <w:szCs w:val="24"/>
        </w:rPr>
        <w:t>总</w:t>
      </w:r>
      <w:r>
        <w:rPr>
          <w:rFonts w:ascii="仿宋" w:hAnsi="仿宋" w:eastAsia="仿宋"/>
          <w:b/>
          <w:szCs w:val="24"/>
        </w:rPr>
        <w:t>局颁发的</w:t>
      </w:r>
      <w:r>
        <w:rPr>
          <w:rFonts w:hint="eastAsia" w:ascii="仿宋" w:hAnsi="仿宋" w:eastAsia="仿宋"/>
          <w:b/>
          <w:szCs w:val="24"/>
        </w:rPr>
        <w:t>《医疗器械注册管理办法》</w:t>
      </w:r>
      <w:r>
        <w:rPr>
          <w:rFonts w:ascii="仿宋" w:hAnsi="仿宋" w:eastAsia="仿宋"/>
          <w:b/>
          <w:szCs w:val="24"/>
        </w:rPr>
        <w:t>，办理医疗器械注册证或者办理备案，</w:t>
      </w:r>
      <w:r>
        <w:rPr>
          <w:rFonts w:hint="eastAsia" w:ascii="仿宋" w:hAnsi="仿宋" w:eastAsia="仿宋"/>
          <w:b/>
          <w:szCs w:val="24"/>
        </w:rPr>
        <w:t>投标人</w:t>
      </w:r>
      <w:r>
        <w:rPr>
          <w:rFonts w:ascii="仿宋" w:hAnsi="仿宋" w:eastAsia="仿宋"/>
          <w:b/>
          <w:szCs w:val="24"/>
        </w:rPr>
        <w:t>须提供医疗器械注册证复印件</w:t>
      </w:r>
      <w:r>
        <w:rPr>
          <w:rFonts w:hint="eastAsia" w:ascii="仿宋" w:hAnsi="仿宋" w:eastAsia="仿宋"/>
          <w:b/>
          <w:szCs w:val="24"/>
        </w:rPr>
        <w:t>或</w:t>
      </w:r>
      <w:r>
        <w:rPr>
          <w:rFonts w:ascii="仿宋" w:hAnsi="仿宋" w:eastAsia="仿宋"/>
          <w:b/>
          <w:szCs w:val="24"/>
        </w:rPr>
        <w:t>备案凭证。</w:t>
      </w:r>
    </w:p>
    <w:p w14:paraId="0ADCF102">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2.2、</w:t>
      </w:r>
      <w:r>
        <w:rPr>
          <w:rFonts w:ascii="仿宋" w:hAnsi="仿宋" w:eastAsia="仿宋"/>
          <w:b/>
          <w:szCs w:val="24"/>
        </w:rPr>
        <w:t>投标产品属于医疗器械的，</w:t>
      </w:r>
      <w:r>
        <w:rPr>
          <w:rFonts w:hint="eastAsia" w:ascii="仿宋" w:hAnsi="仿宋" w:eastAsia="仿宋"/>
          <w:b/>
          <w:szCs w:val="24"/>
        </w:rPr>
        <w:t>中华人民共和国境内制造商</w:t>
      </w:r>
      <w:r>
        <w:rPr>
          <w:rFonts w:ascii="仿宋" w:hAnsi="仿宋" w:eastAsia="仿宋"/>
          <w:b/>
          <w:szCs w:val="24"/>
        </w:rPr>
        <w:t>应按原国家食品药品监督管理</w:t>
      </w:r>
      <w:r>
        <w:rPr>
          <w:rFonts w:hint="eastAsia" w:ascii="仿宋" w:hAnsi="仿宋" w:eastAsia="仿宋"/>
          <w:b/>
          <w:szCs w:val="24"/>
        </w:rPr>
        <w:t>总</w:t>
      </w:r>
      <w:r>
        <w:rPr>
          <w:rFonts w:ascii="仿宋" w:hAnsi="仿宋" w:eastAsia="仿宋"/>
          <w:b/>
          <w:szCs w:val="24"/>
        </w:rPr>
        <w:t>局颁发的</w:t>
      </w:r>
      <w:r>
        <w:rPr>
          <w:rFonts w:hint="eastAsia" w:ascii="仿宋" w:hAnsi="仿宋" w:eastAsia="仿宋"/>
          <w:b/>
          <w:szCs w:val="24"/>
        </w:rPr>
        <w:t>《医疗器械生产监督管理办法》</w:t>
      </w:r>
      <w:r>
        <w:rPr>
          <w:rFonts w:ascii="仿宋" w:hAnsi="仿宋" w:eastAsia="仿宋"/>
          <w:b/>
          <w:szCs w:val="24"/>
        </w:rPr>
        <w:t>，办理医疗器械</w:t>
      </w:r>
      <w:r>
        <w:rPr>
          <w:rFonts w:hint="eastAsia" w:ascii="仿宋" w:hAnsi="仿宋" w:eastAsia="仿宋"/>
          <w:b/>
          <w:szCs w:val="24"/>
        </w:rPr>
        <w:t>生产许可证</w:t>
      </w:r>
      <w:r>
        <w:rPr>
          <w:rFonts w:ascii="仿宋" w:hAnsi="仿宋" w:eastAsia="仿宋"/>
          <w:b/>
          <w:szCs w:val="24"/>
        </w:rPr>
        <w:t>或者办理备案，</w:t>
      </w:r>
      <w:r>
        <w:rPr>
          <w:rFonts w:hint="eastAsia" w:ascii="仿宋" w:hAnsi="仿宋" w:eastAsia="仿宋"/>
          <w:b/>
          <w:szCs w:val="24"/>
        </w:rPr>
        <w:t>投标人</w:t>
      </w:r>
      <w:r>
        <w:rPr>
          <w:rFonts w:ascii="仿宋" w:hAnsi="仿宋" w:eastAsia="仿宋"/>
          <w:b/>
          <w:szCs w:val="24"/>
        </w:rPr>
        <w:t>须提供医疗器械</w:t>
      </w:r>
      <w:r>
        <w:rPr>
          <w:rFonts w:hint="eastAsia" w:ascii="仿宋" w:hAnsi="仿宋" w:eastAsia="仿宋"/>
          <w:b/>
          <w:szCs w:val="24"/>
        </w:rPr>
        <w:t>生产许可证</w:t>
      </w:r>
      <w:r>
        <w:rPr>
          <w:rFonts w:ascii="仿宋" w:hAnsi="仿宋" w:eastAsia="仿宋"/>
          <w:b/>
          <w:szCs w:val="24"/>
        </w:rPr>
        <w:t>复印件</w:t>
      </w:r>
      <w:r>
        <w:rPr>
          <w:rFonts w:hint="eastAsia" w:ascii="仿宋" w:hAnsi="仿宋" w:eastAsia="仿宋"/>
          <w:b/>
          <w:szCs w:val="24"/>
        </w:rPr>
        <w:t>或</w:t>
      </w:r>
      <w:r>
        <w:rPr>
          <w:rFonts w:ascii="仿宋" w:hAnsi="仿宋" w:eastAsia="仿宋"/>
          <w:b/>
          <w:szCs w:val="24"/>
        </w:rPr>
        <w:t>备案凭证</w:t>
      </w:r>
      <w:r>
        <w:rPr>
          <w:rFonts w:hint="eastAsia" w:ascii="仿宋" w:hAnsi="仿宋" w:eastAsia="仿宋"/>
          <w:b/>
          <w:szCs w:val="24"/>
        </w:rPr>
        <w:t>。</w:t>
      </w:r>
    </w:p>
    <w:p w14:paraId="59169BAA">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2.3、</w:t>
      </w:r>
      <w:r>
        <w:rPr>
          <w:rFonts w:ascii="仿宋" w:hAnsi="仿宋" w:eastAsia="仿宋"/>
          <w:b/>
          <w:szCs w:val="24"/>
        </w:rPr>
        <w:t>投标产品属于</w:t>
      </w:r>
      <w:r>
        <w:rPr>
          <w:rFonts w:hint="eastAsia" w:ascii="仿宋" w:hAnsi="仿宋" w:eastAsia="仿宋"/>
          <w:b/>
          <w:szCs w:val="24"/>
        </w:rPr>
        <w:t>辐射或射线类的设备或材料的，需提供投标人的辐射安全许可证</w:t>
      </w:r>
      <w:r>
        <w:rPr>
          <w:rFonts w:ascii="仿宋" w:hAnsi="仿宋" w:eastAsia="仿宋"/>
          <w:b/>
          <w:szCs w:val="24"/>
        </w:rPr>
        <w:t>复印件</w:t>
      </w:r>
      <w:r>
        <w:rPr>
          <w:rFonts w:hint="eastAsia" w:ascii="仿宋" w:hAnsi="仿宋" w:eastAsia="仿宋"/>
          <w:b/>
          <w:szCs w:val="24"/>
        </w:rPr>
        <w:t>（不适用的情况除外）。投标产品属于压力容器的，投标人需要根据国家特种设备制造相关管理规定，提供投标产品制造商的特种设备制造许可证（压力容器）。</w:t>
      </w:r>
    </w:p>
    <w:p w14:paraId="535E9C9A">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hAnsi="仿宋" w:eastAsia="仿宋"/>
          <w:b/>
          <w:szCs w:val="24"/>
        </w:rPr>
        <w:t>相关证明文件的复印件</w:t>
      </w:r>
      <w:r>
        <w:rPr>
          <w:rFonts w:hint="eastAsia" w:ascii="仿宋" w:hAnsi="仿宋" w:eastAsia="仿宋"/>
          <w:b/>
          <w:szCs w:val="24"/>
        </w:rPr>
        <w:t>。</w:t>
      </w:r>
    </w:p>
    <w:p w14:paraId="6FAAA399">
      <w:pPr>
        <w:pStyle w:val="2"/>
        <w:rPr>
          <w:rFonts w:ascii="仿宋" w:hAnsi="仿宋" w:eastAsia="仿宋"/>
        </w:rPr>
      </w:pPr>
    </w:p>
    <w:p w14:paraId="005314C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（二）服务内容及要求/货物技术要求</w:t>
      </w:r>
    </w:p>
    <w:p w14:paraId="0E4FE07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29622EF6">
      <w:pPr>
        <w:tabs>
          <w:tab w:val="left" w:pos="900"/>
          <w:tab w:val="left" w:pos="7160"/>
        </w:tabs>
        <w:spacing w:before="156" w:beforeLines="50" w:line="360" w:lineRule="auto"/>
        <w:jc w:val="center"/>
        <w:rPr>
          <w:rFonts w:ascii="仿宋" w:hAnsi="仿宋" w:eastAsia="仿宋"/>
          <w:b/>
          <w:sz w:val="24"/>
        </w:rPr>
      </w:pPr>
      <w:r>
        <w:rPr>
          <w:rFonts w:hint="eastAsia" w:ascii="仿宋" w:hAnsi="仿宋" w:eastAsia="仿宋"/>
          <w:b/>
          <w:sz w:val="24"/>
        </w:rPr>
        <w:t>第1包 手术吊塔</w:t>
      </w:r>
    </w:p>
    <w:p w14:paraId="36B06865">
      <w:pPr>
        <w:pStyle w:val="2"/>
        <w:spacing w:line="360" w:lineRule="auto"/>
        <w:ind w:firstLine="0"/>
        <w:rPr>
          <w:rFonts w:ascii="仿宋" w:hAnsi="仿宋" w:eastAsia="仿宋" w:cs="仿宋"/>
        </w:rPr>
      </w:pPr>
      <w:r>
        <w:rPr>
          <w:rFonts w:hint="eastAsia" w:ascii="仿宋" w:hAnsi="仿宋" w:eastAsia="仿宋" w:cs="仿宋"/>
        </w:rPr>
        <w:t>1.1、技术参数</w:t>
      </w:r>
    </w:p>
    <w:p w14:paraId="28A1AC41">
      <w:pPr>
        <w:pStyle w:val="2"/>
        <w:spacing w:line="360" w:lineRule="auto"/>
        <w:ind w:firstLine="0"/>
        <w:rPr>
          <w:rFonts w:ascii="仿宋" w:hAnsi="仿宋" w:eastAsia="仿宋" w:cs="仿宋"/>
        </w:rPr>
      </w:pPr>
      <w:r>
        <w:rPr>
          <w:rFonts w:hint="eastAsia" w:ascii="仿宋" w:hAnsi="仿宋" w:eastAsia="仿宋" w:cs="仿宋"/>
        </w:rPr>
        <w:t>1.1.1、吊塔材质：吊塔主体材料为高强度铝合金，全封闭设计，表面光滑。</w:t>
      </w:r>
    </w:p>
    <w:p w14:paraId="5D5A10FA">
      <w:pPr>
        <w:pStyle w:val="2"/>
        <w:spacing w:line="360" w:lineRule="auto"/>
        <w:ind w:firstLine="0"/>
        <w:rPr>
          <w:rFonts w:ascii="仿宋" w:hAnsi="仿宋" w:eastAsia="仿宋" w:cs="仿宋"/>
          <w:b/>
          <w:bCs/>
        </w:rPr>
      </w:pPr>
      <w:r>
        <w:rPr>
          <w:rFonts w:hint="eastAsia" w:ascii="仿宋" w:hAnsi="仿宋" w:eastAsia="仿宋" w:cs="仿宋"/>
          <w:b/>
          <w:bCs/>
        </w:rPr>
        <w:t>★1.1.2、电动升降双臂吊塔。</w:t>
      </w:r>
    </w:p>
    <w:p w14:paraId="634A3F14">
      <w:pPr>
        <w:pStyle w:val="2"/>
        <w:spacing w:line="360" w:lineRule="auto"/>
        <w:ind w:firstLine="0"/>
        <w:rPr>
          <w:rFonts w:ascii="仿宋" w:hAnsi="仿宋" w:eastAsia="仿宋" w:cs="仿宋"/>
        </w:rPr>
      </w:pPr>
      <w:r>
        <w:rPr>
          <w:rFonts w:hint="eastAsia" w:ascii="仿宋" w:hAnsi="仿宋" w:eastAsia="仿宋" w:cs="仿宋"/>
        </w:rPr>
        <w:t>1.1.3、活动半径（臂长）≥1200mm，关节旋转角度≥330°电动升降行程：≥5</w:t>
      </w:r>
      <w:r>
        <w:rPr>
          <w:rFonts w:hint="eastAsia" w:ascii="仿宋" w:hAnsi="仿宋" w:eastAsia="仿宋" w:cs="仿宋"/>
          <w:lang w:val="en-US" w:eastAsia="zh-CN"/>
        </w:rPr>
        <w:t>2</w:t>
      </w:r>
      <w:r>
        <w:rPr>
          <w:rFonts w:hint="eastAsia" w:ascii="仿宋" w:hAnsi="仿宋" w:eastAsia="仿宋" w:cs="仿宋"/>
        </w:rPr>
        <w:t>0mm。</w:t>
      </w:r>
    </w:p>
    <w:p w14:paraId="3262D090">
      <w:pPr>
        <w:pStyle w:val="2"/>
        <w:spacing w:line="360" w:lineRule="auto"/>
        <w:ind w:firstLine="0"/>
        <w:rPr>
          <w:rFonts w:ascii="仿宋" w:hAnsi="仿宋" w:eastAsia="仿宋" w:cs="仿宋"/>
        </w:rPr>
      </w:pPr>
      <w:r>
        <w:rPr>
          <w:rFonts w:hint="eastAsia" w:ascii="仿宋" w:hAnsi="仿宋" w:eastAsia="仿宋" w:cs="仿宋"/>
        </w:rPr>
        <w:t>▲1.1.4、配备电磁刹车系统。</w:t>
      </w:r>
    </w:p>
    <w:p w14:paraId="13E7E62D">
      <w:pPr>
        <w:pStyle w:val="2"/>
        <w:spacing w:line="360" w:lineRule="auto"/>
        <w:ind w:firstLine="0"/>
        <w:rPr>
          <w:rFonts w:ascii="仿宋" w:hAnsi="仿宋" w:eastAsia="仿宋" w:cs="仿宋"/>
        </w:rPr>
      </w:pPr>
      <w:r>
        <w:rPr>
          <w:rFonts w:hint="eastAsia" w:ascii="仿宋" w:hAnsi="仿宋" w:eastAsia="仿宋" w:cs="仿宋"/>
        </w:rPr>
        <w:t>▲1.1.5、最大负荷能力：≥120Kg。</w:t>
      </w:r>
    </w:p>
    <w:p w14:paraId="42761939">
      <w:pPr>
        <w:pStyle w:val="2"/>
        <w:spacing w:line="360" w:lineRule="auto"/>
        <w:ind w:firstLine="0"/>
        <w:rPr>
          <w:rFonts w:ascii="仿宋" w:hAnsi="仿宋" w:eastAsia="仿宋" w:cs="仿宋"/>
        </w:rPr>
      </w:pPr>
      <w:r>
        <w:rPr>
          <w:rFonts w:hint="eastAsia" w:ascii="仿宋" w:hAnsi="仿宋" w:eastAsia="仿宋" w:cs="仿宋"/>
        </w:rPr>
        <w:t>1.1.6、箱体：</w:t>
      </w:r>
    </w:p>
    <w:p w14:paraId="47B2877C">
      <w:pPr>
        <w:pStyle w:val="2"/>
        <w:spacing w:line="360" w:lineRule="auto"/>
        <w:ind w:firstLine="0"/>
        <w:rPr>
          <w:rFonts w:ascii="仿宋" w:hAnsi="仿宋" w:eastAsia="仿宋" w:cs="仿宋"/>
        </w:rPr>
      </w:pPr>
      <w:r>
        <w:rPr>
          <w:rFonts w:hint="eastAsia" w:ascii="仿宋" w:hAnsi="仿宋" w:eastAsia="仿宋" w:cs="仿宋"/>
        </w:rPr>
        <w:t>1.1.6.1、吊柱式箱体（非吊架式），箱体高度≥1200mm。</w:t>
      </w:r>
    </w:p>
    <w:p w14:paraId="2704697A">
      <w:pPr>
        <w:pStyle w:val="2"/>
        <w:spacing w:line="360" w:lineRule="auto"/>
        <w:ind w:firstLine="0"/>
        <w:rPr>
          <w:rFonts w:ascii="仿宋" w:hAnsi="仿宋" w:eastAsia="仿宋" w:cs="仿宋"/>
        </w:rPr>
      </w:pPr>
      <w:r>
        <w:rPr>
          <w:rFonts w:hint="eastAsia" w:ascii="仿宋" w:hAnsi="仿宋" w:eastAsia="仿宋" w:cs="仿宋"/>
        </w:rPr>
        <w:t>1.1.6.2、载物平台：</w:t>
      </w:r>
    </w:p>
    <w:p w14:paraId="6F4F4775">
      <w:pPr>
        <w:pStyle w:val="2"/>
        <w:spacing w:line="360" w:lineRule="auto"/>
        <w:ind w:firstLine="0"/>
        <w:rPr>
          <w:rFonts w:ascii="仿宋" w:hAnsi="仿宋" w:eastAsia="仿宋" w:cs="仿宋"/>
        </w:rPr>
      </w:pPr>
      <w:r>
        <w:rPr>
          <w:rFonts w:hint="eastAsia" w:ascii="仿宋" w:hAnsi="仿宋" w:eastAsia="仿宋" w:cs="仿宋"/>
        </w:rPr>
        <w:t>1.1.6.2.1、防撞设计，带操作把手。</w:t>
      </w:r>
    </w:p>
    <w:p w14:paraId="4F75410C">
      <w:pPr>
        <w:pStyle w:val="2"/>
        <w:spacing w:line="360" w:lineRule="auto"/>
        <w:ind w:firstLine="0"/>
        <w:rPr>
          <w:rFonts w:ascii="仿宋" w:hAnsi="仿宋" w:eastAsia="仿宋" w:cs="仿宋"/>
        </w:rPr>
      </w:pPr>
      <w:r>
        <w:rPr>
          <w:rFonts w:hint="eastAsia" w:ascii="仿宋" w:hAnsi="仿宋" w:eastAsia="仿宋" w:cs="仿宋"/>
        </w:rPr>
        <w:t>1.1.6.2.2、≥4层，平台间距可调；宽度≥600mm，深度≥450mm。</w:t>
      </w:r>
    </w:p>
    <w:p w14:paraId="604D58C7">
      <w:pPr>
        <w:pStyle w:val="2"/>
        <w:spacing w:line="360" w:lineRule="auto"/>
        <w:ind w:firstLine="0"/>
        <w:rPr>
          <w:rFonts w:ascii="仿宋" w:hAnsi="仿宋" w:eastAsia="仿宋" w:cs="仿宋"/>
        </w:rPr>
      </w:pPr>
      <w:r>
        <w:rPr>
          <w:rFonts w:hint="eastAsia" w:ascii="仿宋" w:hAnsi="仿宋" w:eastAsia="仿宋" w:cs="仿宋"/>
        </w:rPr>
        <w:t>1.1.6.2.3、每层标称最大承重：≥50kg。</w:t>
      </w:r>
    </w:p>
    <w:p w14:paraId="1253A7F5">
      <w:pPr>
        <w:pStyle w:val="2"/>
        <w:spacing w:line="360" w:lineRule="auto"/>
        <w:ind w:firstLine="0"/>
        <w:rPr>
          <w:rFonts w:ascii="仿宋" w:hAnsi="仿宋" w:eastAsia="仿宋" w:cs="仿宋"/>
        </w:rPr>
      </w:pPr>
      <w:r>
        <w:rPr>
          <w:rFonts w:hint="eastAsia" w:ascii="仿宋" w:hAnsi="仿宋" w:eastAsia="仿宋" w:cs="仿宋"/>
        </w:rPr>
        <w:t>1.1.6.2.4、配备1个抽屉。</w:t>
      </w:r>
    </w:p>
    <w:p w14:paraId="2E5F176E">
      <w:pPr>
        <w:pStyle w:val="2"/>
        <w:spacing w:line="360" w:lineRule="auto"/>
        <w:ind w:firstLine="0"/>
        <w:rPr>
          <w:rFonts w:ascii="仿宋" w:hAnsi="仿宋" w:eastAsia="仿宋" w:cs="仿宋"/>
        </w:rPr>
      </w:pPr>
      <w:r>
        <w:rPr>
          <w:rFonts w:hint="eastAsia" w:ascii="仿宋" w:hAnsi="仿宋" w:eastAsia="仿宋" w:cs="仿宋"/>
        </w:rPr>
        <w:t>1.1.6.3、气体终端：</w:t>
      </w:r>
    </w:p>
    <w:p w14:paraId="11129DFF">
      <w:pPr>
        <w:pStyle w:val="2"/>
        <w:spacing w:line="360" w:lineRule="auto"/>
        <w:ind w:firstLine="0"/>
        <w:rPr>
          <w:rFonts w:ascii="仿宋" w:hAnsi="仿宋" w:eastAsia="仿宋" w:cs="仿宋"/>
        </w:rPr>
      </w:pPr>
      <w:r>
        <w:rPr>
          <w:rFonts w:hint="eastAsia" w:ascii="仿宋" w:hAnsi="仿宋" w:eastAsia="仿宋" w:cs="仿宋"/>
        </w:rPr>
        <w:t>1.1.6.3.1、德标气体终端，各种气体终端为不同颜色和不同形状，符合国际和国内标准，具有防误插功能。</w:t>
      </w:r>
    </w:p>
    <w:p w14:paraId="1243FA9C">
      <w:pPr>
        <w:pStyle w:val="2"/>
        <w:spacing w:line="360" w:lineRule="auto"/>
        <w:ind w:firstLine="0"/>
        <w:rPr>
          <w:rFonts w:ascii="仿宋" w:hAnsi="仿宋" w:eastAsia="仿宋" w:cs="仿宋"/>
        </w:rPr>
      </w:pPr>
      <w:r>
        <w:rPr>
          <w:rFonts w:hint="eastAsia" w:ascii="仿宋" w:hAnsi="仿宋" w:eastAsia="仿宋" w:cs="仿宋"/>
        </w:rPr>
        <w:t>1.1.6.3.2、各类气体终端均具备通、断（原位待接通状态）、拔三种状态，支持带气拆卸、维修。</w:t>
      </w:r>
    </w:p>
    <w:p w14:paraId="54F1E446">
      <w:pPr>
        <w:pStyle w:val="2"/>
        <w:spacing w:line="360" w:lineRule="auto"/>
        <w:ind w:firstLine="0"/>
        <w:rPr>
          <w:rFonts w:ascii="仿宋" w:hAnsi="仿宋" w:eastAsia="仿宋" w:cs="仿宋"/>
        </w:rPr>
      </w:pPr>
      <w:r>
        <w:rPr>
          <w:rFonts w:hint="eastAsia" w:ascii="仿宋" w:hAnsi="仿宋" w:eastAsia="仿宋" w:cs="仿宋"/>
        </w:rPr>
        <w:t>1.1.6.3.3、气体终端带有正向止回阀，每个气体终端可支持≥2万次插拔。</w:t>
      </w:r>
    </w:p>
    <w:p w14:paraId="5ECF34B5">
      <w:pPr>
        <w:pStyle w:val="2"/>
        <w:spacing w:before="120" w:line="360" w:lineRule="auto"/>
        <w:ind w:firstLine="0"/>
        <w:rPr>
          <w:rFonts w:ascii="仿宋" w:hAnsi="仿宋" w:eastAsia="仿宋" w:cs="仿宋"/>
          <w:b/>
          <w:bCs/>
        </w:rPr>
      </w:pPr>
      <w:r>
        <w:rPr>
          <w:rFonts w:hint="eastAsia" w:ascii="仿宋" w:hAnsi="仿宋" w:eastAsia="仿宋" w:cs="仿宋"/>
          <w:b/>
          <w:bCs/>
        </w:rPr>
        <w:t>★1.1.6.3.4、Vac：≥5个，CO</w:t>
      </w:r>
      <w:r>
        <w:rPr>
          <w:rFonts w:hint="eastAsia" w:ascii="仿宋" w:hAnsi="仿宋" w:eastAsia="仿宋" w:cs="仿宋"/>
          <w:b/>
          <w:bCs/>
          <w:vertAlign w:val="subscript"/>
        </w:rPr>
        <w:t>2</w:t>
      </w:r>
      <w:r>
        <w:rPr>
          <w:rFonts w:hint="eastAsia" w:ascii="仿宋" w:hAnsi="仿宋" w:eastAsia="仿宋" w:cs="仿宋"/>
          <w:b/>
          <w:bCs/>
        </w:rPr>
        <w:t>≥2个，O</w:t>
      </w:r>
      <w:r>
        <w:rPr>
          <w:rFonts w:hint="eastAsia" w:ascii="仿宋" w:hAnsi="仿宋" w:eastAsia="仿宋" w:cs="仿宋"/>
          <w:b/>
          <w:bCs/>
          <w:vertAlign w:val="subscript"/>
        </w:rPr>
        <w:t>2</w:t>
      </w:r>
      <w:r>
        <w:rPr>
          <w:rFonts w:hint="eastAsia" w:ascii="仿宋" w:hAnsi="仿宋" w:eastAsia="仿宋" w:cs="仿宋"/>
          <w:b/>
          <w:bCs/>
        </w:rPr>
        <w:t>≥1个，Air≥1个，AGSS（文丘里原理）≥1个。</w:t>
      </w:r>
    </w:p>
    <w:p w14:paraId="4E25F771">
      <w:pPr>
        <w:pStyle w:val="2"/>
        <w:spacing w:line="360" w:lineRule="auto"/>
        <w:ind w:firstLine="0"/>
        <w:rPr>
          <w:rFonts w:ascii="仿宋" w:hAnsi="仿宋" w:eastAsia="仿宋" w:cs="仿宋"/>
        </w:rPr>
      </w:pPr>
      <w:r>
        <w:rPr>
          <w:rFonts w:hint="eastAsia" w:ascii="仿宋" w:hAnsi="仿宋" w:eastAsia="仿宋" w:cs="仿宋"/>
        </w:rPr>
        <w:t>1.1.6.4、电源组件：</w:t>
      </w:r>
    </w:p>
    <w:p w14:paraId="21929546">
      <w:pPr>
        <w:pStyle w:val="2"/>
        <w:spacing w:line="360" w:lineRule="auto"/>
        <w:ind w:firstLine="0"/>
        <w:rPr>
          <w:rFonts w:ascii="仿宋" w:hAnsi="仿宋" w:eastAsia="仿宋" w:cs="仿宋"/>
        </w:rPr>
      </w:pPr>
      <w:r>
        <w:rPr>
          <w:rFonts w:hint="eastAsia" w:ascii="仿宋" w:hAnsi="仿宋" w:eastAsia="仿宋" w:cs="仿宋"/>
        </w:rPr>
        <w:t>1.1.6.4.1、电源插座采用新国标五孔设计。</w:t>
      </w:r>
    </w:p>
    <w:p w14:paraId="0F757580">
      <w:pPr>
        <w:pStyle w:val="2"/>
        <w:spacing w:line="360" w:lineRule="auto"/>
        <w:ind w:firstLine="0"/>
        <w:rPr>
          <w:rFonts w:ascii="仿宋" w:hAnsi="仿宋" w:eastAsia="仿宋" w:cs="仿宋"/>
          <w:b/>
          <w:bCs/>
        </w:rPr>
      </w:pPr>
      <w:r>
        <w:rPr>
          <w:rFonts w:hint="eastAsia" w:ascii="仿宋" w:hAnsi="仿宋" w:eastAsia="仿宋" w:cs="仿宋"/>
          <w:b/>
          <w:bCs/>
        </w:rPr>
        <w:t>★1.1.6.4.2、10A插座≥14个，16A插座≥1个；等电位端子≥4个。</w:t>
      </w:r>
    </w:p>
    <w:p w14:paraId="28296586">
      <w:pPr>
        <w:pStyle w:val="2"/>
        <w:spacing w:line="360" w:lineRule="auto"/>
        <w:ind w:firstLine="0"/>
        <w:rPr>
          <w:rFonts w:ascii="仿宋" w:hAnsi="仿宋" w:eastAsia="仿宋" w:cs="仿宋"/>
        </w:rPr>
      </w:pPr>
      <w:r>
        <w:rPr>
          <w:rFonts w:hint="eastAsia" w:ascii="仿宋" w:hAnsi="仿宋" w:eastAsia="仿宋" w:cs="仿宋"/>
        </w:rPr>
        <w:t>1.1.6.3、视频传输接口：12G-SDI≥2个,HDMI2.0≥2个。</w:t>
      </w:r>
    </w:p>
    <w:p w14:paraId="57289E18">
      <w:pPr>
        <w:pStyle w:val="2"/>
        <w:spacing w:before="120" w:line="360" w:lineRule="auto"/>
        <w:ind w:firstLine="0"/>
        <w:rPr>
          <w:rFonts w:ascii="仿宋" w:hAnsi="仿宋" w:eastAsia="仿宋" w:cs="仿宋"/>
        </w:rPr>
      </w:pPr>
      <w:r>
        <w:rPr>
          <w:rFonts w:hint="eastAsia" w:ascii="仿宋" w:hAnsi="仿宋" w:eastAsia="仿宋" w:cs="仿宋"/>
        </w:rPr>
        <w:t>1.1.6.4、六类RJ45通讯接口：≥6个。</w:t>
      </w:r>
    </w:p>
    <w:p w14:paraId="4C45E572">
      <w:pPr>
        <w:pStyle w:val="2"/>
        <w:spacing w:before="120" w:line="360" w:lineRule="auto"/>
        <w:ind w:firstLine="0"/>
        <w:rPr>
          <w:rFonts w:ascii="仿宋" w:hAnsi="仿宋" w:eastAsia="仿宋" w:cs="仿宋"/>
        </w:rPr>
      </w:pPr>
      <w:r>
        <w:rPr>
          <w:rFonts w:hint="eastAsia" w:ascii="仿宋" w:hAnsi="仿宋" w:eastAsia="仿宋" w:cs="仿宋"/>
        </w:rPr>
        <w:t>1.1.6.5、不锈钢网篮：1个。</w:t>
      </w:r>
    </w:p>
    <w:p w14:paraId="30802161">
      <w:pPr>
        <w:pStyle w:val="2"/>
        <w:spacing w:before="120" w:line="360" w:lineRule="auto"/>
        <w:ind w:firstLine="0"/>
        <w:rPr>
          <w:rFonts w:ascii="仿宋" w:hAnsi="仿宋" w:eastAsia="仿宋" w:cs="仿宋"/>
        </w:rPr>
      </w:pPr>
      <w:r>
        <w:rPr>
          <w:rFonts w:hint="eastAsia" w:ascii="仿宋" w:hAnsi="仿宋" w:eastAsia="仿宋" w:cs="仿宋"/>
        </w:rPr>
        <w:t>1.1.6.6、集线器：1套。</w:t>
      </w:r>
    </w:p>
    <w:p w14:paraId="3E8D4D58">
      <w:pPr>
        <w:pStyle w:val="2"/>
        <w:spacing w:line="360" w:lineRule="auto"/>
        <w:ind w:firstLine="0"/>
        <w:rPr>
          <w:rFonts w:ascii="仿宋" w:hAnsi="仿宋" w:eastAsia="仿宋" w:cs="仿宋"/>
        </w:rPr>
      </w:pPr>
      <w:r>
        <w:rPr>
          <w:rFonts w:hint="eastAsia" w:ascii="仿宋" w:hAnsi="仿宋" w:eastAsia="仿宋" w:cs="仿宋"/>
        </w:rPr>
        <w:t>1.1.7、吊塔内部管线：</w:t>
      </w:r>
    </w:p>
    <w:p w14:paraId="4DDD1145">
      <w:pPr>
        <w:pStyle w:val="2"/>
        <w:spacing w:line="360" w:lineRule="auto"/>
        <w:ind w:firstLine="0"/>
        <w:rPr>
          <w:rFonts w:ascii="仿宋" w:hAnsi="仿宋" w:eastAsia="仿宋" w:cs="仿宋"/>
        </w:rPr>
      </w:pPr>
      <w:r>
        <w:rPr>
          <w:rFonts w:hint="eastAsia" w:ascii="仿宋" w:hAnsi="仿宋" w:eastAsia="仿宋" w:cs="仿宋"/>
        </w:rPr>
        <w:t>1.1.7.1、吊塔内部电源线及气源管路经过塔内的过孔、轴承等孔洞时，有相应保护装置。</w:t>
      </w:r>
    </w:p>
    <w:p w14:paraId="34EC57EA">
      <w:pPr>
        <w:pStyle w:val="2"/>
        <w:spacing w:line="360" w:lineRule="auto"/>
        <w:ind w:firstLine="0"/>
        <w:rPr>
          <w:rFonts w:ascii="仿宋" w:hAnsi="仿宋" w:eastAsia="仿宋" w:cs="仿宋"/>
        </w:rPr>
      </w:pPr>
      <w:r>
        <w:rPr>
          <w:rFonts w:hint="eastAsia" w:ascii="仿宋" w:hAnsi="仿宋" w:eastAsia="仿宋" w:cs="仿宋"/>
        </w:rPr>
        <w:t>1.1.7.2、负压气体管道和负压吸引气体终端1：1配置，非采用双通或三通连接。</w:t>
      </w:r>
    </w:p>
    <w:p w14:paraId="69F5694C">
      <w:pPr>
        <w:pStyle w:val="2"/>
        <w:spacing w:line="360" w:lineRule="auto"/>
        <w:ind w:firstLine="0"/>
        <w:rPr>
          <w:rFonts w:ascii="仿宋" w:hAnsi="仿宋" w:eastAsia="仿宋" w:cs="仿宋"/>
          <w:b/>
          <w:bCs/>
        </w:rPr>
      </w:pPr>
      <w:r>
        <w:rPr>
          <w:rFonts w:hint="eastAsia" w:ascii="仿宋" w:hAnsi="仿宋" w:eastAsia="仿宋" w:cs="仿宋"/>
          <w:b/>
          <w:bCs/>
        </w:rPr>
        <w:t>★1.1.8、安装条件：安装场地顶板为钢筋混凝土结构，结构强度C30，楼板厚度9cm，楼板上面层厚度5cm。以上基建条件下无需加固，即可满足投标产品的安装和安全使用；或以上基建条件下，采用在上层楼板加埋件方式加固，即可满足投标产品的安装和安全使用，无需加梁加固。投标人应提供承诺函并加盖公章。</w:t>
      </w:r>
    </w:p>
    <w:p w14:paraId="06D578C8">
      <w:pPr>
        <w:tabs>
          <w:tab w:val="left" w:pos="900"/>
          <w:tab w:val="left" w:pos="7160"/>
        </w:tabs>
        <w:spacing w:before="156" w:beforeLines="50" w:line="360" w:lineRule="auto"/>
        <w:jc w:val="center"/>
        <w:rPr>
          <w:rFonts w:ascii="仿宋" w:hAnsi="仿宋" w:eastAsia="仿宋"/>
          <w:b/>
          <w:sz w:val="24"/>
        </w:rPr>
      </w:pPr>
      <w:r>
        <w:rPr>
          <w:rFonts w:hint="eastAsia" w:ascii="仿宋" w:hAnsi="仿宋" w:eastAsia="仿宋"/>
          <w:b/>
          <w:sz w:val="24"/>
        </w:rPr>
        <w:t>第2包 手术无影灯</w:t>
      </w:r>
    </w:p>
    <w:p w14:paraId="468740E9">
      <w:pPr>
        <w:pStyle w:val="2"/>
        <w:spacing w:line="360" w:lineRule="auto"/>
        <w:ind w:firstLine="0"/>
        <w:rPr>
          <w:rFonts w:ascii="仿宋" w:hAnsi="仿宋" w:eastAsia="仿宋" w:cs="仿宋"/>
        </w:rPr>
      </w:pPr>
      <w:r>
        <w:rPr>
          <w:rFonts w:hint="eastAsia" w:ascii="仿宋" w:hAnsi="仿宋" w:eastAsia="仿宋" w:cs="仿宋"/>
        </w:rPr>
        <w:t>1.1、技术参数：</w:t>
      </w:r>
    </w:p>
    <w:p w14:paraId="4DD20395">
      <w:pPr>
        <w:pStyle w:val="2"/>
        <w:spacing w:line="360" w:lineRule="auto"/>
        <w:ind w:firstLine="0"/>
        <w:rPr>
          <w:rFonts w:ascii="仿宋" w:hAnsi="仿宋" w:eastAsia="仿宋" w:cs="仿宋"/>
        </w:rPr>
      </w:pPr>
      <w:r>
        <w:rPr>
          <w:rFonts w:hint="eastAsia" w:ascii="仿宋" w:hAnsi="仿宋" w:eastAsia="仿宋" w:cs="仿宋"/>
        </w:rPr>
        <w:t>1.1.1、无影灯：</w:t>
      </w:r>
    </w:p>
    <w:p w14:paraId="0CE05C46">
      <w:pPr>
        <w:pStyle w:val="2"/>
        <w:spacing w:line="360" w:lineRule="auto"/>
        <w:ind w:firstLine="0"/>
        <w:rPr>
          <w:rFonts w:ascii="仿宋" w:hAnsi="仿宋" w:eastAsia="仿宋" w:cs="仿宋"/>
          <w:b/>
          <w:bCs/>
        </w:rPr>
      </w:pPr>
      <w:r>
        <w:rPr>
          <w:rFonts w:hint="eastAsia" w:ascii="仿宋" w:hAnsi="仿宋" w:eastAsia="仿宋" w:cs="仿宋"/>
          <w:b/>
          <w:bCs/>
        </w:rPr>
        <w:t>★1.1.1.1、双母灯，采用LED照明技术；单灯最大光照强度≥160000 lx，光照强度≥5档可调。</w:t>
      </w:r>
    </w:p>
    <w:p w14:paraId="1640A78C">
      <w:pPr>
        <w:pStyle w:val="2"/>
        <w:spacing w:line="360" w:lineRule="auto"/>
        <w:ind w:firstLine="0"/>
        <w:rPr>
          <w:rFonts w:ascii="仿宋" w:hAnsi="仿宋" w:eastAsia="仿宋" w:cs="仿宋"/>
        </w:rPr>
      </w:pPr>
      <w:r>
        <w:rPr>
          <w:rFonts w:hint="eastAsia" w:ascii="仿宋" w:hAnsi="仿宋" w:eastAsia="仿宋" w:cs="仿宋"/>
        </w:rPr>
        <w:t>1.1.1.2、灯盘：</w:t>
      </w:r>
    </w:p>
    <w:p w14:paraId="49686F97">
      <w:pPr>
        <w:pStyle w:val="2"/>
        <w:spacing w:line="360" w:lineRule="auto"/>
        <w:ind w:firstLine="0"/>
        <w:rPr>
          <w:rFonts w:ascii="仿宋" w:hAnsi="仿宋" w:eastAsia="仿宋" w:cs="仿宋"/>
        </w:rPr>
      </w:pPr>
      <w:r>
        <w:rPr>
          <w:rFonts w:hint="eastAsia" w:ascii="仿宋" w:hAnsi="仿宋" w:eastAsia="仿宋" w:cs="仿宋"/>
        </w:rPr>
        <w:t>1.1.1.2.1、采用一体化高强度材质外壳，表面光滑、无缝隙，无裸露铆钉，耐酸碱腐蚀，外周配有防撞装置，外侧具有把手。</w:t>
      </w:r>
    </w:p>
    <w:p w14:paraId="468DC381">
      <w:pPr>
        <w:pStyle w:val="2"/>
        <w:spacing w:line="360" w:lineRule="auto"/>
        <w:ind w:firstLine="0"/>
        <w:rPr>
          <w:rFonts w:ascii="仿宋" w:hAnsi="仿宋" w:eastAsia="仿宋" w:cs="仿宋"/>
        </w:rPr>
      </w:pPr>
      <w:r>
        <w:rPr>
          <w:rFonts w:hint="eastAsia" w:ascii="仿宋" w:hAnsi="仿宋" w:eastAsia="仿宋" w:cs="仿宋"/>
        </w:rPr>
        <w:t>1.1.1.2.2、灯盘直径≤650mm，单灯盘重量≤20kg。</w:t>
      </w:r>
    </w:p>
    <w:p w14:paraId="479208ED">
      <w:pPr>
        <w:pStyle w:val="2"/>
        <w:spacing w:line="360" w:lineRule="auto"/>
        <w:ind w:firstLine="0"/>
        <w:rPr>
          <w:rFonts w:ascii="仿宋" w:hAnsi="仿宋" w:eastAsia="仿宋" w:cs="仿宋"/>
        </w:rPr>
      </w:pPr>
      <w:r>
        <w:rPr>
          <w:rFonts w:hint="eastAsia" w:ascii="仿宋" w:hAnsi="仿宋" w:eastAsia="仿宋" w:cs="仿宋"/>
        </w:rPr>
        <w:t>▲1.1.1.3、LED灯泡：冷白和暖白两色内部混合，非多种颜色二极管光源外部混合白色光；灯泡寿命≥50000h，每个LED灯泡均可独立拆装。</w:t>
      </w:r>
    </w:p>
    <w:p w14:paraId="486D3680">
      <w:pPr>
        <w:pStyle w:val="2"/>
        <w:spacing w:line="360" w:lineRule="auto"/>
        <w:ind w:firstLine="0"/>
        <w:rPr>
          <w:rFonts w:ascii="仿宋" w:hAnsi="仿宋" w:eastAsia="仿宋" w:cs="仿宋"/>
        </w:rPr>
      </w:pPr>
      <w:r>
        <w:rPr>
          <w:rFonts w:hint="eastAsia" w:ascii="仿宋" w:hAnsi="仿宋" w:eastAsia="仿宋" w:cs="仿宋"/>
        </w:rPr>
        <w:t>▲1.1.1.4、色温调节范围：3900K～4500K；调节单位≥3档。</w:t>
      </w:r>
    </w:p>
    <w:p w14:paraId="20D0B481">
      <w:pPr>
        <w:pStyle w:val="2"/>
        <w:spacing w:line="360" w:lineRule="auto"/>
        <w:ind w:firstLine="0"/>
        <w:rPr>
          <w:rFonts w:ascii="仿宋" w:hAnsi="仿宋" w:eastAsia="仿宋" w:cs="仿宋"/>
        </w:rPr>
      </w:pPr>
      <w:r>
        <w:rPr>
          <w:rFonts w:hint="eastAsia" w:ascii="仿宋" w:hAnsi="仿宋" w:eastAsia="仿宋" w:cs="仿宋"/>
        </w:rPr>
        <w:t>1.1.1.5、色彩还原指数：Ra：≥95，R9：≥90。</w:t>
      </w:r>
    </w:p>
    <w:p w14:paraId="01A970D7">
      <w:pPr>
        <w:pStyle w:val="2"/>
        <w:spacing w:line="360" w:lineRule="auto"/>
        <w:ind w:firstLine="0"/>
        <w:rPr>
          <w:rFonts w:ascii="仿宋" w:hAnsi="仿宋" w:eastAsia="仿宋" w:cs="仿宋"/>
        </w:rPr>
      </w:pPr>
      <w:r>
        <w:rPr>
          <w:rFonts w:hint="eastAsia" w:ascii="仿宋" w:hAnsi="仿宋" w:eastAsia="仿宋" w:cs="仿宋"/>
        </w:rPr>
        <w:t>1.1.1.6、照明深度：20%中心照度的照明深度≥130cm，60%中心照度的照明深度≥70cm。</w:t>
      </w:r>
    </w:p>
    <w:p w14:paraId="5C5A8F84">
      <w:pPr>
        <w:pStyle w:val="2"/>
        <w:spacing w:line="360" w:lineRule="auto"/>
        <w:ind w:firstLine="0"/>
        <w:rPr>
          <w:rFonts w:ascii="仿宋" w:hAnsi="仿宋" w:eastAsia="仿宋" w:cs="仿宋"/>
        </w:rPr>
      </w:pPr>
      <w:r>
        <w:rPr>
          <w:rFonts w:hint="eastAsia" w:ascii="仿宋" w:hAnsi="仿宋" w:eastAsia="仿宋" w:cs="仿宋"/>
        </w:rPr>
        <w:t>1.1.1.7、光斑直径调节范围：20cm～28cm，光斑分布直径（d50/d10）≥0.55。</w:t>
      </w:r>
    </w:p>
    <w:p w14:paraId="1940A9A0">
      <w:pPr>
        <w:pStyle w:val="2"/>
        <w:spacing w:line="360" w:lineRule="auto"/>
        <w:ind w:firstLine="0"/>
        <w:rPr>
          <w:rFonts w:ascii="仿宋" w:hAnsi="仿宋" w:eastAsia="仿宋" w:cs="仿宋"/>
        </w:rPr>
      </w:pPr>
      <w:r>
        <w:rPr>
          <w:rFonts w:hint="eastAsia" w:ascii="仿宋" w:hAnsi="仿宋" w:eastAsia="仿宋" w:cs="仿宋"/>
        </w:rPr>
        <w:t>1.1.1.8、辐射照度比：≤3.6mW/m²/lx。</w:t>
      </w:r>
    </w:p>
    <w:p w14:paraId="60B828ED">
      <w:pPr>
        <w:pStyle w:val="2"/>
        <w:spacing w:line="360" w:lineRule="auto"/>
        <w:ind w:firstLine="0"/>
        <w:rPr>
          <w:rFonts w:ascii="仿宋" w:hAnsi="仿宋" w:eastAsia="仿宋" w:cs="仿宋"/>
        </w:rPr>
      </w:pPr>
      <w:r>
        <w:rPr>
          <w:rFonts w:hint="eastAsia" w:ascii="仿宋" w:hAnsi="仿宋" w:eastAsia="仿宋" w:cs="仿宋"/>
        </w:rPr>
        <w:t>▲1.1.1.9、无影率：双板+单管（%）无影率：≥50%，单管（%）无影率：100%。</w:t>
      </w:r>
    </w:p>
    <w:p w14:paraId="14070915">
      <w:pPr>
        <w:pStyle w:val="2"/>
        <w:spacing w:line="360" w:lineRule="auto"/>
        <w:ind w:firstLine="0"/>
        <w:rPr>
          <w:rFonts w:ascii="仿宋" w:hAnsi="仿宋" w:eastAsia="仿宋" w:cs="仿宋"/>
        </w:rPr>
      </w:pPr>
      <w:r>
        <w:rPr>
          <w:rFonts w:hint="eastAsia" w:ascii="仿宋" w:hAnsi="仿宋" w:eastAsia="仿宋" w:cs="仿宋"/>
        </w:rPr>
        <w:t>1.1.1.10、具备腔镜照明模式。</w:t>
      </w:r>
    </w:p>
    <w:p w14:paraId="6CF41D34">
      <w:pPr>
        <w:pStyle w:val="2"/>
        <w:spacing w:line="360" w:lineRule="auto"/>
        <w:ind w:firstLine="0"/>
        <w:rPr>
          <w:rFonts w:ascii="仿宋" w:hAnsi="仿宋" w:eastAsia="仿宋" w:cs="仿宋"/>
        </w:rPr>
      </w:pPr>
      <w:r>
        <w:rPr>
          <w:rFonts w:hint="eastAsia" w:ascii="仿宋" w:hAnsi="仿宋" w:eastAsia="仿宋" w:cs="仿宋"/>
        </w:rPr>
        <w:t>1.1.2、控制面板：配备灯头控制面板和墙式控制面板，具备开关、照明亮度、色温、光斑调节功能，可双灯头同步调节。</w:t>
      </w:r>
    </w:p>
    <w:p w14:paraId="6C114508">
      <w:pPr>
        <w:pStyle w:val="2"/>
        <w:spacing w:line="360" w:lineRule="auto"/>
        <w:ind w:firstLine="0"/>
        <w:rPr>
          <w:rFonts w:ascii="仿宋" w:hAnsi="仿宋" w:eastAsia="仿宋" w:cs="仿宋"/>
        </w:rPr>
      </w:pPr>
      <w:r>
        <w:rPr>
          <w:rFonts w:hint="eastAsia" w:ascii="仿宋" w:hAnsi="仿宋" w:eastAsia="仿宋" w:cs="仿宋"/>
        </w:rPr>
        <w:t>1.1.3、手柄：</w:t>
      </w:r>
    </w:p>
    <w:p w14:paraId="6D922888">
      <w:pPr>
        <w:pStyle w:val="2"/>
        <w:spacing w:line="360" w:lineRule="auto"/>
        <w:ind w:firstLine="0"/>
        <w:rPr>
          <w:rFonts w:ascii="仿宋" w:hAnsi="仿宋" w:eastAsia="仿宋" w:cs="仿宋"/>
        </w:rPr>
      </w:pPr>
      <w:r>
        <w:rPr>
          <w:rFonts w:hint="eastAsia" w:ascii="仿宋" w:hAnsi="仿宋" w:eastAsia="仿宋" w:cs="仿宋"/>
        </w:rPr>
        <w:t>1.1.3.1、可徒手安装拆卸，拆卸时灯不位移；手柄灭菌方式支持高温高压蒸汽灭菌。</w:t>
      </w:r>
    </w:p>
    <w:p w14:paraId="1B29E783">
      <w:pPr>
        <w:pStyle w:val="2"/>
        <w:spacing w:line="360" w:lineRule="auto"/>
        <w:ind w:firstLine="0"/>
        <w:rPr>
          <w:rFonts w:ascii="仿宋" w:hAnsi="仿宋" w:eastAsia="仿宋" w:cs="仿宋"/>
        </w:rPr>
      </w:pPr>
      <w:r>
        <w:rPr>
          <w:rFonts w:hint="eastAsia" w:ascii="仿宋" w:hAnsi="仿宋" w:eastAsia="仿宋" w:cs="仿宋"/>
        </w:rPr>
        <w:t>1.1.3.2、手柄具备控制功能，可调节光照度、光斑直径和色温。</w:t>
      </w:r>
    </w:p>
    <w:p w14:paraId="31A35B0A">
      <w:pPr>
        <w:pStyle w:val="2"/>
        <w:spacing w:line="360" w:lineRule="auto"/>
        <w:ind w:firstLine="0"/>
        <w:rPr>
          <w:rFonts w:ascii="仿宋" w:hAnsi="仿宋" w:eastAsia="仿宋" w:cs="仿宋"/>
        </w:rPr>
      </w:pPr>
      <w:r>
        <w:rPr>
          <w:rFonts w:hint="eastAsia" w:ascii="仿宋" w:hAnsi="仿宋" w:eastAsia="仿宋" w:cs="仿宋"/>
        </w:rPr>
        <w:t>1.1.4、悬吊系统：</w:t>
      </w:r>
    </w:p>
    <w:p w14:paraId="62E86F4A">
      <w:pPr>
        <w:pStyle w:val="2"/>
        <w:spacing w:line="360" w:lineRule="auto"/>
        <w:ind w:firstLine="0"/>
        <w:rPr>
          <w:rFonts w:ascii="仿宋" w:hAnsi="仿宋" w:eastAsia="仿宋" w:cs="仿宋"/>
          <w:b/>
          <w:bCs/>
        </w:rPr>
      </w:pPr>
      <w:r>
        <w:rPr>
          <w:rFonts w:hint="eastAsia" w:ascii="仿宋" w:hAnsi="仿宋" w:eastAsia="仿宋" w:cs="仿宋"/>
          <w:b/>
          <w:bCs/>
        </w:rPr>
        <w:t>★1.1.4.1、配备无影灯吊臂2个，显示器吊臂2个。</w:t>
      </w:r>
    </w:p>
    <w:p w14:paraId="0A024FDD">
      <w:pPr>
        <w:pStyle w:val="2"/>
        <w:spacing w:line="360" w:lineRule="auto"/>
        <w:ind w:firstLine="0"/>
        <w:rPr>
          <w:rFonts w:ascii="仿宋" w:hAnsi="仿宋" w:eastAsia="仿宋" w:cs="仿宋"/>
        </w:rPr>
      </w:pPr>
      <w:r>
        <w:rPr>
          <w:rFonts w:hint="eastAsia" w:ascii="仿宋" w:hAnsi="仿宋" w:eastAsia="仿宋" w:cs="仿宋"/>
        </w:rPr>
        <w:t>1.1.4.2、4个吊臂可同一法兰下安装也可不同法兰下安装。</w:t>
      </w:r>
    </w:p>
    <w:p w14:paraId="15BE8CEE">
      <w:pPr>
        <w:pStyle w:val="2"/>
        <w:spacing w:line="360" w:lineRule="auto"/>
        <w:ind w:firstLine="0"/>
        <w:rPr>
          <w:rFonts w:ascii="仿宋" w:hAnsi="仿宋" w:eastAsia="仿宋" w:cs="仿宋"/>
        </w:rPr>
      </w:pPr>
      <w:r>
        <w:rPr>
          <w:rFonts w:hint="eastAsia" w:ascii="仿宋" w:hAnsi="仿宋" w:eastAsia="仿宋" w:cs="仿宋"/>
        </w:rPr>
        <w:t>1.1.4.3、无影灯吊臂：</w:t>
      </w:r>
    </w:p>
    <w:p w14:paraId="4A31506A">
      <w:pPr>
        <w:pStyle w:val="2"/>
        <w:spacing w:line="360" w:lineRule="auto"/>
        <w:ind w:firstLine="0"/>
        <w:rPr>
          <w:rFonts w:ascii="仿宋" w:hAnsi="仿宋" w:eastAsia="仿宋" w:cs="仿宋"/>
        </w:rPr>
      </w:pPr>
      <w:r>
        <w:rPr>
          <w:rFonts w:hint="eastAsia" w:ascii="仿宋" w:hAnsi="仿宋" w:eastAsia="仿宋" w:cs="仿宋"/>
        </w:rPr>
        <w:t>1.1.4.3.1、横臂臂长+弹簧臂臂长：≥1600mm。</w:t>
      </w:r>
    </w:p>
    <w:p w14:paraId="60E6D70F">
      <w:pPr>
        <w:pStyle w:val="2"/>
        <w:spacing w:line="360" w:lineRule="auto"/>
        <w:ind w:firstLine="0"/>
        <w:rPr>
          <w:rFonts w:ascii="仿宋" w:hAnsi="仿宋" w:eastAsia="仿宋" w:cs="仿宋"/>
        </w:rPr>
      </w:pPr>
      <w:r>
        <w:rPr>
          <w:rFonts w:hint="eastAsia" w:ascii="仿宋" w:hAnsi="仿宋" w:eastAsia="仿宋" w:cs="仿宋"/>
        </w:rPr>
        <w:t>1.1.4.3.2、横臂绕中轴旋转角度≥330°，弹簧臂绕横臂旋转角度≥330°，灯头绕万向架旋转角度≥310°。</w:t>
      </w:r>
    </w:p>
    <w:p w14:paraId="12D55183">
      <w:pPr>
        <w:pStyle w:val="2"/>
        <w:spacing w:line="360" w:lineRule="auto"/>
        <w:ind w:firstLine="0"/>
        <w:rPr>
          <w:rFonts w:ascii="仿宋" w:hAnsi="仿宋" w:eastAsia="仿宋" w:cs="仿宋"/>
        </w:rPr>
      </w:pPr>
      <w:r>
        <w:rPr>
          <w:rFonts w:hint="eastAsia" w:ascii="仿宋" w:hAnsi="仿宋" w:eastAsia="仿宋" w:cs="仿宋"/>
        </w:rPr>
        <w:t>1.1.4.3、显示器吊臂：</w:t>
      </w:r>
    </w:p>
    <w:p w14:paraId="1CA4DA1F">
      <w:pPr>
        <w:pStyle w:val="2"/>
        <w:spacing w:line="360" w:lineRule="auto"/>
        <w:ind w:firstLine="0"/>
        <w:rPr>
          <w:rFonts w:ascii="仿宋" w:hAnsi="仿宋" w:eastAsia="仿宋" w:cs="仿宋"/>
        </w:rPr>
      </w:pPr>
      <w:r>
        <w:rPr>
          <w:rFonts w:hint="eastAsia" w:ascii="仿宋" w:hAnsi="仿宋" w:eastAsia="仿宋" w:cs="仿宋"/>
        </w:rPr>
        <w:t>1.1.4.3.1、横臂臂长+弹簧臂臂长≥1600mm。</w:t>
      </w:r>
    </w:p>
    <w:p w14:paraId="7B508E55">
      <w:pPr>
        <w:pStyle w:val="2"/>
        <w:spacing w:line="360" w:lineRule="auto"/>
        <w:ind w:firstLine="0"/>
        <w:rPr>
          <w:rFonts w:ascii="仿宋" w:hAnsi="仿宋" w:eastAsia="仿宋" w:cs="仿宋"/>
        </w:rPr>
      </w:pPr>
      <w:r>
        <w:rPr>
          <w:rFonts w:hint="eastAsia" w:ascii="仿宋" w:hAnsi="仿宋" w:eastAsia="仿宋" w:cs="仿宋"/>
        </w:rPr>
        <w:t>1.1.4.3.2、横臂绕中轴旋转角度≥270°，弹簧臂绕横臂旋转角度≥330°，显示器旋转角度≥310°。</w:t>
      </w:r>
    </w:p>
    <w:p w14:paraId="1E968F71">
      <w:pPr>
        <w:pStyle w:val="2"/>
        <w:spacing w:line="360" w:lineRule="auto"/>
        <w:ind w:firstLine="0"/>
        <w:rPr>
          <w:rFonts w:hint="eastAsia" w:ascii="仿宋" w:hAnsi="仿宋" w:eastAsia="仿宋" w:cs="仿宋"/>
        </w:rPr>
      </w:pPr>
      <w:r>
        <w:rPr>
          <w:rFonts w:hint="eastAsia" w:ascii="仿宋" w:hAnsi="仿宋" w:eastAsia="仿宋" w:cs="仿宋"/>
        </w:rPr>
        <w:t>1.1.4.3.3、适配显示器尺寸范围：26英寸～32英寸，适配显示器重量：5Kg～20Kg。</w:t>
      </w:r>
    </w:p>
    <w:p w14:paraId="5C71401F">
      <w:pPr>
        <w:pStyle w:val="2"/>
        <w:spacing w:line="360" w:lineRule="auto"/>
        <w:ind w:firstLine="0"/>
        <w:rPr>
          <w:rFonts w:ascii="仿宋" w:hAnsi="仿宋" w:eastAsia="仿宋" w:cs="仿宋"/>
        </w:rPr>
      </w:pPr>
      <w:bookmarkStart w:id="5" w:name="_GoBack"/>
      <w:bookmarkEnd w:id="5"/>
      <w:r>
        <w:rPr>
          <w:rFonts w:hint="eastAsia" w:ascii="仿宋" w:hAnsi="仿宋" w:eastAsia="仿宋" w:cs="仿宋"/>
        </w:rPr>
        <w:t>1.1.4.3.4、每个显示器吊臂穿制2根视频传输线，视频传输线支持选择12G-SDI和HDMI2.0，可兼容4K和高清信号传输；12G-SDI视频传输线满足多层屏蔽设计，接头为镀金或镀镍高屏蔽规格，采用360°环接。</w:t>
      </w:r>
    </w:p>
    <w:p w14:paraId="7FB5DF2B">
      <w:pPr>
        <w:pStyle w:val="2"/>
        <w:spacing w:line="360" w:lineRule="auto"/>
        <w:ind w:firstLine="0"/>
        <w:rPr>
          <w:rFonts w:ascii="仿宋" w:hAnsi="仿宋" w:eastAsia="仿宋" w:cs="仿宋"/>
        </w:rPr>
      </w:pPr>
      <w:r>
        <w:rPr>
          <w:rFonts w:hint="eastAsia" w:ascii="仿宋" w:hAnsi="仿宋" w:eastAsia="仿宋" w:cs="仿宋"/>
        </w:rPr>
        <w:t>1.1.4.3.5、提供与医院现有设备对接所需的信号转换器、视频传输线、显示器挂架和线缆收纳后盖等。</w:t>
      </w:r>
    </w:p>
    <w:p w14:paraId="7F3F62C3">
      <w:pPr>
        <w:pStyle w:val="2"/>
        <w:spacing w:line="360" w:lineRule="auto"/>
        <w:ind w:firstLine="0"/>
        <w:rPr>
          <w:rFonts w:ascii="仿宋" w:hAnsi="仿宋" w:eastAsia="仿宋" w:cs="仿宋"/>
        </w:rPr>
      </w:pPr>
      <w:r>
        <w:rPr>
          <w:rFonts w:hint="eastAsia" w:ascii="仿宋" w:hAnsi="仿宋" w:eastAsia="仿宋" w:cs="仿宋"/>
        </w:rPr>
        <w:t>1.1.5、使用期限≥10年（提供铭牌照片或说明书证明）。</w:t>
      </w:r>
    </w:p>
    <w:p w14:paraId="3DBCD3A4">
      <w:pPr>
        <w:pStyle w:val="2"/>
        <w:spacing w:before="120" w:line="360" w:lineRule="auto"/>
        <w:ind w:firstLine="0"/>
        <w:rPr>
          <w:rFonts w:ascii="仿宋" w:hAnsi="仿宋" w:eastAsia="仿宋" w:cs="仿宋"/>
          <w:b/>
          <w:bCs/>
        </w:rPr>
      </w:pPr>
      <w:r>
        <w:rPr>
          <w:rFonts w:hint="eastAsia" w:ascii="仿宋" w:hAnsi="仿宋" w:eastAsia="仿宋" w:cs="仿宋"/>
          <w:b/>
          <w:bCs/>
        </w:rPr>
        <w:t>★1.1.6、安装场地顶板为钢筋混凝土结构，结构强度C30，楼板厚度9cm，楼板上面层厚度5cm，空间有限无法加梁加固。投标产品可满足以上基建条件下安装和安全使用，如需采用贯穿楼板加预埋板形式安装，预埋板、支架、法兰盘等辅件和施工均由供应商承担，施工方案报医院工程修缮科确认后实施。投标人应提供承诺函并加盖公章。</w:t>
      </w:r>
    </w:p>
    <w:p w14:paraId="10101DB6">
      <w:pPr>
        <w:pStyle w:val="2"/>
        <w:spacing w:before="156" w:beforeLines="50" w:line="360" w:lineRule="auto"/>
        <w:ind w:firstLine="0"/>
        <w:rPr>
          <w:rFonts w:ascii="仿宋" w:hAnsi="仿宋" w:eastAsia="仿宋"/>
          <w:b/>
        </w:rPr>
      </w:pPr>
      <w:r>
        <w:rPr>
          <w:rFonts w:hint="eastAsia" w:ascii="仿宋" w:hAnsi="仿宋" w:eastAsia="仿宋"/>
          <w:b/>
        </w:rPr>
        <w:t>★1.2、配置清单（每套）：（投标人针对★条款以下配置应提供加盖投标人公章的配置清单）</w:t>
      </w:r>
    </w:p>
    <w:p w14:paraId="55508E81">
      <w:pPr>
        <w:pStyle w:val="2"/>
        <w:spacing w:before="156" w:beforeLines="50" w:line="360" w:lineRule="auto"/>
        <w:rPr>
          <w:rFonts w:ascii="仿宋" w:hAnsi="仿宋" w:eastAsia="仿宋"/>
          <w:b/>
        </w:rPr>
      </w:pPr>
      <w:r>
        <w:rPr>
          <w:rFonts w:hint="eastAsia" w:ascii="仿宋" w:hAnsi="仿宋" w:eastAsia="仿宋"/>
          <w:b/>
        </w:rPr>
        <w:t>1.2.1、手术无影灯（双母灯）：1套。</w:t>
      </w:r>
    </w:p>
    <w:p w14:paraId="0E77DE55">
      <w:pPr>
        <w:pStyle w:val="2"/>
        <w:spacing w:before="156" w:beforeLines="50" w:line="360" w:lineRule="auto"/>
        <w:rPr>
          <w:rFonts w:ascii="仿宋" w:hAnsi="仿宋" w:eastAsia="仿宋"/>
          <w:b/>
        </w:rPr>
      </w:pPr>
      <w:r>
        <w:rPr>
          <w:rFonts w:hint="eastAsia" w:ascii="仿宋" w:hAnsi="仿宋" w:eastAsia="仿宋"/>
          <w:b/>
        </w:rPr>
        <w:t>1.2.2、灯头控制面板：2个。</w:t>
      </w:r>
    </w:p>
    <w:p w14:paraId="279912D6">
      <w:pPr>
        <w:pStyle w:val="2"/>
        <w:spacing w:before="156" w:beforeLines="50" w:line="360" w:lineRule="auto"/>
        <w:rPr>
          <w:rFonts w:ascii="仿宋" w:hAnsi="仿宋" w:eastAsia="仿宋"/>
          <w:b/>
        </w:rPr>
      </w:pPr>
      <w:r>
        <w:rPr>
          <w:rFonts w:hint="eastAsia" w:ascii="仿宋" w:hAnsi="仿宋" w:eastAsia="仿宋"/>
          <w:b/>
        </w:rPr>
        <w:t>1.2.3、墙式控制面板：1个。</w:t>
      </w:r>
    </w:p>
    <w:p w14:paraId="367458CF">
      <w:pPr>
        <w:pStyle w:val="2"/>
        <w:spacing w:before="156" w:beforeLines="50" w:line="360" w:lineRule="auto"/>
        <w:rPr>
          <w:rFonts w:ascii="仿宋" w:hAnsi="仿宋" w:eastAsia="仿宋"/>
          <w:b/>
        </w:rPr>
      </w:pPr>
      <w:r>
        <w:rPr>
          <w:rFonts w:hint="eastAsia" w:ascii="仿宋" w:hAnsi="仿宋" w:eastAsia="仿宋"/>
          <w:b/>
        </w:rPr>
        <w:t>1.2.4、无影灯手柄：4个。</w:t>
      </w:r>
    </w:p>
    <w:p w14:paraId="287FD877">
      <w:pPr>
        <w:pStyle w:val="2"/>
        <w:spacing w:before="156" w:beforeLines="50" w:line="360" w:lineRule="auto"/>
        <w:rPr>
          <w:rFonts w:ascii="仿宋" w:hAnsi="仿宋" w:eastAsia="仿宋"/>
          <w:b/>
        </w:rPr>
      </w:pPr>
      <w:r>
        <w:rPr>
          <w:rFonts w:hint="eastAsia" w:ascii="仿宋" w:hAnsi="仿宋" w:eastAsia="仿宋"/>
          <w:b/>
        </w:rPr>
        <w:t>1.2.5、无影灯吊臂：2个。</w:t>
      </w:r>
    </w:p>
    <w:p w14:paraId="4BA009D9">
      <w:pPr>
        <w:pStyle w:val="2"/>
        <w:spacing w:before="156" w:beforeLines="50" w:line="360" w:lineRule="auto"/>
        <w:rPr>
          <w:rFonts w:ascii="仿宋" w:hAnsi="仿宋" w:eastAsia="仿宋"/>
          <w:b/>
        </w:rPr>
      </w:pPr>
      <w:r>
        <w:rPr>
          <w:rFonts w:hint="eastAsia" w:ascii="仿宋" w:hAnsi="仿宋" w:eastAsia="仿宋"/>
          <w:b/>
        </w:rPr>
        <w:t>1.2.6、显示器吊臂：2个。</w:t>
      </w:r>
    </w:p>
    <w:p w14:paraId="55A6A1A6">
      <w:pPr>
        <w:pStyle w:val="2"/>
        <w:spacing w:before="156" w:beforeLines="50" w:line="360" w:lineRule="auto"/>
        <w:rPr>
          <w:rFonts w:ascii="仿宋" w:hAnsi="仿宋" w:eastAsia="仿宋"/>
          <w:b/>
        </w:rPr>
      </w:pPr>
      <w:r>
        <w:rPr>
          <w:rFonts w:hint="eastAsia" w:ascii="仿宋" w:hAnsi="仿宋" w:eastAsia="仿宋"/>
          <w:b/>
        </w:rPr>
        <w:t>1.2.7、视频传输线（穿于吊臂和吊塔内）：4根。</w:t>
      </w:r>
    </w:p>
    <w:p w14:paraId="749432A5">
      <w:pPr>
        <w:pStyle w:val="2"/>
        <w:spacing w:before="156" w:beforeLines="50" w:line="360" w:lineRule="auto"/>
        <w:rPr>
          <w:rFonts w:ascii="仿宋" w:hAnsi="仿宋" w:eastAsia="仿宋"/>
          <w:b/>
        </w:rPr>
      </w:pPr>
      <w:r>
        <w:rPr>
          <w:rFonts w:hint="eastAsia" w:ascii="仿宋" w:hAnsi="仿宋" w:eastAsia="仿宋"/>
          <w:b/>
        </w:rPr>
        <w:t>1.2.8、视频传输线（连接设备）：4根。</w:t>
      </w:r>
    </w:p>
    <w:p w14:paraId="7467DFDF">
      <w:pPr>
        <w:pStyle w:val="2"/>
        <w:spacing w:before="156" w:beforeLines="50" w:line="360" w:lineRule="auto"/>
        <w:rPr>
          <w:rFonts w:ascii="仿宋" w:hAnsi="仿宋" w:eastAsia="仿宋"/>
          <w:b/>
        </w:rPr>
      </w:pPr>
      <w:r>
        <w:rPr>
          <w:rFonts w:hint="eastAsia" w:ascii="仿宋" w:hAnsi="仿宋" w:eastAsia="仿宋"/>
          <w:b/>
        </w:rPr>
        <w:t>1.2.9、信号转换器（DVI转HDMI、DVI转SDI）：2个。</w:t>
      </w:r>
    </w:p>
    <w:p w14:paraId="500458A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51C92AF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w:t>
      </w:r>
      <w:r>
        <w:rPr>
          <w:rFonts w:hint="eastAsia" w:ascii="仿宋" w:hAnsi="仿宋" w:eastAsia="仿宋"/>
          <w:sz w:val="24"/>
        </w:rPr>
        <w:t>投标人应有能力做好售后服务工作和提供技术保障。投标人或投标产品制造商应设有专业的售后服务维修机构，有充足的零件储备和能力相当的技术服务人员，并保证投标产品停产后10年的备件供应。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2D82706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001F8A2C">
      <w:pPr>
        <w:spacing w:line="360" w:lineRule="auto"/>
        <w:ind w:firstLine="480" w:firstLineChars="200"/>
        <w:rPr>
          <w:rFonts w:ascii="仿宋" w:hAnsi="仿宋" w:eastAsia="仿宋" w:cs="宋体"/>
          <w:sz w:val="24"/>
        </w:rPr>
      </w:pPr>
      <w:r>
        <w:rPr>
          <w:rFonts w:hint="eastAsia" w:ascii="仿宋" w:hAnsi="仿宋" w:eastAsia="仿宋" w:cs="宋体"/>
          <w:sz w:val="24"/>
        </w:rPr>
        <w:t>3.1.</w:t>
      </w:r>
      <w:r>
        <w:rPr>
          <w:rFonts w:ascii="仿宋" w:hAnsi="仿宋" w:eastAsia="仿宋"/>
          <w:sz w:val="24"/>
        </w:rPr>
        <w:t>促进中小企业发展政策：</w:t>
      </w:r>
      <w:r>
        <w:rPr>
          <w:rFonts w:hint="eastAsia" w:ascii="仿宋" w:hAnsi="仿宋" w:eastAsia="仿宋"/>
          <w:sz w:val="24"/>
        </w:rPr>
        <w:t>根据《政府采购促进中小企业发展管理办法》规定，本项目采购货物为中型或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5047088">
      <w:pPr>
        <w:spacing w:line="360" w:lineRule="auto"/>
        <w:ind w:firstLine="480" w:firstLineChars="200"/>
        <w:rPr>
          <w:rFonts w:ascii="仿宋" w:hAnsi="仿宋" w:eastAsia="仿宋" w:cs="宋体"/>
          <w:sz w:val="24"/>
        </w:rPr>
      </w:pPr>
      <w:r>
        <w:rPr>
          <w:rFonts w:hint="eastAsia" w:ascii="仿宋" w:hAnsi="仿宋" w:eastAsia="仿宋" w:cs="宋体"/>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65DF43D">
      <w:pPr>
        <w:spacing w:line="360" w:lineRule="auto"/>
        <w:rPr>
          <w:rFonts w:ascii="仿宋" w:hAnsi="仿宋" w:eastAsia="仿宋" w:cs="宋体"/>
          <w:sz w:val="24"/>
        </w:rPr>
      </w:pPr>
      <w:r>
        <w:rPr>
          <w:rFonts w:hint="eastAsia" w:ascii="仿宋" w:hAnsi="仿宋" w:eastAsia="仿宋" w:cs="宋体"/>
          <w:sz w:val="24"/>
        </w:rPr>
        <w:t>3.3.促进残疾人就业政府采购政策：根据《三部门联合发布关于促进残疾人就业政府采购政策的通知》（财库〔</w:t>
      </w:r>
      <w:r>
        <w:rPr>
          <w:rFonts w:ascii="仿宋" w:hAnsi="仿宋" w:eastAsia="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D6FA06C">
      <w:pPr>
        <w:spacing w:line="360" w:lineRule="auto"/>
        <w:ind w:firstLine="480" w:firstLineChars="200"/>
        <w:rPr>
          <w:rFonts w:ascii="仿宋" w:hAnsi="仿宋" w:eastAsia="仿宋" w:cs="宋体"/>
          <w:sz w:val="24"/>
        </w:rPr>
      </w:pPr>
      <w:r>
        <w:rPr>
          <w:rFonts w:hint="eastAsia" w:ascii="仿宋" w:hAnsi="仿宋" w:eastAsia="仿宋" w:cs="宋体"/>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3E6A4E63">
      <w:pPr>
        <w:spacing w:line="360" w:lineRule="auto"/>
        <w:ind w:firstLine="480" w:firstLineChars="200"/>
        <w:rPr>
          <w:rFonts w:ascii="仿宋" w:hAnsi="仿宋" w:eastAsia="仿宋" w:cs="宋体"/>
          <w:sz w:val="24"/>
        </w:rPr>
      </w:pPr>
      <w:r>
        <w:rPr>
          <w:rFonts w:hint="eastAsia" w:ascii="仿宋" w:hAnsi="仿宋" w:eastAsia="仿宋" w:cs="宋体"/>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0F4E0F40">
      <w:pPr>
        <w:spacing w:line="360" w:lineRule="auto"/>
        <w:ind w:firstLine="480" w:firstLineChars="200"/>
        <w:rPr>
          <w:rFonts w:ascii="仿宋" w:hAnsi="仿宋" w:eastAsia="仿宋" w:cs="宋体"/>
          <w:sz w:val="24"/>
        </w:rPr>
      </w:pPr>
      <w:bookmarkStart w:id="2" w:name="OLE_LINK113"/>
      <w:r>
        <w:rPr>
          <w:rFonts w:hint="eastAsia" w:ascii="仿宋" w:hAnsi="仿宋" w:eastAsia="仿宋" w:cs="宋体"/>
          <w:sz w:val="24"/>
        </w:rPr>
        <w:t>3.6.实施本国产品标准及相关政策：依据《</w:t>
      </w:r>
      <w:r>
        <w:rPr>
          <w:rFonts w:hint="eastAsia" w:ascii="仿宋" w:hAnsi="仿宋" w:eastAsia="仿宋" w:cs="宋体"/>
          <w:color w:val="000000"/>
          <w:sz w:val="24"/>
          <w:shd w:val="clear" w:color="auto" w:fill="FFFFFF"/>
        </w:rPr>
        <w:t>国务院办公厅关于在政府采购中实施本国产品标准及相关政策的通知</w:t>
      </w:r>
      <w:r>
        <w:rPr>
          <w:rFonts w:hint="eastAsia" w:ascii="仿宋" w:hAnsi="仿宋" w:eastAsia="仿宋" w:cs="宋体"/>
          <w:sz w:val="24"/>
        </w:rPr>
        <w:t>》（国办发〔2025〕34号）规定，本项目供应商所投产品</w:t>
      </w:r>
      <w:r>
        <w:rPr>
          <w:rFonts w:hint="eastAsia" w:ascii="仿宋" w:hAnsi="仿宋" w:eastAsia="仿宋" w:cs="宋体"/>
          <w:color w:val="000000"/>
          <w:sz w:val="24"/>
          <w:shd w:val="clear" w:color="auto" w:fill="FFFFFF"/>
        </w:rPr>
        <w:t>在中国境内生产，即在中华人民共和国关境内实现从原材料、组件到产品的属性改变。且在中国境内生产的组件成本占比应当达到规定比例</w:t>
      </w:r>
      <w:r>
        <w:rPr>
          <w:rFonts w:hint="eastAsia" w:ascii="仿宋" w:hAnsi="仿宋" w:eastAsia="仿宋" w:cs="宋体"/>
          <w:sz w:val="24"/>
        </w:rPr>
        <w:t>，</w:t>
      </w:r>
      <w:r>
        <w:rPr>
          <w:rFonts w:hint="eastAsia" w:ascii="仿宋" w:hAnsi="仿宋" w:eastAsia="仿宋" w:cs="宋体"/>
          <w:color w:val="000000"/>
          <w:sz w:val="24"/>
          <w:shd w:val="clear" w:color="auto" w:fill="FFFFFF"/>
        </w:rPr>
        <w:t>依法对本国产品给予价格评审优惠，对本国产品的报价给予20%的价格扣除，用扣除后的价格参与评审。</w:t>
      </w:r>
      <w:bookmarkStart w:id="3" w:name="OLE_LINK56"/>
      <w:bookmarkStart w:id="4" w:name="OLE_LINK55"/>
      <w:r>
        <w:rPr>
          <w:rFonts w:hint="eastAsia" w:ascii="仿宋" w:hAnsi="仿宋" w:eastAsia="仿宋" w:cs="宋体"/>
          <w:b/>
          <w:color w:val="000000"/>
          <w:sz w:val="24"/>
          <w:shd w:val="clear" w:color="auto" w:fill="FFFFFF"/>
        </w:rPr>
        <w:t>投标人</w:t>
      </w:r>
      <w:bookmarkEnd w:id="3"/>
      <w:bookmarkEnd w:id="4"/>
      <w:r>
        <w:rPr>
          <w:rFonts w:hint="eastAsia" w:ascii="仿宋" w:hAnsi="仿宋" w:eastAsia="仿宋" w:cs="宋体"/>
          <w:b/>
          <w:bCs/>
          <w:sz w:val="24"/>
        </w:rPr>
        <w:t>应出具招标文件要求的证明材料给予证明，否则评标时不予认可</w:t>
      </w:r>
      <w:r>
        <w:rPr>
          <w:rFonts w:hint="eastAsia" w:ascii="仿宋" w:hAnsi="仿宋" w:eastAsia="仿宋" w:cs="宋体"/>
          <w:sz w:val="24"/>
        </w:rPr>
        <w:t>。</w:t>
      </w:r>
      <w:r>
        <w:rPr>
          <w:rFonts w:hint="eastAsia" w:ascii="仿宋" w:hAnsi="仿宋" w:eastAsia="仿宋" w:cs="宋体"/>
          <w:b/>
          <w:color w:val="000000"/>
          <w:sz w:val="24"/>
          <w:shd w:val="clear" w:color="auto" w:fill="FFFFFF"/>
        </w:rPr>
        <w:t>投标人</w:t>
      </w:r>
      <w:r>
        <w:rPr>
          <w:rFonts w:hint="eastAsia" w:ascii="仿宋" w:hAnsi="仿宋" w:eastAsia="仿宋" w:cs="宋体"/>
          <w:b/>
          <w:bCs/>
          <w:sz w:val="24"/>
        </w:rPr>
        <w:t>应对提交的证明材料真实性负责，</w:t>
      </w:r>
      <w:r>
        <w:rPr>
          <w:rFonts w:hint="eastAsia" w:ascii="仿宋" w:hAnsi="仿宋" w:eastAsia="仿宋" w:cs="宋体"/>
          <w:sz w:val="24"/>
        </w:rPr>
        <w:t>提交证明材料不真实的，应承担相应的法律责任。</w:t>
      </w:r>
      <w:bookmarkEnd w:id="2"/>
    </w:p>
    <w:p w14:paraId="40ABB13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15BA4FD8">
      <w:pPr>
        <w:tabs>
          <w:tab w:val="left" w:pos="900"/>
          <w:tab w:val="left" w:pos="7160"/>
        </w:tabs>
        <w:spacing w:line="360" w:lineRule="auto"/>
        <w:ind w:firstLine="482" w:firstLineChars="200"/>
        <w:rPr>
          <w:rFonts w:ascii="仿宋" w:hAnsi="仿宋" w:eastAsia="仿宋"/>
          <w:b/>
          <w:sz w:val="24"/>
        </w:rPr>
      </w:pPr>
      <w:r>
        <w:rPr>
          <w:rFonts w:hint="eastAsia" w:ascii="仿宋" w:hAnsi="仿宋" w:eastAsia="仿宋"/>
          <w:b/>
          <w:sz w:val="24"/>
        </w:rPr>
        <w:t>4.1.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795C22D">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4.2.投标人所提供的部件之间及设备之间的连线或接插件均视为设备内部部件，应包含在相应的配置中。</w:t>
      </w:r>
    </w:p>
    <w:p w14:paraId="3746EE5F">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4.3.工作条件：除了在技术规格中另有规定外，投标人提供的一切仪器、设备和系统，应符合下列条件：</w:t>
      </w:r>
    </w:p>
    <w:p w14:paraId="37338AEE">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1）仪器设备的插头要符合中国电工标准。如不符合，则应提供适合仪器插头的插座，必须要有接地。</w:t>
      </w:r>
    </w:p>
    <w:p w14:paraId="4F658CD3">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2）如果仪器设备需特殊的工作条件（如：水、电源、磁场强度、特殊温度、湿度、震动强度等），投标人应在有关投标文件中加以说明。</w:t>
      </w:r>
    </w:p>
    <w:p w14:paraId="05D8559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5759558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19321E2B">
      <w:pPr>
        <w:pStyle w:val="2"/>
        <w:rPr>
          <w:rFonts w:ascii="仿宋" w:hAnsi="仿宋" w:eastAsia="仿宋"/>
        </w:rPr>
      </w:pPr>
    </w:p>
    <w:p w14:paraId="32BC051B">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14:paraId="721C9A19">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1、生产日期：设备生产日期应在到货验收时间6个月以内。如为医疗器械，生产日期应在投标文件所提供的医疗器械注册证有效期范围内。</w:t>
      </w:r>
    </w:p>
    <w:p w14:paraId="4E50A140">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2、到货验收：供货商负责按医学工程处要求将设备送至指定交货地点。</w:t>
      </w:r>
    </w:p>
    <w:p w14:paraId="0646EAF2">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3、安装要求：</w:t>
      </w:r>
    </w:p>
    <w:p w14:paraId="69AFFF75">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第1包：提供项目安装及所需全部辅件，包括但不限于预埋板，支架，预埋件，法兰，以及与采购人现有气源、电源和网络连接所需的线材、接头等；负责术间原有旧设备的拆卸。负责按照厂家和采购人要求完成设备的安装和调试。严格按照采购人施工消防安全责任书要求作业，涉及动火作业的须按照采购人程序办理动火备案，并缴纳保证金。由于未提前办理备案导致的工期延误，由中标人自行承担责任。</w:t>
      </w:r>
    </w:p>
    <w:p w14:paraId="1FE81887">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第2包：提供项目安装及所需全部辅件，包括但不限于预埋板，支架，预埋件，法兰，以及与采购人现有电源、腔镜摄像系统连接所需的线材、接头等；负责术间原有旧设备的拆卸。负责按照厂家和采购人要求完成设备的安装和调试。中标人严格按照采购人施工消防安全责任书要求作业，涉及动火作业的须按照采购人程序办理动火备案，并缴纳保证金。由于未提前办理备案导致的工期延误，由中标人自行承担责任。</w:t>
      </w:r>
    </w:p>
    <w:p w14:paraId="2601B189">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4、质量验收：供应商负责提供设备质量合格证明文件，负责按照院方和制造商要求完成设备安装后检测，包括但不限于安装验收检测、计量检测、质控检测等（如涉及）。</w:t>
      </w:r>
    </w:p>
    <w:p w14:paraId="2A049AFB">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5、技术手册：提供完整版中文使用手册和维修维护手册，提供维修密码。</w:t>
      </w:r>
    </w:p>
    <w:p w14:paraId="0DBA4A3B">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3EBE7201">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1、培训要求：对采购人免费提供不限次培训服务，包括但不限于使用操作、维修、维护、检测等。</w:t>
      </w:r>
    </w:p>
    <w:p w14:paraId="2B286F86">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2、维保价格：不超过设备总值的5%。</w:t>
      </w:r>
    </w:p>
    <w:p w14:paraId="494B3561">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3、维护保养：负责按照说明书要求定期进行维护保养，维护记录、保养报告等交医学工程处备案。</w:t>
      </w:r>
    </w:p>
    <w:p w14:paraId="654BB1F0">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4、维修响应：提供7*24小时电话专线技术支持，配有经验丰富的技术工程师和临床应用专家，紧急维修2小时内到场，非紧急维修4小时内或按采购人约定时间到场，并根据采购人需求提供技术支持和咨询服务。</w:t>
      </w:r>
    </w:p>
    <w:p w14:paraId="23F62D04">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5、完好率保障≥95%，超出天数按1：3延长保修期。</w:t>
      </w:r>
    </w:p>
    <w:p w14:paraId="3629AA5A">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6、升级交互：免费开放所有数字通讯接口及协议。终身免费提供系统软件升级更新服务。</w:t>
      </w:r>
    </w:p>
    <w:p w14:paraId="77790580">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7、售后力量：制造商在项目所在地设有售后维修点，并配有厂家培训合格的专业售后工程师。</w:t>
      </w:r>
    </w:p>
    <w:p w14:paraId="78D4F249">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8、备件保证：制造商在中国境内设有备件库，保证10年以上备件供应。</w:t>
      </w:r>
    </w:p>
    <w:p w14:paraId="1C5FE537">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9、易耗品：制造商声明本项目货物是否涉及易耗品，如涉及请提供易耗品清单，包括名称、品牌、规格型号、价格、更换周期。</w:t>
      </w:r>
    </w:p>
    <w:p w14:paraId="39F1BF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F46749"/>
    <w:rsid w:val="3C523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6">
    <w:name w:val="SOW正文"/>
    <w:basedOn w:val="1"/>
    <w:qFormat/>
    <w:uiPriority w:val="0"/>
    <w:pPr>
      <w:snapToGrid w:val="0"/>
      <w:spacing w:before="120" w:line="400" w:lineRule="exact"/>
      <w:ind w:firstLine="425"/>
    </w:pPr>
    <w:rPr>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6519</Words>
  <Characters>7319</Characters>
  <Lines>0</Lines>
  <Paragraphs>0</Paragraphs>
  <TotalTime>0</TotalTime>
  <ScaleCrop>false</ScaleCrop>
  <LinksUpToDate>false</LinksUpToDate>
  <CharactersWithSpaces>7324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2026-09-28T12:50:00Z</dcterms:created>
  <dc:creator>zhang</dc:creator>
  <cp:lastModifiedBy>zhang</cp:lastModifiedBy>
  <dcterms:modified xsi:type="dcterms:W3CDTF">2026-09-29T06:58:18Z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9220B2E154CE4D6E810C278EBE18B742_12</vt:lpwstr>
  </property>
</Properties>
</file>