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0F1C2">
      <w:pPr>
        <w:snapToGrid w:val="0"/>
        <w:spacing w:line="360" w:lineRule="auto"/>
        <w:jc w:val="center"/>
        <w:outlineLvl w:val="0"/>
        <w:rPr>
          <w:rFonts w:ascii="仿宋" w:hAnsi="仿宋" w:eastAsia="仿宋" w:cs="仿宋"/>
          <w:b/>
          <w:sz w:val="40"/>
          <w:szCs w:val="40"/>
        </w:rPr>
      </w:pPr>
      <w:bookmarkStart w:id="0" w:name="_Toc99301424"/>
      <w:r>
        <w:rPr>
          <w:rFonts w:hint="eastAsia" w:ascii="仿宋" w:hAnsi="仿宋" w:eastAsia="仿宋" w:cs="仿宋"/>
          <w:b/>
          <w:sz w:val="40"/>
          <w:szCs w:val="40"/>
        </w:rPr>
        <w:t>第五章   采购需求</w:t>
      </w:r>
      <w:bookmarkEnd w:id="0"/>
    </w:p>
    <w:p w14:paraId="556122FA">
      <w:pPr>
        <w:snapToGrid w:val="0"/>
        <w:spacing w:line="360" w:lineRule="auto"/>
        <w:contextualSpacing/>
        <w:rPr>
          <w:rFonts w:ascii="仿宋" w:hAnsi="仿宋" w:eastAsia="仿宋" w:cs="仿宋"/>
          <w:b/>
          <w:bCs/>
          <w:sz w:val="24"/>
        </w:rPr>
      </w:pPr>
      <w:r>
        <w:rPr>
          <w:rFonts w:hint="eastAsia" w:ascii="仿宋" w:hAnsi="仿宋" w:eastAsia="仿宋" w:cs="仿宋"/>
          <w:b/>
          <w:bCs/>
          <w:sz w:val="24"/>
        </w:rPr>
        <w:t>说明：</w:t>
      </w:r>
    </w:p>
    <w:p w14:paraId="498F3668">
      <w:pPr>
        <w:snapToGrid w:val="0"/>
        <w:spacing w:line="360" w:lineRule="auto"/>
        <w:contextualSpacing/>
        <w:rPr>
          <w:rFonts w:ascii="仿宋" w:hAnsi="仿宋" w:eastAsia="仿宋" w:cs="仿宋"/>
          <w:b/>
          <w:bCs/>
          <w:sz w:val="24"/>
        </w:rPr>
      </w:pPr>
      <w:bookmarkStart w:id="1" w:name="_Hlk167284587"/>
      <w:r>
        <w:rPr>
          <w:rFonts w:hint="eastAsia" w:ascii="仿宋" w:hAnsi="仿宋" w:eastAsia="仿宋" w:cs="仿宋"/>
          <w:b/>
          <w:bCs/>
          <w:sz w:val="24"/>
        </w:rPr>
        <w:t>1. 当采购项目涉及政务信息系统时，采购需求应当符合《政务信息系统政府采购管理暂行办法》（财库〔2017〕210号）的相关要求。</w:t>
      </w:r>
    </w:p>
    <w:p w14:paraId="46F94D25">
      <w:pPr>
        <w:snapToGrid w:val="0"/>
        <w:spacing w:line="360" w:lineRule="auto"/>
        <w:contextualSpacing/>
        <w:rPr>
          <w:rFonts w:ascii="仿宋" w:hAnsi="仿宋" w:eastAsia="仿宋" w:cs="仿宋"/>
          <w:b/>
          <w:bCs/>
          <w:sz w:val="24"/>
        </w:rPr>
      </w:pPr>
      <w:bookmarkStart w:id="2" w:name="_Hlk168431603"/>
      <w:r>
        <w:rPr>
          <w:rFonts w:hint="eastAsia" w:ascii="仿宋" w:hAnsi="仿宋" w:eastAsia="仿宋" w:cs="仿宋"/>
          <w:b/>
          <w:bCs/>
          <w:sz w:val="24"/>
        </w:rPr>
        <w:t>2. 采购人及采购代理机构</w:t>
      </w:r>
      <w:bookmarkStart w:id="5" w:name="_GoBack"/>
      <w:bookmarkEnd w:id="5"/>
      <w:r>
        <w:rPr>
          <w:rFonts w:hint="eastAsia" w:ascii="仿宋" w:hAnsi="仿宋" w:eastAsia="仿宋" w:cs="仿宋"/>
          <w:b/>
          <w:bCs/>
          <w:sz w:val="24"/>
        </w:rPr>
        <w:t>应关注财政部门会同有关部门制定发布的需求标准，结合具体应用场景，根据对应《需求标准》确定采购需求。</w:t>
      </w:r>
    </w:p>
    <w:p w14:paraId="16F78BB7">
      <w:pPr>
        <w:snapToGrid w:val="0"/>
        <w:spacing w:line="360" w:lineRule="auto"/>
        <w:contextualSpacing/>
        <w:rPr>
          <w:rFonts w:ascii="仿宋" w:hAnsi="仿宋" w:eastAsia="仿宋" w:cs="仿宋"/>
          <w:b/>
          <w:bCs/>
          <w:sz w:val="24"/>
        </w:rPr>
      </w:pPr>
      <w:r>
        <w:rPr>
          <w:rFonts w:hint="eastAsia" w:ascii="仿宋" w:hAnsi="仿宋" w:eastAsia="仿宋" w:cs="仿宋"/>
          <w:b/>
          <w:bCs/>
          <w:sz w:val="24"/>
        </w:rPr>
        <w:t>已发布的需求标准如下：</w:t>
      </w:r>
    </w:p>
    <w:p w14:paraId="70495B2F">
      <w:pPr>
        <w:snapToGrid w:val="0"/>
        <w:spacing w:line="360" w:lineRule="auto"/>
        <w:contextualSpacing/>
        <w:rPr>
          <w:rFonts w:ascii="仿宋" w:hAnsi="仿宋" w:eastAsia="仿宋" w:cs="仿宋"/>
          <w:b/>
          <w:bCs/>
          <w:sz w:val="24"/>
        </w:rPr>
      </w:pPr>
      <w:r>
        <w:rPr>
          <w:rFonts w:hint="eastAsia" w:ascii="仿宋" w:hAnsi="仿宋" w:eastAsia="仿宋" w:cs="仿宋"/>
          <w:b/>
          <w:bCs/>
          <w:sz w:val="24"/>
        </w:rPr>
        <w:t>《关于印发〈商品包装政府采购需求标准（试行）〉、〈快递包装政府采购需求标准（试行）〉的通知》（财办库﹝2020﹞123号））</w:t>
      </w:r>
    </w:p>
    <w:p w14:paraId="2FFB3BDA">
      <w:pPr>
        <w:pStyle w:val="9"/>
        <w:snapToGrid w:val="0"/>
        <w:spacing w:before="0" w:beforeAutospacing="0" w:after="0" w:afterAutospacing="0" w:line="360" w:lineRule="auto"/>
        <w:rPr>
          <w:rFonts w:ascii="仿宋" w:hAnsi="仿宋" w:eastAsia="仿宋" w:cs="仿宋"/>
          <w:b/>
          <w:bCs/>
          <w:kern w:val="2"/>
        </w:rPr>
      </w:pPr>
      <w:r>
        <w:rPr>
          <w:rFonts w:hint="eastAsia" w:ascii="仿宋" w:hAnsi="仿宋" w:eastAsia="仿宋" w:cs="仿宋"/>
          <w:b/>
          <w:bCs/>
          <w:kern w:val="2"/>
        </w:rPr>
        <w:t>《绿色数据中心政府采购需求标准（试行）》（财库〔2023〕7号）</w:t>
      </w:r>
    </w:p>
    <w:p w14:paraId="5E092B2E">
      <w:pPr>
        <w:pStyle w:val="9"/>
        <w:snapToGrid w:val="0"/>
        <w:spacing w:before="0" w:beforeAutospacing="0" w:after="0" w:afterAutospacing="0" w:line="360" w:lineRule="auto"/>
        <w:rPr>
          <w:rFonts w:ascii="仿宋" w:hAnsi="仿宋" w:eastAsia="仿宋" w:cs="仿宋"/>
          <w:b/>
          <w:bCs/>
          <w:kern w:val="2"/>
        </w:rPr>
      </w:pPr>
      <w:r>
        <w:rPr>
          <w:rFonts w:hint="eastAsia" w:ascii="仿宋" w:hAnsi="仿宋" w:eastAsia="仿宋" w:cs="仿宋"/>
          <w:b/>
          <w:bCs/>
          <w:kern w:val="2"/>
        </w:rPr>
        <w:t>《台式计算机政府采购需求标准（2023年版）》（财库〔2023〕29号）</w:t>
      </w:r>
    </w:p>
    <w:p w14:paraId="4DAB6356">
      <w:pPr>
        <w:pStyle w:val="9"/>
        <w:snapToGrid w:val="0"/>
        <w:spacing w:before="0" w:beforeAutospacing="0" w:after="0" w:afterAutospacing="0" w:line="360" w:lineRule="auto"/>
        <w:rPr>
          <w:rFonts w:ascii="仿宋" w:hAnsi="仿宋" w:eastAsia="仿宋" w:cs="仿宋"/>
          <w:b/>
          <w:bCs/>
          <w:kern w:val="2"/>
        </w:rPr>
      </w:pPr>
      <w:r>
        <w:rPr>
          <w:rFonts w:hint="eastAsia" w:ascii="仿宋" w:hAnsi="仿宋" w:eastAsia="仿宋" w:cs="仿宋"/>
          <w:b/>
          <w:bCs/>
          <w:kern w:val="2"/>
        </w:rPr>
        <w:t>《便携式计算机政府采购需求标准（2023年版）》（财库〔2023〕30号）</w:t>
      </w:r>
    </w:p>
    <w:p w14:paraId="502B01B7">
      <w:pPr>
        <w:pStyle w:val="9"/>
        <w:snapToGrid w:val="0"/>
        <w:spacing w:before="0" w:beforeAutospacing="0" w:after="0" w:afterAutospacing="0" w:line="360" w:lineRule="auto"/>
        <w:rPr>
          <w:rFonts w:ascii="仿宋" w:hAnsi="仿宋" w:eastAsia="仿宋" w:cs="仿宋"/>
          <w:b/>
          <w:bCs/>
          <w:kern w:val="2"/>
        </w:rPr>
      </w:pPr>
      <w:r>
        <w:rPr>
          <w:rFonts w:hint="eastAsia" w:ascii="仿宋" w:hAnsi="仿宋" w:eastAsia="仿宋" w:cs="仿宋"/>
          <w:b/>
          <w:bCs/>
          <w:kern w:val="2"/>
        </w:rPr>
        <w:t>《一体式计算机政府采购需求标准（2023年版）》（财库〔2023〕31号）</w:t>
      </w:r>
    </w:p>
    <w:p w14:paraId="6B89439D">
      <w:pPr>
        <w:pStyle w:val="9"/>
        <w:snapToGrid w:val="0"/>
        <w:spacing w:before="0" w:beforeAutospacing="0" w:after="0" w:afterAutospacing="0" w:line="360" w:lineRule="auto"/>
        <w:rPr>
          <w:rFonts w:ascii="仿宋" w:hAnsi="仿宋" w:eastAsia="仿宋" w:cs="仿宋"/>
          <w:b/>
          <w:bCs/>
          <w:kern w:val="2"/>
        </w:rPr>
      </w:pPr>
      <w:r>
        <w:rPr>
          <w:rFonts w:hint="eastAsia" w:ascii="仿宋" w:hAnsi="仿宋" w:eastAsia="仿宋" w:cs="仿宋"/>
          <w:b/>
          <w:bCs/>
          <w:kern w:val="2"/>
        </w:rPr>
        <w:t>《工作站政府采购需求标准（2023年版）》（财库〔2023〕32号）</w:t>
      </w:r>
    </w:p>
    <w:p w14:paraId="00914701">
      <w:pPr>
        <w:pStyle w:val="9"/>
        <w:snapToGrid w:val="0"/>
        <w:spacing w:before="0" w:beforeAutospacing="0" w:after="0" w:afterAutospacing="0" w:line="360" w:lineRule="auto"/>
        <w:rPr>
          <w:rFonts w:ascii="仿宋" w:hAnsi="仿宋" w:eastAsia="仿宋" w:cs="仿宋"/>
          <w:b/>
          <w:bCs/>
          <w:kern w:val="2"/>
        </w:rPr>
      </w:pPr>
      <w:r>
        <w:rPr>
          <w:rFonts w:hint="eastAsia" w:ascii="仿宋" w:hAnsi="仿宋" w:eastAsia="仿宋" w:cs="仿宋"/>
          <w:b/>
          <w:bCs/>
          <w:kern w:val="2"/>
        </w:rPr>
        <w:t>《通用服务器政府采购需求标准（2023年版）》（财库〔2023〕33号）</w:t>
      </w:r>
    </w:p>
    <w:p w14:paraId="61D84777">
      <w:pPr>
        <w:pStyle w:val="9"/>
        <w:snapToGrid w:val="0"/>
        <w:spacing w:before="0" w:beforeAutospacing="0" w:after="0" w:afterAutospacing="0" w:line="360" w:lineRule="auto"/>
        <w:rPr>
          <w:rFonts w:ascii="仿宋" w:hAnsi="仿宋" w:eastAsia="仿宋" w:cs="仿宋"/>
          <w:b/>
          <w:bCs/>
          <w:kern w:val="2"/>
        </w:rPr>
      </w:pPr>
      <w:r>
        <w:rPr>
          <w:rFonts w:hint="eastAsia" w:ascii="仿宋" w:hAnsi="仿宋" w:eastAsia="仿宋" w:cs="仿宋"/>
          <w:b/>
          <w:bCs/>
          <w:kern w:val="2"/>
        </w:rPr>
        <w:t>《操作系统政府采购需求标准（2023年版）》（财库〔2023〕34号）</w:t>
      </w:r>
    </w:p>
    <w:p w14:paraId="1D0C3277">
      <w:pPr>
        <w:pStyle w:val="9"/>
        <w:snapToGrid w:val="0"/>
        <w:spacing w:before="0" w:beforeAutospacing="0" w:after="0" w:afterAutospacing="0" w:line="360" w:lineRule="auto"/>
        <w:rPr>
          <w:rFonts w:ascii="仿宋" w:hAnsi="仿宋" w:eastAsia="仿宋" w:cs="仿宋"/>
          <w:b/>
          <w:bCs/>
          <w:kern w:val="2"/>
        </w:rPr>
      </w:pPr>
      <w:r>
        <w:rPr>
          <w:rFonts w:hint="eastAsia" w:ascii="仿宋" w:hAnsi="仿宋" w:eastAsia="仿宋" w:cs="仿宋"/>
          <w:b/>
          <w:bCs/>
          <w:kern w:val="2"/>
        </w:rPr>
        <w:t>《数据库政府采购需求标准（2023年版）》（财库〔2023〕35号）</w:t>
      </w:r>
    </w:p>
    <w:p w14:paraId="7EF26E31">
      <w:pPr>
        <w:pStyle w:val="9"/>
        <w:snapToGrid w:val="0"/>
        <w:spacing w:before="0" w:beforeAutospacing="0" w:after="0" w:afterAutospacing="0" w:line="360" w:lineRule="auto"/>
        <w:rPr>
          <w:rFonts w:ascii="仿宋" w:hAnsi="仿宋" w:eastAsia="仿宋" w:cs="仿宋"/>
          <w:b/>
          <w:bCs/>
          <w:kern w:val="2"/>
        </w:rPr>
      </w:pPr>
      <w:r>
        <w:rPr>
          <w:rFonts w:hint="eastAsia" w:ascii="仿宋" w:hAnsi="仿宋" w:eastAsia="仿宋" w:cs="仿宋"/>
          <w:b/>
          <w:bCs/>
          <w:kern w:val="2"/>
        </w:rPr>
        <w:t>《物业管理服务政府采购需求标准（办公场所类）（试行）》（财办库〔2024〕113号）</w:t>
      </w:r>
    </w:p>
    <w:p w14:paraId="570E47F7">
      <w:pPr>
        <w:snapToGrid w:val="0"/>
        <w:spacing w:line="360" w:lineRule="auto"/>
        <w:contextualSpacing/>
        <w:rPr>
          <w:rFonts w:ascii="仿宋" w:hAnsi="仿宋" w:eastAsia="仿宋" w:cs="仿宋"/>
          <w:b/>
          <w:bCs/>
          <w:sz w:val="24"/>
        </w:rPr>
      </w:pPr>
      <w:r>
        <w:rPr>
          <w:rFonts w:hint="eastAsia" w:ascii="仿宋" w:hAnsi="仿宋" w:eastAsia="仿宋" w:cs="仿宋"/>
          <w:b/>
          <w:bCs/>
          <w:sz w:val="24"/>
        </w:rPr>
        <w:t>如有更新或增加，以财政部门发布为准。</w:t>
      </w:r>
    </w:p>
    <w:bookmarkEnd w:id="1"/>
    <w:bookmarkEnd w:id="2"/>
    <w:p w14:paraId="720D5DE1">
      <w:pPr>
        <w:snapToGrid w:val="0"/>
        <w:spacing w:line="360" w:lineRule="auto"/>
        <w:contextualSpacing/>
        <w:rPr>
          <w:rFonts w:ascii="仿宋" w:hAnsi="仿宋" w:eastAsia="仿宋" w:cs="仿宋"/>
          <w:sz w:val="28"/>
          <w:szCs w:val="28"/>
        </w:rPr>
      </w:pPr>
    </w:p>
    <w:p w14:paraId="53E6CF6D">
      <w:pPr>
        <w:pStyle w:val="10"/>
        <w:snapToGrid w:val="0"/>
        <w:spacing w:line="360" w:lineRule="auto"/>
        <w:ind w:firstLine="0" w:firstLineChars="0"/>
        <w:contextualSpacing/>
        <w:rPr>
          <w:rFonts w:ascii="黑体" w:hAnsi="黑体" w:eastAsia="黑体" w:cs="黑体"/>
          <w:sz w:val="32"/>
          <w:szCs w:val="32"/>
        </w:rPr>
      </w:pPr>
    </w:p>
    <w:p w14:paraId="188AC770">
      <w:pPr>
        <w:pStyle w:val="10"/>
        <w:snapToGrid w:val="0"/>
        <w:spacing w:line="360" w:lineRule="auto"/>
        <w:ind w:firstLine="0" w:firstLineChars="0"/>
        <w:contextualSpacing/>
        <w:rPr>
          <w:rFonts w:ascii="仿宋" w:hAnsi="仿宋" w:eastAsia="仿宋" w:cs="仿宋"/>
          <w:b/>
          <w:sz w:val="24"/>
          <w:szCs w:val="24"/>
        </w:rPr>
      </w:pPr>
    </w:p>
    <w:p w14:paraId="2E55AE0B">
      <w:pPr>
        <w:widowControl/>
        <w:snapToGrid w:val="0"/>
        <w:spacing w:line="360" w:lineRule="auto"/>
        <w:jc w:val="left"/>
        <w:rPr>
          <w:rFonts w:ascii="仿宋" w:hAnsi="仿宋" w:eastAsia="仿宋" w:cs="仿宋"/>
          <w:b/>
          <w:sz w:val="28"/>
          <w:szCs w:val="28"/>
        </w:rPr>
      </w:pPr>
      <w:r>
        <w:rPr>
          <w:rFonts w:hint="eastAsia" w:ascii="仿宋" w:hAnsi="仿宋" w:eastAsia="仿宋" w:cs="仿宋"/>
          <w:b/>
          <w:sz w:val="24"/>
        </w:rPr>
        <w:br w:type="page"/>
      </w:r>
    </w:p>
    <w:p w14:paraId="6CFCFA3E">
      <w:pPr>
        <w:pStyle w:val="11"/>
        <w:tabs>
          <w:tab w:val="left" w:pos="7980"/>
        </w:tabs>
        <w:adjustRightInd w:val="0"/>
        <w:spacing w:before="0" w:line="360" w:lineRule="auto"/>
        <w:ind w:firstLine="0"/>
        <w:rPr>
          <w:rFonts w:ascii="仿宋" w:hAnsi="仿宋" w:eastAsia="仿宋" w:cs="仿宋"/>
          <w:b/>
          <w:bCs/>
          <w:szCs w:val="24"/>
        </w:rPr>
      </w:pPr>
      <w:r>
        <w:rPr>
          <w:rFonts w:hint="eastAsia" w:ascii="仿宋" w:hAnsi="仿宋" w:eastAsia="仿宋" w:cs="仿宋"/>
          <w:b/>
          <w:szCs w:val="24"/>
        </w:rPr>
        <w:t>一、采购标的需实现的功能或者目标：</w:t>
      </w:r>
    </w:p>
    <w:p w14:paraId="7FAF97FA">
      <w:pPr>
        <w:pStyle w:val="11"/>
        <w:adjustRightInd w:val="0"/>
        <w:spacing w:before="0" w:line="360" w:lineRule="auto"/>
        <w:ind w:firstLine="480" w:firstLineChars="200"/>
        <w:rPr>
          <w:rFonts w:ascii="仿宋" w:hAnsi="仿宋" w:eastAsia="仿宋" w:cs="仿宋"/>
          <w:szCs w:val="24"/>
        </w:rPr>
      </w:pPr>
      <w:r>
        <w:rPr>
          <w:rFonts w:hint="eastAsia" w:ascii="仿宋" w:hAnsi="仿宋" w:eastAsia="仿宋" w:cs="仿宋"/>
          <w:szCs w:val="24"/>
        </w:rPr>
        <w:t>北京老年医院是集老年病医疗、科研、教学、预防于一体的北京市属三级综合医院，医院地处海淀北部新区温泉地区，占地 17 万平方米，医院始终坚持公益性基本定位，承担着北京市老年健康与医养结合指导中心、北京市中西医结合老年病学研究所、海淀区老年医学质控中心职责。作为中国老年医学会医疗机构管理分会会长单位、中国老年医院联盟的理事长单位和中国食药促进会抗衰老医学与主动健康分会主任委员单位，医院在北京市老年医学领域发挥着的示范引领作用，承担着推动全国老年医学发展的重任。医院现有职工1200余人，设有35个临床科室、9个医技科室、5个科研科室和26个行政职能处室。年门急诊量约40万人次，具备日均3000份标本检验、500人次影像检查的服务能力。2025年年手术人次3252人次。2025年底在职职工1211人，年可重复洗涤织物量约642400件。</w:t>
      </w:r>
    </w:p>
    <w:p w14:paraId="397A220A">
      <w:pPr>
        <w:pStyle w:val="11"/>
        <w:adjustRightInd w:val="0"/>
        <w:spacing w:before="0" w:line="360" w:lineRule="auto"/>
        <w:ind w:firstLine="0"/>
        <w:rPr>
          <w:rFonts w:ascii="仿宋" w:hAnsi="仿宋" w:eastAsia="仿宋" w:cs="仿宋"/>
          <w:b/>
          <w:szCs w:val="24"/>
        </w:rPr>
      </w:pPr>
      <w:r>
        <w:rPr>
          <w:rFonts w:hint="eastAsia" w:ascii="仿宋" w:hAnsi="仿宋" w:eastAsia="仿宋" w:cs="仿宋"/>
          <w:b/>
          <w:szCs w:val="24"/>
        </w:rPr>
        <w:t>二、采购标的需执行的国家相关标准、行业标准、地方标准或者其他标准、规范</w:t>
      </w:r>
    </w:p>
    <w:p w14:paraId="41C63D53">
      <w:pPr>
        <w:pStyle w:val="11"/>
        <w:adjustRightInd w:val="0"/>
        <w:spacing w:before="0" w:line="360" w:lineRule="auto"/>
        <w:ind w:firstLine="480" w:firstLineChars="200"/>
        <w:rPr>
          <w:rFonts w:ascii="仿宋" w:hAnsi="仿宋" w:eastAsia="仿宋" w:cs="仿宋"/>
          <w:kern w:val="0"/>
          <w:szCs w:val="24"/>
        </w:rPr>
      </w:pPr>
      <w:r>
        <w:rPr>
          <w:rFonts w:hint="eastAsia" w:ascii="仿宋" w:hAnsi="仿宋" w:eastAsia="仿宋" w:cs="仿宋"/>
          <w:kern w:val="0"/>
          <w:szCs w:val="24"/>
        </w:rPr>
        <w:t>1、投标人应依据中华人民共和国卫生行业标准WS/T508-2025《</w:t>
      </w:r>
      <w:r>
        <w:rPr>
          <w:rFonts w:hint="eastAsia" w:ascii="仿宋" w:hAnsi="仿宋" w:eastAsia="仿宋" w:cs="仿宋"/>
          <w:szCs w:val="24"/>
        </w:rPr>
        <w:t>医疗机构医用织物洗涤消毒技术标准</w:t>
      </w:r>
      <w:r>
        <w:rPr>
          <w:rFonts w:hint="eastAsia" w:ascii="仿宋" w:hAnsi="仿宋" w:eastAsia="仿宋" w:cs="仿宋"/>
          <w:kern w:val="0"/>
          <w:szCs w:val="24"/>
        </w:rPr>
        <w:t>》及《</w:t>
      </w:r>
      <w:r>
        <w:rPr>
          <w:rFonts w:hint="eastAsia" w:ascii="仿宋" w:hAnsi="仿宋" w:eastAsia="仿宋" w:cs="仿宋"/>
          <w:szCs w:val="24"/>
        </w:rPr>
        <w:t>北京市医院织物洗涤卫生规范》（DB11/662-2009）</w:t>
      </w:r>
      <w:r>
        <w:rPr>
          <w:rFonts w:hint="eastAsia" w:ascii="仿宋" w:hAnsi="仿宋" w:eastAsia="仿宋" w:cs="仿宋"/>
          <w:kern w:val="0"/>
          <w:szCs w:val="24"/>
        </w:rPr>
        <w:t>为医院提供专业的洗涤服务。</w:t>
      </w:r>
    </w:p>
    <w:p w14:paraId="51FF85C4">
      <w:pPr>
        <w:pStyle w:val="11"/>
        <w:adjustRightInd w:val="0"/>
        <w:spacing w:before="0" w:line="360" w:lineRule="auto"/>
        <w:ind w:firstLine="480" w:firstLineChars="200"/>
        <w:rPr>
          <w:rFonts w:ascii="仿宋" w:hAnsi="仿宋" w:eastAsia="仿宋" w:cs="仿宋"/>
          <w:kern w:val="0"/>
          <w:szCs w:val="24"/>
        </w:rPr>
      </w:pPr>
      <w:r>
        <w:rPr>
          <w:rFonts w:hint="eastAsia" w:ascii="仿宋" w:hAnsi="仿宋" w:eastAsia="仿宋" w:cs="仿宋"/>
          <w:kern w:val="0"/>
          <w:szCs w:val="24"/>
        </w:rPr>
        <w:t>2.投标人使用的洗涤、消毒用品及洗涤设备等，必须符合国家有关卫生及环保标准，洗涤消毒符合相关程序要求。</w:t>
      </w:r>
    </w:p>
    <w:p w14:paraId="1D48D9D4">
      <w:pPr>
        <w:pStyle w:val="11"/>
        <w:adjustRightInd w:val="0"/>
        <w:spacing w:before="0" w:line="360" w:lineRule="auto"/>
        <w:ind w:firstLine="480" w:firstLineChars="200"/>
        <w:rPr>
          <w:rFonts w:ascii="仿宋" w:hAnsi="仿宋" w:eastAsia="仿宋" w:cs="仿宋"/>
          <w:color w:val="FF0000"/>
          <w:kern w:val="0"/>
          <w:szCs w:val="24"/>
          <w:highlight w:val="yellow"/>
        </w:rPr>
      </w:pPr>
      <w:r>
        <w:rPr>
          <w:rFonts w:hint="eastAsia" w:ascii="仿宋" w:hAnsi="仿宋" w:eastAsia="仿宋" w:cs="仿宋"/>
          <w:kern w:val="0"/>
          <w:szCs w:val="24"/>
        </w:rPr>
        <w:t>3、洗涤服务要求应依据《北京市属医院医用织物洗涤服务管理规范》（2025年修订版）执行。</w:t>
      </w:r>
    </w:p>
    <w:p w14:paraId="7C88AF6D">
      <w:pPr>
        <w:pStyle w:val="11"/>
        <w:adjustRightInd w:val="0"/>
        <w:spacing w:before="0" w:line="360" w:lineRule="auto"/>
        <w:ind w:firstLine="0"/>
        <w:rPr>
          <w:rFonts w:ascii="仿宋" w:hAnsi="仿宋" w:eastAsia="仿宋" w:cs="仿宋"/>
          <w:b/>
          <w:szCs w:val="24"/>
        </w:rPr>
      </w:pPr>
      <w:r>
        <w:rPr>
          <w:rFonts w:hint="eastAsia" w:ascii="仿宋" w:hAnsi="仿宋" w:eastAsia="仿宋" w:cs="仿宋"/>
          <w:b/>
          <w:szCs w:val="24"/>
        </w:rPr>
        <w:t>三、采购标的的数量</w:t>
      </w:r>
    </w:p>
    <w:p w14:paraId="44BE0C18">
      <w:pPr>
        <w:pStyle w:val="11"/>
        <w:adjustRightInd w:val="0"/>
        <w:spacing w:before="0" w:line="360" w:lineRule="auto"/>
        <w:ind w:firstLine="480" w:firstLineChars="200"/>
        <w:rPr>
          <w:rFonts w:ascii="仿宋" w:hAnsi="仿宋" w:eastAsia="仿宋" w:cs="仿宋"/>
          <w:b/>
          <w:szCs w:val="24"/>
        </w:rPr>
      </w:pPr>
      <w:r>
        <w:rPr>
          <w:rFonts w:hint="eastAsia" w:ascii="仿宋" w:hAnsi="仿宋" w:eastAsia="仿宋" w:cs="仿宋"/>
          <w:kern w:val="0"/>
          <w:szCs w:val="24"/>
          <w:lang w:bidi="ar"/>
        </w:rPr>
        <w:t>医院洗涤、收送被服清单，暂估量64.24万件/年，其中包括工服类6万余件、手术类织物20万余件，床品类、装饰类、患者服等其他织物37万余件</w:t>
      </w:r>
      <w:r>
        <w:rPr>
          <w:rFonts w:hint="eastAsia" w:ascii="仿宋" w:hAnsi="仿宋" w:eastAsia="仿宋" w:cs="仿宋"/>
          <w:b/>
          <w:szCs w:val="24"/>
        </w:rPr>
        <w:t>。</w:t>
      </w:r>
    </w:p>
    <w:p w14:paraId="66E13BBA">
      <w:pPr>
        <w:pStyle w:val="11"/>
        <w:adjustRightInd w:val="0"/>
        <w:spacing w:before="0" w:line="360" w:lineRule="auto"/>
        <w:ind w:firstLine="0"/>
        <w:rPr>
          <w:rFonts w:ascii="仿宋" w:hAnsi="仿宋" w:eastAsia="仿宋" w:cs="仿宋"/>
          <w:b/>
          <w:szCs w:val="24"/>
        </w:rPr>
      </w:pPr>
      <w:r>
        <w:rPr>
          <w:rFonts w:hint="eastAsia" w:ascii="仿宋" w:hAnsi="仿宋" w:eastAsia="仿宋" w:cs="仿宋"/>
          <w:b/>
          <w:szCs w:val="24"/>
        </w:rPr>
        <w:t xml:space="preserve"> 四、采购标的需满足的服务标准、期限、效率等要求</w:t>
      </w:r>
    </w:p>
    <w:p w14:paraId="26C86B3A">
      <w:pPr>
        <w:tabs>
          <w:tab w:val="left" w:pos="900"/>
        </w:tabs>
        <w:adjustRightInd w:val="0"/>
        <w:snapToGrid w:val="0"/>
        <w:spacing w:line="360" w:lineRule="auto"/>
        <w:rPr>
          <w:rFonts w:ascii="仿宋" w:hAnsi="仿宋" w:eastAsia="仿宋" w:cs="仿宋"/>
          <w:b/>
          <w:sz w:val="24"/>
        </w:rPr>
      </w:pPr>
      <w:r>
        <w:rPr>
          <w:rFonts w:hint="eastAsia" w:ascii="仿宋" w:hAnsi="仿宋" w:eastAsia="仿宋" w:cs="仿宋"/>
          <w:b/>
          <w:sz w:val="24"/>
        </w:rPr>
        <w:t>（一）采购标的需满足的服务标准、效率要求</w:t>
      </w:r>
    </w:p>
    <w:p w14:paraId="344EF6A5">
      <w:pPr>
        <w:tabs>
          <w:tab w:val="left" w:pos="900"/>
        </w:tabs>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详见七、采购招标的需满足的质量、安全、技术规格、物理特性等要求。</w:t>
      </w:r>
    </w:p>
    <w:p w14:paraId="186D3E89">
      <w:pPr>
        <w:tabs>
          <w:tab w:val="left" w:pos="900"/>
        </w:tabs>
        <w:adjustRightInd w:val="0"/>
        <w:snapToGrid w:val="0"/>
        <w:spacing w:line="360" w:lineRule="auto"/>
        <w:rPr>
          <w:rFonts w:ascii="仿宋" w:hAnsi="仿宋" w:eastAsia="仿宋" w:cs="仿宋"/>
          <w:b/>
          <w:sz w:val="24"/>
        </w:rPr>
      </w:pPr>
      <w:r>
        <w:rPr>
          <w:rFonts w:hint="eastAsia" w:ascii="仿宋" w:hAnsi="仿宋" w:eastAsia="仿宋" w:cs="仿宋"/>
          <w:b/>
          <w:sz w:val="24"/>
        </w:rPr>
        <w:t>（二）采购标的需满足的服务期限要求</w:t>
      </w:r>
    </w:p>
    <w:p w14:paraId="767DE5CF">
      <w:pPr>
        <w:tabs>
          <w:tab w:val="left" w:pos="900"/>
        </w:tabs>
        <w:adjustRightInd w:val="0"/>
        <w:snapToGrid w:val="0"/>
        <w:spacing w:line="360" w:lineRule="auto"/>
        <w:ind w:firstLine="480" w:firstLineChars="200"/>
        <w:rPr>
          <w:rFonts w:ascii="仿宋" w:hAnsi="仿宋" w:eastAsia="仿宋" w:cs="仿宋"/>
          <w:b/>
          <w:sz w:val="24"/>
        </w:rPr>
      </w:pPr>
      <w:r>
        <w:rPr>
          <w:rFonts w:hint="eastAsia" w:ascii="仿宋" w:hAnsi="仿宋" w:eastAsia="仿宋" w:cs="仿宋"/>
          <w:b/>
          <w:sz w:val="24"/>
        </w:rPr>
        <w:t>合同期3年，一年一签，必须在年平均月度考核达90分（含90分）以上，方可签订下年度合同。</w:t>
      </w:r>
    </w:p>
    <w:p w14:paraId="68A0DCF3">
      <w:pPr>
        <w:tabs>
          <w:tab w:val="left" w:pos="900"/>
        </w:tabs>
        <w:adjustRightInd w:val="0"/>
        <w:snapToGrid w:val="0"/>
        <w:spacing w:line="360" w:lineRule="auto"/>
        <w:rPr>
          <w:rFonts w:ascii="仿宋" w:hAnsi="仿宋" w:eastAsia="仿宋" w:cs="仿宋"/>
          <w:b/>
          <w:sz w:val="24"/>
        </w:rPr>
      </w:pPr>
      <w:r>
        <w:rPr>
          <w:rFonts w:hint="eastAsia" w:ascii="仿宋" w:hAnsi="仿宋" w:eastAsia="仿宋" w:cs="仿宋"/>
          <w:b/>
          <w:sz w:val="24"/>
        </w:rPr>
        <w:t>五、采购标的物验收标准</w:t>
      </w:r>
    </w:p>
    <w:p w14:paraId="632DFBE5">
      <w:pPr>
        <w:tabs>
          <w:tab w:val="left" w:pos="900"/>
        </w:tabs>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投标人负责按时送回洗净后的织物，科室收送织物数量品种收发单双方签字确认，每日工作结束，将电子版工作内容及织物收发数据上报洗衣班组长，按医院总务处要求统计工作量并上报，原始收发纸质凭据按科室保存，保存追溯时间一年以上。</w:t>
      </w:r>
    </w:p>
    <w:p w14:paraId="0EC6C74D">
      <w:pPr>
        <w:tabs>
          <w:tab w:val="left" w:pos="900"/>
        </w:tabs>
        <w:adjustRightInd w:val="0"/>
        <w:snapToGrid w:val="0"/>
        <w:spacing w:line="360" w:lineRule="auto"/>
        <w:rPr>
          <w:rFonts w:ascii="仿宋" w:hAnsi="仿宋" w:eastAsia="仿宋" w:cs="仿宋"/>
          <w:b/>
          <w:sz w:val="24"/>
        </w:rPr>
      </w:pPr>
      <w:r>
        <w:rPr>
          <w:rFonts w:hint="eastAsia" w:ascii="仿宋" w:hAnsi="仿宋" w:eastAsia="仿宋" w:cs="仿宋"/>
          <w:b/>
          <w:sz w:val="24"/>
        </w:rPr>
        <w:t>六、采购标的的其他技术、服务等要求</w:t>
      </w:r>
    </w:p>
    <w:p w14:paraId="18C65127">
      <w:pPr>
        <w:adjustRightInd w:val="0"/>
        <w:snapToGrid w:val="0"/>
        <w:spacing w:line="360" w:lineRule="auto"/>
        <w:ind w:firstLine="480" w:firstLineChars="200"/>
        <w:jc w:val="left"/>
        <w:outlineLvl w:val="0"/>
        <w:rPr>
          <w:rFonts w:ascii="仿宋" w:hAnsi="仿宋" w:eastAsia="仿宋" w:cs="仿宋"/>
          <w:sz w:val="24"/>
        </w:rPr>
      </w:pPr>
      <w:bookmarkStart w:id="3" w:name="_Toc121429422"/>
      <w:bookmarkStart w:id="4" w:name="_Toc122107226"/>
      <w:r>
        <w:rPr>
          <w:rFonts w:hint="eastAsia" w:ascii="仿宋" w:hAnsi="仿宋" w:eastAsia="仿宋" w:cs="仿宋"/>
          <w:sz w:val="24"/>
        </w:rPr>
        <w:t>投标人须提供服务方案、服务质量保障措施、拟投入本项目设备方案、营业场地、应急措施、接管/撤场方案、投标人的项目服务团队等。</w:t>
      </w:r>
      <w:bookmarkEnd w:id="3"/>
      <w:bookmarkEnd w:id="4"/>
    </w:p>
    <w:p w14:paraId="54F4FFD1">
      <w:pPr>
        <w:tabs>
          <w:tab w:val="left" w:pos="900"/>
        </w:tabs>
        <w:adjustRightInd w:val="0"/>
        <w:snapToGrid w:val="0"/>
        <w:spacing w:line="360" w:lineRule="auto"/>
        <w:rPr>
          <w:rFonts w:ascii="仿宋" w:hAnsi="仿宋" w:eastAsia="仿宋" w:cs="仿宋"/>
          <w:b/>
          <w:sz w:val="24"/>
        </w:rPr>
      </w:pPr>
      <w:r>
        <w:rPr>
          <w:rFonts w:hint="eastAsia" w:ascii="仿宋" w:hAnsi="仿宋" w:eastAsia="仿宋" w:cs="仿宋"/>
          <w:b/>
          <w:sz w:val="24"/>
        </w:rPr>
        <w:t>七、采购招标的需满足的质量、安全、技术规格、物理特性等要求：</w:t>
      </w:r>
    </w:p>
    <w:p w14:paraId="490478ED">
      <w:pPr>
        <w:widowControl/>
        <w:adjustRightInd w:val="0"/>
        <w:snapToGrid w:val="0"/>
        <w:spacing w:line="360" w:lineRule="auto"/>
        <w:jc w:val="left"/>
        <w:rPr>
          <w:rFonts w:ascii="仿宋" w:hAnsi="仿宋" w:eastAsia="仿宋" w:cs="仿宋"/>
          <w:b/>
          <w:sz w:val="24"/>
        </w:rPr>
      </w:pPr>
      <w:r>
        <w:rPr>
          <w:rFonts w:hint="eastAsia" w:ascii="仿宋" w:hAnsi="仿宋" w:eastAsia="仿宋" w:cs="仿宋"/>
          <w:b/>
          <w:sz w:val="24"/>
        </w:rPr>
        <w:t>洗涤及配送服务</w:t>
      </w:r>
    </w:p>
    <w:p w14:paraId="3DA215D4">
      <w:pPr>
        <w:adjustRightInd w:val="0"/>
        <w:snapToGrid w:val="0"/>
        <w:spacing w:line="360" w:lineRule="auto"/>
        <w:jc w:val="center"/>
        <w:rPr>
          <w:rFonts w:ascii="仿宋" w:hAnsi="仿宋" w:eastAsia="仿宋" w:cs="仿宋"/>
          <w:b/>
          <w:sz w:val="24"/>
        </w:rPr>
      </w:pPr>
      <w:r>
        <w:rPr>
          <w:rFonts w:hint="eastAsia" w:ascii="仿宋" w:hAnsi="仿宋" w:eastAsia="仿宋" w:cs="仿宋"/>
          <w:b/>
          <w:sz w:val="24"/>
        </w:rPr>
        <w:t>一、服务范围及技术要求</w:t>
      </w:r>
    </w:p>
    <w:p w14:paraId="191AC0FC">
      <w:pPr>
        <w:adjustRightInd w:val="0"/>
        <w:snapToGrid w:val="0"/>
        <w:spacing w:line="360" w:lineRule="auto"/>
        <w:rPr>
          <w:rFonts w:ascii="仿宋" w:hAnsi="仿宋" w:eastAsia="仿宋" w:cs="仿宋"/>
          <w:b/>
          <w:sz w:val="24"/>
        </w:rPr>
      </w:pPr>
      <w:r>
        <w:rPr>
          <w:rFonts w:hint="eastAsia" w:ascii="仿宋" w:hAnsi="仿宋" w:eastAsia="仿宋" w:cs="仿宋"/>
          <w:b/>
          <w:sz w:val="24"/>
        </w:rPr>
        <w:t>（一）织物洗涤服务范围</w:t>
      </w:r>
    </w:p>
    <w:p w14:paraId="4F090CDF">
      <w:pPr>
        <w:adjustRightInd w:val="0"/>
        <w:snapToGrid w:val="0"/>
        <w:spacing w:line="360" w:lineRule="auto"/>
        <w:ind w:firstLine="480" w:firstLineChars="200"/>
        <w:rPr>
          <w:rFonts w:ascii="仿宋" w:hAnsi="仿宋" w:eastAsia="仿宋" w:cs="仿宋"/>
          <w:b/>
          <w:sz w:val="24"/>
        </w:rPr>
      </w:pPr>
      <w:r>
        <w:rPr>
          <w:rFonts w:hint="eastAsia" w:ascii="仿宋" w:hAnsi="仿宋" w:eastAsia="仿宋" w:cs="仿宋"/>
          <w:bCs/>
          <w:sz w:val="24"/>
        </w:rPr>
        <w:t>提供织物洗涤、消毒、熨烫、折叠、修补、装卸、服务临床一线上收下送工作（含清点、计数、记录、打包等）、医院织物整理统计、洗衣房区域清洁、物品整理、织物缝补及改制、24小时驻场服务，配合完成洗衣房管理工作及按照医院要求需完成的临时性工作。具体织物品种如下：</w:t>
      </w:r>
    </w:p>
    <w:p w14:paraId="271FE2CA">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1、手术类治疗巾、中单、包布等40余品种；</w:t>
      </w:r>
    </w:p>
    <w:p w14:paraId="426FA051">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2、床上用品及装饰织物类床单、中单、大单、被罩、枕套、厚（薄）被、隔帘、窗帘等20余品种；</w:t>
      </w:r>
    </w:p>
    <w:p w14:paraId="7E53E187">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3、服装类工作服、患者服、巡回衣、手术衣等15余品种；</w:t>
      </w:r>
    </w:p>
    <w:p w14:paraId="3334081A">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4、其他医院内可洗涤物资。</w:t>
      </w:r>
    </w:p>
    <w:p w14:paraId="2A985BF7">
      <w:pPr>
        <w:adjustRightInd w:val="0"/>
        <w:snapToGrid w:val="0"/>
        <w:spacing w:line="360" w:lineRule="auto"/>
        <w:rPr>
          <w:rFonts w:ascii="仿宋" w:hAnsi="仿宋" w:eastAsia="仿宋" w:cs="仿宋"/>
          <w:b/>
          <w:sz w:val="24"/>
        </w:rPr>
      </w:pPr>
      <w:r>
        <w:rPr>
          <w:rFonts w:hint="eastAsia" w:ascii="仿宋" w:hAnsi="仿宋" w:eastAsia="仿宋" w:cs="仿宋"/>
          <w:b/>
          <w:sz w:val="24"/>
        </w:rPr>
        <w:t>（二）人员、车辆配置及织物配送内容</w:t>
      </w:r>
    </w:p>
    <w:p w14:paraId="49BC0A64">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人员配备：提供24小时驻院医用织物收送、装卸、洗衣班区域内织物整理、卫生清洁服务，提供全年无缝对接临床科室服务，项目驻场人员8人，其中项目经理1人(必须具有洗涤行业资格证书)，白衣、备品库1人，下收下送服务人员6人，要求服务人员具有能够按时完成洗衣班工作的能力和体力。</w:t>
      </w:r>
    </w:p>
    <w:p w14:paraId="7910DE88">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车辆配置：运输被服车辆要求厢式密封车辆，院内洁净织物与使用后织物应分别设置专用运输车辆，运输车辆净污分开使用，设置固定物流路径，不可相互交叉，运送感染性织物应使用专用包装容器。洁净织物应放置在清洁区域且由清洁转运车封闭运送。</w:t>
      </w:r>
    </w:p>
    <w:p w14:paraId="430E9BDA">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（3）织物配送内容</w:t>
      </w:r>
    </w:p>
    <w:p w14:paraId="4FA20AEA">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06:00 前：项目部值班人员完成内务整理、洗衣房环境卫生清扫；</w:t>
      </w:r>
    </w:p>
    <w:p w14:paraId="46C3A271">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06:15前：净品运输车辆抵达北京老年医院；车辆到院后立即开展卸车作业；</w:t>
      </w:r>
    </w:p>
    <w:p w14:paraId="1952DDF8">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07：00前：项目部人员对车辆物表消毒，工作场所清洁；卸车、洁净织物备品库分拣、分类、分科并做详细登记记录；</w:t>
      </w:r>
    </w:p>
    <w:p w14:paraId="2238F08B">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07:30前：完成透析科、内镜中心、供应室、手术室洁净织物配送工作；</w:t>
      </w:r>
    </w:p>
    <w:p w14:paraId="29E7E4AC">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11:00前：完成下收住院一部、住院二部、门诊楼、康复中心、体检中心、感染、发热门诊各临床一线科室脏污织物工作，同时完成全院临床一线科室工作服配送工作；</w:t>
      </w:r>
    </w:p>
    <w:p w14:paraId="33A79A12">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12:00前：完成清点核实各科室数据、汇总、分类装车；</w:t>
      </w:r>
    </w:p>
    <w:p w14:paraId="1F06A986">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13:00——16:00 根据下收数据，配送各科室洁净织物，医院织物整理统计、洗衣房区域清洁、物品整理、配合完成洗衣房管理工作及按照医院要求需完成的临时性工作；</w:t>
      </w:r>
    </w:p>
    <w:p w14:paraId="24CBDE43">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16:00——16：30清洁消毒工作车辆,录制当日收送报表，工作场地清洁整理；</w:t>
      </w:r>
    </w:p>
    <w:p w14:paraId="1A0554B4">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16：30——次日6:00 安排夜间2名值班人员并报备一站式服务中心。</w:t>
      </w:r>
    </w:p>
    <w:p w14:paraId="4346FCFE">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（4）根据医院需求提供详尽人员配置和工作安排方案。</w:t>
      </w:r>
    </w:p>
    <w:p w14:paraId="371E8DED">
      <w:pPr>
        <w:adjustRightInd w:val="0"/>
        <w:snapToGrid w:val="0"/>
        <w:spacing w:line="360" w:lineRule="auto"/>
        <w:rPr>
          <w:rFonts w:ascii="仿宋" w:hAnsi="仿宋" w:eastAsia="仿宋" w:cs="仿宋"/>
          <w:b/>
          <w:sz w:val="24"/>
        </w:rPr>
      </w:pPr>
      <w:r>
        <w:rPr>
          <w:rFonts w:hint="eastAsia" w:ascii="仿宋" w:hAnsi="仿宋" w:eastAsia="仿宋" w:cs="仿宋"/>
          <w:b/>
          <w:sz w:val="24"/>
        </w:rPr>
        <w:t>（三）项目管理职责范围</w:t>
      </w:r>
    </w:p>
    <w:p w14:paraId="069C985D">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落实医院政策，执行洗涤质量终端管控、科室动态收发安排、按要求完成洗衣班区域内织物的清点、统计、摆放、搬运等织物整理和管理工作、临床科室、病房回访反馈意见分析整改等服务提升管理工作。</w:t>
      </w:r>
    </w:p>
    <w:p w14:paraId="0484E2C1">
      <w:pPr>
        <w:adjustRightInd w:val="0"/>
        <w:snapToGrid w:val="0"/>
        <w:spacing w:line="360" w:lineRule="auto"/>
        <w:jc w:val="center"/>
        <w:rPr>
          <w:rFonts w:ascii="仿宋" w:hAnsi="仿宋" w:eastAsia="仿宋" w:cs="仿宋"/>
          <w:b/>
          <w:sz w:val="24"/>
        </w:rPr>
      </w:pPr>
      <w:r>
        <w:rPr>
          <w:rFonts w:hint="eastAsia" w:ascii="仿宋" w:hAnsi="仿宋" w:eastAsia="仿宋" w:cs="仿宋"/>
          <w:b/>
          <w:sz w:val="24"/>
        </w:rPr>
        <w:t>二、服务标准及质量要求</w:t>
      </w:r>
    </w:p>
    <w:p w14:paraId="52C9401E">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供应商应依据</w:t>
      </w:r>
      <w:r>
        <w:rPr>
          <w:rFonts w:hint="eastAsia" w:ascii="仿宋" w:hAnsi="仿宋" w:eastAsia="仿宋" w:cs="仿宋"/>
          <w:kern w:val="0"/>
          <w:sz w:val="24"/>
        </w:rPr>
        <w:t>中华人民共和国卫生行业标准WS/T508-2025《</w:t>
      </w:r>
      <w:r>
        <w:rPr>
          <w:rFonts w:hint="eastAsia" w:ascii="仿宋" w:hAnsi="仿宋" w:eastAsia="仿宋" w:cs="仿宋"/>
          <w:sz w:val="24"/>
        </w:rPr>
        <w:t>医疗机构医用织物洗涤消毒技术标准</w:t>
      </w:r>
      <w:r>
        <w:rPr>
          <w:rFonts w:hint="eastAsia" w:ascii="仿宋" w:hAnsi="仿宋" w:eastAsia="仿宋" w:cs="仿宋"/>
          <w:kern w:val="0"/>
          <w:sz w:val="24"/>
        </w:rPr>
        <w:t>》及《</w:t>
      </w:r>
      <w:r>
        <w:rPr>
          <w:rFonts w:hint="eastAsia" w:ascii="仿宋" w:hAnsi="仿宋" w:eastAsia="仿宋" w:cs="仿宋"/>
          <w:sz w:val="24"/>
        </w:rPr>
        <w:t>北京市医院织物洗涤卫生规范》（DB11/662-2009）</w:t>
      </w:r>
      <w:r>
        <w:rPr>
          <w:rFonts w:hint="eastAsia" w:ascii="仿宋" w:hAnsi="仿宋" w:eastAsia="仿宋" w:cs="仿宋"/>
          <w:kern w:val="0"/>
          <w:sz w:val="24"/>
        </w:rPr>
        <w:t>为医院提供专业的洗涤服务</w:t>
      </w:r>
      <w:r>
        <w:rPr>
          <w:rFonts w:hint="eastAsia" w:ascii="仿宋" w:hAnsi="仿宋" w:eastAsia="仿宋" w:cs="仿宋"/>
          <w:sz w:val="24"/>
        </w:rPr>
        <w:t>，根据医院特点，提供针对性的专属特色服务，服从医院的管理，严格执行</w:t>
      </w:r>
      <w:r>
        <w:rPr>
          <w:rFonts w:hint="eastAsia" w:ascii="仿宋" w:hAnsi="仿宋" w:eastAsia="仿宋" w:cs="仿宋"/>
          <w:kern w:val="0"/>
          <w:sz w:val="24"/>
        </w:rPr>
        <w:t>《北京市属医院医用织物洗涤服务管理规范》（2025年修订版），</w:t>
      </w:r>
      <w:r>
        <w:rPr>
          <w:rFonts w:hint="eastAsia" w:ascii="仿宋" w:hAnsi="仿宋" w:eastAsia="仿宋" w:cs="仿宋"/>
          <w:sz w:val="24"/>
        </w:rPr>
        <w:t>遵守医院的有关规章制度，保证各项服务工作达到标准。</w:t>
      </w:r>
    </w:p>
    <w:p w14:paraId="54314DA0">
      <w:pPr>
        <w:pStyle w:val="3"/>
        <w:snapToGrid w:val="0"/>
        <w:spacing w:before="0" w:line="360" w:lineRule="auto"/>
        <w:jc w:val="both"/>
        <w:rPr>
          <w:rFonts w:ascii="仿宋" w:hAnsi="仿宋" w:eastAsia="仿宋" w:cs="仿宋"/>
          <w:sz w:val="24"/>
          <w:szCs w:val="24"/>
          <w:highlight w:val="yellow"/>
        </w:rPr>
      </w:pPr>
      <w:r>
        <w:rPr>
          <w:rFonts w:hint="eastAsia" w:ascii="仿宋" w:hAnsi="仿宋" w:eastAsia="仿宋" w:cs="仿宋"/>
          <w:sz w:val="24"/>
          <w:szCs w:val="24"/>
        </w:rPr>
        <w:t>（一）医院织物洗涤、消毒要求</w:t>
      </w:r>
    </w:p>
    <w:p w14:paraId="52BB2641">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bCs/>
          <w:sz w:val="24"/>
        </w:rPr>
        <w:t>（1）</w:t>
      </w:r>
      <w:r>
        <w:rPr>
          <w:rFonts w:hint="eastAsia" w:ascii="仿宋" w:hAnsi="仿宋" w:eastAsia="仿宋" w:cs="仿宋"/>
          <w:sz w:val="24"/>
        </w:rPr>
        <w:t>洗涤场地具备隔离洗涤、分类洗涤条件，杜绝二次污染。按污衣类别、是否传染等情况分机洗涤。如：医护人员工服与病患织物分开单独洗涤；手术室的医用织物必须要单独洗涤；感染类织物要单独洗涤；医疗用品与生活用品分开；白色布品和有色布品分开；特殊材质的衣物，单独洗涤。</w:t>
      </w:r>
      <w:r>
        <w:rPr>
          <w:rFonts w:hint="eastAsia" w:ascii="仿宋" w:hAnsi="仿宋" w:eastAsia="仿宋" w:cs="仿宋"/>
          <w:spacing w:val="-10"/>
          <w:sz w:val="24"/>
        </w:rPr>
        <w:t>根据布料质地，被服的污染程度、污物性质的不同选择合适的洗涤程序、温度等，以保证洗涤、烘干、消毒、整理的质量。</w:t>
      </w:r>
    </w:p>
    <w:p w14:paraId="40A0CEBB">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（2）织物应根据不同品类布品设定不同的洗涤时间和洗涤剂投放的浓度、剂量，洁净被服 PH值控制准确，酸碱中和达标。</w:t>
      </w:r>
    </w:p>
    <w:p w14:paraId="2FD2BF79">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（3）洗涤后的被服外观洁净、无皱褶，无污迹，无异味、无串色，有光泽感，清晰透亮。</w:t>
      </w:r>
    </w:p>
    <w:p w14:paraId="29B7B876">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（4）洗涤后的医护人员工服外观整洁，衣领、袖子、肩部、前襟、后背平整，除规范折叠处外无明显褶皱，无破损，无开线、少扣现象。</w:t>
      </w:r>
    </w:p>
    <w:p w14:paraId="54942B48">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（5）烘干后的布品，按不同种类进行折叠（不能有折角、卷边、翻袖存在，衣襟、后摆上下拉平，衣领拉平拉直）。</w:t>
      </w:r>
    </w:p>
    <w:p w14:paraId="341D6235">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6）对于破、残、缺扣的织物在折叠时必须挑出，并按照统一规格单独进行打包计数，定期检查洗涤物品的破损情况，需报残更新的及时向医院总务处提出，破损及报废的洗涤织物需洗涤消毒后送回医院履行报废流程。</w:t>
      </w:r>
    </w:p>
    <w:p w14:paraId="1EBC7110">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7）缝补及小制作必须细致认真，补丁对齐、对色、补平、针孔均匀，线头剪掉。工服、病员类扣子形状、颜色基本一致（如有原备份扣子必须使用）用双线钉四针以上保证牢固；有残破处，应用正方或长方形布料补在服装内，要求美观大方，颜色必须与原织物相同，机器扎边要摘掉原来的线头，走线不能少于三行；小制作必须满足科室特殊要求。</w:t>
      </w:r>
    </w:p>
    <w:p w14:paraId="0D108AB2">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（8）需提供隔离洗涤、分类洗涤条件证明方案。</w:t>
      </w:r>
    </w:p>
    <w:p w14:paraId="142CEF89">
      <w:pPr>
        <w:pStyle w:val="3"/>
        <w:snapToGrid w:val="0"/>
        <w:spacing w:before="0" w:line="360" w:lineRule="auto"/>
        <w:jc w:val="both"/>
        <w:rPr>
          <w:rFonts w:ascii="仿宋" w:hAnsi="仿宋" w:eastAsia="仿宋" w:cs="仿宋"/>
          <w:sz w:val="24"/>
          <w:szCs w:val="24"/>
        </w:rPr>
      </w:pPr>
      <w:r>
        <w:rPr>
          <w:rFonts w:hint="eastAsia" w:ascii="仿宋" w:hAnsi="仿宋" w:eastAsia="仿宋" w:cs="仿宋"/>
          <w:sz w:val="24"/>
          <w:szCs w:val="24"/>
        </w:rPr>
        <w:t>（二）织物收发配送的要求</w:t>
      </w:r>
    </w:p>
    <w:p w14:paraId="3B3E7657">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1）每日按照院方要求的时间收集需更换洗涤布品，脏织物须分类打包，装入合格的污衣袋打包并做好标识。接收织物或送交织物时收送人员与科室按织物类别共同清点件数，双方确认无误后由项目服务人员填写“织物送洗明细单”，双方签字确认，对收集的布品按照管理要求分别清点、计数、记录、分类、打包、运送上车。如遇院方临床需求增加等特殊情况，供应商应服从院方的安排，调整收送时间及频率。</w:t>
      </w:r>
    </w:p>
    <w:p w14:paraId="7FDC49BB">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2）根据科室当日上午收取污品的数量、品类，当日下午完成物流配送工作，保证科室织物无拖欠，数据准确，日清日结。医院科室下收下送物品服务时间8小时以内完成，科室特殊时间收治病患或需临时增加收送织物，接到电话，30分钟内完成收送工作，必须确保24小时为临床科室提供服务。</w:t>
      </w:r>
    </w:p>
    <w:p w14:paraId="55000342">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（3）织物污品收集运送至洗涤工厂进行洗涤、消毒、熨烫、折叠整理等工作，完成后洁净织物必须分类打包，封闭运输，保证洁净织物16小时内返回医院（每日6:15前到达洗衣房）。</w:t>
      </w:r>
    </w:p>
    <w:p w14:paraId="2102C981">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（4）需针对项目要求制定物流配送详细方案</w:t>
      </w:r>
    </w:p>
    <w:p w14:paraId="7DF1CC48">
      <w:pPr>
        <w:pStyle w:val="3"/>
        <w:snapToGrid w:val="0"/>
        <w:spacing w:before="0" w:line="360" w:lineRule="auto"/>
        <w:jc w:val="both"/>
        <w:rPr>
          <w:rFonts w:ascii="仿宋" w:hAnsi="仿宋" w:eastAsia="仿宋" w:cs="仿宋"/>
          <w:sz w:val="24"/>
          <w:szCs w:val="24"/>
        </w:rPr>
      </w:pPr>
      <w:r>
        <w:rPr>
          <w:rFonts w:hint="eastAsia" w:ascii="仿宋" w:hAnsi="仿宋" w:eastAsia="仿宋" w:cs="仿宋"/>
          <w:sz w:val="24"/>
          <w:szCs w:val="24"/>
        </w:rPr>
        <w:t>（三）洗涤剂使用的要求</w:t>
      </w:r>
    </w:p>
    <w:p w14:paraId="22FEBC34">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使用合格生产厂家的医疗专用洗涤剂产品，符合国家工业洗衣用洗涤剂行业标准和衣料用液体洗涤剂行业标准的要求，洗涤剂品类齐全，每年度有质量监管部门针对洗涤剂的检测合格证明。</w:t>
      </w:r>
    </w:p>
    <w:p w14:paraId="4538AE4D">
      <w:pPr>
        <w:pStyle w:val="3"/>
        <w:snapToGrid w:val="0"/>
        <w:spacing w:before="0" w:line="360" w:lineRule="auto"/>
        <w:jc w:val="both"/>
        <w:rPr>
          <w:rFonts w:ascii="仿宋" w:hAnsi="仿宋" w:eastAsia="仿宋" w:cs="仿宋"/>
          <w:sz w:val="24"/>
          <w:szCs w:val="24"/>
        </w:rPr>
      </w:pPr>
      <w:r>
        <w:rPr>
          <w:rFonts w:hint="eastAsia" w:ascii="仿宋" w:hAnsi="仿宋" w:eastAsia="仿宋" w:cs="仿宋"/>
          <w:sz w:val="24"/>
          <w:szCs w:val="24"/>
        </w:rPr>
        <w:t>（四）感控要求</w:t>
      </w:r>
    </w:p>
    <w:p w14:paraId="42806F88">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1）对于感染性病人的医用织物物品和其他卫生防疫部门要求的特殊医用织物物品，在医院按相关规定完成初步消毒后，洗涤公司应负责按卫生监督部门的卫生防疫要求进行相关处理，确保交叉感染得到有效控制。感染性病人的医用织物物品应单独用可溶性污衣袋打包，明确收集地点、线路，严格按照收集、转运与分拣处理流程，感染物运输必须有固定转运工具、容器。</w:t>
      </w:r>
    </w:p>
    <w:p w14:paraId="4619ABB4">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（2）洗涤前须进行预分检，登记记录，根据具体情况单独洗涤。</w:t>
      </w:r>
    </w:p>
    <w:p w14:paraId="437CB89E">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（3）感染织物须预先浸泡消毒的，应按照要求执行。</w:t>
      </w:r>
    </w:p>
    <w:p w14:paraId="6B0BC77C">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（4）运送车辆、感染物密封运转容器一用一消毒，严防交叉感染。</w:t>
      </w:r>
    </w:p>
    <w:p w14:paraId="674757B4">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（5）微生物指标：院方感控部门将不定期进行抽样选送化验，对医用织物进行细菌培养，细菌总数小于等于200cfu/100cm</w:t>
      </w:r>
      <w:r>
        <w:rPr>
          <w:rFonts w:ascii="仿宋" w:hAnsi="仿宋" w:eastAsia="仿宋" w:cs="仿宋"/>
          <w:sz w:val="24"/>
          <w:vertAlign w:val="superscript"/>
        </w:rPr>
        <w:t>2</w:t>
      </w:r>
      <w:r>
        <w:rPr>
          <w:rFonts w:hint="eastAsia" w:ascii="仿宋" w:hAnsi="仿宋" w:eastAsia="仿宋" w:cs="仿宋"/>
          <w:sz w:val="24"/>
        </w:rPr>
        <w:t>，致病微生物不得检出，微生物检测报告等资料应建档备查，及时更新。</w:t>
      </w:r>
    </w:p>
    <w:p w14:paraId="760DCA16">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（6）每个季度投标人须委托第三方检测机构进行一次清洁织物指标检测，检测项目包括：细菌菌落总数、大肠菌群及金黄色葡萄球菌等微生物指标及pH值，检测报告需提交甲方，备档、备查。</w:t>
      </w:r>
    </w:p>
    <w:p w14:paraId="49230D79">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（7）特殊织物，如携带感染病源织物，应单独打包（放置于水溶性污衣袋中），单独运输洗涤、消毒，与一般织物隔离，做好标识，制订防护及预防措施。</w:t>
      </w:r>
    </w:p>
    <w:p w14:paraId="3D15E668">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（8）严格执行</w:t>
      </w:r>
      <w:r>
        <w:rPr>
          <w:rFonts w:hint="eastAsia" w:ascii="仿宋" w:hAnsi="仿宋" w:eastAsia="仿宋" w:cs="仿宋"/>
          <w:bCs/>
          <w:color w:val="000000" w:themeColor="text1"/>
          <w:sz w:val="24"/>
          <w14:textFill>
            <w14:solidFill>
              <w14:schemeClr w14:val="tx1"/>
            </w14:solidFill>
          </w14:textFill>
        </w:rPr>
        <w:t>中华人民共和国卫生行业标准WS/T508-2025《</w:t>
      </w:r>
      <w:r>
        <w:rPr>
          <w:rFonts w:hint="eastAsia" w:ascii="仿宋" w:hAnsi="仿宋" w:eastAsia="仿宋" w:cs="仿宋"/>
          <w:sz w:val="24"/>
        </w:rPr>
        <w:t>医疗机构医用织物洗涤消毒技术标准</w:t>
      </w:r>
      <w:r>
        <w:rPr>
          <w:rFonts w:hint="eastAsia" w:ascii="仿宋" w:hAnsi="仿宋" w:eastAsia="仿宋" w:cs="仿宋"/>
          <w:bCs/>
          <w:color w:val="000000" w:themeColor="text1"/>
          <w:sz w:val="24"/>
          <w14:textFill>
            <w14:solidFill>
              <w14:schemeClr w14:val="tx1"/>
            </w14:solidFill>
          </w14:textFill>
        </w:rPr>
        <w:t>》</w:t>
      </w:r>
      <w:r>
        <w:rPr>
          <w:rFonts w:hint="eastAsia" w:ascii="仿宋" w:hAnsi="仿宋" w:eastAsia="仿宋" w:cs="仿宋"/>
          <w:sz w:val="24"/>
        </w:rPr>
        <w:t>的感染物洗涤、消毒要求。</w:t>
      </w:r>
    </w:p>
    <w:p w14:paraId="4B157A5B">
      <w:pPr>
        <w:adjustRightInd w:val="0"/>
        <w:snapToGrid w:val="0"/>
        <w:spacing w:line="360" w:lineRule="auto"/>
        <w:ind w:firstLine="559" w:firstLineChars="233"/>
        <w:rPr>
          <w:rFonts w:ascii="仿宋" w:hAnsi="仿宋" w:eastAsia="仿宋" w:cs="仿宋"/>
          <w:b/>
          <w:sz w:val="24"/>
        </w:rPr>
      </w:pPr>
      <w:r>
        <w:rPr>
          <w:rFonts w:hint="eastAsia" w:ascii="仿宋" w:hAnsi="仿宋" w:eastAsia="仿宋" w:cs="仿宋"/>
          <w:bCs/>
          <w:sz w:val="24"/>
        </w:rPr>
        <w:t>（9）洗涤场所合理布局，按织物洗涤流程设置清洁区和污染区，两区之间应有实际的隔离屏障。根据感控要求，针对特殊织物配备独立洗衣机，独立烘干机等，并在设备上设置专用标识</w:t>
      </w:r>
      <w:r>
        <w:rPr>
          <w:rFonts w:hint="eastAsia" w:ascii="仿宋" w:hAnsi="仿宋" w:eastAsia="仿宋" w:cs="仿宋"/>
          <w:b/>
          <w:sz w:val="24"/>
        </w:rPr>
        <w:t>。</w:t>
      </w:r>
    </w:p>
    <w:p w14:paraId="7E36E34C">
      <w:pPr>
        <w:adjustRightInd w:val="0"/>
        <w:snapToGrid w:val="0"/>
        <w:spacing w:line="360" w:lineRule="auto"/>
        <w:ind w:firstLine="559" w:firstLineChars="233"/>
        <w:rPr>
          <w:rFonts w:ascii="仿宋" w:hAnsi="仿宋" w:eastAsia="仿宋" w:cs="仿宋"/>
          <w:bCs/>
          <w:sz w:val="24"/>
        </w:rPr>
      </w:pPr>
      <w:r>
        <w:rPr>
          <w:rFonts w:hint="eastAsia" w:ascii="仿宋" w:hAnsi="仿宋" w:eastAsia="仿宋" w:cs="仿宋"/>
          <w:bCs/>
          <w:sz w:val="24"/>
        </w:rPr>
        <w:t>（10）对甲类、乙类感染者住院、转运期间可能污染的织物，收集时应避免产生气溶胶，建议根据相关病患感染物处理要求执行。</w:t>
      </w:r>
    </w:p>
    <w:p w14:paraId="58BE8A55">
      <w:pPr>
        <w:pStyle w:val="3"/>
        <w:snapToGrid w:val="0"/>
        <w:spacing w:before="0" w:line="360" w:lineRule="auto"/>
        <w:jc w:val="both"/>
        <w:rPr>
          <w:rFonts w:ascii="仿宋" w:hAnsi="仿宋" w:eastAsia="仿宋" w:cs="仿宋"/>
          <w:sz w:val="24"/>
          <w:szCs w:val="24"/>
        </w:rPr>
      </w:pPr>
      <w:r>
        <w:rPr>
          <w:rFonts w:hint="eastAsia" w:ascii="仿宋" w:hAnsi="仿宋" w:eastAsia="仿宋" w:cs="仿宋"/>
          <w:sz w:val="24"/>
          <w:szCs w:val="24"/>
        </w:rPr>
        <w:t>（五）洁净织物储存及运输要求</w:t>
      </w:r>
    </w:p>
    <w:p w14:paraId="5650EF2D">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（1）清洁织物的储存区应清洁干燥，无霉菌滋生。</w:t>
      </w:r>
    </w:p>
    <w:p w14:paraId="55D9A674">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（2）清洁织物应干燥、通风的物架上保存，距离地面≥20㎝，距离墙面≥5㎝，距离屋顶≥50㎝。</w:t>
      </w:r>
    </w:p>
    <w:p w14:paraId="662A8219">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（3）应使用密闭的车辆运输。</w:t>
      </w:r>
    </w:p>
    <w:p w14:paraId="5FC93ED7">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（4）洁净织物不得与脏污织物混放，放置应有各自独立区域，并有明显区域标牌。</w:t>
      </w:r>
    </w:p>
    <w:p w14:paraId="6C8C3BC4">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（5）洁净织物应使用专用包皮密封，外包皮有标识，分类包装运输。</w:t>
      </w:r>
    </w:p>
    <w:p w14:paraId="1207822B">
      <w:pPr>
        <w:pStyle w:val="3"/>
        <w:snapToGrid w:val="0"/>
        <w:spacing w:before="0" w:line="360" w:lineRule="auto"/>
        <w:jc w:val="both"/>
        <w:rPr>
          <w:rFonts w:ascii="仿宋" w:hAnsi="仿宋" w:eastAsia="仿宋" w:cs="仿宋"/>
          <w:sz w:val="24"/>
          <w:szCs w:val="24"/>
          <w:highlight w:val="yellow"/>
        </w:rPr>
      </w:pPr>
      <w:r>
        <w:rPr>
          <w:rFonts w:hint="eastAsia" w:ascii="仿宋" w:hAnsi="仿宋" w:eastAsia="仿宋" w:cs="仿宋"/>
          <w:sz w:val="24"/>
          <w:szCs w:val="24"/>
        </w:rPr>
        <w:t>（六）项目服务人员要求</w:t>
      </w:r>
    </w:p>
    <w:p w14:paraId="588A4DAE">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（1）项目服务人员需入驻医院工作，项目经理需要具备洗涤行业专业资格和从业5年以上经验。</w:t>
      </w:r>
    </w:p>
    <w:p w14:paraId="248899F7">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（2）直接从事织物洗涤的工作人员每年必须到卫生防疫机构进行</w:t>
      </w:r>
      <w:r>
        <w:rPr>
          <w:rFonts w:hint="eastAsia" w:ascii="仿宋" w:hAnsi="仿宋" w:eastAsia="仿宋" w:cs="仿宋"/>
          <w:spacing w:val="-4"/>
          <w:sz w:val="24"/>
        </w:rPr>
        <w:t>一次健康体检，项目配送</w:t>
      </w:r>
      <w:r>
        <w:rPr>
          <w:rFonts w:hint="eastAsia" w:ascii="仿宋" w:hAnsi="仿宋" w:eastAsia="仿宋" w:cs="仿宋"/>
          <w:sz w:val="24"/>
        </w:rPr>
        <w:t>人员上岗前体检，</w:t>
      </w:r>
      <w:r>
        <w:rPr>
          <w:rFonts w:hint="eastAsia" w:ascii="仿宋" w:hAnsi="仿宋" w:eastAsia="仿宋" w:cs="仿宋"/>
          <w:spacing w:val="-4"/>
          <w:sz w:val="24"/>
        </w:rPr>
        <w:t>取得健康体检合格证明和卫生培训合格证后方可上岗。</w:t>
      </w:r>
    </w:p>
    <w:p w14:paraId="2D1BD8F3">
      <w:pPr>
        <w:adjustRightInd w:val="0"/>
        <w:snapToGrid w:val="0"/>
        <w:spacing w:line="360" w:lineRule="auto"/>
        <w:ind w:firstLine="559" w:firstLineChars="233"/>
        <w:rPr>
          <w:rFonts w:ascii="仿宋" w:hAnsi="仿宋" w:eastAsia="仿宋" w:cs="仿宋"/>
          <w:sz w:val="24"/>
        </w:rPr>
      </w:pPr>
      <w:r>
        <w:rPr>
          <w:rFonts w:hint="eastAsia" w:ascii="仿宋" w:hAnsi="仿宋" w:eastAsia="仿宋" w:cs="仿宋"/>
          <w:sz w:val="24"/>
        </w:rPr>
        <w:t>（3）患有活动性肺结核、病毒性肝炎、肠道传染病患者及病原携带者，化脓性或慢性渗出性皮肤病等传染病患者不得从事该工作。</w:t>
      </w:r>
    </w:p>
    <w:p w14:paraId="43999069">
      <w:pPr>
        <w:adjustRightInd w:val="0"/>
        <w:snapToGrid w:val="0"/>
        <w:spacing w:line="360" w:lineRule="auto"/>
        <w:ind w:firstLine="559" w:firstLineChars="233"/>
        <w:rPr>
          <w:rFonts w:ascii="仿宋" w:hAnsi="仿宋" w:eastAsia="仿宋" w:cs="仿宋"/>
          <w:spacing w:val="-12"/>
          <w:sz w:val="24"/>
        </w:rPr>
      </w:pPr>
      <w:r>
        <w:rPr>
          <w:rFonts w:hint="eastAsia" w:ascii="仿宋" w:hAnsi="仿宋" w:eastAsia="仿宋" w:cs="仿宋"/>
          <w:sz w:val="24"/>
        </w:rPr>
        <w:t>（4）项目服务人员要有良好的职业道德和服务态度，严格执行医院的各项规章制度，对医务人</w:t>
      </w:r>
      <w:r>
        <w:rPr>
          <w:rFonts w:hint="eastAsia" w:ascii="仿宋" w:hAnsi="仿宋" w:eastAsia="仿宋" w:cs="仿宋"/>
          <w:spacing w:val="-12"/>
          <w:sz w:val="24"/>
        </w:rPr>
        <w:t>员和就医者要以礼相待，节约用水电，爱护医院一切公共财物，损坏物品估价后从服务费中扣除。</w:t>
      </w:r>
    </w:p>
    <w:p w14:paraId="2E0D6ECF">
      <w:pPr>
        <w:adjustRightInd w:val="0"/>
        <w:snapToGrid w:val="0"/>
        <w:spacing w:line="360" w:lineRule="auto"/>
        <w:ind w:firstLine="477" w:firstLineChars="221"/>
        <w:rPr>
          <w:rFonts w:ascii="仿宋" w:hAnsi="仿宋" w:eastAsia="仿宋" w:cs="仿宋"/>
          <w:sz w:val="24"/>
        </w:rPr>
      </w:pPr>
      <w:r>
        <w:rPr>
          <w:rFonts w:hint="eastAsia" w:ascii="仿宋" w:hAnsi="仿宋" w:eastAsia="仿宋" w:cs="仿宋"/>
          <w:spacing w:val="-12"/>
          <w:sz w:val="24"/>
        </w:rPr>
        <w:t>（5）</w:t>
      </w:r>
      <w:r>
        <w:rPr>
          <w:rFonts w:hint="eastAsia" w:ascii="仿宋" w:hAnsi="仿宋" w:eastAsia="仿宋" w:cs="仿宋"/>
          <w:sz w:val="24"/>
        </w:rPr>
        <w:t>必须严格执行项目考勤制度及各项工作制度流程。</w:t>
      </w:r>
    </w:p>
    <w:p w14:paraId="003DC9E1">
      <w:pPr>
        <w:adjustRightInd w:val="0"/>
        <w:snapToGrid w:val="0"/>
        <w:spacing w:line="360" w:lineRule="auto"/>
        <w:ind w:firstLine="530" w:firstLineChars="221"/>
        <w:rPr>
          <w:rFonts w:ascii="仿宋" w:hAnsi="仿宋" w:eastAsia="仿宋" w:cs="仿宋"/>
          <w:sz w:val="24"/>
        </w:rPr>
      </w:pPr>
      <w:r>
        <w:rPr>
          <w:rFonts w:hint="eastAsia" w:ascii="仿宋" w:hAnsi="仿宋" w:eastAsia="仿宋" w:cs="仿宋"/>
          <w:color w:val="000000"/>
          <w:sz w:val="24"/>
        </w:rPr>
        <w:t>（6）驻场人员保持稳定，</w:t>
      </w:r>
      <w:r>
        <w:rPr>
          <w:rFonts w:hint="eastAsia" w:ascii="仿宋" w:hAnsi="仿宋" w:eastAsia="仿宋" w:cs="仿宋"/>
          <w:sz w:val="24"/>
        </w:rPr>
        <w:t>更换人员必须提前7天提出申请，经总务处批准后，办理相关离职、入职手续，原则上新入驻供应商半年内不允许更换人员。</w:t>
      </w:r>
    </w:p>
    <w:p w14:paraId="1962DB43">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（7）驻场服务人员信息与投标文件提供相关个人信息相符，未经医院同意不得更换。</w:t>
      </w:r>
    </w:p>
    <w:p w14:paraId="16FAED02">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（8）项目经理具有洗涤行业资格证书且年龄小于45周岁，相关工作经验超过5年。</w:t>
      </w:r>
    </w:p>
    <w:p w14:paraId="055747D9">
      <w:pPr>
        <w:pStyle w:val="3"/>
        <w:snapToGrid w:val="0"/>
        <w:spacing w:before="0" w:line="360" w:lineRule="auto"/>
        <w:jc w:val="both"/>
        <w:rPr>
          <w:rFonts w:ascii="仿宋" w:hAnsi="仿宋" w:eastAsia="仿宋" w:cs="仿宋"/>
          <w:sz w:val="24"/>
          <w:szCs w:val="24"/>
        </w:rPr>
      </w:pPr>
      <w:r>
        <w:rPr>
          <w:rFonts w:hint="eastAsia" w:ascii="仿宋" w:hAnsi="仿宋" w:eastAsia="仿宋" w:cs="仿宋"/>
          <w:sz w:val="24"/>
          <w:szCs w:val="24"/>
        </w:rPr>
        <w:t>（七）服务质量考评要求</w:t>
      </w:r>
    </w:p>
    <w:p w14:paraId="662759EC">
      <w:pPr>
        <w:adjustRightInd w:val="0"/>
        <w:snapToGrid w:val="0"/>
        <w:spacing w:line="360" w:lineRule="auto"/>
        <w:ind w:firstLine="480" w:firstLineChars="200"/>
        <w:rPr>
          <w:rFonts w:ascii="仿宋" w:hAnsi="仿宋" w:eastAsia="仿宋" w:cs="仿宋"/>
          <w:b/>
          <w:bCs/>
          <w:sz w:val="24"/>
        </w:rPr>
      </w:pPr>
      <w:r>
        <w:rPr>
          <w:rFonts w:hint="eastAsia" w:ascii="仿宋" w:hAnsi="仿宋" w:eastAsia="仿宋" w:cs="仿宋"/>
          <w:sz w:val="24"/>
        </w:rPr>
        <w:t>院方将对供应商的工作质量进行监督、检查，根据作业标准扣分，月底根据检查情况进行总评，确定考核分数。若出现重大失误、造成不良后果，依据情况及整改后的效果，将根据考评结果扣除部分服务费用或解除合同。</w:t>
      </w:r>
    </w:p>
    <w:p w14:paraId="1A0EF0F5">
      <w:pPr>
        <w:adjustRightInd w:val="0"/>
        <w:snapToGrid w:val="0"/>
        <w:spacing w:line="360" w:lineRule="auto"/>
        <w:ind w:firstLine="281"/>
        <w:rPr>
          <w:rFonts w:ascii="仿宋" w:hAnsi="仿宋" w:eastAsia="仿宋" w:cs="仿宋"/>
          <w:b/>
          <w:bCs/>
          <w:sz w:val="24"/>
        </w:rPr>
      </w:pPr>
      <w:r>
        <w:rPr>
          <w:rFonts w:hint="eastAsia" w:ascii="仿宋" w:hAnsi="仿宋" w:eastAsia="仿宋" w:cs="仿宋"/>
          <w:b/>
          <w:bCs/>
          <w:sz w:val="24"/>
        </w:rPr>
        <w:t>【附洗涤服务相关考评指标】详见本采购需求附件</w:t>
      </w:r>
    </w:p>
    <w:p w14:paraId="5C299F21">
      <w:pPr>
        <w:adjustRightInd w:val="0"/>
        <w:snapToGrid w:val="0"/>
        <w:spacing w:line="360" w:lineRule="auto"/>
        <w:ind w:firstLine="240" w:firstLineChars="100"/>
        <w:rPr>
          <w:rFonts w:ascii="仿宋" w:hAnsi="仿宋" w:eastAsia="仿宋" w:cs="仿宋"/>
          <w:sz w:val="24"/>
        </w:rPr>
      </w:pPr>
      <w:r>
        <w:rPr>
          <w:rFonts w:hint="eastAsia" w:ascii="仿宋" w:hAnsi="仿宋" w:eastAsia="仿宋" w:cs="仿宋"/>
          <w:sz w:val="24"/>
        </w:rPr>
        <w:t>附件一：洗涤服务考核标准</w:t>
      </w:r>
    </w:p>
    <w:p w14:paraId="68386545">
      <w:pPr>
        <w:adjustRightInd w:val="0"/>
        <w:snapToGrid w:val="0"/>
        <w:spacing w:line="360" w:lineRule="auto"/>
        <w:ind w:firstLine="280"/>
        <w:rPr>
          <w:rFonts w:ascii="仿宋" w:hAnsi="仿宋" w:eastAsia="仿宋" w:cs="仿宋"/>
          <w:sz w:val="24"/>
        </w:rPr>
      </w:pPr>
      <w:r>
        <w:rPr>
          <w:rFonts w:hint="eastAsia" w:ascii="仿宋" w:hAnsi="仿宋" w:eastAsia="仿宋" w:cs="仿宋"/>
          <w:sz w:val="24"/>
        </w:rPr>
        <w:t>附件二：洗涤服务评分考核与支付标准</w:t>
      </w:r>
    </w:p>
    <w:p w14:paraId="49674ECE">
      <w:pPr>
        <w:adjustRightInd w:val="0"/>
        <w:snapToGrid w:val="0"/>
        <w:spacing w:line="360" w:lineRule="auto"/>
        <w:ind w:firstLine="280"/>
        <w:rPr>
          <w:rFonts w:ascii="仿宋" w:hAnsi="仿宋" w:eastAsia="仿宋" w:cs="仿宋"/>
          <w:sz w:val="24"/>
        </w:rPr>
      </w:pPr>
      <w:r>
        <w:rPr>
          <w:rFonts w:hint="eastAsia" w:ascii="仿宋" w:hAnsi="仿宋" w:eastAsia="仿宋" w:cs="仿宋"/>
          <w:sz w:val="24"/>
        </w:rPr>
        <w:t>附件三：洗涤交接验收单</w:t>
      </w:r>
    </w:p>
    <w:p w14:paraId="156B91D6">
      <w:pPr>
        <w:adjustRightInd w:val="0"/>
        <w:snapToGrid w:val="0"/>
        <w:spacing w:line="360" w:lineRule="auto"/>
        <w:ind w:firstLine="280"/>
        <w:rPr>
          <w:rFonts w:ascii="仿宋" w:hAnsi="仿宋" w:eastAsia="仿宋" w:cs="仿宋"/>
          <w:sz w:val="24"/>
        </w:rPr>
      </w:pPr>
      <w:r>
        <w:rPr>
          <w:rFonts w:hint="eastAsia" w:ascii="仿宋" w:hAnsi="仿宋" w:eastAsia="仿宋" w:cs="仿宋"/>
          <w:sz w:val="24"/>
        </w:rPr>
        <w:t>附件四：洗涤服务违约处理通知单</w:t>
      </w:r>
    </w:p>
    <w:p w14:paraId="0D117397">
      <w:pPr>
        <w:adjustRightInd w:val="0"/>
        <w:snapToGrid w:val="0"/>
        <w:spacing w:line="360" w:lineRule="auto"/>
        <w:ind w:firstLine="280"/>
        <w:rPr>
          <w:rFonts w:ascii="仿宋" w:hAnsi="仿宋" w:eastAsia="仿宋" w:cs="仿宋"/>
          <w:sz w:val="24"/>
        </w:rPr>
      </w:pPr>
      <w:r>
        <w:rPr>
          <w:rFonts w:hint="eastAsia" w:ascii="仿宋" w:hAnsi="仿宋" w:eastAsia="仿宋" w:cs="仿宋"/>
          <w:sz w:val="24"/>
        </w:rPr>
        <w:t>附件五：织物综合洗涤参考标准表</w:t>
      </w:r>
    </w:p>
    <w:p w14:paraId="2AE33DB7">
      <w:pPr>
        <w:adjustRightInd w:val="0"/>
        <w:snapToGrid w:val="0"/>
        <w:spacing w:line="360" w:lineRule="auto"/>
        <w:rPr>
          <w:rFonts w:ascii="仿宋" w:hAnsi="仿宋" w:eastAsia="仿宋" w:cs="仿宋"/>
          <w:b/>
          <w:bCs/>
          <w:sz w:val="24"/>
        </w:rPr>
      </w:pPr>
      <w:r>
        <w:rPr>
          <w:rFonts w:hint="eastAsia" w:ascii="仿宋" w:hAnsi="仿宋" w:eastAsia="仿宋" w:cs="仿宋"/>
          <w:b/>
          <w:bCs/>
          <w:sz w:val="24"/>
        </w:rPr>
        <w:t>（八）本项目方案要求</w:t>
      </w:r>
    </w:p>
    <w:p w14:paraId="2319881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投标人应做好本项目组织方案、项目管理规章制度方案、项目运行方案、项目人员配置、洗涤方案、洗涤剂使用方案、洗涤设备配备方案、运输方案、交接方案、感控方案、应急处理方案等，所有方案需满足本项目服务要求。</w:t>
      </w:r>
    </w:p>
    <w:p w14:paraId="77F8D479">
      <w:pPr>
        <w:pStyle w:val="2"/>
        <w:snapToGrid w:val="0"/>
        <w:spacing w:before="0" w:after="0" w:line="360" w:lineRule="auto"/>
        <w:rPr>
          <w:rFonts w:ascii="仿宋" w:hAnsi="仿宋" w:eastAsia="仿宋" w:cs="仿宋"/>
          <w:sz w:val="24"/>
          <w:szCs w:val="24"/>
        </w:rPr>
      </w:pPr>
      <w:r>
        <w:rPr>
          <w:rFonts w:hint="eastAsia" w:ascii="仿宋" w:hAnsi="仿宋" w:eastAsia="仿宋" w:cs="仿宋"/>
          <w:sz w:val="24"/>
          <w:szCs w:val="24"/>
        </w:rPr>
        <w:t>三、承包模式</w:t>
      </w:r>
    </w:p>
    <w:p w14:paraId="5B4041C9">
      <w:pPr>
        <w:adjustRightInd w:val="0"/>
        <w:snapToGrid w:val="0"/>
        <w:spacing w:line="360" w:lineRule="auto"/>
        <w:ind w:firstLine="480" w:firstLineChars="200"/>
        <w:rPr>
          <w:rFonts w:ascii="仿宋" w:hAnsi="仿宋" w:eastAsia="仿宋" w:cs="仿宋"/>
          <w:bCs/>
          <w:sz w:val="24"/>
        </w:rPr>
      </w:pPr>
      <w:r>
        <w:rPr>
          <w:rFonts w:hint="eastAsia" w:ascii="仿宋" w:hAnsi="仿宋" w:eastAsia="仿宋" w:cs="仿宋"/>
          <w:sz w:val="24"/>
        </w:rPr>
        <w:t>本项目采用总承包模式，包括洗涤服务、物流配送服务、项目管理服务等所有涉及织物类洗涤收送的全部服务工作。</w:t>
      </w:r>
    </w:p>
    <w:p w14:paraId="3FD5C7F4">
      <w:pPr>
        <w:adjustRightInd w:val="0"/>
        <w:snapToGrid w:val="0"/>
        <w:spacing w:line="360" w:lineRule="auto"/>
        <w:jc w:val="center"/>
        <w:rPr>
          <w:rFonts w:ascii="仿宋" w:hAnsi="仿宋" w:eastAsia="仿宋" w:cs="仿宋"/>
          <w:b/>
          <w:bCs/>
          <w:sz w:val="24"/>
        </w:rPr>
      </w:pPr>
      <w:r>
        <w:rPr>
          <w:rFonts w:hint="eastAsia" w:ascii="仿宋" w:hAnsi="仿宋" w:eastAsia="仿宋" w:cs="仿宋"/>
          <w:b/>
          <w:bCs/>
          <w:sz w:val="24"/>
        </w:rPr>
        <w:t>四、预算金额</w:t>
      </w:r>
    </w:p>
    <w:p w14:paraId="7CF108D1">
      <w:pPr>
        <w:adjustRightInd w:val="0"/>
        <w:snapToGrid w:val="0"/>
        <w:spacing w:line="360" w:lineRule="auto"/>
        <w:rPr>
          <w:rFonts w:ascii="仿宋_GB2312" w:hAnsi="仿宋_GB2312" w:eastAsia="仿宋_GB2312" w:cs="仿宋_GB2312"/>
          <w:b/>
          <w:bCs/>
          <w:sz w:val="28"/>
          <w:szCs w:val="28"/>
        </w:rPr>
      </w:pPr>
      <w:r>
        <w:rPr>
          <w:rFonts w:hint="eastAsia" w:ascii="仿宋" w:hAnsi="仿宋" w:eastAsia="仿宋" w:cs="仿宋"/>
          <w:b/>
          <w:bCs/>
          <w:sz w:val="24"/>
        </w:rPr>
        <w:t xml:space="preserve">   </w:t>
      </w:r>
      <w:r>
        <w:rPr>
          <w:rFonts w:hint="eastAsia" w:ascii="仿宋" w:hAnsi="仿宋" w:eastAsia="仿宋" w:cs="仿宋"/>
          <w:sz w:val="24"/>
        </w:rPr>
        <w:t>年洗涤、收送数量约642400件，三年预算总金额50</w:t>
      </w:r>
      <w:r>
        <w:rPr>
          <w:rFonts w:ascii="仿宋" w:hAnsi="仿宋" w:eastAsia="仿宋" w:cs="仿宋"/>
          <w:sz w:val="24"/>
        </w:rPr>
        <w:t>1</w:t>
      </w:r>
      <w:r>
        <w:rPr>
          <w:rFonts w:hint="eastAsia" w:ascii="仿宋" w:hAnsi="仿宋" w:eastAsia="仿宋" w:cs="仿宋"/>
          <w:sz w:val="24"/>
        </w:rPr>
        <w:t>万元。每年洗涤量上下浮动超过10%（含10%），中标人与采购人应根据承包总价做相应的付款调整。合同期3年，一年一签，必须在年度考核达90分（含90分）以上，方可签订下年度合同。</w:t>
      </w:r>
    </w:p>
    <w:p w14:paraId="222020E1">
      <w:pPr>
        <w:adjustRightInd w:val="0"/>
        <w:snapToGrid w:val="0"/>
        <w:spacing w:line="360" w:lineRule="auto"/>
        <w:rPr>
          <w:rFonts w:ascii="仿宋" w:hAnsi="仿宋" w:eastAsia="仿宋" w:cs="仿宋"/>
          <w:b/>
          <w:bCs/>
          <w:sz w:val="24"/>
        </w:rPr>
      </w:pPr>
    </w:p>
    <w:p w14:paraId="1640244B">
      <w:pPr>
        <w:adjustRightInd w:val="0"/>
        <w:snapToGrid w:val="0"/>
        <w:spacing w:line="360" w:lineRule="auto"/>
        <w:ind w:firstLine="241"/>
        <w:jc w:val="left"/>
        <w:rPr>
          <w:rFonts w:ascii="仿宋" w:hAnsi="仿宋" w:eastAsia="仿宋" w:cs="仿宋"/>
          <w:b/>
          <w:bCs/>
          <w:sz w:val="24"/>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titlePg/>
          <w:docGrid w:type="linesAndChars" w:linePitch="381" w:charSpace="0"/>
        </w:sectPr>
      </w:pPr>
    </w:p>
    <w:p w14:paraId="2F457691">
      <w:pPr>
        <w:adjustRightInd w:val="0"/>
        <w:snapToGrid w:val="0"/>
        <w:spacing w:line="360" w:lineRule="auto"/>
        <w:ind w:firstLine="281"/>
        <w:rPr>
          <w:rFonts w:ascii="仿宋" w:hAnsi="仿宋" w:eastAsia="仿宋" w:cs="仿宋"/>
          <w:b/>
          <w:bCs/>
          <w:sz w:val="24"/>
        </w:rPr>
      </w:pPr>
      <w:r>
        <w:rPr>
          <w:rFonts w:hint="eastAsia" w:ascii="仿宋" w:hAnsi="仿宋" w:eastAsia="仿宋" w:cs="仿宋"/>
          <w:b/>
          <w:bCs/>
          <w:sz w:val="24"/>
        </w:rPr>
        <w:t>附件一: 项目服务年、月考核标准</w:t>
      </w:r>
    </w:p>
    <w:tbl>
      <w:tblPr>
        <w:tblStyle w:val="7"/>
        <w:tblW w:w="9288" w:type="dxa"/>
        <w:tblInd w:w="0" w:type="dxa"/>
        <w:tblLayout w:type="fixed"/>
        <w:tblCellMar>
          <w:top w:w="0" w:type="dxa"/>
          <w:left w:w="108" w:type="dxa"/>
          <w:bottom w:w="0" w:type="dxa"/>
          <w:right w:w="108" w:type="dxa"/>
        </w:tblCellMar>
      </w:tblPr>
      <w:tblGrid>
        <w:gridCol w:w="1454"/>
        <w:gridCol w:w="6297"/>
        <w:gridCol w:w="816"/>
        <w:gridCol w:w="721"/>
      </w:tblGrid>
      <w:tr w14:paraId="5AA9222E">
        <w:tblPrEx>
          <w:tblCellMar>
            <w:top w:w="0" w:type="dxa"/>
            <w:left w:w="108" w:type="dxa"/>
            <w:bottom w:w="0" w:type="dxa"/>
            <w:right w:w="108" w:type="dxa"/>
          </w:tblCellMar>
        </w:tblPrEx>
        <w:trPr>
          <w:trHeight w:val="600" w:hRule="atLeast"/>
        </w:trPr>
        <w:tc>
          <w:tcPr>
            <w:tcW w:w="92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D1CBB4">
            <w:pPr>
              <w:widowControl/>
              <w:jc w:val="center"/>
              <w:textAlignment w:val="center"/>
              <w:rPr>
                <w:rFonts w:ascii="仿宋" w:hAnsi="仿宋" w:eastAsia="仿宋" w:cs="仿宋"/>
                <w:b/>
                <w:bCs/>
                <w:color w:val="000000"/>
                <w:sz w:val="32"/>
                <w:szCs w:val="32"/>
              </w:rPr>
            </w:pPr>
            <w:r>
              <w:rPr>
                <w:rFonts w:hint="eastAsia" w:ascii="仿宋" w:hAnsi="仿宋" w:eastAsia="仿宋" w:cs="仿宋"/>
                <w:b/>
                <w:bCs/>
                <w:color w:val="000000"/>
                <w:kern w:val="0"/>
                <w:sz w:val="32"/>
                <w:szCs w:val="32"/>
                <w:lang w:bidi="ar"/>
              </w:rPr>
              <w:t>织物洗涤及配送服务质量考核表</w:t>
            </w:r>
          </w:p>
        </w:tc>
      </w:tr>
      <w:tr w14:paraId="66B84B5A">
        <w:tblPrEx>
          <w:tblCellMar>
            <w:top w:w="0" w:type="dxa"/>
            <w:left w:w="108" w:type="dxa"/>
            <w:bottom w:w="0" w:type="dxa"/>
            <w:right w:w="108" w:type="dxa"/>
          </w:tblCellMar>
        </w:tblPrEx>
        <w:trPr>
          <w:trHeight w:val="440" w:hRule="atLeast"/>
        </w:trPr>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277DB">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检查日期：</w:t>
            </w:r>
          </w:p>
        </w:tc>
        <w:tc>
          <w:tcPr>
            <w:tcW w:w="71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686A1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年    月    日</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22103D">
            <w:pPr>
              <w:rPr>
                <w:rFonts w:ascii="仿宋" w:hAnsi="仿宋" w:eastAsia="仿宋" w:cs="仿宋"/>
                <w:color w:val="000000"/>
                <w:sz w:val="22"/>
                <w:szCs w:val="22"/>
              </w:rPr>
            </w:pPr>
          </w:p>
        </w:tc>
      </w:tr>
      <w:tr w14:paraId="1E2B8E5D">
        <w:tblPrEx>
          <w:tblCellMar>
            <w:top w:w="0" w:type="dxa"/>
            <w:left w:w="108" w:type="dxa"/>
            <w:bottom w:w="0" w:type="dxa"/>
            <w:right w:w="108" w:type="dxa"/>
          </w:tblCellMar>
        </w:tblPrEx>
        <w:trPr>
          <w:trHeight w:val="440" w:hRule="atLeast"/>
        </w:trPr>
        <w:tc>
          <w:tcPr>
            <w:tcW w:w="77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8FB3">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检查人员：</w:t>
            </w: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60974">
            <w:pPr>
              <w:widowControl/>
              <w:jc w:val="righ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分数：</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07CEC7">
            <w:pPr>
              <w:rPr>
                <w:rFonts w:ascii="仿宋" w:hAnsi="仿宋" w:eastAsia="仿宋" w:cs="仿宋"/>
                <w:color w:val="000000"/>
                <w:sz w:val="22"/>
                <w:szCs w:val="22"/>
              </w:rPr>
            </w:pPr>
          </w:p>
        </w:tc>
      </w:tr>
      <w:tr w14:paraId="2A592E2A">
        <w:tblPrEx>
          <w:tblCellMar>
            <w:top w:w="0" w:type="dxa"/>
            <w:left w:w="108" w:type="dxa"/>
            <w:bottom w:w="0" w:type="dxa"/>
            <w:right w:w="108" w:type="dxa"/>
          </w:tblCellMar>
        </w:tblPrEx>
        <w:trPr>
          <w:trHeight w:val="440" w:hRule="atLeast"/>
        </w:trPr>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76221">
            <w:pPr>
              <w:widowControl/>
              <w:jc w:val="center"/>
              <w:textAlignment w:val="center"/>
              <w:rPr>
                <w:rFonts w:ascii="仿宋" w:hAnsi="仿宋" w:eastAsia="仿宋" w:cs="仿宋"/>
                <w:b/>
                <w:bCs/>
                <w:color w:val="000000"/>
                <w:sz w:val="22"/>
                <w:szCs w:val="22"/>
              </w:rPr>
            </w:pPr>
            <w:r>
              <w:rPr>
                <w:rFonts w:hint="eastAsia" w:ascii="仿宋" w:hAnsi="仿宋" w:eastAsia="仿宋" w:cs="仿宋"/>
                <w:b/>
                <w:bCs/>
                <w:color w:val="000000"/>
                <w:kern w:val="0"/>
                <w:sz w:val="22"/>
                <w:szCs w:val="22"/>
                <w:lang w:bidi="ar"/>
              </w:rPr>
              <w:t>检查项目</w:t>
            </w: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38AD">
            <w:pPr>
              <w:widowControl/>
              <w:jc w:val="center"/>
              <w:textAlignment w:val="center"/>
              <w:rPr>
                <w:rFonts w:ascii="仿宋" w:hAnsi="仿宋" w:eastAsia="仿宋" w:cs="仿宋"/>
                <w:b/>
                <w:bCs/>
                <w:color w:val="000000"/>
                <w:sz w:val="22"/>
                <w:szCs w:val="22"/>
              </w:rPr>
            </w:pPr>
            <w:r>
              <w:rPr>
                <w:rFonts w:hint="eastAsia" w:ascii="仿宋" w:hAnsi="仿宋" w:eastAsia="仿宋" w:cs="仿宋"/>
                <w:b/>
                <w:bCs/>
                <w:color w:val="000000"/>
                <w:kern w:val="0"/>
                <w:sz w:val="22"/>
                <w:szCs w:val="22"/>
                <w:lang w:bidi="ar"/>
              </w:rPr>
              <w:t>检查内容及标准</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A594">
            <w:pPr>
              <w:widowControl/>
              <w:jc w:val="center"/>
              <w:textAlignment w:val="center"/>
              <w:rPr>
                <w:rFonts w:ascii="仿宋" w:hAnsi="仿宋" w:eastAsia="仿宋" w:cs="仿宋"/>
                <w:b/>
                <w:bCs/>
                <w:color w:val="000000"/>
                <w:sz w:val="22"/>
                <w:szCs w:val="22"/>
              </w:rPr>
            </w:pPr>
            <w:r>
              <w:rPr>
                <w:rFonts w:hint="eastAsia" w:ascii="仿宋" w:hAnsi="仿宋" w:eastAsia="仿宋" w:cs="仿宋"/>
                <w:b/>
                <w:bCs/>
                <w:color w:val="000000"/>
                <w:kern w:val="0"/>
                <w:sz w:val="22"/>
                <w:szCs w:val="22"/>
                <w:lang w:bidi="ar"/>
              </w:rPr>
              <w:t>分值</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9BC4D">
            <w:pPr>
              <w:widowControl/>
              <w:jc w:val="center"/>
              <w:textAlignment w:val="center"/>
              <w:rPr>
                <w:rFonts w:ascii="仿宋" w:hAnsi="仿宋" w:eastAsia="仿宋" w:cs="仿宋"/>
                <w:b/>
                <w:bCs/>
                <w:color w:val="000000"/>
                <w:sz w:val="22"/>
                <w:szCs w:val="22"/>
              </w:rPr>
            </w:pPr>
            <w:r>
              <w:rPr>
                <w:rFonts w:hint="eastAsia" w:ascii="仿宋" w:hAnsi="仿宋" w:eastAsia="仿宋" w:cs="仿宋"/>
                <w:b/>
                <w:bCs/>
                <w:color w:val="000000"/>
                <w:kern w:val="0"/>
                <w:sz w:val="22"/>
                <w:szCs w:val="22"/>
                <w:lang w:bidi="ar"/>
              </w:rPr>
              <w:t>得分</w:t>
            </w:r>
          </w:p>
        </w:tc>
      </w:tr>
      <w:tr w14:paraId="35639010">
        <w:tblPrEx>
          <w:tblCellMar>
            <w:top w:w="0" w:type="dxa"/>
            <w:left w:w="108" w:type="dxa"/>
            <w:bottom w:w="0" w:type="dxa"/>
            <w:right w:w="108" w:type="dxa"/>
          </w:tblCellMar>
        </w:tblPrEx>
        <w:trPr>
          <w:trHeight w:val="440" w:hRule="atLeast"/>
        </w:trPr>
        <w:tc>
          <w:tcPr>
            <w:tcW w:w="14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51168">
            <w:pPr>
              <w:widowControl/>
              <w:jc w:val="center"/>
              <w:textAlignment w:val="center"/>
              <w:rPr>
                <w:rFonts w:ascii="仿宋" w:hAnsi="仿宋" w:eastAsia="仿宋" w:cs="仿宋"/>
                <w:b/>
                <w:bCs/>
                <w:color w:val="000000"/>
                <w:sz w:val="22"/>
                <w:szCs w:val="22"/>
              </w:rPr>
            </w:pPr>
            <w:r>
              <w:rPr>
                <w:rFonts w:hint="eastAsia" w:ascii="仿宋" w:hAnsi="仿宋" w:eastAsia="仿宋" w:cs="仿宋"/>
                <w:b/>
                <w:bCs/>
                <w:color w:val="000000"/>
                <w:kern w:val="0"/>
                <w:sz w:val="22"/>
                <w:szCs w:val="22"/>
                <w:lang w:bidi="ar"/>
              </w:rPr>
              <w:t>服务人员</w:t>
            </w:r>
            <w:r>
              <w:rPr>
                <w:rFonts w:hint="eastAsia" w:ascii="仿宋" w:hAnsi="仿宋" w:eastAsia="仿宋" w:cs="仿宋"/>
                <w:b/>
                <w:bCs/>
                <w:color w:val="000000"/>
                <w:kern w:val="0"/>
                <w:sz w:val="22"/>
                <w:szCs w:val="22"/>
                <w:lang w:bidi="ar"/>
              </w:rPr>
              <w:br w:type="textWrapping"/>
            </w:r>
            <w:r>
              <w:rPr>
                <w:rFonts w:hint="eastAsia" w:ascii="仿宋" w:hAnsi="仿宋" w:eastAsia="仿宋" w:cs="仿宋"/>
                <w:b/>
                <w:bCs/>
                <w:color w:val="000000"/>
                <w:kern w:val="0"/>
                <w:sz w:val="22"/>
                <w:szCs w:val="22"/>
                <w:lang w:bidi="ar"/>
              </w:rPr>
              <w:t>基本要求</w:t>
            </w:r>
            <w:r>
              <w:rPr>
                <w:rFonts w:hint="eastAsia" w:ascii="仿宋" w:hAnsi="仿宋" w:eastAsia="仿宋" w:cs="仿宋"/>
                <w:b/>
                <w:bCs/>
                <w:color w:val="000000"/>
                <w:kern w:val="0"/>
                <w:sz w:val="22"/>
                <w:szCs w:val="22"/>
                <w:lang w:bidi="ar"/>
              </w:rPr>
              <w:br w:type="textWrapping"/>
            </w:r>
            <w:r>
              <w:rPr>
                <w:rFonts w:hint="eastAsia" w:ascii="仿宋" w:hAnsi="仿宋" w:eastAsia="仿宋" w:cs="仿宋"/>
                <w:b/>
                <w:bCs/>
                <w:color w:val="000000"/>
                <w:kern w:val="0"/>
                <w:sz w:val="22"/>
                <w:szCs w:val="22"/>
                <w:lang w:bidi="ar"/>
              </w:rPr>
              <w:t>（10分）</w:t>
            </w: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93EB">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着装统一、整洁、佩戴胸卡</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6F52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1C026">
            <w:pPr>
              <w:jc w:val="center"/>
              <w:rPr>
                <w:rFonts w:ascii="仿宋" w:hAnsi="仿宋" w:eastAsia="仿宋" w:cs="仿宋"/>
                <w:color w:val="000000"/>
                <w:sz w:val="20"/>
                <w:szCs w:val="20"/>
              </w:rPr>
            </w:pPr>
          </w:p>
        </w:tc>
      </w:tr>
      <w:tr w14:paraId="5A9833BC">
        <w:tblPrEx>
          <w:tblCellMar>
            <w:top w:w="0" w:type="dxa"/>
            <w:left w:w="108" w:type="dxa"/>
            <w:bottom w:w="0" w:type="dxa"/>
            <w:right w:w="108" w:type="dxa"/>
          </w:tblCellMar>
        </w:tblPrEx>
        <w:trPr>
          <w:trHeight w:val="4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D18BB">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410E0">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服务主动热情，行为、用语文明规范</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B1451">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A3C1C">
            <w:pPr>
              <w:jc w:val="center"/>
              <w:rPr>
                <w:rFonts w:ascii="仿宋" w:hAnsi="仿宋" w:eastAsia="仿宋" w:cs="仿宋"/>
                <w:color w:val="000000"/>
                <w:sz w:val="20"/>
                <w:szCs w:val="20"/>
              </w:rPr>
            </w:pPr>
          </w:p>
        </w:tc>
      </w:tr>
      <w:tr w14:paraId="6A3235CB">
        <w:tblPrEx>
          <w:tblCellMar>
            <w:top w:w="0" w:type="dxa"/>
            <w:left w:w="108" w:type="dxa"/>
            <w:bottom w:w="0" w:type="dxa"/>
            <w:right w:w="108" w:type="dxa"/>
          </w:tblCellMar>
        </w:tblPrEx>
        <w:trPr>
          <w:trHeight w:val="4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AE4C6">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B9BC0">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不聚集聊天、无违规行为</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141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E8E7F">
            <w:pPr>
              <w:jc w:val="center"/>
              <w:rPr>
                <w:rFonts w:ascii="仿宋" w:hAnsi="仿宋" w:eastAsia="仿宋" w:cs="仿宋"/>
                <w:color w:val="000000"/>
                <w:sz w:val="20"/>
                <w:szCs w:val="20"/>
              </w:rPr>
            </w:pPr>
          </w:p>
        </w:tc>
      </w:tr>
      <w:tr w14:paraId="16BE50F1">
        <w:tblPrEx>
          <w:tblCellMar>
            <w:top w:w="0" w:type="dxa"/>
            <w:left w:w="108" w:type="dxa"/>
            <w:bottom w:w="0" w:type="dxa"/>
            <w:right w:w="108" w:type="dxa"/>
          </w:tblCellMar>
        </w:tblPrEx>
        <w:trPr>
          <w:trHeight w:val="6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1B63A">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96A38">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健康档案齐全，有健康合格证明，按规定进行体检，无不适宜上岗传染病</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28F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CE18">
            <w:pPr>
              <w:jc w:val="center"/>
              <w:rPr>
                <w:rFonts w:ascii="仿宋" w:hAnsi="仿宋" w:eastAsia="仿宋" w:cs="仿宋"/>
                <w:color w:val="000000"/>
                <w:sz w:val="20"/>
                <w:szCs w:val="20"/>
              </w:rPr>
            </w:pPr>
          </w:p>
        </w:tc>
      </w:tr>
      <w:tr w14:paraId="405477D7">
        <w:tblPrEx>
          <w:tblCellMar>
            <w:top w:w="0" w:type="dxa"/>
            <w:left w:w="108" w:type="dxa"/>
            <w:bottom w:w="0" w:type="dxa"/>
            <w:right w:w="108" w:type="dxa"/>
          </w:tblCellMar>
        </w:tblPrEx>
        <w:trPr>
          <w:trHeight w:val="4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BDFDB">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D8CFE">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遵守劳动纪律，不迟到不早退</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4F53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D0A9">
            <w:pPr>
              <w:jc w:val="center"/>
              <w:rPr>
                <w:rFonts w:ascii="仿宋" w:hAnsi="仿宋" w:eastAsia="仿宋" w:cs="仿宋"/>
                <w:color w:val="000000"/>
                <w:sz w:val="20"/>
                <w:szCs w:val="20"/>
              </w:rPr>
            </w:pPr>
          </w:p>
        </w:tc>
      </w:tr>
      <w:tr w14:paraId="37C4E3A7">
        <w:tblPrEx>
          <w:tblCellMar>
            <w:top w:w="0" w:type="dxa"/>
            <w:left w:w="108" w:type="dxa"/>
            <w:bottom w:w="0" w:type="dxa"/>
            <w:right w:w="108" w:type="dxa"/>
          </w:tblCellMar>
        </w:tblPrEx>
        <w:trPr>
          <w:trHeight w:val="440" w:hRule="atLeast"/>
        </w:trPr>
        <w:tc>
          <w:tcPr>
            <w:tcW w:w="14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54DB0B">
            <w:pPr>
              <w:widowControl/>
              <w:jc w:val="center"/>
              <w:textAlignment w:val="center"/>
              <w:rPr>
                <w:rFonts w:ascii="仿宋" w:hAnsi="仿宋" w:eastAsia="仿宋" w:cs="仿宋"/>
                <w:b/>
                <w:bCs/>
                <w:color w:val="000000"/>
                <w:sz w:val="22"/>
                <w:szCs w:val="22"/>
              </w:rPr>
            </w:pPr>
            <w:r>
              <w:rPr>
                <w:rFonts w:hint="eastAsia" w:ascii="仿宋" w:hAnsi="仿宋" w:eastAsia="仿宋" w:cs="仿宋"/>
                <w:b/>
                <w:bCs/>
                <w:color w:val="000000"/>
                <w:kern w:val="0"/>
                <w:sz w:val="22"/>
                <w:szCs w:val="22"/>
                <w:lang w:bidi="ar"/>
              </w:rPr>
              <w:t>消毒隔离</w:t>
            </w:r>
            <w:r>
              <w:rPr>
                <w:rFonts w:hint="eastAsia" w:ascii="仿宋" w:hAnsi="仿宋" w:eastAsia="仿宋" w:cs="仿宋"/>
                <w:b/>
                <w:bCs/>
                <w:color w:val="000000"/>
                <w:kern w:val="0"/>
                <w:sz w:val="22"/>
                <w:szCs w:val="22"/>
                <w:lang w:bidi="ar"/>
              </w:rPr>
              <w:br w:type="textWrapping"/>
            </w:r>
            <w:r>
              <w:rPr>
                <w:rFonts w:hint="eastAsia" w:ascii="仿宋" w:hAnsi="仿宋" w:eastAsia="仿宋" w:cs="仿宋"/>
                <w:b/>
                <w:bCs/>
                <w:color w:val="000000"/>
                <w:kern w:val="0"/>
                <w:sz w:val="22"/>
                <w:szCs w:val="22"/>
                <w:lang w:bidi="ar"/>
              </w:rPr>
              <w:t>个人防护</w:t>
            </w:r>
            <w:r>
              <w:rPr>
                <w:rFonts w:hint="eastAsia" w:ascii="仿宋" w:hAnsi="仿宋" w:eastAsia="仿宋" w:cs="仿宋"/>
                <w:b/>
                <w:bCs/>
                <w:color w:val="000000"/>
                <w:kern w:val="0"/>
                <w:sz w:val="22"/>
                <w:szCs w:val="22"/>
                <w:lang w:bidi="ar"/>
              </w:rPr>
              <w:br w:type="textWrapping"/>
            </w:r>
            <w:r>
              <w:rPr>
                <w:rFonts w:hint="eastAsia" w:ascii="仿宋" w:hAnsi="仿宋" w:eastAsia="仿宋" w:cs="仿宋"/>
                <w:b/>
                <w:bCs/>
                <w:color w:val="000000"/>
                <w:kern w:val="0"/>
                <w:sz w:val="22"/>
                <w:szCs w:val="22"/>
                <w:lang w:bidi="ar"/>
              </w:rPr>
              <w:t>（5分）</w:t>
            </w: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FD838">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遵守医院感控、消毒隔离相关制度</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B9F9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FC69">
            <w:pPr>
              <w:jc w:val="center"/>
              <w:rPr>
                <w:rFonts w:ascii="仿宋" w:hAnsi="仿宋" w:eastAsia="仿宋" w:cs="仿宋"/>
                <w:color w:val="000000"/>
                <w:sz w:val="20"/>
                <w:szCs w:val="20"/>
              </w:rPr>
            </w:pPr>
          </w:p>
        </w:tc>
      </w:tr>
      <w:tr w14:paraId="687CCBF2">
        <w:tblPrEx>
          <w:tblCellMar>
            <w:top w:w="0" w:type="dxa"/>
            <w:left w:w="108" w:type="dxa"/>
            <w:bottom w:w="0" w:type="dxa"/>
            <w:right w:w="108" w:type="dxa"/>
          </w:tblCellMar>
        </w:tblPrEx>
        <w:trPr>
          <w:trHeight w:val="4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6E43F">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9CC9">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个人防护及时有效，按规定穿戴个人防护用品</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F6F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6DDF">
            <w:pPr>
              <w:jc w:val="center"/>
              <w:rPr>
                <w:rFonts w:ascii="仿宋" w:hAnsi="仿宋" w:eastAsia="仿宋" w:cs="仿宋"/>
                <w:color w:val="000000"/>
                <w:sz w:val="20"/>
                <w:szCs w:val="20"/>
              </w:rPr>
            </w:pPr>
          </w:p>
        </w:tc>
      </w:tr>
      <w:tr w14:paraId="714028D2">
        <w:tblPrEx>
          <w:tblCellMar>
            <w:top w:w="0" w:type="dxa"/>
            <w:left w:w="108" w:type="dxa"/>
            <w:bottom w:w="0" w:type="dxa"/>
            <w:right w:w="108" w:type="dxa"/>
          </w:tblCellMar>
        </w:tblPrEx>
        <w:trPr>
          <w:trHeight w:val="395" w:hRule="atLeast"/>
        </w:trPr>
        <w:tc>
          <w:tcPr>
            <w:tcW w:w="14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D3FE5">
            <w:pPr>
              <w:widowControl/>
              <w:jc w:val="center"/>
              <w:textAlignment w:val="center"/>
              <w:rPr>
                <w:rFonts w:ascii="仿宋" w:hAnsi="仿宋" w:eastAsia="仿宋" w:cs="仿宋"/>
                <w:b/>
                <w:bCs/>
                <w:color w:val="000000"/>
                <w:sz w:val="22"/>
                <w:szCs w:val="22"/>
              </w:rPr>
            </w:pPr>
            <w:r>
              <w:rPr>
                <w:rFonts w:hint="eastAsia" w:ascii="仿宋" w:hAnsi="仿宋" w:eastAsia="仿宋" w:cs="仿宋"/>
                <w:b/>
                <w:bCs/>
                <w:color w:val="000000"/>
                <w:kern w:val="0"/>
                <w:sz w:val="22"/>
                <w:szCs w:val="22"/>
                <w:lang w:bidi="ar"/>
              </w:rPr>
              <w:t>设施设备与环境</w:t>
            </w:r>
            <w:r>
              <w:rPr>
                <w:rFonts w:hint="eastAsia" w:ascii="仿宋" w:hAnsi="仿宋" w:eastAsia="仿宋" w:cs="仿宋"/>
                <w:b/>
                <w:bCs/>
                <w:color w:val="000000"/>
                <w:kern w:val="0"/>
                <w:sz w:val="22"/>
                <w:szCs w:val="22"/>
                <w:lang w:bidi="ar"/>
              </w:rPr>
              <w:br w:type="textWrapping"/>
            </w:r>
            <w:r>
              <w:rPr>
                <w:rFonts w:hint="eastAsia" w:ascii="仿宋" w:hAnsi="仿宋" w:eastAsia="仿宋" w:cs="仿宋"/>
                <w:b/>
                <w:bCs/>
                <w:color w:val="000000"/>
                <w:kern w:val="0"/>
                <w:sz w:val="22"/>
                <w:szCs w:val="22"/>
                <w:lang w:bidi="ar"/>
              </w:rPr>
              <w:t>（20分）</w:t>
            </w: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DE44">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设备配置与工作量匹配，性能良好，设备有定期维护，确保使用安全</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ADDC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825D">
            <w:pPr>
              <w:jc w:val="center"/>
              <w:rPr>
                <w:rFonts w:ascii="仿宋" w:hAnsi="仿宋" w:eastAsia="仿宋" w:cs="仿宋"/>
                <w:color w:val="000000"/>
                <w:sz w:val="20"/>
                <w:szCs w:val="20"/>
              </w:rPr>
            </w:pPr>
          </w:p>
        </w:tc>
      </w:tr>
      <w:tr w14:paraId="753B4C4A">
        <w:tblPrEx>
          <w:tblCellMar>
            <w:top w:w="0" w:type="dxa"/>
            <w:left w:w="108" w:type="dxa"/>
            <w:bottom w:w="0" w:type="dxa"/>
            <w:right w:w="108" w:type="dxa"/>
          </w:tblCellMar>
        </w:tblPrEx>
        <w:trPr>
          <w:trHeight w:val="6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8017E">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D1C8D">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区域内布局合理、物品码放整齐、严格划分并区分污染区、清洁区，物理屏障，人员、物流合理流向</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18EC">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6C18">
            <w:pPr>
              <w:jc w:val="center"/>
              <w:rPr>
                <w:rFonts w:ascii="仿宋" w:hAnsi="仿宋" w:eastAsia="仿宋" w:cs="仿宋"/>
                <w:color w:val="000000"/>
                <w:sz w:val="20"/>
                <w:szCs w:val="20"/>
              </w:rPr>
            </w:pPr>
          </w:p>
        </w:tc>
      </w:tr>
      <w:tr w14:paraId="64244DA4">
        <w:tblPrEx>
          <w:tblCellMar>
            <w:top w:w="0" w:type="dxa"/>
            <w:left w:w="108" w:type="dxa"/>
            <w:bottom w:w="0" w:type="dxa"/>
            <w:right w:w="108" w:type="dxa"/>
          </w:tblCellMar>
        </w:tblPrEx>
        <w:trPr>
          <w:trHeight w:val="4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EA20B">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F65F7">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区域内规范用电、进行每日安全检查，及时发现消防安全隐患</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E62E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FA47">
            <w:pPr>
              <w:jc w:val="center"/>
              <w:rPr>
                <w:rFonts w:ascii="仿宋" w:hAnsi="仿宋" w:eastAsia="仿宋" w:cs="仿宋"/>
                <w:color w:val="000000"/>
                <w:sz w:val="20"/>
                <w:szCs w:val="20"/>
              </w:rPr>
            </w:pPr>
          </w:p>
        </w:tc>
      </w:tr>
      <w:tr w14:paraId="4C9B2BD7">
        <w:tblPrEx>
          <w:tblCellMar>
            <w:top w:w="0" w:type="dxa"/>
            <w:left w:w="108" w:type="dxa"/>
            <w:bottom w:w="0" w:type="dxa"/>
            <w:right w:w="108" w:type="dxa"/>
          </w:tblCellMar>
        </w:tblPrEx>
        <w:trPr>
          <w:trHeight w:val="6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E9184">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F2A35">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规范进行场所及使用工具、车辆的清洁和消毒，各区域地面、墙壁整洁，无积水、无杂物</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C97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426A">
            <w:pPr>
              <w:jc w:val="center"/>
              <w:rPr>
                <w:rFonts w:ascii="仿宋" w:hAnsi="仿宋" w:eastAsia="仿宋" w:cs="仿宋"/>
                <w:color w:val="000000"/>
                <w:sz w:val="20"/>
                <w:szCs w:val="20"/>
              </w:rPr>
            </w:pPr>
          </w:p>
        </w:tc>
      </w:tr>
      <w:tr w14:paraId="15E0DFC5">
        <w:tblPrEx>
          <w:tblCellMar>
            <w:top w:w="0" w:type="dxa"/>
            <w:left w:w="108" w:type="dxa"/>
            <w:bottom w:w="0" w:type="dxa"/>
            <w:right w:w="108" w:type="dxa"/>
          </w:tblCellMar>
        </w:tblPrEx>
        <w:trPr>
          <w:trHeight w:val="640" w:hRule="atLeast"/>
        </w:trPr>
        <w:tc>
          <w:tcPr>
            <w:tcW w:w="14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2ED2B4">
            <w:pPr>
              <w:widowControl/>
              <w:jc w:val="center"/>
              <w:textAlignment w:val="center"/>
              <w:rPr>
                <w:rFonts w:ascii="仿宋" w:hAnsi="仿宋" w:eastAsia="仿宋" w:cs="仿宋"/>
                <w:b/>
                <w:bCs/>
                <w:color w:val="000000"/>
                <w:sz w:val="22"/>
                <w:szCs w:val="22"/>
              </w:rPr>
            </w:pPr>
            <w:r>
              <w:rPr>
                <w:rFonts w:hint="eastAsia" w:ascii="仿宋" w:hAnsi="仿宋" w:eastAsia="仿宋" w:cs="仿宋"/>
                <w:b/>
                <w:bCs/>
                <w:color w:val="000000"/>
                <w:kern w:val="0"/>
                <w:sz w:val="22"/>
                <w:szCs w:val="22"/>
                <w:lang w:bidi="ar"/>
              </w:rPr>
              <w:t>服务流程</w:t>
            </w:r>
            <w:r>
              <w:rPr>
                <w:rFonts w:hint="eastAsia" w:ascii="仿宋" w:hAnsi="仿宋" w:eastAsia="仿宋" w:cs="仿宋"/>
                <w:b/>
                <w:bCs/>
                <w:color w:val="000000"/>
                <w:kern w:val="0"/>
                <w:sz w:val="22"/>
                <w:szCs w:val="22"/>
                <w:lang w:bidi="ar"/>
              </w:rPr>
              <w:br w:type="textWrapping"/>
            </w:r>
            <w:r>
              <w:rPr>
                <w:rFonts w:hint="eastAsia" w:ascii="仿宋" w:hAnsi="仿宋" w:eastAsia="仿宋" w:cs="仿宋"/>
                <w:b/>
                <w:bCs/>
                <w:color w:val="000000"/>
                <w:kern w:val="0"/>
                <w:sz w:val="22"/>
                <w:szCs w:val="22"/>
                <w:lang w:bidi="ar"/>
              </w:rPr>
              <w:t>（25分）</w:t>
            </w: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C5D0A">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按照院方要求时间收集脏污织物，按须分类打包，装入合格的污衣袋打包并做好标识</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C694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30C6">
            <w:pPr>
              <w:jc w:val="center"/>
              <w:rPr>
                <w:rFonts w:ascii="仿宋" w:hAnsi="仿宋" w:eastAsia="仿宋" w:cs="仿宋"/>
                <w:color w:val="000000"/>
                <w:sz w:val="20"/>
                <w:szCs w:val="20"/>
              </w:rPr>
            </w:pPr>
          </w:p>
        </w:tc>
      </w:tr>
      <w:tr w14:paraId="6864F5F9">
        <w:tblPrEx>
          <w:tblCellMar>
            <w:top w:w="0" w:type="dxa"/>
            <w:left w:w="108" w:type="dxa"/>
            <w:bottom w:w="0" w:type="dxa"/>
            <w:right w:w="108" w:type="dxa"/>
          </w:tblCellMar>
        </w:tblPrEx>
        <w:trPr>
          <w:trHeight w:val="4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1E68F">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BB2A">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按要求完成临床一线科室洁净织物的配送工作</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00DD3">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2575">
            <w:pPr>
              <w:jc w:val="center"/>
              <w:rPr>
                <w:rFonts w:ascii="仿宋" w:hAnsi="仿宋" w:eastAsia="仿宋" w:cs="仿宋"/>
                <w:color w:val="000000"/>
                <w:sz w:val="20"/>
                <w:szCs w:val="20"/>
              </w:rPr>
            </w:pPr>
          </w:p>
        </w:tc>
      </w:tr>
      <w:tr w14:paraId="5E17B259">
        <w:tblPrEx>
          <w:tblCellMar>
            <w:top w:w="0" w:type="dxa"/>
            <w:left w:w="108" w:type="dxa"/>
            <w:bottom w:w="0" w:type="dxa"/>
            <w:right w:w="108" w:type="dxa"/>
          </w:tblCellMar>
        </w:tblPrEx>
        <w:trPr>
          <w:trHeight w:val="505"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F2BFB">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BD3AD">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接收织物或送交织物时收送人员与科室按织物类别做好交接记录，信息填写完整可追溯</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DA639">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FAD3">
            <w:pPr>
              <w:jc w:val="center"/>
              <w:rPr>
                <w:rFonts w:ascii="仿宋" w:hAnsi="仿宋" w:eastAsia="仿宋" w:cs="仿宋"/>
                <w:color w:val="000000"/>
                <w:sz w:val="20"/>
                <w:szCs w:val="20"/>
              </w:rPr>
            </w:pPr>
          </w:p>
        </w:tc>
      </w:tr>
      <w:tr w14:paraId="1573B06F">
        <w:tblPrEx>
          <w:tblCellMar>
            <w:top w:w="0" w:type="dxa"/>
            <w:left w:w="108" w:type="dxa"/>
            <w:bottom w:w="0" w:type="dxa"/>
            <w:right w:w="108" w:type="dxa"/>
          </w:tblCellMar>
        </w:tblPrEx>
        <w:trPr>
          <w:trHeight w:val="568"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F0A06">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00290">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转运专用车、无脏污与洁净织物混装，运送感染性织物应使用专用包装容器，洁净织物应放置在清洁区域里由清洁转运车封闭运送</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ACF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2CAB">
            <w:pPr>
              <w:jc w:val="center"/>
              <w:rPr>
                <w:rFonts w:ascii="仿宋" w:hAnsi="仿宋" w:eastAsia="仿宋" w:cs="仿宋"/>
                <w:color w:val="000000"/>
                <w:sz w:val="20"/>
                <w:szCs w:val="20"/>
              </w:rPr>
            </w:pPr>
          </w:p>
        </w:tc>
      </w:tr>
      <w:tr w14:paraId="6B30A47F">
        <w:tblPrEx>
          <w:tblCellMar>
            <w:top w:w="0" w:type="dxa"/>
            <w:left w:w="108" w:type="dxa"/>
            <w:bottom w:w="0" w:type="dxa"/>
            <w:right w:w="108" w:type="dxa"/>
          </w:tblCellMar>
        </w:tblPrEx>
        <w:trPr>
          <w:trHeight w:val="4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9239D">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DF22C">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收集配送设置固定物流路径，不可相互交叉</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624B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B5AB">
            <w:pPr>
              <w:jc w:val="center"/>
              <w:rPr>
                <w:rFonts w:ascii="仿宋" w:hAnsi="仿宋" w:eastAsia="仿宋" w:cs="仿宋"/>
                <w:color w:val="000000"/>
                <w:sz w:val="20"/>
                <w:szCs w:val="20"/>
              </w:rPr>
            </w:pPr>
          </w:p>
        </w:tc>
      </w:tr>
      <w:tr w14:paraId="18DCA48F">
        <w:tblPrEx>
          <w:tblCellMar>
            <w:top w:w="0" w:type="dxa"/>
            <w:left w:w="108" w:type="dxa"/>
            <w:bottom w:w="0" w:type="dxa"/>
            <w:right w:w="108" w:type="dxa"/>
          </w:tblCellMar>
        </w:tblPrEx>
        <w:trPr>
          <w:trHeight w:val="6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4915C">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E245">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按规定进行分拣（感染性织物不拆包分拣），检查并清除混入的废物等，将分拣后的织物规范打包，为外送工厂做好准备</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9589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0125">
            <w:pPr>
              <w:jc w:val="center"/>
              <w:rPr>
                <w:rFonts w:ascii="仿宋" w:hAnsi="仿宋" w:eastAsia="仿宋" w:cs="仿宋"/>
                <w:color w:val="000000"/>
                <w:sz w:val="20"/>
                <w:szCs w:val="20"/>
              </w:rPr>
            </w:pPr>
          </w:p>
        </w:tc>
      </w:tr>
      <w:tr w14:paraId="45284912">
        <w:tblPrEx>
          <w:tblCellMar>
            <w:top w:w="0" w:type="dxa"/>
            <w:left w:w="108" w:type="dxa"/>
            <w:bottom w:w="0" w:type="dxa"/>
            <w:right w:w="108" w:type="dxa"/>
          </w:tblCellMar>
        </w:tblPrEx>
        <w:trPr>
          <w:trHeight w:val="336"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D83C3">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699F7">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清洁织物分类储存于专用柜架，离地离墙等环境符合湿度与卫生要求</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7AC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171F7">
            <w:pPr>
              <w:jc w:val="center"/>
              <w:rPr>
                <w:rFonts w:ascii="仿宋" w:hAnsi="仿宋" w:eastAsia="仿宋" w:cs="仿宋"/>
                <w:color w:val="000000"/>
                <w:sz w:val="20"/>
                <w:szCs w:val="20"/>
              </w:rPr>
            </w:pPr>
          </w:p>
        </w:tc>
      </w:tr>
      <w:tr w14:paraId="32125A47">
        <w:tblPrEx>
          <w:tblCellMar>
            <w:top w:w="0" w:type="dxa"/>
            <w:left w:w="108" w:type="dxa"/>
            <w:bottom w:w="0" w:type="dxa"/>
            <w:right w:w="108" w:type="dxa"/>
          </w:tblCellMar>
        </w:tblPrEx>
        <w:trPr>
          <w:trHeight w:val="640" w:hRule="atLeast"/>
        </w:trPr>
        <w:tc>
          <w:tcPr>
            <w:tcW w:w="14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854D9">
            <w:pPr>
              <w:widowControl/>
              <w:jc w:val="center"/>
              <w:textAlignment w:val="center"/>
              <w:rPr>
                <w:rFonts w:ascii="仿宋" w:hAnsi="仿宋" w:eastAsia="仿宋" w:cs="仿宋"/>
                <w:b/>
                <w:bCs/>
                <w:color w:val="000000"/>
                <w:sz w:val="22"/>
                <w:szCs w:val="22"/>
              </w:rPr>
            </w:pPr>
            <w:r>
              <w:rPr>
                <w:rFonts w:hint="eastAsia" w:ascii="仿宋" w:hAnsi="仿宋" w:eastAsia="仿宋" w:cs="仿宋"/>
                <w:b/>
                <w:bCs/>
                <w:color w:val="000000"/>
                <w:kern w:val="0"/>
                <w:sz w:val="22"/>
                <w:szCs w:val="22"/>
                <w:lang w:bidi="ar"/>
              </w:rPr>
              <w:t>洗涤质量控制与追溯</w:t>
            </w:r>
            <w:r>
              <w:rPr>
                <w:rFonts w:hint="eastAsia" w:ascii="仿宋" w:hAnsi="仿宋" w:eastAsia="仿宋" w:cs="仿宋"/>
                <w:b/>
                <w:bCs/>
                <w:color w:val="000000"/>
                <w:kern w:val="0"/>
                <w:sz w:val="22"/>
                <w:szCs w:val="22"/>
                <w:lang w:bidi="ar"/>
              </w:rPr>
              <w:br w:type="textWrapping"/>
            </w:r>
            <w:r>
              <w:rPr>
                <w:rFonts w:hint="eastAsia" w:ascii="仿宋" w:hAnsi="仿宋" w:eastAsia="仿宋" w:cs="仿宋"/>
                <w:b/>
                <w:bCs/>
                <w:color w:val="000000"/>
                <w:kern w:val="0"/>
                <w:sz w:val="22"/>
                <w:szCs w:val="22"/>
                <w:lang w:bidi="ar"/>
              </w:rPr>
              <w:t>（30分）</w:t>
            </w: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5027F">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严格执行医院布草洗涤卫生规范，加强接收、分类、洗涤、整理、质检、包装、储存运输、验收监测等洗涤消毒管理</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E7A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2712">
            <w:pPr>
              <w:jc w:val="center"/>
              <w:rPr>
                <w:rFonts w:ascii="仿宋" w:hAnsi="仿宋" w:eastAsia="仿宋" w:cs="仿宋"/>
                <w:color w:val="000000"/>
                <w:sz w:val="20"/>
                <w:szCs w:val="20"/>
              </w:rPr>
            </w:pPr>
          </w:p>
        </w:tc>
      </w:tr>
      <w:tr w14:paraId="71BD7B34">
        <w:tblPrEx>
          <w:tblCellMar>
            <w:top w:w="0" w:type="dxa"/>
            <w:left w:w="108" w:type="dxa"/>
            <w:bottom w:w="0" w:type="dxa"/>
            <w:right w:w="108" w:type="dxa"/>
          </w:tblCellMar>
        </w:tblPrEx>
        <w:trPr>
          <w:trHeight w:val="4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F8D8F">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5FB85">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洁净度：无可见污渍（血渍、药渍、异色等）</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A2E1">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E5A7">
            <w:pPr>
              <w:jc w:val="center"/>
              <w:rPr>
                <w:rFonts w:ascii="仿宋" w:hAnsi="仿宋" w:eastAsia="仿宋" w:cs="仿宋"/>
                <w:color w:val="000000"/>
                <w:sz w:val="20"/>
                <w:szCs w:val="20"/>
              </w:rPr>
            </w:pPr>
          </w:p>
        </w:tc>
      </w:tr>
      <w:tr w14:paraId="5CC6A8B0">
        <w:tblPrEx>
          <w:tblCellMar>
            <w:top w:w="0" w:type="dxa"/>
            <w:left w:w="108" w:type="dxa"/>
            <w:bottom w:w="0" w:type="dxa"/>
            <w:right w:w="108" w:type="dxa"/>
          </w:tblCellMar>
        </w:tblPrEx>
        <w:trPr>
          <w:trHeight w:val="6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DB43A">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D1E7A">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整洁：干燥，无明显潮湿感，熨烫平整，折叠整齐，除折叠处无明显褶皱，分类包装，无异味异物</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B89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8916">
            <w:pPr>
              <w:jc w:val="center"/>
              <w:rPr>
                <w:rFonts w:ascii="仿宋" w:hAnsi="仿宋" w:eastAsia="仿宋" w:cs="仿宋"/>
                <w:color w:val="000000"/>
                <w:sz w:val="20"/>
                <w:szCs w:val="20"/>
              </w:rPr>
            </w:pPr>
          </w:p>
        </w:tc>
      </w:tr>
      <w:tr w14:paraId="3E1E8E1B">
        <w:tblPrEx>
          <w:tblCellMar>
            <w:top w:w="0" w:type="dxa"/>
            <w:left w:w="108" w:type="dxa"/>
            <w:bottom w:w="0" w:type="dxa"/>
            <w:right w:w="108" w:type="dxa"/>
          </w:tblCellMar>
        </w:tblPrEx>
        <w:trPr>
          <w:trHeight w:val="4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2BB84">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9C11B">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洗涤交接准确，分类清晰，数量无误，按要求统计上报医院</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DF0D">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CE39">
            <w:pPr>
              <w:jc w:val="center"/>
              <w:rPr>
                <w:rFonts w:ascii="仿宋" w:hAnsi="仿宋" w:eastAsia="仿宋" w:cs="仿宋"/>
                <w:color w:val="000000"/>
                <w:sz w:val="20"/>
                <w:szCs w:val="20"/>
              </w:rPr>
            </w:pPr>
          </w:p>
        </w:tc>
      </w:tr>
      <w:tr w14:paraId="68C13CFF">
        <w:tblPrEx>
          <w:tblCellMar>
            <w:top w:w="0" w:type="dxa"/>
            <w:left w:w="108" w:type="dxa"/>
            <w:bottom w:w="0" w:type="dxa"/>
            <w:right w:w="108" w:type="dxa"/>
          </w:tblCellMar>
        </w:tblPrEx>
        <w:trPr>
          <w:trHeight w:val="633"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B20B8">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119C8">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织物完好：及时分拣破损织物，能缝补补，达到报废标准的填写相应单据，确保送到科室及使用人的织物无破损、无开线、纽扣/系带齐全</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4AA8">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4C98">
            <w:pPr>
              <w:jc w:val="center"/>
              <w:rPr>
                <w:rFonts w:ascii="仿宋" w:hAnsi="仿宋" w:eastAsia="仿宋" w:cs="仿宋"/>
                <w:color w:val="000000"/>
                <w:sz w:val="20"/>
                <w:szCs w:val="20"/>
              </w:rPr>
            </w:pPr>
          </w:p>
        </w:tc>
      </w:tr>
      <w:tr w14:paraId="5A486DFB">
        <w:tblPrEx>
          <w:tblCellMar>
            <w:top w:w="0" w:type="dxa"/>
            <w:left w:w="108" w:type="dxa"/>
            <w:bottom w:w="0" w:type="dxa"/>
            <w:right w:w="108" w:type="dxa"/>
          </w:tblCellMar>
        </w:tblPrEx>
        <w:trPr>
          <w:trHeight w:val="774"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4C8D7">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C8DC">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按时开展自检或委外检测，报告齐全，细菌菌落总数、大肠菌群、金黄色葡萄球菌、真菌菌落总数等微生物指标符合相关规定，PH值洁净织物表面应达到6.5-7.5之间，不应检出荧光增白剂</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2F014">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8750">
            <w:pPr>
              <w:jc w:val="center"/>
              <w:rPr>
                <w:rFonts w:ascii="仿宋" w:hAnsi="仿宋" w:eastAsia="仿宋" w:cs="仿宋"/>
                <w:color w:val="000000"/>
                <w:sz w:val="20"/>
                <w:szCs w:val="20"/>
              </w:rPr>
            </w:pPr>
          </w:p>
        </w:tc>
      </w:tr>
      <w:tr w14:paraId="33620FBE">
        <w:tblPrEx>
          <w:tblCellMar>
            <w:top w:w="0" w:type="dxa"/>
            <w:left w:w="108" w:type="dxa"/>
            <w:bottom w:w="0" w:type="dxa"/>
            <w:right w:w="108" w:type="dxa"/>
          </w:tblCellMar>
        </w:tblPrEx>
        <w:trPr>
          <w:trHeight w:val="440" w:hRule="atLeast"/>
        </w:trPr>
        <w:tc>
          <w:tcPr>
            <w:tcW w:w="14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2C2958">
            <w:pPr>
              <w:widowControl/>
              <w:jc w:val="center"/>
              <w:textAlignment w:val="center"/>
              <w:rPr>
                <w:rFonts w:ascii="仿宋" w:hAnsi="仿宋" w:eastAsia="仿宋" w:cs="仿宋"/>
                <w:b/>
                <w:bCs/>
                <w:color w:val="000000"/>
                <w:sz w:val="22"/>
                <w:szCs w:val="22"/>
              </w:rPr>
            </w:pPr>
            <w:r>
              <w:rPr>
                <w:rFonts w:hint="eastAsia" w:ascii="仿宋" w:hAnsi="仿宋" w:eastAsia="仿宋" w:cs="仿宋"/>
                <w:b/>
                <w:bCs/>
                <w:color w:val="000000"/>
                <w:kern w:val="0"/>
                <w:sz w:val="22"/>
                <w:szCs w:val="22"/>
                <w:lang w:bidi="ar"/>
              </w:rPr>
              <w:t>公司管理</w:t>
            </w:r>
            <w:r>
              <w:rPr>
                <w:rFonts w:hint="eastAsia" w:ascii="仿宋" w:hAnsi="仿宋" w:eastAsia="仿宋" w:cs="仿宋"/>
                <w:b/>
                <w:bCs/>
                <w:color w:val="000000"/>
                <w:kern w:val="0"/>
                <w:sz w:val="22"/>
                <w:szCs w:val="22"/>
                <w:lang w:bidi="ar"/>
              </w:rPr>
              <w:br w:type="textWrapping"/>
            </w:r>
            <w:r>
              <w:rPr>
                <w:rFonts w:hint="eastAsia" w:ascii="仿宋" w:hAnsi="仿宋" w:eastAsia="仿宋" w:cs="仿宋"/>
                <w:b/>
                <w:bCs/>
                <w:color w:val="000000"/>
                <w:kern w:val="0"/>
                <w:sz w:val="22"/>
                <w:szCs w:val="22"/>
                <w:lang w:bidi="ar"/>
              </w:rPr>
              <w:t>（10分）</w:t>
            </w: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B10B">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按要求配置人员，合理安排班次</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184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C7624">
            <w:pPr>
              <w:jc w:val="center"/>
              <w:rPr>
                <w:rFonts w:ascii="仿宋" w:hAnsi="仿宋" w:eastAsia="仿宋" w:cs="仿宋"/>
                <w:color w:val="000000"/>
                <w:sz w:val="20"/>
                <w:szCs w:val="20"/>
              </w:rPr>
            </w:pPr>
          </w:p>
        </w:tc>
      </w:tr>
      <w:tr w14:paraId="653F1F8D">
        <w:tblPrEx>
          <w:tblCellMar>
            <w:top w:w="0" w:type="dxa"/>
            <w:left w:w="108" w:type="dxa"/>
            <w:bottom w:w="0" w:type="dxa"/>
            <w:right w:w="108" w:type="dxa"/>
          </w:tblCellMar>
        </w:tblPrEx>
        <w:trPr>
          <w:trHeight w:val="4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58DA3">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0C9D">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培训及时有效，并留存记录；每日巡视巡查，发现问题及时整改</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B2B9">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BD14D">
            <w:pPr>
              <w:jc w:val="center"/>
              <w:rPr>
                <w:rFonts w:ascii="仿宋" w:hAnsi="仿宋" w:eastAsia="仿宋" w:cs="仿宋"/>
                <w:color w:val="000000"/>
                <w:sz w:val="20"/>
                <w:szCs w:val="20"/>
              </w:rPr>
            </w:pPr>
          </w:p>
        </w:tc>
      </w:tr>
      <w:tr w14:paraId="19A8AF1D">
        <w:tblPrEx>
          <w:tblCellMar>
            <w:top w:w="0" w:type="dxa"/>
            <w:left w:w="108" w:type="dxa"/>
            <w:bottom w:w="0" w:type="dxa"/>
            <w:right w:w="108" w:type="dxa"/>
          </w:tblCellMar>
        </w:tblPrEx>
        <w:trPr>
          <w:trHeight w:val="4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352F4">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EBF5F">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问题上报及时，处理得当，安全意识强</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42CA9">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CACF3">
            <w:pPr>
              <w:jc w:val="center"/>
              <w:rPr>
                <w:rFonts w:ascii="仿宋" w:hAnsi="仿宋" w:eastAsia="仿宋" w:cs="仿宋"/>
                <w:color w:val="000000"/>
                <w:sz w:val="20"/>
                <w:szCs w:val="20"/>
              </w:rPr>
            </w:pPr>
          </w:p>
        </w:tc>
      </w:tr>
      <w:tr w14:paraId="5B5D48D8">
        <w:tblPrEx>
          <w:tblCellMar>
            <w:top w:w="0" w:type="dxa"/>
            <w:left w:w="108" w:type="dxa"/>
            <w:bottom w:w="0" w:type="dxa"/>
            <w:right w:w="108" w:type="dxa"/>
          </w:tblCellMar>
        </w:tblPrEx>
        <w:trPr>
          <w:trHeight w:val="4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5B4E5">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A0D7">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工作统计及时，记录档案管理有序齐全</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C22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7C796">
            <w:pPr>
              <w:jc w:val="center"/>
              <w:rPr>
                <w:rFonts w:ascii="仿宋" w:hAnsi="仿宋" w:eastAsia="仿宋" w:cs="仿宋"/>
                <w:color w:val="000000"/>
                <w:sz w:val="20"/>
                <w:szCs w:val="20"/>
              </w:rPr>
            </w:pPr>
          </w:p>
        </w:tc>
      </w:tr>
      <w:tr w14:paraId="23C6835E">
        <w:tblPrEx>
          <w:tblCellMar>
            <w:top w:w="0" w:type="dxa"/>
            <w:left w:w="108" w:type="dxa"/>
            <w:bottom w:w="0" w:type="dxa"/>
            <w:right w:w="108" w:type="dxa"/>
          </w:tblCellMar>
        </w:tblPrEx>
        <w:trPr>
          <w:trHeight w:val="440" w:hRule="atLeast"/>
        </w:trPr>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11753">
            <w:pPr>
              <w:jc w:val="center"/>
              <w:rPr>
                <w:rFonts w:ascii="仿宋" w:hAnsi="仿宋" w:eastAsia="仿宋" w:cs="仿宋"/>
                <w:b/>
                <w:bCs/>
                <w:color w:val="000000"/>
                <w:sz w:val="22"/>
                <w:szCs w:val="22"/>
              </w:rPr>
            </w:pPr>
          </w:p>
        </w:tc>
        <w:tc>
          <w:tcPr>
            <w:tcW w:w="6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CABB2">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服从院方合理工作安排，开展洗衣班相关工作</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7B6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05F25">
            <w:pPr>
              <w:jc w:val="center"/>
              <w:rPr>
                <w:rFonts w:ascii="仿宋" w:hAnsi="仿宋" w:eastAsia="仿宋" w:cs="仿宋"/>
                <w:color w:val="000000"/>
                <w:sz w:val="20"/>
                <w:szCs w:val="20"/>
              </w:rPr>
            </w:pPr>
          </w:p>
        </w:tc>
      </w:tr>
    </w:tbl>
    <w:p w14:paraId="119A466F">
      <w:pPr>
        <w:adjustRightInd w:val="0"/>
        <w:snapToGrid w:val="0"/>
        <w:spacing w:line="360" w:lineRule="auto"/>
        <w:ind w:firstLine="281"/>
        <w:jc w:val="center"/>
        <w:rPr>
          <w:rFonts w:ascii="仿宋" w:hAnsi="仿宋" w:eastAsia="仿宋" w:cs="仿宋"/>
          <w:b/>
          <w:bCs/>
          <w:sz w:val="24"/>
        </w:rPr>
      </w:pPr>
    </w:p>
    <w:p w14:paraId="77F2F8CC">
      <w:pPr>
        <w:adjustRightInd w:val="0"/>
        <w:snapToGrid w:val="0"/>
        <w:spacing w:line="360" w:lineRule="auto"/>
        <w:ind w:firstLine="281"/>
        <w:rPr>
          <w:rFonts w:ascii="仿宋" w:hAnsi="仿宋" w:eastAsia="仿宋" w:cs="仿宋"/>
          <w:b/>
          <w:bCs/>
          <w:sz w:val="24"/>
        </w:rPr>
      </w:pPr>
    </w:p>
    <w:p w14:paraId="70167849">
      <w:pPr>
        <w:rPr>
          <w:rFonts w:ascii="仿宋" w:hAnsi="仿宋" w:eastAsia="仿宋" w:cs="仿宋"/>
          <w:b/>
          <w:bCs/>
          <w:sz w:val="24"/>
        </w:rPr>
      </w:pPr>
      <w:r>
        <w:rPr>
          <w:rFonts w:hint="eastAsia" w:ascii="仿宋" w:hAnsi="仿宋" w:eastAsia="仿宋" w:cs="仿宋"/>
          <w:b/>
          <w:bCs/>
          <w:sz w:val="24"/>
        </w:rPr>
        <w:br w:type="page"/>
      </w:r>
    </w:p>
    <w:p w14:paraId="17F7E30C">
      <w:pPr>
        <w:adjustRightInd w:val="0"/>
        <w:snapToGrid w:val="0"/>
        <w:spacing w:line="360" w:lineRule="auto"/>
        <w:ind w:firstLine="281"/>
        <w:rPr>
          <w:rFonts w:ascii="仿宋" w:hAnsi="仿宋" w:eastAsia="仿宋" w:cs="仿宋"/>
          <w:b/>
          <w:bCs/>
          <w:sz w:val="24"/>
        </w:rPr>
      </w:pPr>
      <w:r>
        <w:rPr>
          <w:rFonts w:hint="eastAsia" w:ascii="仿宋" w:hAnsi="仿宋" w:eastAsia="仿宋" w:cs="仿宋"/>
          <w:b/>
          <w:bCs/>
          <w:sz w:val="24"/>
        </w:rPr>
        <w:t>附件二：洗衣服务评分考核与支付标准</w:t>
      </w:r>
    </w:p>
    <w:tbl>
      <w:tblPr>
        <w:tblStyle w:val="7"/>
        <w:tblW w:w="9286" w:type="dxa"/>
        <w:jc w:val="center"/>
        <w:tblLayout w:type="fixed"/>
        <w:tblCellMar>
          <w:top w:w="15" w:type="dxa"/>
          <w:left w:w="108" w:type="dxa"/>
          <w:bottom w:w="15" w:type="dxa"/>
          <w:right w:w="108" w:type="dxa"/>
        </w:tblCellMar>
      </w:tblPr>
      <w:tblGrid>
        <w:gridCol w:w="2278"/>
        <w:gridCol w:w="7008"/>
      </w:tblGrid>
      <w:tr w14:paraId="050BD9A9">
        <w:tblPrEx>
          <w:tblCellMar>
            <w:top w:w="15" w:type="dxa"/>
            <w:left w:w="108" w:type="dxa"/>
            <w:bottom w:w="15" w:type="dxa"/>
            <w:right w:w="108" w:type="dxa"/>
          </w:tblCellMar>
        </w:tblPrEx>
        <w:trPr>
          <w:trHeight w:val="624" w:hRule="atLeast"/>
          <w:jc w:val="center"/>
        </w:trPr>
        <w:tc>
          <w:tcPr>
            <w:tcW w:w="2278" w:type="dxa"/>
            <w:tcBorders>
              <w:top w:val="single" w:color="000000" w:sz="4" w:space="0"/>
              <w:left w:val="single" w:color="000000" w:sz="4" w:space="0"/>
              <w:bottom w:val="single" w:color="000000" w:sz="4" w:space="0"/>
              <w:right w:val="single" w:color="000000" w:sz="4" w:space="0"/>
            </w:tcBorders>
            <w:vAlign w:val="center"/>
          </w:tcPr>
          <w:p w14:paraId="30D2B6AE">
            <w:pPr>
              <w:adjustRightInd w:val="0"/>
              <w:snapToGrid w:val="0"/>
              <w:spacing w:line="360" w:lineRule="auto"/>
              <w:jc w:val="center"/>
              <w:rPr>
                <w:rFonts w:ascii="仿宋" w:hAnsi="仿宋" w:eastAsia="仿宋" w:cs="仿宋"/>
                <w:sz w:val="24"/>
              </w:rPr>
            </w:pPr>
            <w:r>
              <w:rPr>
                <w:rFonts w:hint="eastAsia" w:ascii="仿宋" w:hAnsi="仿宋" w:eastAsia="仿宋" w:cs="仿宋"/>
                <w:sz w:val="24"/>
              </w:rPr>
              <w:t>评分结果 （X)</w:t>
            </w:r>
          </w:p>
        </w:tc>
        <w:tc>
          <w:tcPr>
            <w:tcW w:w="7008" w:type="dxa"/>
            <w:tcBorders>
              <w:top w:val="single" w:color="000000" w:sz="4" w:space="0"/>
              <w:left w:val="nil"/>
              <w:bottom w:val="single" w:color="000000" w:sz="4" w:space="0"/>
              <w:right w:val="single" w:color="000000" w:sz="4" w:space="0"/>
            </w:tcBorders>
            <w:vAlign w:val="center"/>
          </w:tcPr>
          <w:p w14:paraId="15B8D3B1">
            <w:pPr>
              <w:adjustRightInd w:val="0"/>
              <w:snapToGrid w:val="0"/>
              <w:spacing w:line="360" w:lineRule="auto"/>
              <w:jc w:val="center"/>
              <w:rPr>
                <w:rFonts w:ascii="仿宋" w:hAnsi="仿宋" w:eastAsia="仿宋" w:cs="仿宋"/>
                <w:sz w:val="24"/>
              </w:rPr>
            </w:pPr>
            <w:r>
              <w:rPr>
                <w:rFonts w:hint="eastAsia" w:ascii="仿宋" w:hAnsi="仿宋" w:eastAsia="仿宋" w:cs="仿宋"/>
                <w:sz w:val="24"/>
              </w:rPr>
              <w:t>违约责任制</w:t>
            </w:r>
          </w:p>
        </w:tc>
      </w:tr>
      <w:tr w14:paraId="0F857ADE">
        <w:tblPrEx>
          <w:tblCellMar>
            <w:top w:w="15" w:type="dxa"/>
            <w:left w:w="108" w:type="dxa"/>
            <w:bottom w:w="15" w:type="dxa"/>
            <w:right w:w="108" w:type="dxa"/>
          </w:tblCellMar>
        </w:tblPrEx>
        <w:trPr>
          <w:trHeight w:val="630" w:hRule="atLeast"/>
          <w:jc w:val="center"/>
        </w:trPr>
        <w:tc>
          <w:tcPr>
            <w:tcW w:w="2278" w:type="dxa"/>
            <w:tcBorders>
              <w:top w:val="single" w:color="000000" w:sz="4" w:space="0"/>
              <w:left w:val="single" w:color="000000" w:sz="4" w:space="0"/>
              <w:bottom w:val="single" w:color="000000" w:sz="4" w:space="0"/>
              <w:right w:val="single" w:color="000000" w:sz="4" w:space="0"/>
            </w:tcBorders>
            <w:vAlign w:val="center"/>
          </w:tcPr>
          <w:p w14:paraId="3247948D">
            <w:pPr>
              <w:adjustRightInd w:val="0"/>
              <w:snapToGrid w:val="0"/>
              <w:spacing w:line="360" w:lineRule="auto"/>
              <w:jc w:val="center"/>
              <w:rPr>
                <w:rFonts w:ascii="仿宋" w:hAnsi="仿宋" w:eastAsia="仿宋" w:cs="仿宋"/>
                <w:sz w:val="24"/>
              </w:rPr>
            </w:pPr>
            <w:r>
              <w:rPr>
                <w:rFonts w:hint="eastAsia" w:ascii="仿宋" w:hAnsi="仿宋" w:eastAsia="仿宋" w:cs="仿宋"/>
                <w:sz w:val="24"/>
              </w:rPr>
              <w:t>X≥90分</w:t>
            </w:r>
          </w:p>
        </w:tc>
        <w:tc>
          <w:tcPr>
            <w:tcW w:w="7008" w:type="dxa"/>
            <w:tcBorders>
              <w:top w:val="single" w:color="000000" w:sz="4" w:space="0"/>
              <w:left w:val="nil"/>
              <w:bottom w:val="single" w:color="000000" w:sz="4" w:space="0"/>
              <w:right w:val="single" w:color="000000" w:sz="4" w:space="0"/>
            </w:tcBorders>
            <w:vAlign w:val="center"/>
          </w:tcPr>
          <w:p w14:paraId="73247691">
            <w:pPr>
              <w:adjustRightInd w:val="0"/>
              <w:snapToGrid w:val="0"/>
              <w:spacing w:line="360" w:lineRule="auto"/>
              <w:jc w:val="center"/>
              <w:rPr>
                <w:rFonts w:ascii="仿宋" w:hAnsi="仿宋" w:eastAsia="仿宋" w:cs="仿宋"/>
                <w:sz w:val="24"/>
              </w:rPr>
            </w:pPr>
            <w:r>
              <w:rPr>
                <w:rFonts w:hint="eastAsia" w:ascii="仿宋" w:hAnsi="仿宋" w:eastAsia="仿宋" w:cs="仿宋"/>
                <w:sz w:val="24"/>
              </w:rPr>
              <w:t>优秀，全额支付服务费。</w:t>
            </w:r>
          </w:p>
        </w:tc>
      </w:tr>
      <w:tr w14:paraId="406294EB">
        <w:tblPrEx>
          <w:tblCellMar>
            <w:top w:w="15" w:type="dxa"/>
            <w:left w:w="108" w:type="dxa"/>
            <w:bottom w:w="15" w:type="dxa"/>
            <w:right w:w="108" w:type="dxa"/>
          </w:tblCellMar>
        </w:tblPrEx>
        <w:trPr>
          <w:trHeight w:val="635" w:hRule="atLeast"/>
          <w:jc w:val="center"/>
        </w:trPr>
        <w:tc>
          <w:tcPr>
            <w:tcW w:w="2278" w:type="dxa"/>
            <w:tcBorders>
              <w:top w:val="single" w:color="000000" w:sz="4" w:space="0"/>
              <w:left w:val="single" w:color="000000" w:sz="4" w:space="0"/>
              <w:bottom w:val="single" w:color="000000" w:sz="4" w:space="0"/>
              <w:right w:val="single" w:color="000000" w:sz="4" w:space="0"/>
            </w:tcBorders>
            <w:vAlign w:val="center"/>
          </w:tcPr>
          <w:p w14:paraId="2383B796">
            <w:pPr>
              <w:adjustRightInd w:val="0"/>
              <w:snapToGrid w:val="0"/>
              <w:spacing w:line="360" w:lineRule="auto"/>
              <w:jc w:val="center"/>
              <w:rPr>
                <w:rFonts w:ascii="仿宋" w:hAnsi="仿宋" w:eastAsia="仿宋" w:cs="仿宋"/>
                <w:sz w:val="24"/>
              </w:rPr>
            </w:pPr>
            <w:r>
              <w:rPr>
                <w:rFonts w:hint="eastAsia" w:ascii="仿宋" w:hAnsi="仿宋" w:eastAsia="仿宋" w:cs="仿宋"/>
                <w:sz w:val="24"/>
              </w:rPr>
              <w:t>80≤X＜90分</w:t>
            </w:r>
          </w:p>
        </w:tc>
        <w:tc>
          <w:tcPr>
            <w:tcW w:w="7008" w:type="dxa"/>
            <w:tcBorders>
              <w:top w:val="single" w:color="000000" w:sz="4" w:space="0"/>
              <w:left w:val="nil"/>
              <w:bottom w:val="single" w:color="000000" w:sz="4" w:space="0"/>
              <w:right w:val="single" w:color="000000" w:sz="4" w:space="0"/>
            </w:tcBorders>
            <w:vAlign w:val="center"/>
          </w:tcPr>
          <w:p w14:paraId="4340078D">
            <w:pPr>
              <w:adjustRightInd w:val="0"/>
              <w:snapToGrid w:val="0"/>
              <w:spacing w:line="360" w:lineRule="auto"/>
              <w:jc w:val="center"/>
              <w:rPr>
                <w:rFonts w:ascii="仿宋" w:hAnsi="仿宋" w:eastAsia="仿宋" w:cs="仿宋"/>
                <w:sz w:val="24"/>
              </w:rPr>
            </w:pPr>
            <w:r>
              <w:rPr>
                <w:rFonts w:hint="eastAsia" w:ascii="仿宋" w:hAnsi="仿宋" w:eastAsia="仿宋" w:cs="仿宋"/>
                <w:sz w:val="24"/>
              </w:rPr>
              <w:t>扣除考核期间应付服务费的1%作为违约金</w:t>
            </w:r>
          </w:p>
        </w:tc>
      </w:tr>
      <w:tr w14:paraId="2BDF5654">
        <w:tblPrEx>
          <w:tblCellMar>
            <w:top w:w="15" w:type="dxa"/>
            <w:left w:w="108" w:type="dxa"/>
            <w:bottom w:w="15" w:type="dxa"/>
            <w:right w:w="108" w:type="dxa"/>
          </w:tblCellMar>
        </w:tblPrEx>
        <w:trPr>
          <w:trHeight w:val="673" w:hRule="atLeast"/>
          <w:jc w:val="center"/>
        </w:trPr>
        <w:tc>
          <w:tcPr>
            <w:tcW w:w="2278" w:type="dxa"/>
            <w:tcBorders>
              <w:top w:val="single" w:color="000000" w:sz="4" w:space="0"/>
              <w:left w:val="single" w:color="000000" w:sz="4" w:space="0"/>
              <w:bottom w:val="single" w:color="000000" w:sz="4" w:space="0"/>
              <w:right w:val="single" w:color="000000" w:sz="4" w:space="0"/>
            </w:tcBorders>
            <w:vAlign w:val="center"/>
          </w:tcPr>
          <w:p w14:paraId="1CB7792D">
            <w:pPr>
              <w:adjustRightInd w:val="0"/>
              <w:snapToGrid w:val="0"/>
              <w:spacing w:line="360" w:lineRule="auto"/>
              <w:jc w:val="center"/>
              <w:rPr>
                <w:rFonts w:ascii="仿宋" w:hAnsi="仿宋" w:eastAsia="仿宋" w:cs="仿宋"/>
                <w:sz w:val="24"/>
              </w:rPr>
            </w:pPr>
            <w:r>
              <w:rPr>
                <w:rFonts w:hint="eastAsia" w:ascii="仿宋" w:hAnsi="仿宋" w:eastAsia="仿宋" w:cs="仿宋"/>
                <w:sz w:val="24"/>
              </w:rPr>
              <w:t>70≤X＜80分</w:t>
            </w:r>
          </w:p>
        </w:tc>
        <w:tc>
          <w:tcPr>
            <w:tcW w:w="7008" w:type="dxa"/>
            <w:tcBorders>
              <w:top w:val="single" w:color="000000" w:sz="4" w:space="0"/>
              <w:left w:val="nil"/>
              <w:bottom w:val="single" w:color="000000" w:sz="4" w:space="0"/>
              <w:right w:val="single" w:color="000000" w:sz="4" w:space="0"/>
            </w:tcBorders>
            <w:vAlign w:val="center"/>
          </w:tcPr>
          <w:p w14:paraId="4CA01E5A">
            <w:pPr>
              <w:adjustRightInd w:val="0"/>
              <w:snapToGrid w:val="0"/>
              <w:spacing w:line="360" w:lineRule="auto"/>
              <w:jc w:val="center"/>
              <w:rPr>
                <w:rFonts w:ascii="仿宋" w:hAnsi="仿宋" w:eastAsia="仿宋" w:cs="仿宋"/>
                <w:sz w:val="24"/>
              </w:rPr>
            </w:pPr>
            <w:r>
              <w:rPr>
                <w:rFonts w:hint="eastAsia" w:ascii="仿宋" w:hAnsi="仿宋" w:eastAsia="仿宋" w:cs="仿宋"/>
                <w:sz w:val="24"/>
              </w:rPr>
              <w:t>扣除考核期间应付服务费的2%作为违约金</w:t>
            </w:r>
          </w:p>
        </w:tc>
      </w:tr>
      <w:tr w14:paraId="7F022784">
        <w:tblPrEx>
          <w:tblCellMar>
            <w:top w:w="15" w:type="dxa"/>
            <w:left w:w="108" w:type="dxa"/>
            <w:bottom w:w="15" w:type="dxa"/>
            <w:right w:w="108" w:type="dxa"/>
          </w:tblCellMar>
        </w:tblPrEx>
        <w:trPr>
          <w:trHeight w:val="630" w:hRule="atLeast"/>
          <w:jc w:val="center"/>
        </w:trPr>
        <w:tc>
          <w:tcPr>
            <w:tcW w:w="2278" w:type="dxa"/>
            <w:tcBorders>
              <w:top w:val="single" w:color="000000" w:sz="4" w:space="0"/>
              <w:left w:val="single" w:color="000000" w:sz="4" w:space="0"/>
              <w:bottom w:val="single" w:color="000000" w:sz="4" w:space="0"/>
              <w:right w:val="single" w:color="000000" w:sz="4" w:space="0"/>
            </w:tcBorders>
            <w:vAlign w:val="center"/>
          </w:tcPr>
          <w:p w14:paraId="20F4D89D">
            <w:pPr>
              <w:adjustRightInd w:val="0"/>
              <w:snapToGrid w:val="0"/>
              <w:spacing w:line="360" w:lineRule="auto"/>
              <w:jc w:val="center"/>
              <w:rPr>
                <w:rFonts w:ascii="仿宋" w:hAnsi="仿宋" w:eastAsia="仿宋" w:cs="仿宋"/>
                <w:sz w:val="24"/>
              </w:rPr>
            </w:pPr>
            <w:r>
              <w:rPr>
                <w:rFonts w:hint="eastAsia" w:ascii="仿宋" w:hAnsi="仿宋" w:eastAsia="仿宋" w:cs="仿宋"/>
                <w:sz w:val="24"/>
              </w:rPr>
              <w:t>60≤X＜70分</w:t>
            </w:r>
          </w:p>
        </w:tc>
        <w:tc>
          <w:tcPr>
            <w:tcW w:w="7008" w:type="dxa"/>
            <w:tcBorders>
              <w:top w:val="single" w:color="000000" w:sz="4" w:space="0"/>
              <w:left w:val="nil"/>
              <w:bottom w:val="single" w:color="000000" w:sz="4" w:space="0"/>
              <w:right w:val="single" w:color="000000" w:sz="4" w:space="0"/>
            </w:tcBorders>
            <w:vAlign w:val="center"/>
          </w:tcPr>
          <w:p w14:paraId="6B19D4C6">
            <w:pPr>
              <w:adjustRightInd w:val="0"/>
              <w:snapToGrid w:val="0"/>
              <w:spacing w:line="360" w:lineRule="auto"/>
              <w:jc w:val="center"/>
              <w:rPr>
                <w:rFonts w:ascii="仿宋" w:hAnsi="仿宋" w:eastAsia="仿宋" w:cs="仿宋"/>
                <w:sz w:val="24"/>
              </w:rPr>
            </w:pPr>
            <w:r>
              <w:rPr>
                <w:rFonts w:hint="eastAsia" w:ascii="仿宋" w:hAnsi="仿宋" w:eastAsia="仿宋" w:cs="仿宋"/>
                <w:sz w:val="24"/>
              </w:rPr>
              <w:t>扣除考核期间应付服务费的5%作为违约金</w:t>
            </w:r>
          </w:p>
        </w:tc>
      </w:tr>
      <w:tr w14:paraId="244FB6E6">
        <w:tblPrEx>
          <w:tblCellMar>
            <w:top w:w="15" w:type="dxa"/>
            <w:left w:w="108" w:type="dxa"/>
            <w:bottom w:w="15" w:type="dxa"/>
            <w:right w:w="108" w:type="dxa"/>
          </w:tblCellMar>
        </w:tblPrEx>
        <w:trPr>
          <w:trHeight w:val="811" w:hRule="atLeast"/>
          <w:jc w:val="center"/>
        </w:trPr>
        <w:tc>
          <w:tcPr>
            <w:tcW w:w="2278" w:type="dxa"/>
            <w:tcBorders>
              <w:top w:val="single" w:color="000000" w:sz="4" w:space="0"/>
              <w:left w:val="single" w:color="000000" w:sz="4" w:space="0"/>
              <w:bottom w:val="single" w:color="000000" w:sz="4" w:space="0"/>
              <w:right w:val="single" w:color="000000" w:sz="4" w:space="0"/>
            </w:tcBorders>
            <w:vAlign w:val="center"/>
          </w:tcPr>
          <w:p w14:paraId="2BAA8667">
            <w:pPr>
              <w:adjustRightInd w:val="0"/>
              <w:snapToGrid w:val="0"/>
              <w:spacing w:line="360" w:lineRule="auto"/>
              <w:jc w:val="center"/>
              <w:rPr>
                <w:rFonts w:ascii="仿宋" w:hAnsi="仿宋" w:eastAsia="仿宋" w:cs="仿宋"/>
                <w:sz w:val="24"/>
              </w:rPr>
            </w:pPr>
            <w:r>
              <w:rPr>
                <w:rFonts w:hint="eastAsia" w:ascii="仿宋" w:hAnsi="仿宋" w:eastAsia="仿宋" w:cs="仿宋"/>
                <w:sz w:val="24"/>
              </w:rPr>
              <w:t>X＜60</w:t>
            </w:r>
          </w:p>
        </w:tc>
        <w:tc>
          <w:tcPr>
            <w:tcW w:w="7008" w:type="dxa"/>
            <w:tcBorders>
              <w:top w:val="single" w:color="000000" w:sz="4" w:space="0"/>
              <w:left w:val="nil"/>
              <w:bottom w:val="single" w:color="000000" w:sz="4" w:space="0"/>
              <w:right w:val="single" w:color="000000" w:sz="4" w:space="0"/>
            </w:tcBorders>
            <w:vAlign w:val="center"/>
          </w:tcPr>
          <w:p w14:paraId="2678CBEF">
            <w:pPr>
              <w:adjustRightInd w:val="0"/>
              <w:snapToGrid w:val="0"/>
              <w:spacing w:line="360" w:lineRule="auto"/>
              <w:jc w:val="center"/>
              <w:rPr>
                <w:rFonts w:ascii="仿宋" w:hAnsi="仿宋" w:eastAsia="仿宋" w:cs="仿宋"/>
                <w:sz w:val="24"/>
              </w:rPr>
            </w:pPr>
            <w:r>
              <w:rPr>
                <w:rFonts w:hint="eastAsia" w:ascii="仿宋" w:hAnsi="仿宋" w:eastAsia="仿宋" w:cs="仿宋"/>
                <w:sz w:val="24"/>
              </w:rPr>
              <w:t>扣除考核期间应付服务费的10%作为违约金；</w:t>
            </w:r>
          </w:p>
        </w:tc>
      </w:tr>
      <w:tr w14:paraId="0947B8A5">
        <w:tblPrEx>
          <w:tblCellMar>
            <w:top w:w="15" w:type="dxa"/>
            <w:left w:w="108" w:type="dxa"/>
            <w:bottom w:w="15" w:type="dxa"/>
            <w:right w:w="108" w:type="dxa"/>
          </w:tblCellMar>
        </w:tblPrEx>
        <w:trPr>
          <w:trHeight w:val="1581" w:hRule="atLeast"/>
          <w:jc w:val="center"/>
        </w:trPr>
        <w:tc>
          <w:tcPr>
            <w:tcW w:w="2278" w:type="dxa"/>
            <w:tcBorders>
              <w:top w:val="single" w:color="000000" w:sz="4" w:space="0"/>
              <w:left w:val="single" w:color="000000" w:sz="4" w:space="0"/>
              <w:bottom w:val="single" w:color="000000" w:sz="4" w:space="0"/>
              <w:right w:val="single" w:color="000000" w:sz="4" w:space="0"/>
            </w:tcBorders>
            <w:vAlign w:val="center"/>
          </w:tcPr>
          <w:p w14:paraId="4427FBAE">
            <w:pPr>
              <w:adjustRightInd w:val="0"/>
              <w:snapToGrid w:val="0"/>
              <w:spacing w:line="360" w:lineRule="auto"/>
              <w:jc w:val="center"/>
              <w:rPr>
                <w:rFonts w:ascii="仿宋" w:hAnsi="仿宋" w:eastAsia="仿宋" w:cs="仿宋"/>
                <w:sz w:val="24"/>
              </w:rPr>
            </w:pPr>
            <w:r>
              <w:rPr>
                <w:rFonts w:hint="eastAsia" w:ascii="仿宋" w:hAnsi="仿宋" w:eastAsia="仿宋" w:cs="仿宋"/>
                <w:sz w:val="24"/>
              </w:rPr>
              <w:t>备注</w:t>
            </w:r>
          </w:p>
        </w:tc>
        <w:tc>
          <w:tcPr>
            <w:tcW w:w="7008" w:type="dxa"/>
            <w:tcBorders>
              <w:top w:val="single" w:color="000000" w:sz="4" w:space="0"/>
              <w:left w:val="nil"/>
              <w:bottom w:val="single" w:color="000000" w:sz="4" w:space="0"/>
              <w:right w:val="single" w:color="000000" w:sz="4" w:space="0"/>
            </w:tcBorders>
            <w:vAlign w:val="center"/>
          </w:tcPr>
          <w:p w14:paraId="717C4944">
            <w:pPr>
              <w:adjustRightInd w:val="0"/>
              <w:snapToGrid w:val="0"/>
              <w:spacing w:line="360" w:lineRule="auto"/>
              <w:jc w:val="center"/>
              <w:rPr>
                <w:rFonts w:ascii="仿宋" w:hAnsi="仿宋" w:eastAsia="仿宋" w:cs="仿宋"/>
                <w:sz w:val="24"/>
              </w:rPr>
            </w:pPr>
            <w:r>
              <w:rPr>
                <w:rFonts w:hint="eastAsia" w:ascii="仿宋" w:hAnsi="仿宋" w:eastAsia="仿宋" w:cs="仿宋"/>
                <w:sz w:val="24"/>
              </w:rPr>
              <w:t>如乙方对评分结果有所异议，可由书面形式向总务处领导提出，以协商解决为准；协商未能解决，最终以甲方提出协商意见为准。</w:t>
            </w:r>
          </w:p>
        </w:tc>
      </w:tr>
    </w:tbl>
    <w:p w14:paraId="3C72BE99">
      <w:pPr>
        <w:adjustRightInd w:val="0"/>
        <w:snapToGrid w:val="0"/>
        <w:spacing w:line="360" w:lineRule="auto"/>
        <w:rPr>
          <w:rFonts w:ascii="仿宋" w:hAnsi="仿宋" w:eastAsia="仿宋" w:cs="仿宋"/>
          <w:b/>
          <w:bCs/>
          <w:sz w:val="24"/>
        </w:rPr>
      </w:pPr>
      <w:r>
        <w:rPr>
          <w:rFonts w:hint="eastAsia" w:ascii="仿宋" w:hAnsi="仿宋" w:eastAsia="仿宋" w:cs="仿宋"/>
          <w:b/>
          <w:bCs/>
          <w:sz w:val="24"/>
        </w:rPr>
        <w:br w:type="page"/>
      </w:r>
    </w:p>
    <w:p w14:paraId="4B3A9D23">
      <w:pPr>
        <w:adjustRightInd w:val="0"/>
        <w:snapToGrid w:val="0"/>
        <w:spacing w:line="360" w:lineRule="auto"/>
        <w:rPr>
          <w:rFonts w:ascii="仿宋" w:hAnsi="仿宋" w:eastAsia="仿宋" w:cs="仿宋"/>
          <w:b/>
          <w:bCs/>
          <w:sz w:val="24"/>
        </w:rPr>
      </w:pPr>
      <w:r>
        <w:rPr>
          <w:rFonts w:hint="eastAsia" w:ascii="仿宋" w:hAnsi="仿宋" w:eastAsia="仿宋" w:cs="仿宋"/>
          <w:b/>
          <w:bCs/>
          <w:sz w:val="24"/>
        </w:rPr>
        <w:t>附件三：洗衣交接验收单</w:t>
      </w:r>
    </w:p>
    <w:p w14:paraId="56B32A9B">
      <w:pPr>
        <w:adjustRightInd w:val="0"/>
        <w:snapToGrid w:val="0"/>
        <w:spacing w:line="360" w:lineRule="auto"/>
        <w:ind w:firstLine="280"/>
        <w:rPr>
          <w:rFonts w:ascii="仿宋" w:hAnsi="仿宋" w:eastAsia="仿宋" w:cs="仿宋"/>
          <w:sz w:val="24"/>
        </w:rPr>
      </w:pPr>
      <w:r>
        <w:rPr>
          <w:rFonts w:hint="eastAsia" w:ascii="仿宋" w:hAnsi="仿宋" w:eastAsia="仿宋" w:cs="仿宋"/>
          <w:sz w:val="24"/>
        </w:rPr>
        <w:t>（   年   月   日）</w:t>
      </w:r>
    </w:p>
    <w:tbl>
      <w:tblPr>
        <w:tblStyle w:val="7"/>
        <w:tblW w:w="9282" w:type="dxa"/>
        <w:jc w:val="center"/>
        <w:tblLayout w:type="fixed"/>
        <w:tblCellMar>
          <w:top w:w="0" w:type="dxa"/>
          <w:left w:w="108" w:type="dxa"/>
          <w:bottom w:w="0" w:type="dxa"/>
          <w:right w:w="108" w:type="dxa"/>
        </w:tblCellMar>
      </w:tblPr>
      <w:tblGrid>
        <w:gridCol w:w="1364"/>
        <w:gridCol w:w="816"/>
        <w:gridCol w:w="816"/>
        <w:gridCol w:w="816"/>
        <w:gridCol w:w="1224"/>
        <w:gridCol w:w="815"/>
        <w:gridCol w:w="817"/>
        <w:gridCol w:w="1309"/>
        <w:gridCol w:w="1305"/>
      </w:tblGrid>
      <w:tr w14:paraId="0171032C">
        <w:tblPrEx>
          <w:tblCellMar>
            <w:top w:w="0" w:type="dxa"/>
            <w:left w:w="108" w:type="dxa"/>
            <w:bottom w:w="0" w:type="dxa"/>
            <w:right w:w="108" w:type="dxa"/>
          </w:tblCellMar>
        </w:tblPrEx>
        <w:trPr>
          <w:trHeight w:val="677" w:hRule="atLeast"/>
          <w:jc w:val="center"/>
        </w:trPr>
        <w:tc>
          <w:tcPr>
            <w:tcW w:w="1364" w:type="dxa"/>
            <w:tcBorders>
              <w:top w:val="single" w:color="auto" w:sz="4" w:space="0"/>
              <w:left w:val="single" w:color="auto" w:sz="4" w:space="0"/>
              <w:bottom w:val="single" w:color="auto" w:sz="4" w:space="0"/>
              <w:right w:val="single" w:color="auto" w:sz="4" w:space="0"/>
            </w:tcBorders>
            <w:vAlign w:val="center"/>
          </w:tcPr>
          <w:p w14:paraId="4AE8FFD1">
            <w:pPr>
              <w:adjustRightInd w:val="0"/>
              <w:snapToGrid w:val="0"/>
              <w:spacing w:line="360" w:lineRule="auto"/>
              <w:jc w:val="center"/>
              <w:rPr>
                <w:rFonts w:ascii="仿宋" w:hAnsi="仿宋" w:eastAsia="仿宋" w:cs="仿宋"/>
                <w:sz w:val="24"/>
              </w:rPr>
            </w:pPr>
            <w:r>
              <w:rPr>
                <w:rFonts w:hint="eastAsia" w:ascii="仿宋" w:hAnsi="仿宋" w:eastAsia="仿宋" w:cs="仿宋"/>
                <w:sz w:val="24"/>
              </w:rPr>
              <w:t>名称</w:t>
            </w:r>
          </w:p>
        </w:tc>
        <w:tc>
          <w:tcPr>
            <w:tcW w:w="816" w:type="dxa"/>
            <w:tcBorders>
              <w:top w:val="single" w:color="auto" w:sz="4" w:space="0"/>
              <w:left w:val="nil"/>
              <w:bottom w:val="single" w:color="auto" w:sz="4" w:space="0"/>
              <w:right w:val="single" w:color="auto" w:sz="4" w:space="0"/>
            </w:tcBorders>
            <w:vAlign w:val="center"/>
          </w:tcPr>
          <w:p w14:paraId="31FB926C">
            <w:pPr>
              <w:adjustRightInd w:val="0"/>
              <w:snapToGrid w:val="0"/>
              <w:spacing w:line="360" w:lineRule="auto"/>
              <w:jc w:val="center"/>
              <w:rPr>
                <w:rFonts w:ascii="仿宋" w:hAnsi="仿宋" w:eastAsia="仿宋" w:cs="仿宋"/>
                <w:sz w:val="24"/>
              </w:rPr>
            </w:pPr>
            <w:r>
              <w:rPr>
                <w:rFonts w:hint="eastAsia" w:ascii="仿宋" w:hAnsi="仿宋" w:eastAsia="仿宋" w:cs="仿宋"/>
                <w:sz w:val="24"/>
              </w:rPr>
              <w:t>送洗件数</w:t>
            </w:r>
          </w:p>
        </w:tc>
        <w:tc>
          <w:tcPr>
            <w:tcW w:w="816" w:type="dxa"/>
            <w:tcBorders>
              <w:top w:val="single" w:color="auto" w:sz="4" w:space="0"/>
              <w:left w:val="nil"/>
              <w:bottom w:val="single" w:color="auto" w:sz="4" w:space="0"/>
              <w:right w:val="single" w:color="auto" w:sz="4" w:space="0"/>
            </w:tcBorders>
            <w:vAlign w:val="center"/>
          </w:tcPr>
          <w:p w14:paraId="2BEFE00B">
            <w:pPr>
              <w:adjustRightInd w:val="0"/>
              <w:snapToGrid w:val="0"/>
              <w:spacing w:line="360" w:lineRule="auto"/>
              <w:jc w:val="center"/>
              <w:rPr>
                <w:rFonts w:ascii="仿宋" w:hAnsi="仿宋" w:eastAsia="仿宋" w:cs="仿宋"/>
                <w:sz w:val="24"/>
              </w:rPr>
            </w:pPr>
            <w:r>
              <w:rPr>
                <w:rFonts w:hint="eastAsia" w:ascii="仿宋" w:hAnsi="仿宋" w:eastAsia="仿宋" w:cs="仿宋"/>
                <w:sz w:val="24"/>
              </w:rPr>
              <w:t>合格件数</w:t>
            </w:r>
          </w:p>
        </w:tc>
        <w:tc>
          <w:tcPr>
            <w:tcW w:w="816" w:type="dxa"/>
            <w:tcBorders>
              <w:top w:val="single" w:color="auto" w:sz="4" w:space="0"/>
              <w:left w:val="nil"/>
              <w:bottom w:val="single" w:color="auto" w:sz="4" w:space="0"/>
              <w:right w:val="single" w:color="auto" w:sz="4" w:space="0"/>
            </w:tcBorders>
            <w:vAlign w:val="center"/>
          </w:tcPr>
          <w:p w14:paraId="4D1687DE">
            <w:pPr>
              <w:adjustRightInd w:val="0"/>
              <w:snapToGrid w:val="0"/>
              <w:spacing w:line="360" w:lineRule="auto"/>
              <w:jc w:val="center"/>
              <w:rPr>
                <w:rFonts w:ascii="仿宋" w:hAnsi="仿宋" w:eastAsia="仿宋" w:cs="仿宋"/>
                <w:sz w:val="24"/>
              </w:rPr>
            </w:pPr>
            <w:r>
              <w:rPr>
                <w:rFonts w:hint="eastAsia" w:ascii="仿宋" w:hAnsi="仿宋" w:eastAsia="仿宋" w:cs="仿宋"/>
                <w:sz w:val="24"/>
              </w:rPr>
              <w:t>返厂件数</w:t>
            </w:r>
          </w:p>
        </w:tc>
        <w:tc>
          <w:tcPr>
            <w:tcW w:w="1224" w:type="dxa"/>
            <w:tcBorders>
              <w:top w:val="single" w:color="auto" w:sz="4" w:space="0"/>
              <w:left w:val="nil"/>
              <w:bottom w:val="single" w:color="auto" w:sz="4" w:space="0"/>
              <w:right w:val="single" w:color="auto" w:sz="4" w:space="0"/>
            </w:tcBorders>
            <w:vAlign w:val="center"/>
          </w:tcPr>
          <w:p w14:paraId="70FC148C">
            <w:pPr>
              <w:adjustRightInd w:val="0"/>
              <w:snapToGrid w:val="0"/>
              <w:spacing w:line="360" w:lineRule="auto"/>
              <w:jc w:val="center"/>
              <w:rPr>
                <w:rFonts w:ascii="仿宋" w:hAnsi="仿宋" w:eastAsia="仿宋" w:cs="仿宋"/>
                <w:sz w:val="24"/>
              </w:rPr>
            </w:pPr>
            <w:r>
              <w:rPr>
                <w:rFonts w:hint="eastAsia" w:ascii="仿宋" w:hAnsi="仿宋" w:eastAsia="仿宋" w:cs="仿宋"/>
                <w:sz w:val="24"/>
              </w:rPr>
              <w:t>返厂送回件数</w:t>
            </w:r>
          </w:p>
        </w:tc>
        <w:tc>
          <w:tcPr>
            <w:tcW w:w="815" w:type="dxa"/>
            <w:tcBorders>
              <w:top w:val="single" w:color="auto" w:sz="4" w:space="0"/>
              <w:left w:val="nil"/>
              <w:bottom w:val="single" w:color="auto" w:sz="4" w:space="0"/>
              <w:right w:val="single" w:color="auto" w:sz="4" w:space="0"/>
            </w:tcBorders>
            <w:vAlign w:val="center"/>
          </w:tcPr>
          <w:p w14:paraId="5A1314BC">
            <w:pPr>
              <w:adjustRightInd w:val="0"/>
              <w:snapToGrid w:val="0"/>
              <w:spacing w:line="360" w:lineRule="auto"/>
              <w:jc w:val="center"/>
              <w:rPr>
                <w:rFonts w:ascii="仿宋" w:hAnsi="仿宋" w:eastAsia="仿宋" w:cs="仿宋"/>
                <w:sz w:val="24"/>
              </w:rPr>
            </w:pPr>
            <w:r>
              <w:rPr>
                <w:rFonts w:hint="eastAsia" w:ascii="仿宋" w:hAnsi="仿宋" w:eastAsia="仿宋" w:cs="仿宋"/>
                <w:sz w:val="24"/>
              </w:rPr>
              <w:t>破损件数</w:t>
            </w:r>
          </w:p>
        </w:tc>
        <w:tc>
          <w:tcPr>
            <w:tcW w:w="817" w:type="dxa"/>
            <w:tcBorders>
              <w:top w:val="single" w:color="auto" w:sz="4" w:space="0"/>
              <w:left w:val="nil"/>
              <w:bottom w:val="single" w:color="auto" w:sz="4" w:space="0"/>
              <w:right w:val="single" w:color="auto" w:sz="4" w:space="0"/>
            </w:tcBorders>
            <w:vAlign w:val="center"/>
          </w:tcPr>
          <w:p w14:paraId="797FDE24">
            <w:pPr>
              <w:adjustRightInd w:val="0"/>
              <w:snapToGrid w:val="0"/>
              <w:spacing w:line="360" w:lineRule="auto"/>
              <w:jc w:val="center"/>
              <w:rPr>
                <w:rFonts w:ascii="仿宋" w:hAnsi="仿宋" w:eastAsia="仿宋" w:cs="仿宋"/>
                <w:sz w:val="24"/>
              </w:rPr>
            </w:pPr>
            <w:r>
              <w:rPr>
                <w:rFonts w:hint="eastAsia" w:ascii="仿宋" w:hAnsi="仿宋" w:eastAsia="仿宋" w:cs="仿宋"/>
                <w:sz w:val="24"/>
              </w:rPr>
              <w:t>差错件数</w:t>
            </w:r>
          </w:p>
        </w:tc>
        <w:tc>
          <w:tcPr>
            <w:tcW w:w="1309" w:type="dxa"/>
            <w:tcBorders>
              <w:top w:val="single" w:color="auto" w:sz="4" w:space="0"/>
              <w:left w:val="nil"/>
              <w:bottom w:val="single" w:color="auto" w:sz="4" w:space="0"/>
              <w:right w:val="single" w:color="auto" w:sz="4" w:space="0"/>
            </w:tcBorders>
            <w:vAlign w:val="center"/>
          </w:tcPr>
          <w:p w14:paraId="3A6F2DF3">
            <w:pPr>
              <w:adjustRightInd w:val="0"/>
              <w:snapToGrid w:val="0"/>
              <w:spacing w:line="360" w:lineRule="auto"/>
              <w:jc w:val="center"/>
              <w:rPr>
                <w:rFonts w:ascii="仿宋" w:hAnsi="仿宋" w:eastAsia="仿宋" w:cs="仿宋"/>
                <w:sz w:val="24"/>
              </w:rPr>
            </w:pPr>
            <w:r>
              <w:rPr>
                <w:rFonts w:hint="eastAsia" w:ascii="仿宋" w:hAnsi="仿宋" w:eastAsia="仿宋" w:cs="仿宋"/>
                <w:sz w:val="24"/>
              </w:rPr>
              <w:t>备注</w:t>
            </w:r>
          </w:p>
        </w:tc>
        <w:tc>
          <w:tcPr>
            <w:tcW w:w="1305" w:type="dxa"/>
            <w:tcBorders>
              <w:top w:val="single" w:color="auto" w:sz="4" w:space="0"/>
              <w:left w:val="nil"/>
              <w:bottom w:val="single" w:color="auto" w:sz="4" w:space="0"/>
              <w:right w:val="single" w:color="auto" w:sz="4" w:space="0"/>
            </w:tcBorders>
            <w:vAlign w:val="center"/>
          </w:tcPr>
          <w:p w14:paraId="06CCA1BF">
            <w:pPr>
              <w:adjustRightInd w:val="0"/>
              <w:snapToGrid w:val="0"/>
              <w:spacing w:line="360" w:lineRule="auto"/>
              <w:jc w:val="center"/>
              <w:rPr>
                <w:rFonts w:ascii="仿宋" w:hAnsi="仿宋" w:eastAsia="仿宋" w:cs="仿宋"/>
                <w:sz w:val="24"/>
              </w:rPr>
            </w:pPr>
          </w:p>
        </w:tc>
      </w:tr>
      <w:tr w14:paraId="748ECE66">
        <w:tblPrEx>
          <w:tblCellMar>
            <w:top w:w="0" w:type="dxa"/>
            <w:left w:w="108" w:type="dxa"/>
            <w:bottom w:w="0" w:type="dxa"/>
            <w:right w:w="108" w:type="dxa"/>
          </w:tblCellMar>
        </w:tblPrEx>
        <w:trPr>
          <w:trHeight w:val="677" w:hRule="atLeast"/>
          <w:jc w:val="center"/>
        </w:trPr>
        <w:tc>
          <w:tcPr>
            <w:tcW w:w="1364" w:type="dxa"/>
            <w:tcBorders>
              <w:top w:val="single" w:color="auto" w:sz="4" w:space="0"/>
              <w:left w:val="single" w:color="auto" w:sz="4" w:space="0"/>
              <w:bottom w:val="single" w:color="auto" w:sz="4" w:space="0"/>
              <w:right w:val="single" w:color="auto" w:sz="4" w:space="0"/>
            </w:tcBorders>
            <w:vAlign w:val="center"/>
          </w:tcPr>
          <w:p w14:paraId="08423907">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57B5ECC0">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205E8BC0">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7DAD08C1">
            <w:pPr>
              <w:adjustRightInd w:val="0"/>
              <w:snapToGrid w:val="0"/>
              <w:spacing w:line="360" w:lineRule="auto"/>
              <w:jc w:val="center"/>
              <w:rPr>
                <w:rFonts w:ascii="仿宋" w:hAnsi="仿宋" w:eastAsia="仿宋" w:cs="仿宋"/>
                <w:sz w:val="24"/>
              </w:rPr>
            </w:pPr>
          </w:p>
        </w:tc>
        <w:tc>
          <w:tcPr>
            <w:tcW w:w="1224" w:type="dxa"/>
            <w:tcBorders>
              <w:top w:val="single" w:color="auto" w:sz="4" w:space="0"/>
              <w:left w:val="nil"/>
              <w:bottom w:val="single" w:color="auto" w:sz="4" w:space="0"/>
              <w:right w:val="single" w:color="auto" w:sz="4" w:space="0"/>
            </w:tcBorders>
            <w:vAlign w:val="center"/>
          </w:tcPr>
          <w:p w14:paraId="319A261F">
            <w:pPr>
              <w:adjustRightInd w:val="0"/>
              <w:snapToGrid w:val="0"/>
              <w:spacing w:line="360" w:lineRule="auto"/>
              <w:jc w:val="center"/>
              <w:rPr>
                <w:rFonts w:ascii="仿宋" w:hAnsi="仿宋" w:eastAsia="仿宋" w:cs="仿宋"/>
                <w:sz w:val="24"/>
              </w:rPr>
            </w:pPr>
          </w:p>
        </w:tc>
        <w:tc>
          <w:tcPr>
            <w:tcW w:w="815" w:type="dxa"/>
            <w:tcBorders>
              <w:top w:val="single" w:color="auto" w:sz="4" w:space="0"/>
              <w:left w:val="nil"/>
              <w:bottom w:val="single" w:color="auto" w:sz="4" w:space="0"/>
              <w:right w:val="single" w:color="auto" w:sz="4" w:space="0"/>
            </w:tcBorders>
            <w:vAlign w:val="center"/>
          </w:tcPr>
          <w:p w14:paraId="1D74A4CA">
            <w:pPr>
              <w:adjustRightInd w:val="0"/>
              <w:snapToGrid w:val="0"/>
              <w:spacing w:line="360" w:lineRule="auto"/>
              <w:jc w:val="center"/>
              <w:rPr>
                <w:rFonts w:ascii="仿宋" w:hAnsi="仿宋" w:eastAsia="仿宋" w:cs="仿宋"/>
                <w:sz w:val="24"/>
              </w:rPr>
            </w:pPr>
          </w:p>
        </w:tc>
        <w:tc>
          <w:tcPr>
            <w:tcW w:w="817" w:type="dxa"/>
            <w:tcBorders>
              <w:top w:val="single" w:color="auto" w:sz="4" w:space="0"/>
              <w:left w:val="nil"/>
              <w:bottom w:val="single" w:color="auto" w:sz="4" w:space="0"/>
              <w:right w:val="single" w:color="auto" w:sz="4" w:space="0"/>
            </w:tcBorders>
            <w:vAlign w:val="center"/>
          </w:tcPr>
          <w:p w14:paraId="20CB33AA">
            <w:pPr>
              <w:adjustRightInd w:val="0"/>
              <w:snapToGrid w:val="0"/>
              <w:spacing w:line="360" w:lineRule="auto"/>
              <w:jc w:val="center"/>
              <w:rPr>
                <w:rFonts w:ascii="仿宋" w:hAnsi="仿宋" w:eastAsia="仿宋" w:cs="仿宋"/>
                <w:sz w:val="24"/>
              </w:rPr>
            </w:pPr>
          </w:p>
        </w:tc>
        <w:tc>
          <w:tcPr>
            <w:tcW w:w="1309" w:type="dxa"/>
            <w:tcBorders>
              <w:top w:val="single" w:color="auto" w:sz="4" w:space="0"/>
              <w:left w:val="nil"/>
              <w:bottom w:val="single" w:color="auto" w:sz="4" w:space="0"/>
              <w:right w:val="single" w:color="auto" w:sz="4" w:space="0"/>
            </w:tcBorders>
            <w:vAlign w:val="center"/>
          </w:tcPr>
          <w:p w14:paraId="62EDF436">
            <w:pPr>
              <w:adjustRightInd w:val="0"/>
              <w:snapToGrid w:val="0"/>
              <w:spacing w:line="360" w:lineRule="auto"/>
              <w:jc w:val="center"/>
              <w:rPr>
                <w:rFonts w:ascii="仿宋" w:hAnsi="仿宋" w:eastAsia="仿宋" w:cs="仿宋"/>
                <w:sz w:val="24"/>
              </w:rPr>
            </w:pPr>
          </w:p>
        </w:tc>
        <w:tc>
          <w:tcPr>
            <w:tcW w:w="1305" w:type="dxa"/>
            <w:tcBorders>
              <w:top w:val="single" w:color="auto" w:sz="4" w:space="0"/>
              <w:left w:val="nil"/>
              <w:bottom w:val="single" w:color="auto" w:sz="4" w:space="0"/>
              <w:right w:val="single" w:color="auto" w:sz="4" w:space="0"/>
            </w:tcBorders>
            <w:vAlign w:val="center"/>
          </w:tcPr>
          <w:p w14:paraId="47778F6E">
            <w:pPr>
              <w:adjustRightInd w:val="0"/>
              <w:snapToGrid w:val="0"/>
              <w:spacing w:line="360" w:lineRule="auto"/>
              <w:jc w:val="center"/>
              <w:rPr>
                <w:rFonts w:ascii="仿宋" w:hAnsi="仿宋" w:eastAsia="仿宋" w:cs="仿宋"/>
                <w:sz w:val="24"/>
              </w:rPr>
            </w:pPr>
          </w:p>
        </w:tc>
      </w:tr>
      <w:tr w14:paraId="015CAE5E">
        <w:tblPrEx>
          <w:tblCellMar>
            <w:top w:w="0" w:type="dxa"/>
            <w:left w:w="108" w:type="dxa"/>
            <w:bottom w:w="0" w:type="dxa"/>
            <w:right w:w="108" w:type="dxa"/>
          </w:tblCellMar>
        </w:tblPrEx>
        <w:trPr>
          <w:trHeight w:val="677" w:hRule="atLeast"/>
          <w:jc w:val="center"/>
        </w:trPr>
        <w:tc>
          <w:tcPr>
            <w:tcW w:w="1364" w:type="dxa"/>
            <w:tcBorders>
              <w:top w:val="single" w:color="auto" w:sz="4" w:space="0"/>
              <w:left w:val="single" w:color="auto" w:sz="4" w:space="0"/>
              <w:bottom w:val="single" w:color="auto" w:sz="4" w:space="0"/>
              <w:right w:val="single" w:color="auto" w:sz="4" w:space="0"/>
            </w:tcBorders>
            <w:vAlign w:val="center"/>
          </w:tcPr>
          <w:p w14:paraId="31635B29">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78424AAB">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455B2154">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3596ACE5">
            <w:pPr>
              <w:adjustRightInd w:val="0"/>
              <w:snapToGrid w:val="0"/>
              <w:spacing w:line="360" w:lineRule="auto"/>
              <w:jc w:val="center"/>
              <w:rPr>
                <w:rFonts w:ascii="仿宋" w:hAnsi="仿宋" w:eastAsia="仿宋" w:cs="仿宋"/>
                <w:sz w:val="24"/>
              </w:rPr>
            </w:pPr>
          </w:p>
        </w:tc>
        <w:tc>
          <w:tcPr>
            <w:tcW w:w="1224" w:type="dxa"/>
            <w:tcBorders>
              <w:top w:val="single" w:color="auto" w:sz="4" w:space="0"/>
              <w:left w:val="nil"/>
              <w:bottom w:val="single" w:color="auto" w:sz="4" w:space="0"/>
              <w:right w:val="single" w:color="auto" w:sz="4" w:space="0"/>
            </w:tcBorders>
            <w:vAlign w:val="center"/>
          </w:tcPr>
          <w:p w14:paraId="5DAE9A96">
            <w:pPr>
              <w:adjustRightInd w:val="0"/>
              <w:snapToGrid w:val="0"/>
              <w:spacing w:line="360" w:lineRule="auto"/>
              <w:jc w:val="center"/>
              <w:rPr>
                <w:rFonts w:ascii="仿宋" w:hAnsi="仿宋" w:eastAsia="仿宋" w:cs="仿宋"/>
                <w:sz w:val="24"/>
              </w:rPr>
            </w:pPr>
          </w:p>
        </w:tc>
        <w:tc>
          <w:tcPr>
            <w:tcW w:w="815" w:type="dxa"/>
            <w:tcBorders>
              <w:top w:val="single" w:color="auto" w:sz="4" w:space="0"/>
              <w:left w:val="nil"/>
              <w:bottom w:val="single" w:color="auto" w:sz="4" w:space="0"/>
              <w:right w:val="single" w:color="auto" w:sz="4" w:space="0"/>
            </w:tcBorders>
            <w:vAlign w:val="center"/>
          </w:tcPr>
          <w:p w14:paraId="32F4FE5D">
            <w:pPr>
              <w:adjustRightInd w:val="0"/>
              <w:snapToGrid w:val="0"/>
              <w:spacing w:line="360" w:lineRule="auto"/>
              <w:jc w:val="center"/>
              <w:rPr>
                <w:rFonts w:ascii="仿宋" w:hAnsi="仿宋" w:eastAsia="仿宋" w:cs="仿宋"/>
                <w:sz w:val="24"/>
              </w:rPr>
            </w:pPr>
          </w:p>
        </w:tc>
        <w:tc>
          <w:tcPr>
            <w:tcW w:w="817" w:type="dxa"/>
            <w:tcBorders>
              <w:top w:val="single" w:color="auto" w:sz="4" w:space="0"/>
              <w:left w:val="nil"/>
              <w:bottom w:val="single" w:color="auto" w:sz="4" w:space="0"/>
              <w:right w:val="single" w:color="auto" w:sz="4" w:space="0"/>
            </w:tcBorders>
            <w:vAlign w:val="center"/>
          </w:tcPr>
          <w:p w14:paraId="1B5ECFA0">
            <w:pPr>
              <w:adjustRightInd w:val="0"/>
              <w:snapToGrid w:val="0"/>
              <w:spacing w:line="360" w:lineRule="auto"/>
              <w:jc w:val="center"/>
              <w:rPr>
                <w:rFonts w:ascii="仿宋" w:hAnsi="仿宋" w:eastAsia="仿宋" w:cs="仿宋"/>
                <w:sz w:val="24"/>
              </w:rPr>
            </w:pPr>
          </w:p>
        </w:tc>
        <w:tc>
          <w:tcPr>
            <w:tcW w:w="1309" w:type="dxa"/>
            <w:tcBorders>
              <w:top w:val="single" w:color="auto" w:sz="4" w:space="0"/>
              <w:left w:val="nil"/>
              <w:bottom w:val="single" w:color="auto" w:sz="4" w:space="0"/>
              <w:right w:val="single" w:color="auto" w:sz="4" w:space="0"/>
            </w:tcBorders>
            <w:vAlign w:val="center"/>
          </w:tcPr>
          <w:p w14:paraId="52E8ACD8">
            <w:pPr>
              <w:adjustRightInd w:val="0"/>
              <w:snapToGrid w:val="0"/>
              <w:spacing w:line="360" w:lineRule="auto"/>
              <w:jc w:val="center"/>
              <w:rPr>
                <w:rFonts w:ascii="仿宋" w:hAnsi="仿宋" w:eastAsia="仿宋" w:cs="仿宋"/>
                <w:sz w:val="24"/>
              </w:rPr>
            </w:pPr>
          </w:p>
        </w:tc>
        <w:tc>
          <w:tcPr>
            <w:tcW w:w="1305" w:type="dxa"/>
            <w:tcBorders>
              <w:top w:val="single" w:color="auto" w:sz="4" w:space="0"/>
              <w:left w:val="nil"/>
              <w:bottom w:val="single" w:color="auto" w:sz="4" w:space="0"/>
              <w:right w:val="single" w:color="auto" w:sz="4" w:space="0"/>
            </w:tcBorders>
            <w:vAlign w:val="center"/>
          </w:tcPr>
          <w:p w14:paraId="339CB389">
            <w:pPr>
              <w:adjustRightInd w:val="0"/>
              <w:snapToGrid w:val="0"/>
              <w:spacing w:line="360" w:lineRule="auto"/>
              <w:jc w:val="center"/>
              <w:rPr>
                <w:rFonts w:ascii="仿宋" w:hAnsi="仿宋" w:eastAsia="仿宋" w:cs="仿宋"/>
                <w:sz w:val="24"/>
              </w:rPr>
            </w:pPr>
          </w:p>
        </w:tc>
      </w:tr>
      <w:tr w14:paraId="5E8F37A1">
        <w:tblPrEx>
          <w:tblCellMar>
            <w:top w:w="0" w:type="dxa"/>
            <w:left w:w="108" w:type="dxa"/>
            <w:bottom w:w="0" w:type="dxa"/>
            <w:right w:w="108" w:type="dxa"/>
          </w:tblCellMar>
        </w:tblPrEx>
        <w:trPr>
          <w:trHeight w:val="677" w:hRule="atLeast"/>
          <w:jc w:val="center"/>
        </w:trPr>
        <w:tc>
          <w:tcPr>
            <w:tcW w:w="1364" w:type="dxa"/>
            <w:tcBorders>
              <w:top w:val="single" w:color="auto" w:sz="4" w:space="0"/>
              <w:left w:val="single" w:color="auto" w:sz="4" w:space="0"/>
              <w:bottom w:val="single" w:color="auto" w:sz="4" w:space="0"/>
              <w:right w:val="single" w:color="auto" w:sz="4" w:space="0"/>
            </w:tcBorders>
            <w:vAlign w:val="center"/>
          </w:tcPr>
          <w:p w14:paraId="2CC79581">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14437A54">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6067371F">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27985166">
            <w:pPr>
              <w:adjustRightInd w:val="0"/>
              <w:snapToGrid w:val="0"/>
              <w:spacing w:line="360" w:lineRule="auto"/>
              <w:jc w:val="center"/>
              <w:rPr>
                <w:rFonts w:ascii="仿宋" w:hAnsi="仿宋" w:eastAsia="仿宋" w:cs="仿宋"/>
                <w:sz w:val="24"/>
              </w:rPr>
            </w:pPr>
          </w:p>
        </w:tc>
        <w:tc>
          <w:tcPr>
            <w:tcW w:w="1224" w:type="dxa"/>
            <w:tcBorders>
              <w:top w:val="single" w:color="auto" w:sz="4" w:space="0"/>
              <w:left w:val="nil"/>
              <w:bottom w:val="single" w:color="auto" w:sz="4" w:space="0"/>
              <w:right w:val="single" w:color="auto" w:sz="4" w:space="0"/>
            </w:tcBorders>
            <w:vAlign w:val="center"/>
          </w:tcPr>
          <w:p w14:paraId="19683115">
            <w:pPr>
              <w:adjustRightInd w:val="0"/>
              <w:snapToGrid w:val="0"/>
              <w:spacing w:line="360" w:lineRule="auto"/>
              <w:jc w:val="center"/>
              <w:rPr>
                <w:rFonts w:ascii="仿宋" w:hAnsi="仿宋" w:eastAsia="仿宋" w:cs="仿宋"/>
                <w:sz w:val="24"/>
              </w:rPr>
            </w:pPr>
          </w:p>
        </w:tc>
        <w:tc>
          <w:tcPr>
            <w:tcW w:w="815" w:type="dxa"/>
            <w:tcBorders>
              <w:top w:val="single" w:color="auto" w:sz="4" w:space="0"/>
              <w:left w:val="nil"/>
              <w:bottom w:val="single" w:color="auto" w:sz="4" w:space="0"/>
              <w:right w:val="single" w:color="auto" w:sz="4" w:space="0"/>
            </w:tcBorders>
            <w:vAlign w:val="center"/>
          </w:tcPr>
          <w:p w14:paraId="70A9214B">
            <w:pPr>
              <w:adjustRightInd w:val="0"/>
              <w:snapToGrid w:val="0"/>
              <w:spacing w:line="360" w:lineRule="auto"/>
              <w:jc w:val="center"/>
              <w:rPr>
                <w:rFonts w:ascii="仿宋" w:hAnsi="仿宋" w:eastAsia="仿宋" w:cs="仿宋"/>
                <w:sz w:val="24"/>
              </w:rPr>
            </w:pPr>
          </w:p>
        </w:tc>
        <w:tc>
          <w:tcPr>
            <w:tcW w:w="817" w:type="dxa"/>
            <w:tcBorders>
              <w:top w:val="single" w:color="auto" w:sz="4" w:space="0"/>
              <w:left w:val="nil"/>
              <w:bottom w:val="single" w:color="auto" w:sz="4" w:space="0"/>
              <w:right w:val="single" w:color="auto" w:sz="4" w:space="0"/>
            </w:tcBorders>
            <w:vAlign w:val="center"/>
          </w:tcPr>
          <w:p w14:paraId="2BC3F9E1">
            <w:pPr>
              <w:adjustRightInd w:val="0"/>
              <w:snapToGrid w:val="0"/>
              <w:spacing w:line="360" w:lineRule="auto"/>
              <w:jc w:val="center"/>
              <w:rPr>
                <w:rFonts w:ascii="仿宋" w:hAnsi="仿宋" w:eastAsia="仿宋" w:cs="仿宋"/>
                <w:sz w:val="24"/>
              </w:rPr>
            </w:pPr>
          </w:p>
        </w:tc>
        <w:tc>
          <w:tcPr>
            <w:tcW w:w="1309" w:type="dxa"/>
            <w:tcBorders>
              <w:top w:val="single" w:color="auto" w:sz="4" w:space="0"/>
              <w:left w:val="nil"/>
              <w:bottom w:val="single" w:color="auto" w:sz="4" w:space="0"/>
              <w:right w:val="single" w:color="auto" w:sz="4" w:space="0"/>
            </w:tcBorders>
            <w:vAlign w:val="center"/>
          </w:tcPr>
          <w:p w14:paraId="59D896BE">
            <w:pPr>
              <w:adjustRightInd w:val="0"/>
              <w:snapToGrid w:val="0"/>
              <w:spacing w:line="360" w:lineRule="auto"/>
              <w:jc w:val="center"/>
              <w:rPr>
                <w:rFonts w:ascii="仿宋" w:hAnsi="仿宋" w:eastAsia="仿宋" w:cs="仿宋"/>
                <w:sz w:val="24"/>
              </w:rPr>
            </w:pPr>
          </w:p>
        </w:tc>
        <w:tc>
          <w:tcPr>
            <w:tcW w:w="1305" w:type="dxa"/>
            <w:tcBorders>
              <w:top w:val="single" w:color="auto" w:sz="4" w:space="0"/>
              <w:left w:val="nil"/>
              <w:bottom w:val="single" w:color="auto" w:sz="4" w:space="0"/>
              <w:right w:val="single" w:color="auto" w:sz="4" w:space="0"/>
            </w:tcBorders>
            <w:vAlign w:val="center"/>
          </w:tcPr>
          <w:p w14:paraId="08D38DE8">
            <w:pPr>
              <w:adjustRightInd w:val="0"/>
              <w:snapToGrid w:val="0"/>
              <w:spacing w:line="360" w:lineRule="auto"/>
              <w:jc w:val="center"/>
              <w:rPr>
                <w:rFonts w:ascii="仿宋" w:hAnsi="仿宋" w:eastAsia="仿宋" w:cs="仿宋"/>
                <w:sz w:val="24"/>
              </w:rPr>
            </w:pPr>
          </w:p>
        </w:tc>
      </w:tr>
      <w:tr w14:paraId="69A6D8E9">
        <w:tblPrEx>
          <w:tblCellMar>
            <w:top w:w="0" w:type="dxa"/>
            <w:left w:w="108" w:type="dxa"/>
            <w:bottom w:w="0" w:type="dxa"/>
            <w:right w:w="108" w:type="dxa"/>
          </w:tblCellMar>
        </w:tblPrEx>
        <w:trPr>
          <w:trHeight w:val="677" w:hRule="atLeast"/>
          <w:jc w:val="center"/>
        </w:trPr>
        <w:tc>
          <w:tcPr>
            <w:tcW w:w="1364" w:type="dxa"/>
            <w:tcBorders>
              <w:top w:val="single" w:color="auto" w:sz="4" w:space="0"/>
              <w:left w:val="single" w:color="auto" w:sz="4" w:space="0"/>
              <w:bottom w:val="single" w:color="auto" w:sz="4" w:space="0"/>
              <w:right w:val="single" w:color="auto" w:sz="4" w:space="0"/>
            </w:tcBorders>
            <w:vAlign w:val="center"/>
          </w:tcPr>
          <w:p w14:paraId="3E50DDAF">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7F8B915A">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34AD83DC">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0CA0BDA0">
            <w:pPr>
              <w:adjustRightInd w:val="0"/>
              <w:snapToGrid w:val="0"/>
              <w:spacing w:line="360" w:lineRule="auto"/>
              <w:jc w:val="center"/>
              <w:rPr>
                <w:rFonts w:ascii="仿宋" w:hAnsi="仿宋" w:eastAsia="仿宋" w:cs="仿宋"/>
                <w:sz w:val="24"/>
              </w:rPr>
            </w:pPr>
          </w:p>
        </w:tc>
        <w:tc>
          <w:tcPr>
            <w:tcW w:w="1224" w:type="dxa"/>
            <w:tcBorders>
              <w:top w:val="single" w:color="auto" w:sz="4" w:space="0"/>
              <w:left w:val="nil"/>
              <w:bottom w:val="single" w:color="auto" w:sz="4" w:space="0"/>
              <w:right w:val="single" w:color="auto" w:sz="4" w:space="0"/>
            </w:tcBorders>
            <w:vAlign w:val="center"/>
          </w:tcPr>
          <w:p w14:paraId="42B4C4A5">
            <w:pPr>
              <w:adjustRightInd w:val="0"/>
              <w:snapToGrid w:val="0"/>
              <w:spacing w:line="360" w:lineRule="auto"/>
              <w:jc w:val="center"/>
              <w:rPr>
                <w:rFonts w:ascii="仿宋" w:hAnsi="仿宋" w:eastAsia="仿宋" w:cs="仿宋"/>
                <w:sz w:val="24"/>
              </w:rPr>
            </w:pPr>
          </w:p>
        </w:tc>
        <w:tc>
          <w:tcPr>
            <w:tcW w:w="815" w:type="dxa"/>
            <w:tcBorders>
              <w:top w:val="single" w:color="auto" w:sz="4" w:space="0"/>
              <w:left w:val="nil"/>
              <w:bottom w:val="single" w:color="auto" w:sz="4" w:space="0"/>
              <w:right w:val="single" w:color="auto" w:sz="4" w:space="0"/>
            </w:tcBorders>
            <w:vAlign w:val="center"/>
          </w:tcPr>
          <w:p w14:paraId="78E0022E">
            <w:pPr>
              <w:adjustRightInd w:val="0"/>
              <w:snapToGrid w:val="0"/>
              <w:spacing w:line="360" w:lineRule="auto"/>
              <w:jc w:val="center"/>
              <w:rPr>
                <w:rFonts w:ascii="仿宋" w:hAnsi="仿宋" w:eastAsia="仿宋" w:cs="仿宋"/>
                <w:sz w:val="24"/>
              </w:rPr>
            </w:pPr>
          </w:p>
        </w:tc>
        <w:tc>
          <w:tcPr>
            <w:tcW w:w="817" w:type="dxa"/>
            <w:tcBorders>
              <w:top w:val="single" w:color="auto" w:sz="4" w:space="0"/>
              <w:left w:val="nil"/>
              <w:bottom w:val="single" w:color="auto" w:sz="4" w:space="0"/>
              <w:right w:val="single" w:color="auto" w:sz="4" w:space="0"/>
            </w:tcBorders>
            <w:vAlign w:val="center"/>
          </w:tcPr>
          <w:p w14:paraId="74EAF30E">
            <w:pPr>
              <w:adjustRightInd w:val="0"/>
              <w:snapToGrid w:val="0"/>
              <w:spacing w:line="360" w:lineRule="auto"/>
              <w:jc w:val="center"/>
              <w:rPr>
                <w:rFonts w:ascii="仿宋" w:hAnsi="仿宋" w:eastAsia="仿宋" w:cs="仿宋"/>
                <w:sz w:val="24"/>
              </w:rPr>
            </w:pPr>
          </w:p>
        </w:tc>
        <w:tc>
          <w:tcPr>
            <w:tcW w:w="1309" w:type="dxa"/>
            <w:tcBorders>
              <w:top w:val="single" w:color="auto" w:sz="4" w:space="0"/>
              <w:left w:val="nil"/>
              <w:bottom w:val="single" w:color="auto" w:sz="4" w:space="0"/>
              <w:right w:val="single" w:color="auto" w:sz="4" w:space="0"/>
            </w:tcBorders>
            <w:vAlign w:val="center"/>
          </w:tcPr>
          <w:p w14:paraId="204880A9">
            <w:pPr>
              <w:adjustRightInd w:val="0"/>
              <w:snapToGrid w:val="0"/>
              <w:spacing w:line="360" w:lineRule="auto"/>
              <w:jc w:val="center"/>
              <w:rPr>
                <w:rFonts w:ascii="仿宋" w:hAnsi="仿宋" w:eastAsia="仿宋" w:cs="仿宋"/>
                <w:sz w:val="24"/>
              </w:rPr>
            </w:pPr>
          </w:p>
        </w:tc>
        <w:tc>
          <w:tcPr>
            <w:tcW w:w="1305" w:type="dxa"/>
            <w:tcBorders>
              <w:top w:val="single" w:color="auto" w:sz="4" w:space="0"/>
              <w:left w:val="nil"/>
              <w:bottom w:val="single" w:color="auto" w:sz="4" w:space="0"/>
              <w:right w:val="single" w:color="auto" w:sz="4" w:space="0"/>
            </w:tcBorders>
            <w:vAlign w:val="center"/>
          </w:tcPr>
          <w:p w14:paraId="079FF005">
            <w:pPr>
              <w:adjustRightInd w:val="0"/>
              <w:snapToGrid w:val="0"/>
              <w:spacing w:line="360" w:lineRule="auto"/>
              <w:jc w:val="center"/>
              <w:rPr>
                <w:rFonts w:ascii="仿宋" w:hAnsi="仿宋" w:eastAsia="仿宋" w:cs="仿宋"/>
                <w:sz w:val="24"/>
              </w:rPr>
            </w:pPr>
          </w:p>
        </w:tc>
      </w:tr>
      <w:tr w14:paraId="68DB8BFC">
        <w:tblPrEx>
          <w:tblCellMar>
            <w:top w:w="0" w:type="dxa"/>
            <w:left w:w="108" w:type="dxa"/>
            <w:bottom w:w="0" w:type="dxa"/>
            <w:right w:w="108" w:type="dxa"/>
          </w:tblCellMar>
        </w:tblPrEx>
        <w:trPr>
          <w:trHeight w:val="677" w:hRule="atLeast"/>
          <w:jc w:val="center"/>
        </w:trPr>
        <w:tc>
          <w:tcPr>
            <w:tcW w:w="1364" w:type="dxa"/>
            <w:tcBorders>
              <w:top w:val="single" w:color="auto" w:sz="4" w:space="0"/>
              <w:left w:val="single" w:color="auto" w:sz="4" w:space="0"/>
              <w:bottom w:val="single" w:color="auto" w:sz="4" w:space="0"/>
              <w:right w:val="single" w:color="auto" w:sz="4" w:space="0"/>
            </w:tcBorders>
            <w:vAlign w:val="center"/>
          </w:tcPr>
          <w:p w14:paraId="000C1C59">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693136FF">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61E97A3A">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28FE42F9">
            <w:pPr>
              <w:adjustRightInd w:val="0"/>
              <w:snapToGrid w:val="0"/>
              <w:spacing w:line="360" w:lineRule="auto"/>
              <w:jc w:val="center"/>
              <w:rPr>
                <w:rFonts w:ascii="仿宋" w:hAnsi="仿宋" w:eastAsia="仿宋" w:cs="仿宋"/>
                <w:sz w:val="24"/>
              </w:rPr>
            </w:pPr>
          </w:p>
        </w:tc>
        <w:tc>
          <w:tcPr>
            <w:tcW w:w="1224" w:type="dxa"/>
            <w:tcBorders>
              <w:top w:val="single" w:color="auto" w:sz="4" w:space="0"/>
              <w:left w:val="nil"/>
              <w:bottom w:val="single" w:color="auto" w:sz="4" w:space="0"/>
              <w:right w:val="single" w:color="auto" w:sz="4" w:space="0"/>
            </w:tcBorders>
            <w:vAlign w:val="center"/>
          </w:tcPr>
          <w:p w14:paraId="6AF69614">
            <w:pPr>
              <w:adjustRightInd w:val="0"/>
              <w:snapToGrid w:val="0"/>
              <w:spacing w:line="360" w:lineRule="auto"/>
              <w:jc w:val="center"/>
              <w:rPr>
                <w:rFonts w:ascii="仿宋" w:hAnsi="仿宋" w:eastAsia="仿宋" w:cs="仿宋"/>
                <w:sz w:val="24"/>
              </w:rPr>
            </w:pPr>
          </w:p>
        </w:tc>
        <w:tc>
          <w:tcPr>
            <w:tcW w:w="815" w:type="dxa"/>
            <w:tcBorders>
              <w:top w:val="single" w:color="auto" w:sz="4" w:space="0"/>
              <w:left w:val="nil"/>
              <w:bottom w:val="single" w:color="auto" w:sz="4" w:space="0"/>
              <w:right w:val="single" w:color="auto" w:sz="4" w:space="0"/>
            </w:tcBorders>
            <w:vAlign w:val="center"/>
          </w:tcPr>
          <w:p w14:paraId="197805DF">
            <w:pPr>
              <w:adjustRightInd w:val="0"/>
              <w:snapToGrid w:val="0"/>
              <w:spacing w:line="360" w:lineRule="auto"/>
              <w:jc w:val="center"/>
              <w:rPr>
                <w:rFonts w:ascii="仿宋" w:hAnsi="仿宋" w:eastAsia="仿宋" w:cs="仿宋"/>
                <w:sz w:val="24"/>
              </w:rPr>
            </w:pPr>
          </w:p>
        </w:tc>
        <w:tc>
          <w:tcPr>
            <w:tcW w:w="817" w:type="dxa"/>
            <w:tcBorders>
              <w:top w:val="single" w:color="auto" w:sz="4" w:space="0"/>
              <w:left w:val="nil"/>
              <w:bottom w:val="single" w:color="auto" w:sz="4" w:space="0"/>
              <w:right w:val="single" w:color="auto" w:sz="4" w:space="0"/>
            </w:tcBorders>
            <w:vAlign w:val="center"/>
          </w:tcPr>
          <w:p w14:paraId="4B46CEB7">
            <w:pPr>
              <w:adjustRightInd w:val="0"/>
              <w:snapToGrid w:val="0"/>
              <w:spacing w:line="360" w:lineRule="auto"/>
              <w:jc w:val="center"/>
              <w:rPr>
                <w:rFonts w:ascii="仿宋" w:hAnsi="仿宋" w:eastAsia="仿宋" w:cs="仿宋"/>
                <w:sz w:val="24"/>
              </w:rPr>
            </w:pPr>
          </w:p>
        </w:tc>
        <w:tc>
          <w:tcPr>
            <w:tcW w:w="1309" w:type="dxa"/>
            <w:tcBorders>
              <w:top w:val="single" w:color="auto" w:sz="4" w:space="0"/>
              <w:left w:val="nil"/>
              <w:bottom w:val="single" w:color="auto" w:sz="4" w:space="0"/>
              <w:right w:val="single" w:color="auto" w:sz="4" w:space="0"/>
            </w:tcBorders>
            <w:vAlign w:val="center"/>
          </w:tcPr>
          <w:p w14:paraId="74AC48E0">
            <w:pPr>
              <w:adjustRightInd w:val="0"/>
              <w:snapToGrid w:val="0"/>
              <w:spacing w:line="360" w:lineRule="auto"/>
              <w:jc w:val="center"/>
              <w:rPr>
                <w:rFonts w:ascii="仿宋" w:hAnsi="仿宋" w:eastAsia="仿宋" w:cs="仿宋"/>
                <w:sz w:val="24"/>
              </w:rPr>
            </w:pPr>
          </w:p>
        </w:tc>
        <w:tc>
          <w:tcPr>
            <w:tcW w:w="1305" w:type="dxa"/>
            <w:tcBorders>
              <w:top w:val="single" w:color="auto" w:sz="4" w:space="0"/>
              <w:left w:val="nil"/>
              <w:bottom w:val="single" w:color="auto" w:sz="4" w:space="0"/>
              <w:right w:val="single" w:color="auto" w:sz="4" w:space="0"/>
            </w:tcBorders>
            <w:vAlign w:val="center"/>
          </w:tcPr>
          <w:p w14:paraId="536D33D5">
            <w:pPr>
              <w:adjustRightInd w:val="0"/>
              <w:snapToGrid w:val="0"/>
              <w:spacing w:line="360" w:lineRule="auto"/>
              <w:jc w:val="center"/>
              <w:rPr>
                <w:rFonts w:ascii="仿宋" w:hAnsi="仿宋" w:eastAsia="仿宋" w:cs="仿宋"/>
                <w:sz w:val="24"/>
              </w:rPr>
            </w:pPr>
          </w:p>
        </w:tc>
      </w:tr>
      <w:tr w14:paraId="6E10C4CC">
        <w:tblPrEx>
          <w:tblCellMar>
            <w:top w:w="0" w:type="dxa"/>
            <w:left w:w="108" w:type="dxa"/>
            <w:bottom w:w="0" w:type="dxa"/>
            <w:right w:w="108" w:type="dxa"/>
          </w:tblCellMar>
        </w:tblPrEx>
        <w:trPr>
          <w:trHeight w:val="677" w:hRule="atLeast"/>
          <w:jc w:val="center"/>
        </w:trPr>
        <w:tc>
          <w:tcPr>
            <w:tcW w:w="1364" w:type="dxa"/>
            <w:tcBorders>
              <w:top w:val="single" w:color="auto" w:sz="4" w:space="0"/>
              <w:left w:val="single" w:color="auto" w:sz="4" w:space="0"/>
              <w:bottom w:val="single" w:color="auto" w:sz="4" w:space="0"/>
              <w:right w:val="single" w:color="auto" w:sz="4" w:space="0"/>
            </w:tcBorders>
            <w:vAlign w:val="center"/>
          </w:tcPr>
          <w:p w14:paraId="15313122">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2A35C160">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7B351209">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39688CED">
            <w:pPr>
              <w:adjustRightInd w:val="0"/>
              <w:snapToGrid w:val="0"/>
              <w:spacing w:line="360" w:lineRule="auto"/>
              <w:jc w:val="center"/>
              <w:rPr>
                <w:rFonts w:ascii="仿宋" w:hAnsi="仿宋" w:eastAsia="仿宋" w:cs="仿宋"/>
                <w:sz w:val="24"/>
              </w:rPr>
            </w:pPr>
          </w:p>
        </w:tc>
        <w:tc>
          <w:tcPr>
            <w:tcW w:w="1224" w:type="dxa"/>
            <w:tcBorders>
              <w:top w:val="single" w:color="auto" w:sz="4" w:space="0"/>
              <w:left w:val="nil"/>
              <w:bottom w:val="single" w:color="auto" w:sz="4" w:space="0"/>
              <w:right w:val="single" w:color="auto" w:sz="4" w:space="0"/>
            </w:tcBorders>
            <w:vAlign w:val="center"/>
          </w:tcPr>
          <w:p w14:paraId="0EB61D0F">
            <w:pPr>
              <w:adjustRightInd w:val="0"/>
              <w:snapToGrid w:val="0"/>
              <w:spacing w:line="360" w:lineRule="auto"/>
              <w:jc w:val="center"/>
              <w:rPr>
                <w:rFonts w:ascii="仿宋" w:hAnsi="仿宋" w:eastAsia="仿宋" w:cs="仿宋"/>
                <w:sz w:val="24"/>
              </w:rPr>
            </w:pPr>
          </w:p>
        </w:tc>
        <w:tc>
          <w:tcPr>
            <w:tcW w:w="815" w:type="dxa"/>
            <w:tcBorders>
              <w:top w:val="single" w:color="auto" w:sz="4" w:space="0"/>
              <w:left w:val="nil"/>
              <w:bottom w:val="single" w:color="auto" w:sz="4" w:space="0"/>
              <w:right w:val="single" w:color="auto" w:sz="4" w:space="0"/>
            </w:tcBorders>
            <w:vAlign w:val="center"/>
          </w:tcPr>
          <w:p w14:paraId="0B5A5887">
            <w:pPr>
              <w:adjustRightInd w:val="0"/>
              <w:snapToGrid w:val="0"/>
              <w:spacing w:line="360" w:lineRule="auto"/>
              <w:jc w:val="center"/>
              <w:rPr>
                <w:rFonts w:ascii="仿宋" w:hAnsi="仿宋" w:eastAsia="仿宋" w:cs="仿宋"/>
                <w:sz w:val="24"/>
              </w:rPr>
            </w:pPr>
          </w:p>
        </w:tc>
        <w:tc>
          <w:tcPr>
            <w:tcW w:w="817" w:type="dxa"/>
            <w:tcBorders>
              <w:top w:val="single" w:color="auto" w:sz="4" w:space="0"/>
              <w:left w:val="nil"/>
              <w:bottom w:val="single" w:color="auto" w:sz="4" w:space="0"/>
              <w:right w:val="single" w:color="auto" w:sz="4" w:space="0"/>
            </w:tcBorders>
            <w:vAlign w:val="center"/>
          </w:tcPr>
          <w:p w14:paraId="6C112696">
            <w:pPr>
              <w:adjustRightInd w:val="0"/>
              <w:snapToGrid w:val="0"/>
              <w:spacing w:line="360" w:lineRule="auto"/>
              <w:jc w:val="center"/>
              <w:rPr>
                <w:rFonts w:ascii="仿宋" w:hAnsi="仿宋" w:eastAsia="仿宋" w:cs="仿宋"/>
                <w:sz w:val="24"/>
              </w:rPr>
            </w:pPr>
          </w:p>
        </w:tc>
        <w:tc>
          <w:tcPr>
            <w:tcW w:w="1309" w:type="dxa"/>
            <w:tcBorders>
              <w:top w:val="single" w:color="auto" w:sz="4" w:space="0"/>
              <w:left w:val="nil"/>
              <w:bottom w:val="single" w:color="auto" w:sz="4" w:space="0"/>
              <w:right w:val="single" w:color="auto" w:sz="4" w:space="0"/>
            </w:tcBorders>
            <w:vAlign w:val="center"/>
          </w:tcPr>
          <w:p w14:paraId="16E30843">
            <w:pPr>
              <w:adjustRightInd w:val="0"/>
              <w:snapToGrid w:val="0"/>
              <w:spacing w:line="360" w:lineRule="auto"/>
              <w:jc w:val="center"/>
              <w:rPr>
                <w:rFonts w:ascii="仿宋" w:hAnsi="仿宋" w:eastAsia="仿宋" w:cs="仿宋"/>
                <w:sz w:val="24"/>
              </w:rPr>
            </w:pPr>
          </w:p>
        </w:tc>
        <w:tc>
          <w:tcPr>
            <w:tcW w:w="1305" w:type="dxa"/>
            <w:tcBorders>
              <w:top w:val="single" w:color="auto" w:sz="4" w:space="0"/>
              <w:left w:val="nil"/>
              <w:bottom w:val="single" w:color="auto" w:sz="4" w:space="0"/>
              <w:right w:val="single" w:color="auto" w:sz="4" w:space="0"/>
            </w:tcBorders>
            <w:vAlign w:val="center"/>
          </w:tcPr>
          <w:p w14:paraId="2AEBFEC1">
            <w:pPr>
              <w:adjustRightInd w:val="0"/>
              <w:snapToGrid w:val="0"/>
              <w:spacing w:line="360" w:lineRule="auto"/>
              <w:jc w:val="center"/>
              <w:rPr>
                <w:rFonts w:ascii="仿宋" w:hAnsi="仿宋" w:eastAsia="仿宋" w:cs="仿宋"/>
                <w:sz w:val="24"/>
              </w:rPr>
            </w:pPr>
          </w:p>
        </w:tc>
      </w:tr>
      <w:tr w14:paraId="1F64A5EB">
        <w:tblPrEx>
          <w:tblCellMar>
            <w:top w:w="0" w:type="dxa"/>
            <w:left w:w="108" w:type="dxa"/>
            <w:bottom w:w="0" w:type="dxa"/>
            <w:right w:w="108" w:type="dxa"/>
          </w:tblCellMar>
        </w:tblPrEx>
        <w:trPr>
          <w:trHeight w:val="677" w:hRule="atLeast"/>
          <w:jc w:val="center"/>
        </w:trPr>
        <w:tc>
          <w:tcPr>
            <w:tcW w:w="1364" w:type="dxa"/>
            <w:tcBorders>
              <w:top w:val="single" w:color="auto" w:sz="4" w:space="0"/>
              <w:left w:val="single" w:color="auto" w:sz="4" w:space="0"/>
              <w:bottom w:val="single" w:color="auto" w:sz="4" w:space="0"/>
              <w:right w:val="single" w:color="auto" w:sz="4" w:space="0"/>
            </w:tcBorders>
            <w:vAlign w:val="center"/>
          </w:tcPr>
          <w:p w14:paraId="2DF9AB99">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3D338DE6">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726CC5FF">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5277A6A8">
            <w:pPr>
              <w:adjustRightInd w:val="0"/>
              <w:snapToGrid w:val="0"/>
              <w:spacing w:line="360" w:lineRule="auto"/>
              <w:jc w:val="center"/>
              <w:rPr>
                <w:rFonts w:ascii="仿宋" w:hAnsi="仿宋" w:eastAsia="仿宋" w:cs="仿宋"/>
                <w:sz w:val="24"/>
              </w:rPr>
            </w:pPr>
          </w:p>
        </w:tc>
        <w:tc>
          <w:tcPr>
            <w:tcW w:w="1224" w:type="dxa"/>
            <w:tcBorders>
              <w:top w:val="single" w:color="auto" w:sz="4" w:space="0"/>
              <w:left w:val="nil"/>
              <w:bottom w:val="single" w:color="auto" w:sz="4" w:space="0"/>
              <w:right w:val="single" w:color="auto" w:sz="4" w:space="0"/>
            </w:tcBorders>
            <w:vAlign w:val="center"/>
          </w:tcPr>
          <w:p w14:paraId="159EC221">
            <w:pPr>
              <w:adjustRightInd w:val="0"/>
              <w:snapToGrid w:val="0"/>
              <w:spacing w:line="360" w:lineRule="auto"/>
              <w:jc w:val="center"/>
              <w:rPr>
                <w:rFonts w:ascii="仿宋" w:hAnsi="仿宋" w:eastAsia="仿宋" w:cs="仿宋"/>
                <w:sz w:val="24"/>
              </w:rPr>
            </w:pPr>
          </w:p>
        </w:tc>
        <w:tc>
          <w:tcPr>
            <w:tcW w:w="815" w:type="dxa"/>
            <w:tcBorders>
              <w:top w:val="single" w:color="auto" w:sz="4" w:space="0"/>
              <w:left w:val="nil"/>
              <w:bottom w:val="single" w:color="auto" w:sz="4" w:space="0"/>
              <w:right w:val="single" w:color="auto" w:sz="4" w:space="0"/>
            </w:tcBorders>
            <w:vAlign w:val="center"/>
          </w:tcPr>
          <w:p w14:paraId="58504E99">
            <w:pPr>
              <w:adjustRightInd w:val="0"/>
              <w:snapToGrid w:val="0"/>
              <w:spacing w:line="360" w:lineRule="auto"/>
              <w:jc w:val="center"/>
              <w:rPr>
                <w:rFonts w:ascii="仿宋" w:hAnsi="仿宋" w:eastAsia="仿宋" w:cs="仿宋"/>
                <w:sz w:val="24"/>
              </w:rPr>
            </w:pPr>
          </w:p>
        </w:tc>
        <w:tc>
          <w:tcPr>
            <w:tcW w:w="817" w:type="dxa"/>
            <w:tcBorders>
              <w:top w:val="single" w:color="auto" w:sz="4" w:space="0"/>
              <w:left w:val="nil"/>
              <w:bottom w:val="single" w:color="auto" w:sz="4" w:space="0"/>
              <w:right w:val="single" w:color="auto" w:sz="4" w:space="0"/>
            </w:tcBorders>
            <w:vAlign w:val="center"/>
          </w:tcPr>
          <w:p w14:paraId="45F8AC36">
            <w:pPr>
              <w:adjustRightInd w:val="0"/>
              <w:snapToGrid w:val="0"/>
              <w:spacing w:line="360" w:lineRule="auto"/>
              <w:jc w:val="center"/>
              <w:rPr>
                <w:rFonts w:ascii="仿宋" w:hAnsi="仿宋" w:eastAsia="仿宋" w:cs="仿宋"/>
                <w:sz w:val="24"/>
              </w:rPr>
            </w:pPr>
          </w:p>
        </w:tc>
        <w:tc>
          <w:tcPr>
            <w:tcW w:w="1309" w:type="dxa"/>
            <w:tcBorders>
              <w:top w:val="single" w:color="auto" w:sz="4" w:space="0"/>
              <w:left w:val="nil"/>
              <w:bottom w:val="single" w:color="auto" w:sz="4" w:space="0"/>
              <w:right w:val="single" w:color="auto" w:sz="4" w:space="0"/>
            </w:tcBorders>
            <w:vAlign w:val="center"/>
          </w:tcPr>
          <w:p w14:paraId="2F2AFB1D">
            <w:pPr>
              <w:adjustRightInd w:val="0"/>
              <w:snapToGrid w:val="0"/>
              <w:spacing w:line="360" w:lineRule="auto"/>
              <w:jc w:val="center"/>
              <w:rPr>
                <w:rFonts w:ascii="仿宋" w:hAnsi="仿宋" w:eastAsia="仿宋" w:cs="仿宋"/>
                <w:sz w:val="24"/>
              </w:rPr>
            </w:pPr>
          </w:p>
        </w:tc>
        <w:tc>
          <w:tcPr>
            <w:tcW w:w="1305" w:type="dxa"/>
            <w:tcBorders>
              <w:top w:val="single" w:color="auto" w:sz="4" w:space="0"/>
              <w:left w:val="nil"/>
              <w:bottom w:val="single" w:color="auto" w:sz="4" w:space="0"/>
              <w:right w:val="single" w:color="auto" w:sz="4" w:space="0"/>
            </w:tcBorders>
            <w:vAlign w:val="center"/>
          </w:tcPr>
          <w:p w14:paraId="617D7E52">
            <w:pPr>
              <w:adjustRightInd w:val="0"/>
              <w:snapToGrid w:val="0"/>
              <w:spacing w:line="360" w:lineRule="auto"/>
              <w:jc w:val="center"/>
              <w:rPr>
                <w:rFonts w:ascii="仿宋" w:hAnsi="仿宋" w:eastAsia="仿宋" w:cs="仿宋"/>
                <w:sz w:val="24"/>
              </w:rPr>
            </w:pPr>
          </w:p>
        </w:tc>
      </w:tr>
      <w:tr w14:paraId="0002D25F">
        <w:tblPrEx>
          <w:tblCellMar>
            <w:top w:w="0" w:type="dxa"/>
            <w:left w:w="108" w:type="dxa"/>
            <w:bottom w:w="0" w:type="dxa"/>
            <w:right w:w="108" w:type="dxa"/>
          </w:tblCellMar>
        </w:tblPrEx>
        <w:trPr>
          <w:trHeight w:val="677" w:hRule="atLeast"/>
          <w:jc w:val="center"/>
        </w:trPr>
        <w:tc>
          <w:tcPr>
            <w:tcW w:w="1364" w:type="dxa"/>
            <w:tcBorders>
              <w:top w:val="single" w:color="auto" w:sz="4" w:space="0"/>
              <w:left w:val="single" w:color="auto" w:sz="4" w:space="0"/>
              <w:bottom w:val="single" w:color="auto" w:sz="4" w:space="0"/>
              <w:right w:val="single" w:color="auto" w:sz="4" w:space="0"/>
            </w:tcBorders>
            <w:vAlign w:val="center"/>
          </w:tcPr>
          <w:p w14:paraId="452FFFD9">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4B468C29">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57E2BE7C">
            <w:pPr>
              <w:adjustRightInd w:val="0"/>
              <w:snapToGrid w:val="0"/>
              <w:spacing w:line="360" w:lineRule="auto"/>
              <w:jc w:val="center"/>
              <w:rPr>
                <w:rFonts w:ascii="仿宋" w:hAnsi="仿宋" w:eastAsia="仿宋" w:cs="仿宋"/>
                <w:sz w:val="24"/>
              </w:rPr>
            </w:pPr>
          </w:p>
        </w:tc>
        <w:tc>
          <w:tcPr>
            <w:tcW w:w="816" w:type="dxa"/>
            <w:tcBorders>
              <w:top w:val="single" w:color="auto" w:sz="4" w:space="0"/>
              <w:left w:val="nil"/>
              <w:bottom w:val="single" w:color="auto" w:sz="4" w:space="0"/>
              <w:right w:val="single" w:color="auto" w:sz="4" w:space="0"/>
            </w:tcBorders>
            <w:vAlign w:val="center"/>
          </w:tcPr>
          <w:p w14:paraId="563FAD58">
            <w:pPr>
              <w:adjustRightInd w:val="0"/>
              <w:snapToGrid w:val="0"/>
              <w:spacing w:line="360" w:lineRule="auto"/>
              <w:jc w:val="center"/>
              <w:rPr>
                <w:rFonts w:ascii="仿宋" w:hAnsi="仿宋" w:eastAsia="仿宋" w:cs="仿宋"/>
                <w:sz w:val="24"/>
              </w:rPr>
            </w:pPr>
          </w:p>
        </w:tc>
        <w:tc>
          <w:tcPr>
            <w:tcW w:w="1224" w:type="dxa"/>
            <w:tcBorders>
              <w:top w:val="single" w:color="auto" w:sz="4" w:space="0"/>
              <w:left w:val="nil"/>
              <w:bottom w:val="single" w:color="auto" w:sz="4" w:space="0"/>
              <w:right w:val="single" w:color="auto" w:sz="4" w:space="0"/>
            </w:tcBorders>
            <w:vAlign w:val="center"/>
          </w:tcPr>
          <w:p w14:paraId="63FCEBAB">
            <w:pPr>
              <w:adjustRightInd w:val="0"/>
              <w:snapToGrid w:val="0"/>
              <w:spacing w:line="360" w:lineRule="auto"/>
              <w:jc w:val="center"/>
              <w:rPr>
                <w:rFonts w:ascii="仿宋" w:hAnsi="仿宋" w:eastAsia="仿宋" w:cs="仿宋"/>
                <w:sz w:val="24"/>
              </w:rPr>
            </w:pPr>
          </w:p>
        </w:tc>
        <w:tc>
          <w:tcPr>
            <w:tcW w:w="815" w:type="dxa"/>
            <w:tcBorders>
              <w:top w:val="single" w:color="auto" w:sz="4" w:space="0"/>
              <w:left w:val="nil"/>
              <w:bottom w:val="single" w:color="auto" w:sz="4" w:space="0"/>
              <w:right w:val="single" w:color="auto" w:sz="4" w:space="0"/>
            </w:tcBorders>
            <w:vAlign w:val="center"/>
          </w:tcPr>
          <w:p w14:paraId="13B673C1">
            <w:pPr>
              <w:adjustRightInd w:val="0"/>
              <w:snapToGrid w:val="0"/>
              <w:spacing w:line="360" w:lineRule="auto"/>
              <w:jc w:val="center"/>
              <w:rPr>
                <w:rFonts w:ascii="仿宋" w:hAnsi="仿宋" w:eastAsia="仿宋" w:cs="仿宋"/>
                <w:sz w:val="24"/>
              </w:rPr>
            </w:pPr>
          </w:p>
        </w:tc>
        <w:tc>
          <w:tcPr>
            <w:tcW w:w="817" w:type="dxa"/>
            <w:tcBorders>
              <w:top w:val="single" w:color="auto" w:sz="4" w:space="0"/>
              <w:left w:val="nil"/>
              <w:bottom w:val="single" w:color="auto" w:sz="4" w:space="0"/>
              <w:right w:val="single" w:color="auto" w:sz="4" w:space="0"/>
            </w:tcBorders>
            <w:vAlign w:val="center"/>
          </w:tcPr>
          <w:p w14:paraId="708EE98F">
            <w:pPr>
              <w:adjustRightInd w:val="0"/>
              <w:snapToGrid w:val="0"/>
              <w:spacing w:line="360" w:lineRule="auto"/>
              <w:jc w:val="center"/>
              <w:rPr>
                <w:rFonts w:ascii="仿宋" w:hAnsi="仿宋" w:eastAsia="仿宋" w:cs="仿宋"/>
                <w:sz w:val="24"/>
              </w:rPr>
            </w:pPr>
          </w:p>
        </w:tc>
        <w:tc>
          <w:tcPr>
            <w:tcW w:w="1309" w:type="dxa"/>
            <w:tcBorders>
              <w:top w:val="single" w:color="auto" w:sz="4" w:space="0"/>
              <w:left w:val="nil"/>
              <w:bottom w:val="single" w:color="auto" w:sz="4" w:space="0"/>
              <w:right w:val="single" w:color="auto" w:sz="4" w:space="0"/>
            </w:tcBorders>
            <w:vAlign w:val="center"/>
          </w:tcPr>
          <w:p w14:paraId="46B982FE">
            <w:pPr>
              <w:adjustRightInd w:val="0"/>
              <w:snapToGrid w:val="0"/>
              <w:spacing w:line="360" w:lineRule="auto"/>
              <w:jc w:val="center"/>
              <w:rPr>
                <w:rFonts w:ascii="仿宋" w:hAnsi="仿宋" w:eastAsia="仿宋" w:cs="仿宋"/>
                <w:sz w:val="24"/>
              </w:rPr>
            </w:pPr>
          </w:p>
        </w:tc>
        <w:tc>
          <w:tcPr>
            <w:tcW w:w="1305" w:type="dxa"/>
            <w:tcBorders>
              <w:top w:val="single" w:color="auto" w:sz="4" w:space="0"/>
              <w:left w:val="nil"/>
              <w:bottom w:val="single" w:color="auto" w:sz="4" w:space="0"/>
              <w:right w:val="single" w:color="auto" w:sz="4" w:space="0"/>
            </w:tcBorders>
            <w:vAlign w:val="center"/>
          </w:tcPr>
          <w:p w14:paraId="3D8170C7">
            <w:pPr>
              <w:adjustRightInd w:val="0"/>
              <w:snapToGrid w:val="0"/>
              <w:spacing w:line="360" w:lineRule="auto"/>
              <w:jc w:val="center"/>
              <w:rPr>
                <w:rFonts w:ascii="仿宋" w:hAnsi="仿宋" w:eastAsia="仿宋" w:cs="仿宋"/>
                <w:sz w:val="24"/>
              </w:rPr>
            </w:pPr>
          </w:p>
        </w:tc>
      </w:tr>
    </w:tbl>
    <w:p w14:paraId="7FA4528A">
      <w:pPr>
        <w:adjustRightInd w:val="0"/>
        <w:snapToGrid w:val="0"/>
        <w:spacing w:line="360" w:lineRule="auto"/>
        <w:rPr>
          <w:rFonts w:ascii="仿宋" w:hAnsi="仿宋" w:eastAsia="仿宋" w:cs="仿宋"/>
          <w:b/>
          <w:bCs/>
          <w:sz w:val="24"/>
        </w:rPr>
      </w:pPr>
      <w:r>
        <w:rPr>
          <w:rFonts w:hint="eastAsia" w:ascii="仿宋" w:hAnsi="仿宋" w:eastAsia="仿宋" w:cs="仿宋"/>
          <w:b/>
          <w:bCs/>
          <w:sz w:val="24"/>
        </w:rPr>
        <w:br w:type="page"/>
      </w:r>
    </w:p>
    <w:p w14:paraId="63886078">
      <w:pPr>
        <w:adjustRightInd w:val="0"/>
        <w:snapToGrid w:val="0"/>
        <w:spacing w:line="360" w:lineRule="auto"/>
        <w:ind w:firstLine="281"/>
        <w:rPr>
          <w:rFonts w:ascii="仿宋" w:hAnsi="仿宋" w:eastAsia="仿宋" w:cs="仿宋"/>
          <w:b/>
          <w:bCs/>
          <w:sz w:val="24"/>
        </w:rPr>
      </w:pPr>
      <w:r>
        <w:rPr>
          <w:rFonts w:hint="eastAsia" w:ascii="仿宋" w:hAnsi="仿宋" w:eastAsia="仿宋" w:cs="仿宋"/>
          <w:b/>
          <w:bCs/>
          <w:sz w:val="24"/>
        </w:rPr>
        <w:t>附件四：洗衣服务违约处理通知单</w:t>
      </w:r>
    </w:p>
    <w:tbl>
      <w:tblPr>
        <w:tblStyle w:val="7"/>
        <w:tblW w:w="9288" w:type="dxa"/>
        <w:tblInd w:w="0" w:type="dxa"/>
        <w:tblLayout w:type="fixed"/>
        <w:tblCellMar>
          <w:top w:w="0" w:type="dxa"/>
          <w:left w:w="108" w:type="dxa"/>
          <w:bottom w:w="0" w:type="dxa"/>
          <w:right w:w="108" w:type="dxa"/>
        </w:tblCellMar>
      </w:tblPr>
      <w:tblGrid>
        <w:gridCol w:w="4644"/>
        <w:gridCol w:w="4644"/>
      </w:tblGrid>
      <w:tr w14:paraId="7B5B1D7F">
        <w:tblPrEx>
          <w:tblCellMar>
            <w:top w:w="0" w:type="dxa"/>
            <w:left w:w="108" w:type="dxa"/>
            <w:bottom w:w="0" w:type="dxa"/>
            <w:right w:w="108" w:type="dxa"/>
          </w:tblCellMar>
        </w:tblPrEx>
        <w:trPr>
          <w:trHeight w:val="4254" w:hRule="atLeast"/>
        </w:trPr>
        <w:tc>
          <w:tcPr>
            <w:tcW w:w="9288" w:type="dxa"/>
            <w:gridSpan w:val="2"/>
            <w:tcBorders>
              <w:top w:val="single" w:color="auto" w:sz="4" w:space="0"/>
              <w:left w:val="single" w:color="auto" w:sz="4" w:space="0"/>
              <w:bottom w:val="single" w:color="auto" w:sz="4" w:space="0"/>
              <w:right w:val="single" w:color="auto" w:sz="4" w:space="0"/>
            </w:tcBorders>
          </w:tcPr>
          <w:p w14:paraId="6693F4C3">
            <w:pPr>
              <w:adjustRightInd w:val="0"/>
              <w:snapToGrid w:val="0"/>
              <w:spacing w:line="360" w:lineRule="auto"/>
              <w:ind w:firstLine="480" w:firstLineChars="200"/>
              <w:rPr>
                <w:rFonts w:ascii="仿宋" w:hAnsi="仿宋" w:eastAsia="仿宋" w:cs="仿宋"/>
                <w:sz w:val="24"/>
              </w:rPr>
            </w:pPr>
          </w:p>
          <w:p w14:paraId="3775B9C1">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违约事项：</w:t>
            </w:r>
          </w:p>
          <w:p w14:paraId="7DF8404D">
            <w:pPr>
              <w:adjustRightInd w:val="0"/>
              <w:snapToGrid w:val="0"/>
              <w:spacing w:line="360" w:lineRule="auto"/>
              <w:ind w:firstLine="480" w:firstLineChars="200"/>
              <w:rPr>
                <w:rFonts w:ascii="仿宋" w:hAnsi="仿宋" w:eastAsia="仿宋" w:cs="仿宋"/>
                <w:sz w:val="24"/>
              </w:rPr>
            </w:pPr>
          </w:p>
          <w:p w14:paraId="56CA0CE1">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年  月  日</w:t>
            </w:r>
          </w:p>
          <w:p w14:paraId="314E3E05">
            <w:pPr>
              <w:adjustRightInd w:val="0"/>
              <w:snapToGrid w:val="0"/>
              <w:spacing w:line="360" w:lineRule="auto"/>
              <w:ind w:firstLine="480" w:firstLineChars="200"/>
              <w:rPr>
                <w:rFonts w:ascii="仿宋" w:hAnsi="仿宋" w:eastAsia="仿宋" w:cs="仿宋"/>
                <w:sz w:val="24"/>
              </w:rPr>
            </w:pPr>
          </w:p>
          <w:p w14:paraId="0949AE24">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处理结果：</w:t>
            </w:r>
          </w:p>
          <w:p w14:paraId="4C9BF9B8">
            <w:pPr>
              <w:adjustRightInd w:val="0"/>
              <w:snapToGrid w:val="0"/>
              <w:spacing w:line="360" w:lineRule="auto"/>
              <w:ind w:firstLine="480" w:firstLineChars="200"/>
              <w:rPr>
                <w:rFonts w:ascii="仿宋" w:hAnsi="仿宋" w:eastAsia="仿宋" w:cs="仿宋"/>
                <w:sz w:val="24"/>
              </w:rPr>
            </w:pPr>
          </w:p>
          <w:p w14:paraId="1DBE9EBF">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年  月  日</w:t>
            </w:r>
          </w:p>
        </w:tc>
      </w:tr>
      <w:tr w14:paraId="2F8DE410">
        <w:tblPrEx>
          <w:tblCellMar>
            <w:top w:w="0" w:type="dxa"/>
            <w:left w:w="108" w:type="dxa"/>
            <w:bottom w:w="0" w:type="dxa"/>
            <w:right w:w="108" w:type="dxa"/>
          </w:tblCellMar>
        </w:tblPrEx>
        <w:trPr>
          <w:trHeight w:val="2329" w:hRule="atLeast"/>
        </w:trPr>
        <w:tc>
          <w:tcPr>
            <w:tcW w:w="4644" w:type="dxa"/>
            <w:tcBorders>
              <w:top w:val="single" w:color="auto" w:sz="4" w:space="0"/>
              <w:left w:val="single" w:color="auto" w:sz="4" w:space="0"/>
              <w:bottom w:val="single" w:color="auto" w:sz="4" w:space="0"/>
              <w:right w:val="single" w:color="auto" w:sz="4" w:space="0"/>
            </w:tcBorders>
          </w:tcPr>
          <w:p w14:paraId="36708AAE">
            <w:pPr>
              <w:adjustRightInd w:val="0"/>
              <w:snapToGrid w:val="0"/>
              <w:spacing w:line="360" w:lineRule="auto"/>
              <w:ind w:firstLine="480" w:firstLineChars="200"/>
              <w:rPr>
                <w:rFonts w:ascii="仿宋" w:hAnsi="仿宋" w:eastAsia="仿宋" w:cs="仿宋"/>
                <w:sz w:val="24"/>
              </w:rPr>
            </w:pPr>
          </w:p>
          <w:p w14:paraId="731EBF44">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甲方负责人：</w:t>
            </w:r>
          </w:p>
          <w:p w14:paraId="4E9C32C8">
            <w:pPr>
              <w:adjustRightInd w:val="0"/>
              <w:snapToGrid w:val="0"/>
              <w:spacing w:line="360" w:lineRule="auto"/>
              <w:ind w:firstLine="480" w:firstLineChars="200"/>
              <w:rPr>
                <w:rFonts w:ascii="仿宋" w:hAnsi="仿宋" w:eastAsia="仿宋" w:cs="仿宋"/>
                <w:sz w:val="24"/>
              </w:rPr>
            </w:pPr>
          </w:p>
          <w:p w14:paraId="6549E6F2">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年  月  日</w:t>
            </w:r>
          </w:p>
        </w:tc>
        <w:tc>
          <w:tcPr>
            <w:tcW w:w="4644" w:type="dxa"/>
            <w:tcBorders>
              <w:top w:val="single" w:color="auto" w:sz="4" w:space="0"/>
              <w:left w:val="nil"/>
              <w:bottom w:val="single" w:color="auto" w:sz="4" w:space="0"/>
              <w:right w:val="single" w:color="auto" w:sz="4" w:space="0"/>
            </w:tcBorders>
          </w:tcPr>
          <w:p w14:paraId="24FDE066">
            <w:pPr>
              <w:adjustRightInd w:val="0"/>
              <w:snapToGrid w:val="0"/>
              <w:spacing w:line="360" w:lineRule="auto"/>
              <w:ind w:firstLine="480" w:firstLineChars="200"/>
              <w:rPr>
                <w:rFonts w:ascii="仿宋" w:hAnsi="仿宋" w:eastAsia="仿宋" w:cs="仿宋"/>
                <w:sz w:val="24"/>
              </w:rPr>
            </w:pPr>
          </w:p>
          <w:p w14:paraId="698982DC">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乙方负责人：</w:t>
            </w:r>
          </w:p>
          <w:p w14:paraId="6BC959A8">
            <w:pPr>
              <w:adjustRightInd w:val="0"/>
              <w:snapToGrid w:val="0"/>
              <w:spacing w:line="360" w:lineRule="auto"/>
              <w:ind w:firstLine="480" w:firstLineChars="200"/>
              <w:rPr>
                <w:rFonts w:ascii="仿宋" w:hAnsi="仿宋" w:eastAsia="仿宋" w:cs="仿宋"/>
                <w:sz w:val="24"/>
              </w:rPr>
            </w:pPr>
          </w:p>
          <w:p w14:paraId="1BDA8FAE">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年  月  日</w:t>
            </w:r>
          </w:p>
        </w:tc>
      </w:tr>
    </w:tbl>
    <w:p w14:paraId="01A12341">
      <w:pPr>
        <w:widowControl/>
        <w:adjustRightInd w:val="0"/>
        <w:snapToGrid w:val="0"/>
        <w:spacing w:line="360" w:lineRule="auto"/>
        <w:jc w:val="left"/>
        <w:rPr>
          <w:rFonts w:ascii="仿宋" w:hAnsi="仿宋" w:eastAsia="仿宋" w:cs="仿宋"/>
          <w:b/>
          <w:bCs/>
          <w:sz w:val="24"/>
        </w:rPr>
      </w:pPr>
    </w:p>
    <w:p w14:paraId="10EF781B">
      <w:pPr>
        <w:adjustRightInd w:val="0"/>
        <w:snapToGrid w:val="0"/>
        <w:spacing w:line="360" w:lineRule="auto"/>
        <w:rPr>
          <w:rFonts w:ascii="仿宋" w:hAnsi="仿宋" w:eastAsia="仿宋" w:cs="仿宋"/>
          <w:b/>
          <w:bCs/>
          <w:sz w:val="24"/>
        </w:rPr>
      </w:pPr>
      <w:r>
        <w:rPr>
          <w:rFonts w:hint="eastAsia" w:ascii="仿宋" w:hAnsi="仿宋" w:eastAsia="仿宋" w:cs="仿宋"/>
          <w:b/>
          <w:bCs/>
          <w:sz w:val="24"/>
        </w:rPr>
        <w:br w:type="page"/>
      </w:r>
    </w:p>
    <w:p w14:paraId="0F10AEA1">
      <w:pPr>
        <w:widowControl/>
        <w:adjustRightInd w:val="0"/>
        <w:snapToGrid w:val="0"/>
        <w:spacing w:line="360" w:lineRule="auto"/>
        <w:jc w:val="left"/>
        <w:rPr>
          <w:rFonts w:ascii="仿宋" w:hAnsi="仿宋" w:eastAsia="仿宋" w:cs="仿宋"/>
          <w:b/>
          <w:bCs/>
          <w:sz w:val="24"/>
        </w:rPr>
      </w:pPr>
      <w:r>
        <w:rPr>
          <w:rFonts w:hint="eastAsia" w:ascii="仿宋" w:hAnsi="仿宋" w:eastAsia="仿宋" w:cs="仿宋"/>
          <w:b/>
          <w:bCs/>
          <w:sz w:val="24"/>
        </w:rPr>
        <w:t>附件五：织物综合洗涤参考标准表</w:t>
      </w:r>
    </w:p>
    <w:p w14:paraId="3E13A3E2">
      <w:pPr>
        <w:adjustRightInd w:val="0"/>
        <w:snapToGrid w:val="0"/>
        <w:spacing w:line="360" w:lineRule="auto"/>
        <w:ind w:firstLine="280"/>
        <w:rPr>
          <w:rFonts w:ascii="仿宋" w:hAnsi="仿宋" w:eastAsia="仿宋" w:cs="仿宋"/>
          <w:sz w:val="24"/>
        </w:rPr>
      </w:pPr>
      <w:r>
        <w:rPr>
          <w:rFonts w:hint="eastAsia" w:ascii="仿宋" w:hAnsi="仿宋" w:eastAsia="仿宋" w:cs="仿宋"/>
          <w:sz w:val="24"/>
        </w:rPr>
        <w:t>织物综合洗涤参考标准表</w:t>
      </w:r>
    </w:p>
    <w:tbl>
      <w:tblPr>
        <w:tblStyle w:val="7"/>
        <w:tblW w:w="928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86"/>
        <w:gridCol w:w="1954"/>
        <w:gridCol w:w="1858"/>
        <w:gridCol w:w="1097"/>
        <w:gridCol w:w="1893"/>
      </w:tblGrid>
      <w:tr w14:paraId="7C617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jc w:val="center"/>
        </w:trPr>
        <w:tc>
          <w:tcPr>
            <w:tcW w:w="2486" w:type="dxa"/>
            <w:vAlign w:val="center"/>
          </w:tcPr>
          <w:p w14:paraId="42EEDB21">
            <w:pPr>
              <w:adjustRightInd w:val="0"/>
              <w:snapToGrid w:val="0"/>
              <w:spacing w:line="360" w:lineRule="auto"/>
              <w:jc w:val="center"/>
              <w:rPr>
                <w:rFonts w:ascii="仿宋" w:hAnsi="仿宋" w:eastAsia="仿宋" w:cs="仿宋"/>
                <w:sz w:val="24"/>
              </w:rPr>
            </w:pPr>
            <w:r>
              <w:rPr>
                <w:rFonts w:hint="eastAsia" w:ascii="仿宋" w:hAnsi="仿宋" w:eastAsia="仿宋" w:cs="仿宋"/>
                <w:sz w:val="24"/>
              </w:rPr>
              <w:t>项目</w:t>
            </w:r>
          </w:p>
        </w:tc>
        <w:tc>
          <w:tcPr>
            <w:tcW w:w="1954" w:type="dxa"/>
            <w:vAlign w:val="center"/>
          </w:tcPr>
          <w:p w14:paraId="1AB3E8DC">
            <w:pPr>
              <w:adjustRightInd w:val="0"/>
              <w:snapToGrid w:val="0"/>
              <w:spacing w:line="360" w:lineRule="auto"/>
              <w:jc w:val="center"/>
              <w:rPr>
                <w:rFonts w:ascii="仿宋" w:hAnsi="仿宋" w:eastAsia="仿宋" w:cs="仿宋"/>
                <w:sz w:val="24"/>
              </w:rPr>
            </w:pPr>
            <w:r>
              <w:rPr>
                <w:rFonts w:hint="eastAsia" w:ascii="仿宋" w:hAnsi="仿宋" w:eastAsia="仿宋" w:cs="仿宋"/>
                <w:sz w:val="24"/>
              </w:rPr>
              <w:t>最低洗涤次数</w:t>
            </w:r>
          </w:p>
        </w:tc>
        <w:tc>
          <w:tcPr>
            <w:tcW w:w="1858" w:type="dxa"/>
            <w:vAlign w:val="center"/>
          </w:tcPr>
          <w:p w14:paraId="4BB239BC">
            <w:pPr>
              <w:adjustRightInd w:val="0"/>
              <w:snapToGrid w:val="0"/>
              <w:spacing w:line="360" w:lineRule="auto"/>
              <w:jc w:val="center"/>
              <w:rPr>
                <w:rFonts w:ascii="仿宋" w:hAnsi="仿宋" w:eastAsia="仿宋" w:cs="仿宋"/>
                <w:sz w:val="24"/>
              </w:rPr>
            </w:pPr>
            <w:r>
              <w:rPr>
                <w:rFonts w:hint="eastAsia" w:ascii="仿宋" w:hAnsi="仿宋" w:eastAsia="仿宋" w:cs="仿宋"/>
                <w:sz w:val="24"/>
              </w:rPr>
              <w:t>耐皂洗色牢度</w:t>
            </w:r>
          </w:p>
        </w:tc>
        <w:tc>
          <w:tcPr>
            <w:tcW w:w="1097" w:type="dxa"/>
            <w:vAlign w:val="center"/>
          </w:tcPr>
          <w:p w14:paraId="03F8D8E7">
            <w:pPr>
              <w:adjustRightInd w:val="0"/>
              <w:snapToGrid w:val="0"/>
              <w:spacing w:line="360" w:lineRule="auto"/>
              <w:jc w:val="center"/>
              <w:rPr>
                <w:rFonts w:ascii="仿宋" w:hAnsi="仿宋" w:eastAsia="仿宋" w:cs="仿宋"/>
                <w:sz w:val="24"/>
              </w:rPr>
            </w:pPr>
            <w:r>
              <w:rPr>
                <w:rFonts w:hint="eastAsia" w:ascii="仿宋" w:hAnsi="仿宋" w:eastAsia="仿宋" w:cs="仿宋"/>
                <w:sz w:val="24"/>
              </w:rPr>
              <w:t>水温</w:t>
            </w:r>
          </w:p>
        </w:tc>
        <w:tc>
          <w:tcPr>
            <w:tcW w:w="1893" w:type="dxa"/>
            <w:vAlign w:val="center"/>
          </w:tcPr>
          <w:p w14:paraId="1A5FEB89">
            <w:pPr>
              <w:adjustRightInd w:val="0"/>
              <w:snapToGrid w:val="0"/>
              <w:spacing w:line="360" w:lineRule="auto"/>
              <w:jc w:val="center"/>
              <w:rPr>
                <w:rFonts w:ascii="仿宋" w:hAnsi="仿宋" w:eastAsia="仿宋" w:cs="仿宋"/>
                <w:sz w:val="24"/>
              </w:rPr>
            </w:pPr>
            <w:r>
              <w:rPr>
                <w:rFonts w:hint="eastAsia" w:ascii="仿宋" w:hAnsi="仿宋" w:eastAsia="仿宋" w:cs="仿宋"/>
                <w:sz w:val="24"/>
              </w:rPr>
              <w:t>备注</w:t>
            </w:r>
          </w:p>
        </w:tc>
      </w:tr>
      <w:tr w14:paraId="65183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2486" w:type="dxa"/>
            <w:vAlign w:val="center"/>
          </w:tcPr>
          <w:p w14:paraId="68CD0FC7">
            <w:pPr>
              <w:adjustRightInd w:val="0"/>
              <w:snapToGrid w:val="0"/>
              <w:spacing w:line="360" w:lineRule="auto"/>
              <w:jc w:val="center"/>
              <w:rPr>
                <w:rFonts w:ascii="仿宋" w:hAnsi="仿宋" w:eastAsia="仿宋" w:cs="仿宋"/>
                <w:sz w:val="24"/>
              </w:rPr>
            </w:pPr>
            <w:r>
              <w:rPr>
                <w:rFonts w:hint="eastAsia" w:ascii="仿宋" w:hAnsi="仿宋" w:eastAsia="仿宋" w:cs="仿宋"/>
                <w:sz w:val="24"/>
              </w:rPr>
              <w:t>1.医生、行政类</w:t>
            </w:r>
          </w:p>
        </w:tc>
        <w:tc>
          <w:tcPr>
            <w:tcW w:w="1954" w:type="dxa"/>
            <w:vAlign w:val="center"/>
          </w:tcPr>
          <w:p w14:paraId="36A9450D">
            <w:pPr>
              <w:adjustRightInd w:val="0"/>
              <w:snapToGrid w:val="0"/>
              <w:spacing w:line="360" w:lineRule="auto"/>
              <w:jc w:val="center"/>
              <w:rPr>
                <w:rFonts w:ascii="仿宋" w:hAnsi="仿宋" w:eastAsia="仿宋" w:cs="仿宋"/>
                <w:sz w:val="24"/>
              </w:rPr>
            </w:pPr>
            <w:r>
              <w:rPr>
                <w:rFonts w:hint="eastAsia" w:ascii="仿宋" w:hAnsi="仿宋" w:eastAsia="仿宋" w:cs="仿宋"/>
                <w:sz w:val="24"/>
              </w:rPr>
              <w:t>≥120</w:t>
            </w:r>
          </w:p>
        </w:tc>
        <w:tc>
          <w:tcPr>
            <w:tcW w:w="1858" w:type="dxa"/>
            <w:vAlign w:val="center"/>
          </w:tcPr>
          <w:p w14:paraId="6C38EBC2">
            <w:pPr>
              <w:adjustRightInd w:val="0"/>
              <w:snapToGrid w:val="0"/>
              <w:spacing w:line="360" w:lineRule="auto"/>
              <w:jc w:val="center"/>
              <w:rPr>
                <w:rFonts w:ascii="仿宋" w:hAnsi="仿宋" w:eastAsia="仿宋" w:cs="仿宋"/>
                <w:sz w:val="24"/>
              </w:rPr>
            </w:pPr>
            <w:r>
              <w:rPr>
                <w:rFonts w:hint="eastAsia" w:ascii="仿宋" w:hAnsi="仿宋" w:eastAsia="仿宋" w:cs="仿宋"/>
                <w:sz w:val="24"/>
              </w:rPr>
              <w:t>≥4</w:t>
            </w:r>
          </w:p>
        </w:tc>
        <w:tc>
          <w:tcPr>
            <w:tcW w:w="1097" w:type="dxa"/>
            <w:vAlign w:val="center"/>
          </w:tcPr>
          <w:p w14:paraId="2BF10A97">
            <w:pPr>
              <w:adjustRightInd w:val="0"/>
              <w:snapToGrid w:val="0"/>
              <w:spacing w:line="360" w:lineRule="auto"/>
              <w:jc w:val="center"/>
              <w:rPr>
                <w:rFonts w:ascii="仿宋" w:hAnsi="仿宋" w:eastAsia="仿宋" w:cs="仿宋"/>
                <w:sz w:val="24"/>
              </w:rPr>
            </w:pPr>
            <w:r>
              <w:rPr>
                <w:rFonts w:hint="eastAsia" w:ascii="仿宋" w:hAnsi="仿宋" w:eastAsia="仿宋" w:cs="仿宋"/>
                <w:sz w:val="24"/>
              </w:rPr>
              <w:t>≤70°</w:t>
            </w:r>
          </w:p>
        </w:tc>
        <w:tc>
          <w:tcPr>
            <w:tcW w:w="1893" w:type="dxa"/>
            <w:vAlign w:val="center"/>
          </w:tcPr>
          <w:p w14:paraId="0BFF944E">
            <w:pPr>
              <w:adjustRightInd w:val="0"/>
              <w:snapToGrid w:val="0"/>
              <w:spacing w:line="360" w:lineRule="auto"/>
              <w:jc w:val="center"/>
              <w:rPr>
                <w:rFonts w:ascii="仿宋" w:hAnsi="仿宋" w:eastAsia="仿宋" w:cs="仿宋"/>
                <w:sz w:val="24"/>
              </w:rPr>
            </w:pPr>
          </w:p>
        </w:tc>
      </w:tr>
      <w:tr w14:paraId="0157F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2486" w:type="dxa"/>
            <w:vAlign w:val="center"/>
          </w:tcPr>
          <w:p w14:paraId="7502A8EE">
            <w:pPr>
              <w:adjustRightInd w:val="0"/>
              <w:snapToGrid w:val="0"/>
              <w:spacing w:line="360" w:lineRule="auto"/>
              <w:jc w:val="center"/>
              <w:rPr>
                <w:rFonts w:ascii="仿宋" w:hAnsi="仿宋" w:eastAsia="仿宋" w:cs="仿宋"/>
                <w:sz w:val="24"/>
              </w:rPr>
            </w:pPr>
            <w:r>
              <w:rPr>
                <w:rFonts w:hint="eastAsia" w:ascii="仿宋" w:hAnsi="仿宋" w:eastAsia="仿宋" w:cs="仿宋"/>
                <w:sz w:val="24"/>
              </w:rPr>
              <w:t>2.护士、辅助类</w:t>
            </w:r>
          </w:p>
        </w:tc>
        <w:tc>
          <w:tcPr>
            <w:tcW w:w="1954" w:type="dxa"/>
            <w:vAlign w:val="center"/>
          </w:tcPr>
          <w:p w14:paraId="655D643F">
            <w:pPr>
              <w:adjustRightInd w:val="0"/>
              <w:snapToGrid w:val="0"/>
              <w:spacing w:line="360" w:lineRule="auto"/>
              <w:jc w:val="center"/>
              <w:rPr>
                <w:rFonts w:ascii="仿宋" w:hAnsi="仿宋" w:eastAsia="仿宋" w:cs="仿宋"/>
                <w:sz w:val="24"/>
              </w:rPr>
            </w:pPr>
            <w:r>
              <w:rPr>
                <w:rFonts w:hint="eastAsia" w:ascii="仿宋" w:hAnsi="仿宋" w:eastAsia="仿宋" w:cs="仿宋"/>
                <w:sz w:val="24"/>
              </w:rPr>
              <w:t>≥120</w:t>
            </w:r>
          </w:p>
        </w:tc>
        <w:tc>
          <w:tcPr>
            <w:tcW w:w="1858" w:type="dxa"/>
            <w:vAlign w:val="center"/>
          </w:tcPr>
          <w:p w14:paraId="7FA84E73">
            <w:pPr>
              <w:adjustRightInd w:val="0"/>
              <w:snapToGrid w:val="0"/>
              <w:spacing w:line="360" w:lineRule="auto"/>
              <w:jc w:val="center"/>
              <w:rPr>
                <w:rFonts w:ascii="仿宋" w:hAnsi="仿宋" w:eastAsia="仿宋" w:cs="仿宋"/>
                <w:sz w:val="24"/>
              </w:rPr>
            </w:pPr>
            <w:r>
              <w:rPr>
                <w:rFonts w:hint="eastAsia" w:ascii="仿宋" w:hAnsi="仿宋" w:eastAsia="仿宋" w:cs="仿宋"/>
                <w:sz w:val="24"/>
              </w:rPr>
              <w:t>≥4</w:t>
            </w:r>
          </w:p>
        </w:tc>
        <w:tc>
          <w:tcPr>
            <w:tcW w:w="1097" w:type="dxa"/>
            <w:vAlign w:val="center"/>
          </w:tcPr>
          <w:p w14:paraId="61025822">
            <w:pPr>
              <w:adjustRightInd w:val="0"/>
              <w:snapToGrid w:val="0"/>
              <w:spacing w:line="360" w:lineRule="auto"/>
              <w:jc w:val="center"/>
              <w:rPr>
                <w:rFonts w:ascii="仿宋" w:hAnsi="仿宋" w:eastAsia="仿宋" w:cs="仿宋"/>
                <w:sz w:val="24"/>
              </w:rPr>
            </w:pPr>
            <w:r>
              <w:rPr>
                <w:rFonts w:hint="eastAsia" w:ascii="仿宋" w:hAnsi="仿宋" w:eastAsia="仿宋" w:cs="仿宋"/>
                <w:sz w:val="24"/>
              </w:rPr>
              <w:t>≤70°</w:t>
            </w:r>
          </w:p>
        </w:tc>
        <w:tc>
          <w:tcPr>
            <w:tcW w:w="1893" w:type="dxa"/>
            <w:vAlign w:val="center"/>
          </w:tcPr>
          <w:p w14:paraId="61B636B3">
            <w:pPr>
              <w:adjustRightInd w:val="0"/>
              <w:snapToGrid w:val="0"/>
              <w:spacing w:line="360" w:lineRule="auto"/>
              <w:jc w:val="center"/>
              <w:rPr>
                <w:rFonts w:ascii="仿宋" w:hAnsi="仿宋" w:eastAsia="仿宋" w:cs="仿宋"/>
                <w:sz w:val="24"/>
              </w:rPr>
            </w:pPr>
          </w:p>
        </w:tc>
      </w:tr>
      <w:tr w14:paraId="13EC8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2486" w:type="dxa"/>
            <w:vAlign w:val="center"/>
          </w:tcPr>
          <w:p w14:paraId="53C0273C">
            <w:pPr>
              <w:adjustRightInd w:val="0"/>
              <w:snapToGrid w:val="0"/>
              <w:spacing w:line="360" w:lineRule="auto"/>
              <w:jc w:val="center"/>
              <w:rPr>
                <w:rFonts w:ascii="仿宋" w:hAnsi="仿宋" w:eastAsia="仿宋" w:cs="仿宋"/>
                <w:sz w:val="24"/>
              </w:rPr>
            </w:pPr>
            <w:r>
              <w:rPr>
                <w:rFonts w:hint="eastAsia" w:ascii="仿宋" w:hAnsi="仿宋" w:eastAsia="仿宋" w:cs="仿宋"/>
                <w:sz w:val="24"/>
              </w:rPr>
              <w:t>3.工勤类</w:t>
            </w:r>
          </w:p>
        </w:tc>
        <w:tc>
          <w:tcPr>
            <w:tcW w:w="1954" w:type="dxa"/>
            <w:vAlign w:val="center"/>
          </w:tcPr>
          <w:p w14:paraId="225943DB">
            <w:pPr>
              <w:adjustRightInd w:val="0"/>
              <w:snapToGrid w:val="0"/>
              <w:spacing w:line="360" w:lineRule="auto"/>
              <w:jc w:val="center"/>
              <w:rPr>
                <w:rFonts w:ascii="仿宋" w:hAnsi="仿宋" w:eastAsia="仿宋" w:cs="仿宋"/>
                <w:sz w:val="24"/>
              </w:rPr>
            </w:pPr>
            <w:r>
              <w:rPr>
                <w:rFonts w:hint="eastAsia" w:ascii="仿宋" w:hAnsi="仿宋" w:eastAsia="仿宋" w:cs="仿宋"/>
                <w:sz w:val="24"/>
              </w:rPr>
              <w:t>≥96</w:t>
            </w:r>
          </w:p>
        </w:tc>
        <w:tc>
          <w:tcPr>
            <w:tcW w:w="1858" w:type="dxa"/>
            <w:vAlign w:val="center"/>
          </w:tcPr>
          <w:p w14:paraId="2A7F2D9F">
            <w:pPr>
              <w:adjustRightInd w:val="0"/>
              <w:snapToGrid w:val="0"/>
              <w:spacing w:line="360" w:lineRule="auto"/>
              <w:jc w:val="center"/>
              <w:rPr>
                <w:rFonts w:ascii="仿宋" w:hAnsi="仿宋" w:eastAsia="仿宋" w:cs="仿宋"/>
                <w:sz w:val="24"/>
              </w:rPr>
            </w:pPr>
            <w:r>
              <w:rPr>
                <w:rFonts w:hint="eastAsia" w:ascii="仿宋" w:hAnsi="仿宋" w:eastAsia="仿宋" w:cs="仿宋"/>
                <w:sz w:val="24"/>
              </w:rPr>
              <w:t>≥4</w:t>
            </w:r>
          </w:p>
        </w:tc>
        <w:tc>
          <w:tcPr>
            <w:tcW w:w="1097" w:type="dxa"/>
            <w:vAlign w:val="center"/>
          </w:tcPr>
          <w:p w14:paraId="576391C3">
            <w:pPr>
              <w:adjustRightInd w:val="0"/>
              <w:snapToGrid w:val="0"/>
              <w:spacing w:line="360" w:lineRule="auto"/>
              <w:jc w:val="center"/>
              <w:rPr>
                <w:rFonts w:ascii="仿宋" w:hAnsi="仿宋" w:eastAsia="仿宋" w:cs="仿宋"/>
                <w:sz w:val="24"/>
              </w:rPr>
            </w:pPr>
            <w:r>
              <w:rPr>
                <w:rFonts w:hint="eastAsia" w:ascii="仿宋" w:hAnsi="仿宋" w:eastAsia="仿宋" w:cs="仿宋"/>
                <w:sz w:val="24"/>
              </w:rPr>
              <w:t>≤70°</w:t>
            </w:r>
          </w:p>
        </w:tc>
        <w:tc>
          <w:tcPr>
            <w:tcW w:w="1893" w:type="dxa"/>
            <w:vAlign w:val="center"/>
          </w:tcPr>
          <w:p w14:paraId="291DDB53">
            <w:pPr>
              <w:adjustRightInd w:val="0"/>
              <w:snapToGrid w:val="0"/>
              <w:spacing w:line="360" w:lineRule="auto"/>
              <w:jc w:val="center"/>
              <w:rPr>
                <w:rFonts w:ascii="仿宋" w:hAnsi="仿宋" w:eastAsia="仿宋" w:cs="仿宋"/>
                <w:sz w:val="24"/>
              </w:rPr>
            </w:pPr>
          </w:p>
        </w:tc>
      </w:tr>
      <w:tr w14:paraId="595A5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2486" w:type="dxa"/>
            <w:vAlign w:val="center"/>
          </w:tcPr>
          <w:p w14:paraId="4D2FD416">
            <w:pPr>
              <w:adjustRightInd w:val="0"/>
              <w:snapToGrid w:val="0"/>
              <w:spacing w:line="360" w:lineRule="auto"/>
              <w:jc w:val="center"/>
              <w:rPr>
                <w:rFonts w:ascii="仿宋" w:hAnsi="仿宋" w:eastAsia="仿宋" w:cs="仿宋"/>
                <w:sz w:val="24"/>
              </w:rPr>
            </w:pPr>
            <w:r>
              <w:rPr>
                <w:rFonts w:hint="eastAsia" w:ascii="仿宋" w:hAnsi="仿宋" w:eastAsia="仿宋" w:cs="仿宋"/>
                <w:sz w:val="24"/>
              </w:rPr>
              <w:t>4.病员类</w:t>
            </w:r>
          </w:p>
        </w:tc>
        <w:tc>
          <w:tcPr>
            <w:tcW w:w="1954" w:type="dxa"/>
            <w:vAlign w:val="center"/>
          </w:tcPr>
          <w:p w14:paraId="337906F5">
            <w:pPr>
              <w:adjustRightInd w:val="0"/>
              <w:snapToGrid w:val="0"/>
              <w:spacing w:line="360" w:lineRule="auto"/>
              <w:jc w:val="center"/>
              <w:rPr>
                <w:rFonts w:ascii="仿宋" w:hAnsi="仿宋" w:eastAsia="仿宋" w:cs="仿宋"/>
                <w:sz w:val="24"/>
              </w:rPr>
            </w:pPr>
            <w:r>
              <w:rPr>
                <w:rFonts w:hint="eastAsia" w:ascii="仿宋" w:hAnsi="仿宋" w:eastAsia="仿宋" w:cs="仿宋"/>
                <w:sz w:val="24"/>
              </w:rPr>
              <w:t>≥80</w:t>
            </w:r>
          </w:p>
        </w:tc>
        <w:tc>
          <w:tcPr>
            <w:tcW w:w="1858" w:type="dxa"/>
            <w:vAlign w:val="center"/>
          </w:tcPr>
          <w:p w14:paraId="08E4A6F9">
            <w:pPr>
              <w:adjustRightInd w:val="0"/>
              <w:snapToGrid w:val="0"/>
              <w:spacing w:line="360" w:lineRule="auto"/>
              <w:jc w:val="center"/>
              <w:rPr>
                <w:rFonts w:ascii="仿宋" w:hAnsi="仿宋" w:eastAsia="仿宋" w:cs="仿宋"/>
                <w:sz w:val="24"/>
              </w:rPr>
            </w:pPr>
            <w:r>
              <w:rPr>
                <w:rFonts w:hint="eastAsia" w:ascii="仿宋" w:hAnsi="仿宋" w:eastAsia="仿宋" w:cs="仿宋"/>
                <w:sz w:val="24"/>
              </w:rPr>
              <w:t>≥4</w:t>
            </w:r>
          </w:p>
        </w:tc>
        <w:tc>
          <w:tcPr>
            <w:tcW w:w="1097" w:type="dxa"/>
            <w:vAlign w:val="center"/>
          </w:tcPr>
          <w:p w14:paraId="69BB912A">
            <w:pPr>
              <w:adjustRightInd w:val="0"/>
              <w:snapToGrid w:val="0"/>
              <w:spacing w:line="360" w:lineRule="auto"/>
              <w:jc w:val="center"/>
              <w:rPr>
                <w:rFonts w:ascii="仿宋" w:hAnsi="仿宋" w:eastAsia="仿宋" w:cs="仿宋"/>
                <w:sz w:val="24"/>
              </w:rPr>
            </w:pPr>
            <w:r>
              <w:rPr>
                <w:rFonts w:hint="eastAsia" w:ascii="仿宋" w:hAnsi="仿宋" w:eastAsia="仿宋" w:cs="仿宋"/>
                <w:sz w:val="24"/>
              </w:rPr>
              <w:t>≤80°</w:t>
            </w:r>
          </w:p>
        </w:tc>
        <w:tc>
          <w:tcPr>
            <w:tcW w:w="1893" w:type="dxa"/>
            <w:vAlign w:val="center"/>
          </w:tcPr>
          <w:p w14:paraId="58DFA2E6">
            <w:pPr>
              <w:adjustRightInd w:val="0"/>
              <w:snapToGrid w:val="0"/>
              <w:spacing w:line="360" w:lineRule="auto"/>
              <w:jc w:val="center"/>
              <w:rPr>
                <w:rFonts w:ascii="仿宋" w:hAnsi="仿宋" w:eastAsia="仿宋" w:cs="仿宋"/>
                <w:sz w:val="24"/>
              </w:rPr>
            </w:pPr>
            <w:r>
              <w:rPr>
                <w:rFonts w:hint="eastAsia" w:ascii="仿宋" w:hAnsi="仿宋" w:eastAsia="仿宋" w:cs="仿宋"/>
                <w:sz w:val="24"/>
              </w:rPr>
              <w:t>普通病员服</w:t>
            </w:r>
          </w:p>
        </w:tc>
      </w:tr>
      <w:tr w14:paraId="4DD05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2486" w:type="dxa"/>
            <w:vAlign w:val="center"/>
          </w:tcPr>
          <w:p w14:paraId="48D79EA9">
            <w:pPr>
              <w:adjustRightInd w:val="0"/>
              <w:snapToGrid w:val="0"/>
              <w:spacing w:line="360" w:lineRule="auto"/>
              <w:jc w:val="center"/>
              <w:rPr>
                <w:rFonts w:ascii="仿宋" w:hAnsi="仿宋" w:eastAsia="仿宋" w:cs="仿宋"/>
                <w:sz w:val="24"/>
              </w:rPr>
            </w:pPr>
            <w:r>
              <w:rPr>
                <w:rFonts w:hint="eastAsia" w:ascii="仿宋" w:hAnsi="仿宋" w:eastAsia="仿宋" w:cs="仿宋"/>
                <w:sz w:val="24"/>
              </w:rPr>
              <w:t>5.毛衣类</w:t>
            </w:r>
          </w:p>
        </w:tc>
        <w:tc>
          <w:tcPr>
            <w:tcW w:w="1954" w:type="dxa"/>
            <w:vAlign w:val="center"/>
          </w:tcPr>
          <w:p w14:paraId="465CBBA9">
            <w:pPr>
              <w:adjustRightInd w:val="0"/>
              <w:snapToGrid w:val="0"/>
              <w:spacing w:line="360" w:lineRule="auto"/>
              <w:jc w:val="center"/>
              <w:rPr>
                <w:rFonts w:ascii="仿宋" w:hAnsi="仿宋" w:eastAsia="仿宋" w:cs="仿宋"/>
                <w:sz w:val="24"/>
              </w:rPr>
            </w:pPr>
            <w:r>
              <w:rPr>
                <w:rFonts w:hint="eastAsia" w:ascii="仿宋" w:hAnsi="仿宋" w:eastAsia="仿宋" w:cs="仿宋"/>
                <w:sz w:val="24"/>
              </w:rPr>
              <w:t>≤2次/年</w:t>
            </w:r>
          </w:p>
        </w:tc>
        <w:tc>
          <w:tcPr>
            <w:tcW w:w="1858" w:type="dxa"/>
            <w:vAlign w:val="center"/>
          </w:tcPr>
          <w:p w14:paraId="2D3C0555">
            <w:pPr>
              <w:adjustRightInd w:val="0"/>
              <w:snapToGrid w:val="0"/>
              <w:spacing w:line="360" w:lineRule="auto"/>
              <w:jc w:val="center"/>
              <w:rPr>
                <w:rFonts w:ascii="仿宋" w:hAnsi="仿宋" w:eastAsia="仿宋" w:cs="仿宋"/>
                <w:sz w:val="24"/>
              </w:rPr>
            </w:pPr>
            <w:r>
              <w:rPr>
                <w:rFonts w:hint="eastAsia" w:ascii="仿宋" w:hAnsi="仿宋" w:eastAsia="仿宋" w:cs="仿宋"/>
                <w:sz w:val="24"/>
              </w:rPr>
              <w:t>≥4</w:t>
            </w:r>
          </w:p>
        </w:tc>
        <w:tc>
          <w:tcPr>
            <w:tcW w:w="1097" w:type="dxa"/>
            <w:vAlign w:val="center"/>
          </w:tcPr>
          <w:p w14:paraId="79F67F25">
            <w:pPr>
              <w:adjustRightInd w:val="0"/>
              <w:snapToGrid w:val="0"/>
              <w:spacing w:line="360" w:lineRule="auto"/>
              <w:jc w:val="center"/>
              <w:rPr>
                <w:rFonts w:ascii="仿宋" w:hAnsi="仿宋" w:eastAsia="仿宋" w:cs="仿宋"/>
                <w:sz w:val="24"/>
              </w:rPr>
            </w:pPr>
            <w:r>
              <w:rPr>
                <w:rFonts w:hint="eastAsia" w:ascii="仿宋" w:hAnsi="仿宋" w:eastAsia="仿宋" w:cs="仿宋"/>
                <w:sz w:val="24"/>
              </w:rPr>
              <w:t>≤30°</w:t>
            </w:r>
          </w:p>
        </w:tc>
        <w:tc>
          <w:tcPr>
            <w:tcW w:w="1893" w:type="dxa"/>
            <w:vAlign w:val="center"/>
          </w:tcPr>
          <w:p w14:paraId="0DD9CC21">
            <w:pPr>
              <w:adjustRightInd w:val="0"/>
              <w:snapToGrid w:val="0"/>
              <w:spacing w:line="360" w:lineRule="auto"/>
              <w:jc w:val="center"/>
              <w:rPr>
                <w:rFonts w:ascii="仿宋" w:hAnsi="仿宋" w:eastAsia="仿宋" w:cs="仿宋"/>
                <w:sz w:val="24"/>
              </w:rPr>
            </w:pPr>
            <w:r>
              <w:rPr>
                <w:rFonts w:hint="eastAsia" w:ascii="仿宋" w:hAnsi="仿宋" w:eastAsia="仿宋" w:cs="仿宋"/>
                <w:sz w:val="24"/>
              </w:rPr>
              <w:t>控制温度洗涤</w:t>
            </w:r>
          </w:p>
        </w:tc>
      </w:tr>
      <w:tr w14:paraId="2C553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2486" w:type="dxa"/>
            <w:vAlign w:val="center"/>
          </w:tcPr>
          <w:p w14:paraId="632D5234">
            <w:pPr>
              <w:adjustRightInd w:val="0"/>
              <w:snapToGrid w:val="0"/>
              <w:spacing w:line="360" w:lineRule="auto"/>
              <w:jc w:val="center"/>
              <w:rPr>
                <w:rFonts w:ascii="仿宋" w:hAnsi="仿宋" w:eastAsia="仿宋" w:cs="仿宋"/>
                <w:sz w:val="24"/>
              </w:rPr>
            </w:pPr>
            <w:r>
              <w:rPr>
                <w:rFonts w:hint="eastAsia" w:ascii="仿宋" w:hAnsi="仿宋" w:eastAsia="仿宋" w:cs="仿宋"/>
                <w:sz w:val="24"/>
              </w:rPr>
              <w:t>6.床品类</w:t>
            </w:r>
          </w:p>
        </w:tc>
        <w:tc>
          <w:tcPr>
            <w:tcW w:w="1954" w:type="dxa"/>
            <w:vAlign w:val="center"/>
          </w:tcPr>
          <w:p w14:paraId="6BDD8372">
            <w:pPr>
              <w:adjustRightInd w:val="0"/>
              <w:snapToGrid w:val="0"/>
              <w:spacing w:line="360" w:lineRule="auto"/>
              <w:jc w:val="center"/>
              <w:rPr>
                <w:rFonts w:ascii="仿宋" w:hAnsi="仿宋" w:eastAsia="仿宋" w:cs="仿宋"/>
                <w:sz w:val="24"/>
              </w:rPr>
            </w:pPr>
            <w:r>
              <w:rPr>
                <w:rFonts w:hint="eastAsia" w:ascii="仿宋" w:hAnsi="仿宋" w:eastAsia="仿宋" w:cs="仿宋"/>
                <w:sz w:val="24"/>
              </w:rPr>
              <w:t>≥80</w:t>
            </w:r>
          </w:p>
        </w:tc>
        <w:tc>
          <w:tcPr>
            <w:tcW w:w="1858" w:type="dxa"/>
            <w:vAlign w:val="center"/>
          </w:tcPr>
          <w:p w14:paraId="40A7D601">
            <w:pPr>
              <w:adjustRightInd w:val="0"/>
              <w:snapToGrid w:val="0"/>
              <w:spacing w:line="360" w:lineRule="auto"/>
              <w:jc w:val="center"/>
              <w:rPr>
                <w:rFonts w:ascii="仿宋" w:hAnsi="仿宋" w:eastAsia="仿宋" w:cs="仿宋"/>
                <w:sz w:val="24"/>
              </w:rPr>
            </w:pPr>
            <w:r>
              <w:rPr>
                <w:rFonts w:hint="eastAsia" w:ascii="仿宋" w:hAnsi="仿宋" w:eastAsia="仿宋" w:cs="仿宋"/>
                <w:sz w:val="24"/>
              </w:rPr>
              <w:t>≥4</w:t>
            </w:r>
          </w:p>
        </w:tc>
        <w:tc>
          <w:tcPr>
            <w:tcW w:w="1097" w:type="dxa"/>
            <w:vAlign w:val="center"/>
          </w:tcPr>
          <w:p w14:paraId="5FD8E421">
            <w:pPr>
              <w:adjustRightInd w:val="0"/>
              <w:snapToGrid w:val="0"/>
              <w:spacing w:line="360" w:lineRule="auto"/>
              <w:jc w:val="center"/>
              <w:rPr>
                <w:rFonts w:ascii="仿宋" w:hAnsi="仿宋" w:eastAsia="仿宋" w:cs="仿宋"/>
                <w:sz w:val="24"/>
              </w:rPr>
            </w:pPr>
            <w:r>
              <w:rPr>
                <w:rFonts w:hint="eastAsia" w:ascii="仿宋" w:hAnsi="仿宋" w:eastAsia="仿宋" w:cs="仿宋"/>
                <w:sz w:val="24"/>
              </w:rPr>
              <w:t>≥70°</w:t>
            </w:r>
          </w:p>
        </w:tc>
        <w:tc>
          <w:tcPr>
            <w:tcW w:w="1893" w:type="dxa"/>
            <w:vAlign w:val="center"/>
          </w:tcPr>
          <w:p w14:paraId="23875E41">
            <w:pPr>
              <w:adjustRightInd w:val="0"/>
              <w:snapToGrid w:val="0"/>
              <w:spacing w:line="360" w:lineRule="auto"/>
              <w:jc w:val="center"/>
              <w:rPr>
                <w:rFonts w:ascii="仿宋" w:hAnsi="仿宋" w:eastAsia="仿宋" w:cs="仿宋"/>
                <w:sz w:val="24"/>
              </w:rPr>
            </w:pPr>
          </w:p>
        </w:tc>
      </w:tr>
    </w:tbl>
    <w:p w14:paraId="6F6C6F0C">
      <w:pPr>
        <w:adjustRightInd w:val="0"/>
        <w:snapToGrid w:val="0"/>
        <w:spacing w:line="360" w:lineRule="auto"/>
        <w:ind w:firstLine="280"/>
        <w:rPr>
          <w:rFonts w:ascii="仿宋" w:hAnsi="仿宋" w:eastAsia="仿宋" w:cs="仿宋"/>
          <w:sz w:val="24"/>
        </w:rPr>
      </w:pPr>
      <w:r>
        <w:rPr>
          <w:rFonts w:hint="eastAsia" w:ascii="仿宋" w:hAnsi="仿宋" w:eastAsia="仿宋" w:cs="仿宋"/>
          <w:sz w:val="24"/>
        </w:rPr>
        <w:t>备注：</w:t>
      </w:r>
    </w:p>
    <w:p w14:paraId="59F9D9C2">
      <w:pPr>
        <w:adjustRightInd w:val="0"/>
        <w:snapToGrid w:val="0"/>
        <w:spacing w:line="360" w:lineRule="auto"/>
        <w:ind w:firstLine="280"/>
        <w:rPr>
          <w:rFonts w:ascii="仿宋" w:hAnsi="仿宋" w:eastAsia="仿宋" w:cs="仿宋"/>
          <w:sz w:val="24"/>
        </w:rPr>
      </w:pPr>
      <w:r>
        <w:rPr>
          <w:rFonts w:hint="eastAsia" w:ascii="仿宋" w:hAnsi="仿宋" w:eastAsia="仿宋" w:cs="仿宋"/>
          <w:sz w:val="24"/>
        </w:rPr>
        <w:t>1.传染性及特殊科室病员服可不按照“综合洗涤参考标准表”执行；</w:t>
      </w:r>
    </w:p>
    <w:p w14:paraId="1AF95D89">
      <w:pPr>
        <w:adjustRightInd w:val="0"/>
        <w:snapToGrid w:val="0"/>
        <w:spacing w:line="360" w:lineRule="auto"/>
        <w:ind w:firstLine="280"/>
        <w:rPr>
          <w:rFonts w:ascii="仿宋" w:hAnsi="仿宋" w:eastAsia="仿宋" w:cs="仿宋"/>
          <w:sz w:val="24"/>
        </w:rPr>
      </w:pPr>
      <w:r>
        <w:rPr>
          <w:rFonts w:hint="eastAsia" w:ascii="仿宋" w:hAnsi="仿宋" w:eastAsia="仿宋" w:cs="仿宋"/>
          <w:sz w:val="24"/>
        </w:rPr>
        <w:t>2.毛衣类建议干洗；如水洗水温应控制在20-30°，浸泡时间不应超过30分钟，机洗时间应小于5分钟。</w:t>
      </w:r>
    </w:p>
    <w:p w14:paraId="6189B9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44BB6">
    <w:pPr>
      <w:pStyle w:val="5"/>
      <w:ind w:firstLine="1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C008A">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46411">
    <w:pPr>
      <w:pStyle w:val="5"/>
      <w:ind w:firstLine="18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9119B">
    <w:pPr>
      <w:pStyle w:val="6"/>
      <w:pBdr>
        <w:bottom w:val="none" w:color="auto" w:sz="0" w:space="1"/>
      </w:pBdr>
      <w:ind w:firstLine="180"/>
      <w:rPr>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C78C5">
    <w:pPr>
      <w:pStyle w:val="6"/>
      <w:ind w:firstLine="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454A7">
    <w:pPr>
      <w:pStyle w:val="6"/>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056498"/>
    <w:rsid w:val="120564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footer"/>
    <w:basedOn w:val="1"/>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9">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
    <w:name w:val="列出段落1"/>
    <w:basedOn w:val="1"/>
    <w:qFormat/>
    <w:uiPriority w:val="99"/>
    <w:pPr>
      <w:ind w:firstLine="420" w:firstLineChars="200"/>
    </w:pPr>
    <w:rPr>
      <w:rFonts w:ascii="Calibri" w:hAnsi="Calibri"/>
      <w:szCs w:val="22"/>
    </w:rPr>
  </w:style>
  <w:style w:type="paragraph" w:customStyle="1" w:styleId="11">
    <w:name w:val="SOW正文"/>
    <w:basedOn w:val="1"/>
    <w:qFormat/>
    <w:uiPriority w:val="0"/>
    <w:pPr>
      <w:snapToGrid w:val="0"/>
      <w:spacing w:before="120" w:line="400" w:lineRule="exact"/>
      <w:ind w:firstLine="425"/>
    </w:pPr>
    <w:rPr>
      <w:sz w:val="24"/>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2026-09-28T06:39:00Z</dcterms:created>
  <dc:creator>亚希Edison</dc:creator>
  <cp:lastModifiedBy>亚希Edison</cp:lastModifiedBy>
  <dcterms:modified xsi:type="dcterms:W3CDTF">2026-09-28T06:40:10Z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C5A0F7D62FCE4F61B7F4C69A5FD82DC4_11</vt:lpwstr>
  </property>
  <property fmtid="{D5CDD505-2E9C-101B-9397-08002B2CF9AE}" pid="4" name="KSOTemplateDocerSaveRecord">
    <vt:lpwstr>eyJoZGlkIjoiZGE2Mjg2YTZkZTMyMTYwY2M1OTQ5YzJlN2MyYmRjOGEiLCJ1c2VySWQiOiIyNjk3ODg1OTAifQ==</vt:lpwstr>
  </property>
</Properties>
</file>