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0459C">
      <w:pPr>
        <w:adjustRightInd w:val="0"/>
        <w:snapToGrid w:val="0"/>
        <w:spacing w:line="360" w:lineRule="auto"/>
        <w:jc w:val="center"/>
        <w:outlineLvl w:val="0"/>
        <w:rPr>
          <w:rFonts w:ascii="仿宋" w:hAnsi="仿宋" w:eastAsia="仿宋" w:cs="仿宋"/>
          <w:b/>
          <w:color w:val="auto"/>
          <w:sz w:val="40"/>
          <w:szCs w:val="40"/>
          <w:highlight w:val="none"/>
        </w:rPr>
      </w:pPr>
      <w:bookmarkStart w:id="0" w:name="_Toc240007613"/>
      <w:r>
        <w:rPr>
          <w:rFonts w:hint="eastAsia" w:ascii="仿宋" w:hAnsi="仿宋" w:eastAsia="仿宋" w:cs="仿宋"/>
          <w:b/>
          <w:color w:val="auto"/>
          <w:sz w:val="40"/>
          <w:szCs w:val="40"/>
          <w:highlight w:val="none"/>
        </w:rPr>
        <w:t>第五章   采购需求</w:t>
      </w:r>
      <w:bookmarkEnd w:id="0"/>
    </w:p>
    <w:p w14:paraId="30F0F609">
      <w:pPr>
        <w:adjustRightInd w:val="0"/>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1383C538">
      <w:pPr>
        <w:adjustRightInd w:val="0"/>
        <w:snapToGrid w:val="0"/>
        <w:spacing w:line="360" w:lineRule="auto"/>
        <w:contextualSpacing/>
        <w:rPr>
          <w:rFonts w:ascii="仿宋" w:hAnsi="仿宋" w:eastAsia="仿宋" w:cs="仿宋"/>
          <w:color w:val="auto"/>
          <w:sz w:val="24"/>
          <w:highlight w:val="none"/>
        </w:rPr>
      </w:pPr>
      <w:bookmarkStart w:id="1"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57C6EB52">
      <w:pPr>
        <w:adjustRightInd w:val="0"/>
        <w:snapToGrid w:val="0"/>
        <w:spacing w:line="360" w:lineRule="auto"/>
        <w:contextualSpacing/>
        <w:rPr>
          <w:rFonts w:ascii="仿宋" w:hAnsi="仿宋" w:eastAsia="仿宋" w:cs="仿宋"/>
          <w:color w:val="auto"/>
          <w:sz w:val="24"/>
          <w:highlight w:val="none"/>
        </w:rPr>
      </w:pPr>
      <w:bookmarkStart w:id="2"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w:t>
      </w:r>
      <w:bookmarkStart w:id="15" w:name="_GoBack"/>
      <w:bookmarkEnd w:id="15"/>
      <w:r>
        <w:rPr>
          <w:rFonts w:hint="eastAsia" w:ascii="仿宋" w:hAnsi="仿宋" w:eastAsia="仿宋" w:cs="仿宋"/>
          <w:color w:val="auto"/>
          <w:sz w:val="24"/>
          <w:highlight w:val="none"/>
        </w:rPr>
        <w:t>《需求标准》确定采购需求。</w:t>
      </w:r>
    </w:p>
    <w:p w14:paraId="17B2DD81">
      <w:pPr>
        <w:adjustRightInd w:val="0"/>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1791ACB3">
      <w:pPr>
        <w:adjustRightInd w:val="0"/>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4DBD0EA8">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08302BE6">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6E0605C1">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0948C6AD">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052C9708">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48741381">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4E71B100">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5F7AD494">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7F74C414">
      <w:pPr>
        <w:pStyle w:val="11"/>
        <w:adjustRightInd w:val="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1A302D90">
      <w:pPr>
        <w:adjustRightInd w:val="0"/>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1"/>
      <w:bookmarkEnd w:id="2"/>
    </w:p>
    <w:p w14:paraId="4D7587E6">
      <w:pPr>
        <w:widowControl/>
        <w:adjustRightInd w:val="0"/>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1D95CE4A">
      <w:pPr>
        <w:adjustRightInd w:val="0"/>
        <w:snapToGrid w:val="0"/>
        <w:spacing w:line="360" w:lineRule="auto"/>
        <w:ind w:firstLine="562" w:firstLineChars="200"/>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一、采购标的</w:t>
      </w:r>
    </w:p>
    <w:p w14:paraId="2CB3FF72">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（一）采购标的（货物需求一览表或简要服务内容及数量）</w:t>
      </w:r>
    </w:p>
    <w:tbl>
      <w:tblPr>
        <w:tblStyle w:val="9"/>
        <w:tblW w:w="4998" w:type="pct"/>
        <w:tblInd w:w="0" w:type="dxa"/>
        <w:tblLayout w:type="autofit"/>
        <w:tblCellMar>
          <w:top w:w="0" w:type="dxa"/>
          <w:left w:w="108" w:type="dxa"/>
          <w:bottom w:w="0" w:type="dxa"/>
          <w:right w:w="108" w:type="dxa"/>
        </w:tblCellMar>
      </w:tblPr>
      <w:tblGrid>
        <w:gridCol w:w="878"/>
        <w:gridCol w:w="1256"/>
        <w:gridCol w:w="2916"/>
        <w:gridCol w:w="1648"/>
        <w:gridCol w:w="1821"/>
      </w:tblGrid>
      <w:tr w14:paraId="57FF15E6">
        <w:tblPrEx>
          <w:tblCellMar>
            <w:top w:w="0" w:type="dxa"/>
            <w:left w:w="108" w:type="dxa"/>
            <w:bottom w:w="0" w:type="dxa"/>
            <w:right w:w="108" w:type="dxa"/>
          </w:tblCellMar>
        </w:tblPrEx>
        <w:trPr>
          <w:trHeight w:val="516"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B7D42">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包号</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7AA33">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品目号</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B9F17">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标的名称</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A36E">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数量（台/套/件）</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AE989">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是否接受进口</w:t>
            </w:r>
          </w:p>
        </w:tc>
      </w:tr>
      <w:tr w14:paraId="7C0278F8">
        <w:tblPrEx>
          <w:tblCellMar>
            <w:top w:w="0" w:type="dxa"/>
            <w:left w:w="108" w:type="dxa"/>
            <w:bottom w:w="0" w:type="dxa"/>
            <w:right w:w="108" w:type="dxa"/>
          </w:tblCellMar>
        </w:tblPrEx>
        <w:trPr>
          <w:trHeight w:val="54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0B5DB">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35076">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1-1</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2FEA2">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复合式冷热消融系统</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3C98F">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4452A">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478FD650">
        <w:tblPrEx>
          <w:tblCellMar>
            <w:top w:w="0" w:type="dxa"/>
            <w:left w:w="108" w:type="dxa"/>
            <w:bottom w:w="0" w:type="dxa"/>
            <w:right w:w="108" w:type="dxa"/>
          </w:tblCellMar>
        </w:tblPrEx>
        <w:trPr>
          <w:trHeight w:val="540" w:hRule="atLeast"/>
        </w:trPr>
        <w:tc>
          <w:tcPr>
            <w:tcW w:w="5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E535D">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2</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11915">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2-1</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7D69F">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膀胱镜</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85A28">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3</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DD10D">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3EFEFCE2">
        <w:tblPrEx>
          <w:tblCellMar>
            <w:top w:w="0" w:type="dxa"/>
            <w:left w:w="108" w:type="dxa"/>
            <w:bottom w:w="0" w:type="dxa"/>
            <w:right w:w="108" w:type="dxa"/>
          </w:tblCellMar>
        </w:tblPrEx>
        <w:trPr>
          <w:trHeight w:val="54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DD81B">
            <w:pPr>
              <w:adjustRightInd w:val="0"/>
              <w:snapToGrid w:val="0"/>
              <w:spacing w:line="360" w:lineRule="auto"/>
              <w:jc w:val="center"/>
              <w:rPr>
                <w:rFonts w:ascii="仿宋" w:hAnsi="仿宋" w:eastAsia="仿宋" w:cs="仿宋"/>
                <w:b/>
                <w:bCs/>
                <w:color w:val="auto"/>
                <w:sz w:val="24"/>
                <w:highlight w:val="none"/>
              </w:rPr>
            </w:pP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EF680">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2-2</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9A387">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微波治疗仪</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E38BD">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B0CC9">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r w14:paraId="74345D6E">
        <w:tblPrEx>
          <w:tblCellMar>
            <w:top w:w="0" w:type="dxa"/>
            <w:left w:w="108" w:type="dxa"/>
            <w:bottom w:w="0" w:type="dxa"/>
            <w:right w:w="108" w:type="dxa"/>
          </w:tblCellMar>
        </w:tblPrEx>
        <w:trPr>
          <w:trHeight w:val="54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C67B6">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9</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F1690">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9-1</w:t>
            </w:r>
          </w:p>
        </w:tc>
        <w:tc>
          <w:tcPr>
            <w:tcW w:w="17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6E664">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超声骨密度仪</w:t>
            </w:r>
          </w:p>
        </w:tc>
        <w:tc>
          <w:tcPr>
            <w:tcW w:w="9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606D1">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1</w:t>
            </w:r>
          </w:p>
        </w:tc>
        <w:tc>
          <w:tcPr>
            <w:tcW w:w="10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8C13F">
            <w:pPr>
              <w:widowControl/>
              <w:adjustRightInd w:val="0"/>
              <w:snapToGrid w:val="0"/>
              <w:spacing w:line="360" w:lineRule="auto"/>
              <w:jc w:val="center"/>
              <w:textAlignment w:val="center"/>
              <w:rPr>
                <w:rFonts w:ascii="仿宋" w:hAnsi="仿宋" w:eastAsia="仿宋" w:cs="仿宋"/>
                <w:b/>
                <w:bCs/>
                <w:color w:val="auto"/>
                <w:sz w:val="24"/>
                <w:highlight w:val="none"/>
              </w:rPr>
            </w:pPr>
            <w:r>
              <w:rPr>
                <w:rFonts w:hint="eastAsia" w:ascii="仿宋" w:hAnsi="仿宋" w:eastAsia="仿宋" w:cs="仿宋"/>
                <w:b/>
                <w:bCs/>
                <w:color w:val="auto"/>
                <w:kern w:val="0"/>
                <w:sz w:val="24"/>
                <w:highlight w:val="none"/>
                <w:lang w:bidi="ar"/>
              </w:rPr>
              <w:t>否</w:t>
            </w:r>
          </w:p>
        </w:tc>
      </w:tr>
    </w:tbl>
    <w:p w14:paraId="107571E3">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（二）项目背景/项目概述（如有）</w:t>
      </w:r>
    </w:p>
    <w:p w14:paraId="0CF50F01">
      <w:pPr>
        <w:adjustRightInd w:val="0"/>
        <w:snapToGrid w:val="0"/>
        <w:spacing w:line="360" w:lineRule="auto"/>
        <w:ind w:firstLine="560" w:firstLineChars="200"/>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本次采购是为北京老年医院配置基本设备，供应商应根据招标文件所提出的设备技术规格和服务要求，综合考虑设备的适用性，选择需要最佳性能价格比的设备前来投标。供应商应以技术先进的设备、优良的服务和优惠的价格，充分显示自己的竞争实力。</w:t>
      </w:r>
    </w:p>
    <w:p w14:paraId="31AA803E">
      <w:pPr>
        <w:tabs>
          <w:tab w:val="left" w:pos="5456"/>
        </w:tabs>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二、商务要求</w:t>
      </w:r>
    </w:p>
    <w:p w14:paraId="275454E6">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（一）交付（实施）的时间（期限）和地点（范围）</w:t>
      </w:r>
    </w:p>
    <w:p w14:paraId="1FA821F8">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1、交付时间：自合同签订之日起45天内。设备交货时，出厂日期不得＞3个月。</w:t>
      </w:r>
    </w:p>
    <w:p w14:paraId="26AB1011">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2、交付地点：中标人负责将采购人所采购货物运至采购人指定的地点。软、硬件经安装、调试完毕，由采购人负责验收，中标人应随货物向采购人提供使用说明书和质量标准及所要求的相关资料。</w:t>
      </w:r>
    </w:p>
    <w:p w14:paraId="5EFB7E86">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（二）付款条件（进度和方式）</w:t>
      </w:r>
    </w:p>
    <w:p w14:paraId="2FF8475F">
      <w:pPr>
        <w:adjustRightInd w:val="0"/>
        <w:snapToGrid w:val="0"/>
        <w:spacing w:line="360" w:lineRule="auto"/>
        <w:ind w:firstLine="560" w:firstLineChars="200"/>
        <w:outlineLvl w:val="0"/>
        <w:rPr>
          <w:rFonts w:ascii="仿宋" w:hAnsi="仿宋" w:eastAsia="仿宋" w:cs="仿宋"/>
          <w:color w:val="auto"/>
          <w:sz w:val="28"/>
          <w:szCs w:val="28"/>
          <w:highlight w:val="none"/>
        </w:rPr>
      </w:pPr>
      <w:r>
        <w:rPr>
          <w:rFonts w:hint="eastAsia" w:ascii="仿宋" w:hAnsi="仿宋" w:eastAsia="仿宋" w:cs="仿宋"/>
          <w:bCs/>
          <w:color w:val="auto"/>
          <w:sz w:val="28"/>
          <w:szCs w:val="28"/>
          <w:highlight w:val="none"/>
        </w:rPr>
        <w:t>详见本项目招标文件“第六章拟签订的合同文本”“买卖合同书”中的约定</w:t>
      </w:r>
    </w:p>
    <w:p w14:paraId="3B7F00EA">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（三）包装和运输</w:t>
      </w:r>
    </w:p>
    <w:p w14:paraId="05F4F340">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投标产品的包装应符合《财政部等三部门联合印发商品包装和快递包装政府采购需求标准（试行）》（财办库〔2020〕123号）的规定。</w:t>
      </w:r>
    </w:p>
    <w:p w14:paraId="34E40CED">
      <w:pPr>
        <w:adjustRightInd w:val="0"/>
        <w:snapToGrid w:val="0"/>
        <w:spacing w:line="360" w:lineRule="auto"/>
        <w:ind w:firstLine="560" w:firstLineChars="200"/>
        <w:rPr>
          <w:rFonts w:ascii="仿宋" w:hAnsi="仿宋" w:eastAsia="仿宋" w:cs="仿宋"/>
          <w:b/>
          <w:bCs/>
          <w:color w:val="auto"/>
          <w:sz w:val="28"/>
          <w:szCs w:val="28"/>
          <w:highlight w:val="none"/>
        </w:rPr>
      </w:pPr>
      <w:r>
        <w:rPr>
          <w:rFonts w:hint="eastAsia" w:ascii="仿宋" w:hAnsi="仿宋" w:eastAsia="仿宋" w:cs="仿宋"/>
          <w:bCs/>
          <w:color w:val="auto"/>
          <w:sz w:val="28"/>
          <w:szCs w:val="28"/>
          <w:highlight w:val="none"/>
        </w:rPr>
        <w:t>（四）</w:t>
      </w:r>
      <w:bookmarkStart w:id="3" w:name="OLE_LINK27"/>
      <w:bookmarkStart w:id="4" w:name="OLE_LINK367"/>
      <w:bookmarkStart w:id="5" w:name="OLE_LINK26"/>
      <w:r>
        <w:rPr>
          <w:rFonts w:hint="eastAsia" w:ascii="仿宋" w:hAnsi="仿宋" w:eastAsia="仿宋" w:cs="仿宋"/>
          <w:bCs/>
          <w:color w:val="auto"/>
          <w:sz w:val="28"/>
          <w:szCs w:val="28"/>
          <w:highlight w:val="none"/>
        </w:rPr>
        <w:t>售后服务（质保期）</w:t>
      </w:r>
      <w:bookmarkEnd w:id="3"/>
      <w:bookmarkEnd w:id="4"/>
      <w:bookmarkEnd w:id="5"/>
      <w:r>
        <w:rPr>
          <w:rFonts w:hint="eastAsia" w:ascii="仿宋" w:hAnsi="仿宋" w:eastAsia="仿宋" w:cs="仿宋"/>
          <w:b/>
          <w:bCs/>
          <w:color w:val="auto"/>
          <w:sz w:val="28"/>
          <w:szCs w:val="28"/>
          <w:highlight w:val="none"/>
        </w:rPr>
        <w:t>（以各包技术规格中要求为准，如技术规格中无要求，则以本款要求为准。）</w:t>
      </w:r>
    </w:p>
    <w:p w14:paraId="066B1572">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质量保证期（保修期）及服务要求：为自设备安装、调试、验收合格之日起不少于60个月的原厂保修，保修范围应包括提供的所有设备（含第三方设备及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设备和医院</w:t>
      </w:r>
      <w:r>
        <w:rPr>
          <w:rFonts w:hint="eastAsia" w:ascii="仿宋" w:hAnsi="仿宋" w:eastAsia="仿宋" w:cs="仿宋"/>
          <w:bCs/>
          <w:color w:val="auto"/>
          <w:sz w:val="28"/>
          <w:szCs w:val="28"/>
          <w:highlight w:val="none"/>
          <w:lang w:val="en-US" w:eastAsia="zh-CN"/>
        </w:rPr>
        <w:t>H</w:t>
      </w:r>
      <w:r>
        <w:rPr>
          <w:rFonts w:hint="eastAsia" w:ascii="仿宋" w:hAnsi="仿宋" w:eastAsia="仿宋" w:cs="仿宋"/>
          <w:bCs/>
          <w:color w:val="auto"/>
          <w:sz w:val="28"/>
          <w:szCs w:val="28"/>
          <w:highlight w:val="none"/>
        </w:rPr>
        <w:t>is等信息化系统接口费由供应商承担。设备如搭载软件系统的，需在设备使用有效期内终身免费升级。</w:t>
      </w:r>
    </w:p>
    <w:p w14:paraId="4A9C9FE9">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2、投标人应在质保期满前三个月对设备做全面保养及性能检测，并出具相应的报告。</w:t>
      </w:r>
    </w:p>
    <w:p w14:paraId="412EE1B4">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3、投标人和制造商（或境内总代理、独家代理）需要同时提供包含上述质量保证期（保修期）及服务要求的承诺函并加盖单位公章。</w:t>
      </w:r>
    </w:p>
    <w:p w14:paraId="47DA9466">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5651815F">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4CF00FEE">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4C795A04">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color w:val="auto"/>
          <w:sz w:val="28"/>
          <w:szCs w:val="28"/>
          <w:highlight w:val="none"/>
        </w:rPr>
        <w:t>（五）</w:t>
      </w:r>
      <w:r>
        <w:rPr>
          <w:rFonts w:hint="eastAsia" w:ascii="仿宋" w:hAnsi="仿宋" w:eastAsia="仿宋" w:cs="仿宋"/>
          <w:bCs/>
          <w:color w:val="auto"/>
          <w:sz w:val="28"/>
          <w:szCs w:val="28"/>
          <w:highlight w:val="none"/>
        </w:rPr>
        <w:t>交付（实施）的时间（期限）和地点（范围）、付款条件（进度和方式）、包装和运输、售后服务（质保期）等其他内容详见第六章拟签订的合同文本。</w:t>
      </w:r>
    </w:p>
    <w:p w14:paraId="2DF628A9">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三、技术要求</w:t>
      </w:r>
    </w:p>
    <w:p w14:paraId="0F92F109">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（一）基本要求</w:t>
      </w:r>
    </w:p>
    <w:p w14:paraId="11F3413B">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1、采购标的需实现的功能或者目标</w:t>
      </w:r>
    </w:p>
    <w:p w14:paraId="68C600D6">
      <w:pPr>
        <w:adjustRightInd w:val="0"/>
        <w:snapToGrid w:val="0"/>
        <w:spacing w:line="360" w:lineRule="auto"/>
        <w:ind w:firstLine="560" w:firstLineChars="200"/>
        <w:contextualSpacing/>
        <w:rPr>
          <w:rFonts w:ascii="仿宋" w:hAnsi="仿宋" w:eastAsia="仿宋" w:cs="仿宋"/>
          <w:color w:val="auto"/>
          <w:sz w:val="28"/>
          <w:szCs w:val="28"/>
          <w:highlight w:val="none"/>
        </w:rPr>
      </w:pPr>
      <w:bookmarkStart w:id="6" w:name="OLE_LINK180"/>
      <w:r>
        <w:rPr>
          <w:rFonts w:hint="eastAsia" w:ascii="仿宋" w:hAnsi="仿宋" w:eastAsia="仿宋" w:cs="仿宋"/>
          <w:color w:val="auto"/>
          <w:sz w:val="28"/>
          <w:szCs w:val="28"/>
          <w:highlight w:val="none"/>
        </w:rPr>
        <w:t>本次招标采购项目为</w:t>
      </w:r>
      <w:r>
        <w:rPr>
          <w:rFonts w:hint="eastAsia" w:ascii="仿宋" w:hAnsi="仿宋" w:eastAsia="仿宋" w:cs="仿宋"/>
          <w:color w:val="auto"/>
          <w:sz w:val="28"/>
          <w:szCs w:val="28"/>
          <w:highlight w:val="none"/>
          <w:lang w:eastAsia="zh-CN"/>
        </w:rPr>
        <w:t>北京老年医院医用设备购置采购项目</w:t>
      </w:r>
      <w:r>
        <w:rPr>
          <w:rFonts w:hint="eastAsia" w:ascii="仿宋" w:hAnsi="仿宋" w:eastAsia="仿宋" w:cs="仿宋"/>
          <w:color w:val="auto"/>
          <w:sz w:val="28"/>
          <w:szCs w:val="28"/>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6"/>
    </w:p>
    <w:p w14:paraId="6CC96EC4">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2、需执行的国家相关标准、行业标准、地方标准或者其他标准、规范</w:t>
      </w:r>
    </w:p>
    <w:p w14:paraId="606EDFB4">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★2.1、投标产品属于医疗器械的，应按原国家食品药品监督管理总局颁发的《医疗器械注册管理办法》，办理医疗器械注册证或者办理备案，投标人须提供医疗器械注册证复印件或备案凭证。</w:t>
      </w:r>
    </w:p>
    <w:p w14:paraId="6C99CFEA">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027D1A91">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710C2412">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78D7DF48">
      <w:pPr>
        <w:adjustRightInd w:val="0"/>
        <w:snapToGrid w:val="0"/>
        <w:spacing w:line="360" w:lineRule="auto"/>
        <w:ind w:firstLine="562" w:firstLineChars="200"/>
        <w:contextualSpacing/>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（二）服务内容及要求/货物技术要求</w:t>
      </w:r>
    </w:p>
    <w:p w14:paraId="4E6A1ABD">
      <w:pPr>
        <w:adjustRightInd w:val="0"/>
        <w:snapToGrid w:val="0"/>
        <w:spacing w:line="360" w:lineRule="auto"/>
        <w:ind w:firstLine="560" w:firstLineChars="200"/>
        <w:contextualSpacing/>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1、采购标的需满足的性能、材料、结构、外观、质量、安全、技术规格、物理特性等要求：</w:t>
      </w:r>
    </w:p>
    <w:p w14:paraId="27E9268A">
      <w:pPr>
        <w:adjustRightInd w:val="0"/>
        <w:snapToGrid w:val="0"/>
        <w:spacing w:line="360" w:lineRule="auto"/>
        <w:jc w:val="center"/>
        <w:rPr>
          <w:rFonts w:ascii="仿宋" w:hAnsi="仿宋" w:eastAsia="仿宋" w:cs="仿宋"/>
          <w:b/>
          <w:bCs/>
          <w:color w:val="auto"/>
          <w:sz w:val="24"/>
          <w:highlight w:val="none"/>
        </w:rPr>
      </w:pPr>
      <w:bookmarkStart w:id="7" w:name="OLE_LINK53"/>
      <w:r>
        <w:rPr>
          <w:rFonts w:hint="eastAsia" w:ascii="仿宋" w:hAnsi="仿宋" w:eastAsia="仿宋" w:cs="仿宋"/>
          <w:b/>
          <w:bCs/>
          <w:color w:val="auto"/>
          <w:sz w:val="24"/>
          <w:highlight w:val="none"/>
        </w:rPr>
        <w:t xml:space="preserve">第1包  品目1-1  复合式冷热消融系统 </w:t>
      </w:r>
    </w:p>
    <w:p w14:paraId="0D0A589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一、数量：1套</w:t>
      </w:r>
    </w:p>
    <w:p w14:paraId="3DD3DE1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二、设备用途：用于临床中除空腔肿瘤外的实体肿瘤冷冻治疗。</w:t>
      </w:r>
    </w:p>
    <w:p w14:paraId="42C3514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2002027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1、计算机测量、控制、显示系统</w:t>
      </w:r>
    </w:p>
    <w:p w14:paraId="68ED9E0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1.1、产品具有内置计算机系统, 其软件界面用于控制消融针和监控系统的性能。</w:t>
      </w:r>
    </w:p>
    <w:p w14:paraId="6EA5DA5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▲1.2、内置控制系统可独立控制每个消融针，可以单冷、单热或冷热交替进行。</w:t>
      </w:r>
    </w:p>
    <w:p w14:paraId="3C136BE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1.3、由软件控制工作介质从冷、热罐通过管路到消融针。</w:t>
      </w:r>
    </w:p>
    <w:p w14:paraId="2C06BB8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▲1.4、具有触摸显示终端，显示终端的高度可调整并可自由旋转。</w:t>
      </w:r>
    </w:p>
    <w:p w14:paraId="06EDC92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▲1.5、具备控制物理键盘，控制消融针进行冷冻、复温、暂停等操作，具有冷、热罐工作状态指示灯，通道温度显示，功率调节。</w:t>
      </w:r>
    </w:p>
    <w:p w14:paraId="103610D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1.6、通过RFID进行用户认证登录以及消融针的识别和添加。</w:t>
      </w:r>
    </w:p>
    <w:p w14:paraId="20C5A87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1.7、输送管一体化设计，输送液冷、热介质的进流与回流管一体化集成设计到探针输送管内部。</w:t>
      </w:r>
    </w:p>
    <w:p w14:paraId="0656143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1.8、具备手术规划，自定义自动工作流程。</w:t>
      </w:r>
    </w:p>
    <w:p w14:paraId="00DDB14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2、设备安全保护装置：</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p>
    <w:p w14:paraId="3DC7192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2.1、具有紧急停止键。</w:t>
      </w:r>
    </w:p>
    <w:p w14:paraId="13A3BF9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2.2、具备报警功能。</w:t>
      </w:r>
    </w:p>
    <w:p w14:paraId="4510543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3、数据。</w:t>
      </w:r>
    </w:p>
    <w:p w14:paraId="44EFE10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3.1、记录手术过程中的温度、时间。</w:t>
      </w:r>
    </w:p>
    <w:p w14:paraId="60D68AB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3.2、记录设备登录数据、操作数据、报警数据。</w:t>
      </w:r>
    </w:p>
    <w:p w14:paraId="2C5CCA2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4、低温系统：</w:t>
      </w:r>
    </w:p>
    <w:p w14:paraId="767A4E6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4.1、冷媒存贮器的容量≥24 升。</w:t>
      </w:r>
    </w:p>
    <w:p w14:paraId="563379D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4.2、工作压力范围0.4-1MPa。</w:t>
      </w:r>
    </w:p>
    <w:p w14:paraId="2D5AF87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4.3、具备过压释放装置。</w:t>
      </w:r>
    </w:p>
    <w:p w14:paraId="4AC4F94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▲4.4、低温治疗时，消融针最低温度≤-180℃。</w:t>
      </w:r>
    </w:p>
    <w:p w14:paraId="6D5D37F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5、复温系统：</w:t>
      </w:r>
    </w:p>
    <w:p w14:paraId="092776E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5.1、热媒存贮器容量≥6 升。</w:t>
      </w:r>
    </w:p>
    <w:p w14:paraId="52D8D8E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5.2、工作压力范围0.15-0.4MPa 。</w:t>
      </w:r>
    </w:p>
    <w:p w14:paraId="1450DF2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5.3、具备过压释放装置。</w:t>
      </w:r>
    </w:p>
    <w:p w14:paraId="1B1F222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▲5.4、复温治疗时，消融针的最高温度≥60℃。</w:t>
      </w:r>
    </w:p>
    <w:p w14:paraId="61D6A92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6、回收系统：储存回收废液的容器 1 个，容器的容量≥5升。</w:t>
      </w:r>
    </w:p>
    <w:p w14:paraId="04CB263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7、提供系统软件为设备原厂正版软件，用于辅助手术的三维重建和术前路径规划。</w:t>
      </w:r>
    </w:p>
    <w:p w14:paraId="7E07243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8、图文工作站：</w:t>
      </w:r>
    </w:p>
    <w:p w14:paraId="65249BD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8.1、CPU：i7同等或以上性能；内存：≥8G×2；硬盘：≥1TBSSD+2TBHDD。</w:t>
      </w:r>
    </w:p>
    <w:p w14:paraId="26D99BC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8.2、图像显示终端尺寸≥23英寸。</w:t>
      </w:r>
    </w:p>
    <w:p w14:paraId="0A982B2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8.3、输出终端：A4黑白激光图文输出设备；连接：标配USB2.0接口；</w:t>
      </w:r>
      <w:r>
        <w:rPr>
          <w:rFonts w:ascii="仿宋" w:hAnsi="仿宋" w:eastAsia="仿宋" w:cs="仿宋"/>
          <w:color w:val="auto"/>
          <w:sz w:val="24"/>
          <w:highlight w:val="none"/>
        </w:rPr>
        <w:t>打印分辨率≥1200×1200dpi，能清晰</w:t>
      </w:r>
      <w:r>
        <w:rPr>
          <w:rFonts w:hint="eastAsia" w:ascii="仿宋" w:hAnsi="仿宋" w:eastAsia="仿宋" w:cs="仿宋"/>
          <w:color w:val="auto"/>
          <w:sz w:val="24"/>
          <w:highlight w:val="none"/>
        </w:rPr>
        <w:t>输出</w:t>
      </w:r>
      <w:r>
        <w:rPr>
          <w:rFonts w:ascii="仿宋" w:hAnsi="仿宋" w:eastAsia="仿宋" w:cs="仿宋"/>
          <w:color w:val="auto"/>
          <w:sz w:val="24"/>
          <w:highlight w:val="none"/>
        </w:rPr>
        <w:t>含曲线图的检查报告</w:t>
      </w:r>
      <w:r>
        <w:rPr>
          <w:rFonts w:hint="eastAsia" w:ascii="仿宋" w:hAnsi="仿宋" w:eastAsia="仿宋" w:cs="仿宋"/>
          <w:color w:val="auto"/>
          <w:sz w:val="24"/>
          <w:highlight w:val="none"/>
        </w:rPr>
        <w:t>；</w:t>
      </w:r>
      <w:r>
        <w:rPr>
          <w:rFonts w:ascii="仿宋" w:hAnsi="仿宋" w:eastAsia="仿宋" w:cs="仿宋"/>
          <w:color w:val="auto"/>
          <w:sz w:val="24"/>
          <w:highlight w:val="none"/>
        </w:rPr>
        <w:t>标配≥250页进纸盒，支持自动双面打印</w:t>
      </w:r>
      <w:r>
        <w:rPr>
          <w:rFonts w:hint="eastAsia" w:ascii="仿宋" w:hAnsi="仿宋" w:eastAsia="仿宋" w:cs="仿宋"/>
          <w:color w:val="auto"/>
          <w:sz w:val="24"/>
          <w:highlight w:val="none"/>
        </w:rPr>
        <w:t>。</w:t>
      </w:r>
    </w:p>
    <w:p w14:paraId="194A07D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77144E7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1、复合式冷热消融系统主机：1台。</w:t>
      </w:r>
    </w:p>
    <w:p w14:paraId="694CBB1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2、消融针输送管：4条。</w:t>
      </w:r>
    </w:p>
    <w:p w14:paraId="3ED349E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3、储液杯：2个。</w:t>
      </w:r>
    </w:p>
    <w:p w14:paraId="02A25CE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4、RAID卡：2张。</w:t>
      </w:r>
    </w:p>
    <w:p w14:paraId="34C7F4F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5、超声：1台。</w:t>
      </w:r>
    </w:p>
    <w:p w14:paraId="6B37501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6、手术三维重建和术前处理软件：1套。</w:t>
      </w:r>
    </w:p>
    <w:p w14:paraId="3938350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7、图文工作站（含输出终端）：1套。</w:t>
      </w:r>
    </w:p>
    <w:p w14:paraId="370D14D3">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第2包  品目2-1  膀胱镜</w:t>
      </w:r>
    </w:p>
    <w:p w14:paraId="59C703B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一、数量：3套</w:t>
      </w:r>
    </w:p>
    <w:p w14:paraId="3E0E02B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二、设备用途：供临床实行尿道及膀胱内疾病的检查、治疗用；与激光设备配套使用，用于良性前列腺增生症的激光汽化手术治疗。</w:t>
      </w:r>
    </w:p>
    <w:p w14:paraId="5537A2F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282047B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（一）、尿道膀胱镜：</w:t>
      </w:r>
    </w:p>
    <w:p w14:paraId="35FECBC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1、视向角：30、70°可选。</w:t>
      </w:r>
    </w:p>
    <w:p w14:paraId="20BA526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2、视场角：≥60°。</w:t>
      </w:r>
    </w:p>
    <w:p w14:paraId="732F093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3、镜管外径：≤φ4.0mm。</w:t>
      </w:r>
    </w:p>
    <w:p w14:paraId="5A4AE54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4、有效景深范围：3-50mm。</w:t>
      </w:r>
    </w:p>
    <w:p w14:paraId="3AACD96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5、设计光学工作距do值:≤20mm。</w:t>
      </w:r>
    </w:p>
    <w:p w14:paraId="1315496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6、工作长度：≥300mm。</w:t>
      </w:r>
    </w:p>
    <w:p w14:paraId="0820233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▲7、输出光谱的显色指数：Ra≥85％。</w:t>
      </w:r>
    </w:p>
    <w:p w14:paraId="3BB62E6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8、导向器自锁装置：分体式。</w:t>
      </w:r>
    </w:p>
    <w:p w14:paraId="091B010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9、镜鞘：具备18.5Fr、21.5Fr、23.5Fr可选。</w:t>
      </w:r>
    </w:p>
    <w:p w14:paraId="651A38E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10、镜鞘插入部工作长度≥230mm。</w:t>
      </w:r>
    </w:p>
    <w:p w14:paraId="13658FD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11、设备有效使用年限：≥5年。</w:t>
      </w:r>
    </w:p>
    <w:p w14:paraId="2D7A56A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（二）、手术内窥镜：</w:t>
      </w:r>
    </w:p>
    <w:p w14:paraId="2C037C8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1、与医院手术室现有stryker、mindray、storz等主机摄像系统和蓝激光设备配套使用。</w:t>
      </w:r>
    </w:p>
    <w:p w14:paraId="7C9068C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 xml:space="preserve">2、带光纤接口，无需转接，可连接不同型号导光束。 </w:t>
      </w:r>
    </w:p>
    <w:p w14:paraId="34D1EE6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3、双层外管；蓝宝石镜面。</w:t>
      </w:r>
    </w:p>
    <w:p w14:paraId="02B187F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4、插入部外径（内窥镜）≤4mm，30 度视野方向，视野角度≥80°，工作长度≥300mm。</w:t>
      </w:r>
    </w:p>
    <w:p w14:paraId="0AE6F43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5、外鞘最大宽度≤24Fr。</w:t>
      </w:r>
    </w:p>
    <w:p w14:paraId="455DDF2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6、镜身有环状颜色代码。</w:t>
      </w:r>
    </w:p>
    <w:p w14:paraId="4503808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7、可进行高温高压、低温等离子等消毒灭菌。</w:t>
      </w:r>
    </w:p>
    <w:p w14:paraId="1777B93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8、外鞘可连续冲洗，内鞘可 360°旋转，可通过专用激光光纤。</w:t>
      </w:r>
    </w:p>
    <w:p w14:paraId="6856A93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9、镜鞘1套：包含外鞘、内鞘、闭孔器。</w:t>
      </w:r>
    </w:p>
    <w:p w14:paraId="19F2E38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10、专用滤光片、眼镜各1个。</w:t>
      </w:r>
    </w:p>
    <w:p w14:paraId="46D638F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（三）、器械要求：</w:t>
      </w:r>
    </w:p>
    <w:p w14:paraId="46F6E4C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1、系膜抓钳及肠抓钳：27mm，φ5x360mm及带孔横齿37mm，φ5x360mm。</w:t>
      </w:r>
    </w:p>
    <w:p w14:paraId="7B42858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 胆囊抓钳及取物钳：中空18 mm，φ5x360mm带锁卡及单动15mm，φ5x360mm。</w:t>
      </w:r>
    </w:p>
    <w:p w14:paraId="24069CB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3、双极细齿电凝钳及鸭嘴抓钳：φ5x360mm及粗齿碗形19mm，φ5x360mm带锁卡。</w:t>
      </w:r>
    </w:p>
    <w:p w14:paraId="66AB89F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4、单极高频电线及双极高频电线：3200mm。</w:t>
      </w:r>
    </w:p>
    <w:p w14:paraId="7DAD61C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5、五叶钳及钛夹钳：φ10x330mm及单动φ5x33mm。</w:t>
      </w:r>
    </w:p>
    <w:p w14:paraId="3121FCB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7C7E2BF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1、尿道膀胱镜及手术内窥镜：7条。</w:t>
      </w:r>
    </w:p>
    <w:p w14:paraId="6A345B7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2、镜鞘及闭孔器：11个。</w:t>
      </w:r>
    </w:p>
    <w:p w14:paraId="06C7334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3、镜桥及导向器：4个。</w:t>
      </w:r>
    </w:p>
    <w:p w14:paraId="0DA4C4E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4、膀胱镜</w:t>
      </w:r>
      <w:r>
        <w:rPr>
          <w:rFonts w:ascii="仿宋" w:hAnsi="仿宋" w:eastAsia="仿宋" w:cs="仿宋"/>
          <w:color w:val="auto"/>
          <w:sz w:val="24"/>
          <w:highlight w:val="none"/>
        </w:rPr>
        <w:t>钳</w:t>
      </w:r>
      <w:r>
        <w:rPr>
          <w:rFonts w:hint="eastAsia" w:ascii="仿宋" w:hAnsi="仿宋" w:eastAsia="仿宋" w:cs="仿宋"/>
          <w:color w:val="auto"/>
          <w:sz w:val="24"/>
          <w:highlight w:val="none"/>
        </w:rPr>
        <w:t>及异物钳</w:t>
      </w:r>
      <w:r>
        <w:rPr>
          <w:rFonts w:ascii="仿宋" w:hAnsi="仿宋" w:eastAsia="仿宋" w:cs="仿宋"/>
          <w:color w:val="auto"/>
          <w:sz w:val="24"/>
          <w:highlight w:val="none"/>
        </w:rPr>
        <w:t>：</w:t>
      </w:r>
      <w:r>
        <w:rPr>
          <w:rFonts w:hint="eastAsia" w:ascii="仿宋" w:hAnsi="仿宋" w:eastAsia="仿宋" w:cs="仿宋"/>
          <w:color w:val="auto"/>
          <w:sz w:val="24"/>
          <w:highlight w:val="none"/>
        </w:rPr>
        <w:t>8把。</w:t>
      </w:r>
    </w:p>
    <w:p w14:paraId="6C111B3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5、膀胱镜剪刀及弯剪：5把。</w:t>
      </w:r>
    </w:p>
    <w:p w14:paraId="16A3A0B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6、光纤操作器：1个。</w:t>
      </w:r>
    </w:p>
    <w:p w14:paraId="70B93CA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7、保护穿刺器：3个。</w:t>
      </w:r>
    </w:p>
    <w:p w14:paraId="60DC042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8、气腹针：3个。</w:t>
      </w:r>
    </w:p>
    <w:p w14:paraId="59FAE39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9、弯分离钳及大直角分离钳：3把。</w:t>
      </w:r>
    </w:p>
    <w:p w14:paraId="56F850D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10、粗齿无损伤抓钳：1把。</w:t>
      </w:r>
    </w:p>
    <w:p w14:paraId="5D1CC86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11、系膜抓钳及肠抓钳：2把。</w:t>
      </w:r>
    </w:p>
    <w:p w14:paraId="38F307F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12、胆囊抓钳及取物钳：2把。</w:t>
      </w:r>
    </w:p>
    <w:p w14:paraId="2C867FF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13、输卵管钳：1把。</w:t>
      </w:r>
    </w:p>
    <w:p w14:paraId="3FDDA06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14、转换器：6个。</w:t>
      </w:r>
    </w:p>
    <w:p w14:paraId="381C089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15、双极细齿电凝钳及鸭嘴抓钳：3把。</w:t>
      </w:r>
    </w:p>
    <w:p w14:paraId="7FE4109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16、钩状单极电凝及铲状单极电凝：2个。</w:t>
      </w:r>
    </w:p>
    <w:p w14:paraId="41D0AE7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17、单极高频电线及双极高频电线：4根。</w:t>
      </w:r>
    </w:p>
    <w:p w14:paraId="421ED12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18、三通冲洗管：1个。</w:t>
      </w:r>
    </w:p>
    <w:p w14:paraId="59F3AF1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19、五叶钳及钛夹钳：2把。</w:t>
      </w:r>
    </w:p>
    <w:p w14:paraId="7BABAC8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20、施夹器：2把。</w:t>
      </w:r>
    </w:p>
    <w:p w14:paraId="7880F69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21、直V持针器（左弯）：1把。</w:t>
      </w:r>
    </w:p>
    <w:p w14:paraId="2F766FC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22、穿刺针：1个。</w:t>
      </w:r>
    </w:p>
    <w:p w14:paraId="0140759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23、哈巴狗抓钳：2把。</w:t>
      </w:r>
    </w:p>
    <w:p w14:paraId="5B433B2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24、输出终端：1台。</w:t>
      </w:r>
    </w:p>
    <w:p w14:paraId="43C5A49C">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第2包  品目2-2  微波治疗仪 </w:t>
      </w:r>
    </w:p>
    <w:p w14:paraId="5DC0FB7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一、数量：1台套</w:t>
      </w:r>
    </w:p>
    <w:p w14:paraId="05CBBF7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二、设备用途：前列腺炎、前列腺良性增生的治疗。</w:t>
      </w:r>
    </w:p>
    <w:p w14:paraId="1C04BC5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1F200B4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（一）、临床需求</w:t>
      </w:r>
    </w:p>
    <w:p w14:paraId="1EBAFB7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1、辅助治疗前列腺炎、前列腺良性增生症（注册证需有明确适用范围）。</w:t>
      </w:r>
    </w:p>
    <w:p w14:paraId="1C308C3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2、使用体外高频的治疗方式，配置前列腺治疗专用辐射器。</w:t>
      </w:r>
    </w:p>
    <w:p w14:paraId="67FB992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3、配置前列腺专用座椅，方便患者调整治疗坐姿。</w:t>
      </w:r>
    </w:p>
    <w:p w14:paraId="36D2BFD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（二）、技术参数</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ab/>
      </w:r>
    </w:p>
    <w:p w14:paraId="0202D68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▲1、工作频率：433MHz或2450MHz。</w:t>
      </w:r>
    </w:p>
    <w:p w14:paraId="66001E4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▲2、微波发射源：固态模块发射机。</w:t>
      </w:r>
    </w:p>
    <w:p w14:paraId="45066F25">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3、工作方式：连续波输出及脉冲调制波输出。</w:t>
      </w:r>
    </w:p>
    <w:p w14:paraId="3D9B5BE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▲4、调制频率：≥4种固定频率分档可调。</w:t>
      </w:r>
    </w:p>
    <w:p w14:paraId="720B861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5、脉冲调制占空比：50%，误差≤±10%。</w:t>
      </w:r>
    </w:p>
    <w:p w14:paraId="3AB337E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6、输出功率：≤15W且连续可调（50Ω负载），步进0.1W。</w:t>
      </w:r>
    </w:p>
    <w:p w14:paraId="38F85299">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7、驻波比：≤1.5。</w:t>
      </w:r>
    </w:p>
    <w:p w14:paraId="592DF82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8、定时时间：1-30分钟连续可调，步进为1分钟。</w:t>
      </w:r>
    </w:p>
    <w:p w14:paraId="658AF8B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9、测温系统：数字式智能温度传感器。</w:t>
      </w:r>
    </w:p>
    <w:p w14:paraId="05CF6AE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10、测温范围：10-50℃，测温精度为±1℃。</w:t>
      </w:r>
    </w:p>
    <w:p w14:paraId="7BD56D4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11、控温范围：30-50℃，控温精度为±2℃。</w:t>
      </w:r>
    </w:p>
    <w:p w14:paraId="7B382BFF">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12、超温报警：温度达到设定值应自动报警并停止工作。</w:t>
      </w:r>
    </w:p>
    <w:p w14:paraId="344AF8F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13、显示屏：触摸式液晶显示屏，全中文菜单。</w:t>
      </w:r>
    </w:p>
    <w:p w14:paraId="4099BAF1">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14、样式：立式。</w:t>
      </w:r>
    </w:p>
    <w:p w14:paraId="5FDF99FD">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3DE98A9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1、主机：1台。</w:t>
      </w:r>
    </w:p>
    <w:p w14:paraId="224C6C2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2、前列腺专用辐射探头：1副。</w:t>
      </w:r>
    </w:p>
    <w:p w14:paraId="2E7A31E2">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3、线极化理疗探头：1副。</w:t>
      </w:r>
    </w:p>
    <w:p w14:paraId="08CF2B2A">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4、固定绑带：4包。</w:t>
      </w:r>
    </w:p>
    <w:p w14:paraId="75E797E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5、前列腺专用坐椅：1个。</w:t>
      </w:r>
    </w:p>
    <w:p w14:paraId="37042635">
      <w:pPr>
        <w:adjustRightInd w:val="0"/>
        <w:snapToGrid w:val="0"/>
        <w:spacing w:line="360" w:lineRule="auto"/>
        <w:jc w:val="center"/>
        <w:rPr>
          <w:rFonts w:ascii="仿宋" w:hAnsi="仿宋" w:eastAsia="仿宋" w:cs="仿宋"/>
          <w:b/>
          <w:bCs/>
          <w:color w:val="auto"/>
          <w:sz w:val="24"/>
          <w:highlight w:val="none"/>
        </w:rPr>
      </w:pPr>
      <w:r>
        <w:rPr>
          <w:rFonts w:hint="eastAsia" w:ascii="仿宋" w:hAnsi="仿宋" w:eastAsia="仿宋" w:cs="仿宋"/>
          <w:b/>
          <w:bCs/>
          <w:color w:val="auto"/>
          <w:sz w:val="24"/>
          <w:highlight w:val="none"/>
        </w:rPr>
        <w:t>第9包  品目9-1  超声骨密度仪</w:t>
      </w:r>
    </w:p>
    <w:p w14:paraId="6D6A5E8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一、数量：1套</w:t>
      </w:r>
    </w:p>
    <w:p w14:paraId="41DF7D3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二、设备用途：主要用于无创检测骨密度值，辅助早期诊断骨质疏松、评估骨折风险、监测骨质变化。</w:t>
      </w:r>
    </w:p>
    <w:p w14:paraId="619089C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三、技术要求：</w:t>
      </w:r>
    </w:p>
    <w:p w14:paraId="33A4A7F5">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1、检测部位：桡骨、胫骨。</w:t>
      </w:r>
    </w:p>
    <w:p w14:paraId="0C9588D9">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2、测量参数应至少包含SOS值、T值、Z值、趋势图、10年内发生骨折概率、预计发生骨质疏松年龄。</w:t>
      </w:r>
    </w:p>
    <w:p w14:paraId="18A145B9">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3、超声工作频率：标称声工作频率为1.25MHz，实际的偏差应≤±15%。</w:t>
      </w:r>
    </w:p>
    <w:p w14:paraId="26980CFC">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▲4、可支持的探头种类≥4种。</w:t>
      </w:r>
    </w:p>
    <w:p w14:paraId="5DC33079">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5、声速测量误差：≤±1.5%。</w:t>
      </w:r>
    </w:p>
    <w:p w14:paraId="260ECA65">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▲6、测量重复性：≤±0.15%。 </w:t>
      </w:r>
    </w:p>
    <w:p w14:paraId="782BD322">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7、检测速度：单点检测速度≤0.4s，单次测量时间≤10秒。</w:t>
      </w:r>
    </w:p>
    <w:p w14:paraId="7F93BB8C">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8、超声声速值显示范围：≥2000-5000m/s。</w:t>
      </w:r>
    </w:p>
    <w:p w14:paraId="115EE7A1">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9、设备为安卓触控屏一体机。</w:t>
      </w:r>
    </w:p>
    <w:p w14:paraId="7EC77C9E">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10、软件界面实时显示探头与骨骼之间的3个轴向的角度（俯仰角、侧偏角、偏航角）及示意图，实时可视探头与皮肤接触状态。</w:t>
      </w:r>
    </w:p>
    <w:p w14:paraId="78D08987">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11、探头导航角度范围：X轴和Z轴≥±165，Y轴≥±75°。</w:t>
      </w:r>
    </w:p>
    <w:p w14:paraId="578FAF7D">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12、探头导航角度分辨率：X轴和Y轴为0.1°，Z轴为0.5°。</w:t>
      </w:r>
    </w:p>
    <w:p w14:paraId="7E4A08A2">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13、探头导航角度零漂：X轴和Y轴≤0.2°，Z轴≤1.0°。</w:t>
      </w:r>
    </w:p>
    <w:p w14:paraId="7A2F97B3">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14、视频播放：儿童检查时播放动画片分散儿童注意力，动画片内容可更换、增减。</w:t>
      </w:r>
    </w:p>
    <w:p w14:paraId="2757633B">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15、数据联网方式：至少应支持RJ45、WIFI、4G物联网等方式。</w:t>
      </w:r>
    </w:p>
    <w:p w14:paraId="5A9C4EAF">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16、支持DB（SQL Server、Oracle、MySql、Postgre SQL）、HTTP/HTTPS、WebService数据接口，将检测数据传输至医院网络系统。</w:t>
      </w:r>
    </w:p>
    <w:p w14:paraId="235F7D7E">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17、实时显示骨质声速值、测量次数、测量时间。</w:t>
      </w:r>
    </w:p>
    <w:p w14:paraId="46CC4C2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18、档案管理功能：可实现显示档案、档案检索、档案选择、打印报告、保存报告、导出Excel、删除、备份、恢复、批量建档、回收站等功能。</w:t>
      </w:r>
    </w:p>
    <w:p w14:paraId="1EA846A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19、适合中国人标准的数据库，支持0-100岁人群。</w:t>
      </w:r>
    </w:p>
    <w:p w14:paraId="44BAF30F">
      <w:pPr>
        <w:adjustRightInd w:val="0"/>
        <w:snapToGrid w:val="0"/>
        <w:spacing w:line="360" w:lineRule="auto"/>
        <w:jc w:val="left"/>
        <w:rPr>
          <w:rFonts w:ascii="仿宋" w:hAnsi="仿宋" w:eastAsia="仿宋" w:cs="仿宋"/>
          <w:color w:val="auto"/>
          <w:sz w:val="24"/>
          <w:highlight w:val="none"/>
        </w:rPr>
      </w:pPr>
      <w:r>
        <w:rPr>
          <w:rFonts w:hint="eastAsia" w:ascii="仿宋" w:hAnsi="仿宋" w:eastAsia="仿宋" w:cs="仿宋"/>
          <w:color w:val="auto"/>
          <w:sz w:val="24"/>
          <w:highlight w:val="none"/>
        </w:rPr>
        <w:t>20、内置由世界卫生组织（WHO）推荐的用于评估骨折风险的预测工具（FRAX评估）。</w:t>
      </w:r>
    </w:p>
    <w:p w14:paraId="0EFAAF8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21、随机配有专用校验模块。</w:t>
      </w:r>
    </w:p>
    <w:p w14:paraId="31867B18">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22、双屏功能：可以额外拓展显示屏，支持检测动画、检测曲线分屏显示。</w:t>
      </w:r>
    </w:p>
    <w:p w14:paraId="166D7F0B">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▲23、数据管理功能：能够接收身高体重测量仪、全自动电子血压计、动脉硬化检测仪、人体成分分析仪及肺功能仪的检测结果，进行健康信息整合管理。</w:t>
      </w:r>
    </w:p>
    <w:p w14:paraId="0881B46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24、具备报告单自定义功能。</w:t>
      </w:r>
    </w:p>
    <w:p w14:paraId="2AF3BA4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25、设备有效使用年限≥10年。</w:t>
      </w:r>
    </w:p>
    <w:p w14:paraId="3D0EA01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26、输出终端：</w:t>
      </w:r>
    </w:p>
    <w:p w14:paraId="06FE65C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26.1、A4黑白激光图文输出设备。</w:t>
      </w:r>
    </w:p>
    <w:p w14:paraId="5EF0CCE7">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26.2、连接：标配USB2.0接口。</w:t>
      </w:r>
    </w:p>
    <w:p w14:paraId="64245656">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26.3、</w:t>
      </w:r>
      <w:r>
        <w:rPr>
          <w:rFonts w:ascii="仿宋" w:hAnsi="仿宋" w:eastAsia="仿宋" w:cs="仿宋"/>
          <w:color w:val="auto"/>
          <w:sz w:val="24"/>
          <w:highlight w:val="none"/>
        </w:rPr>
        <w:t>打印分辨率</w:t>
      </w:r>
      <w:r>
        <w:rPr>
          <w:rFonts w:hint="eastAsia" w:ascii="仿宋" w:hAnsi="仿宋" w:eastAsia="仿宋" w:cs="仿宋"/>
          <w:color w:val="auto"/>
          <w:sz w:val="24"/>
          <w:highlight w:val="none"/>
        </w:rPr>
        <w:t>：</w:t>
      </w:r>
      <w:r>
        <w:rPr>
          <w:rFonts w:ascii="仿宋" w:hAnsi="仿宋" w:eastAsia="仿宋" w:cs="仿宋"/>
          <w:color w:val="auto"/>
          <w:sz w:val="24"/>
          <w:highlight w:val="none"/>
        </w:rPr>
        <w:t>≥1200×1200dpi</w:t>
      </w:r>
      <w:r>
        <w:rPr>
          <w:rFonts w:hint="eastAsia" w:ascii="仿宋" w:hAnsi="仿宋" w:eastAsia="仿宋" w:cs="仿宋"/>
          <w:color w:val="auto"/>
          <w:sz w:val="24"/>
          <w:highlight w:val="none"/>
        </w:rPr>
        <w:t>。</w:t>
      </w:r>
    </w:p>
    <w:p w14:paraId="5E62148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26.4、</w:t>
      </w:r>
      <w:r>
        <w:rPr>
          <w:rFonts w:ascii="仿宋" w:hAnsi="仿宋" w:eastAsia="仿宋" w:cs="仿宋"/>
          <w:color w:val="auto"/>
          <w:sz w:val="24"/>
          <w:highlight w:val="none"/>
        </w:rPr>
        <w:t>能打印含曲线图的检查报告</w:t>
      </w:r>
      <w:r>
        <w:rPr>
          <w:rFonts w:hint="eastAsia" w:ascii="仿宋" w:hAnsi="仿宋" w:eastAsia="仿宋" w:cs="仿宋"/>
          <w:color w:val="auto"/>
          <w:sz w:val="24"/>
          <w:highlight w:val="none"/>
        </w:rPr>
        <w:t>。</w:t>
      </w:r>
    </w:p>
    <w:p w14:paraId="74386A4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26.5、</w:t>
      </w:r>
      <w:r>
        <w:rPr>
          <w:rFonts w:ascii="仿宋" w:hAnsi="仿宋" w:eastAsia="仿宋" w:cs="仿宋"/>
          <w:color w:val="auto"/>
          <w:sz w:val="24"/>
          <w:highlight w:val="none"/>
        </w:rPr>
        <w:t>标配≥250页进纸盒，支持自动双面打印</w:t>
      </w:r>
      <w:r>
        <w:rPr>
          <w:rFonts w:hint="eastAsia" w:ascii="仿宋" w:hAnsi="仿宋" w:eastAsia="仿宋" w:cs="仿宋"/>
          <w:color w:val="auto"/>
          <w:sz w:val="24"/>
          <w:highlight w:val="none"/>
        </w:rPr>
        <w:t>。</w:t>
      </w:r>
    </w:p>
    <w:p w14:paraId="7F177F14">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四、主要配置：</w:t>
      </w:r>
    </w:p>
    <w:p w14:paraId="1B5FBF2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1、主机：1台。</w:t>
      </w:r>
    </w:p>
    <w:p w14:paraId="1B818B1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2、平面探头：1把。</w:t>
      </w:r>
    </w:p>
    <w:p w14:paraId="0334C8A0">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3、U型探头：1把。</w:t>
      </w:r>
    </w:p>
    <w:p w14:paraId="28FC168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4、校验透明块：1个。</w:t>
      </w:r>
    </w:p>
    <w:p w14:paraId="6858A02E">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5、扩展液晶显示终端：1个。</w:t>
      </w:r>
    </w:p>
    <w:p w14:paraId="13545E53">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6、输出终端：1台。</w:t>
      </w:r>
    </w:p>
    <w:p w14:paraId="3939559C">
      <w:pPr>
        <w:adjustRightInd w:val="0"/>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7、台车：1台。</w:t>
      </w:r>
    </w:p>
    <w:bookmarkEnd w:id="7"/>
    <w:p w14:paraId="0832B421">
      <w:pPr>
        <w:adjustRightInd w:val="0"/>
        <w:snapToGrid w:val="0"/>
        <w:spacing w:line="360" w:lineRule="auto"/>
        <w:ind w:firstLine="562" w:firstLineChars="200"/>
        <w:rPr>
          <w:rFonts w:ascii="仿宋" w:hAnsi="仿宋" w:eastAsia="仿宋" w:cs="仿宋"/>
          <w:b/>
          <w:color w:val="auto"/>
          <w:sz w:val="28"/>
          <w:szCs w:val="28"/>
          <w:highlight w:val="none"/>
        </w:rPr>
      </w:pPr>
      <w:bookmarkStart w:id="8" w:name="OLE_LINK103"/>
      <w:bookmarkStart w:id="9" w:name="OLE_LINK102"/>
      <w:r>
        <w:rPr>
          <w:rFonts w:hint="eastAsia" w:ascii="仿宋" w:hAnsi="仿宋" w:eastAsia="仿宋" w:cs="仿宋"/>
          <w:b/>
          <w:color w:val="auto"/>
          <w:sz w:val="28"/>
          <w:szCs w:val="28"/>
          <w:highlight w:val="none"/>
        </w:rPr>
        <w:t>2、采购标的需满足的服务标准、期限、效率等要求</w:t>
      </w:r>
      <w:bookmarkEnd w:id="8"/>
      <w:bookmarkEnd w:id="9"/>
      <w:r>
        <w:rPr>
          <w:rFonts w:hint="eastAsia" w:ascii="仿宋" w:hAnsi="仿宋" w:eastAsia="仿宋" w:cs="仿宋"/>
          <w:b/>
          <w:color w:val="auto"/>
          <w:sz w:val="28"/>
          <w:szCs w:val="28"/>
          <w:highlight w:val="none"/>
        </w:rPr>
        <w:t>；</w:t>
      </w:r>
    </w:p>
    <w:p w14:paraId="77E1EC59">
      <w:pPr>
        <w:adjustRightInd w:val="0"/>
        <w:snapToGrid w:val="0"/>
        <w:spacing w:line="360" w:lineRule="auto"/>
        <w:ind w:firstLine="490" w:firstLineChars="175"/>
        <w:rPr>
          <w:rFonts w:ascii="仿宋" w:hAnsi="仿宋" w:eastAsia="仿宋"/>
          <w:color w:val="auto"/>
          <w:sz w:val="28"/>
          <w:szCs w:val="28"/>
          <w:highlight w:val="none"/>
        </w:rPr>
      </w:pPr>
      <w:r>
        <w:rPr>
          <w:rFonts w:ascii="仿宋" w:hAnsi="仿宋" w:eastAsia="仿宋" w:cs="仿宋"/>
          <w:bCs/>
          <w:color w:val="auto"/>
          <w:sz w:val="28"/>
          <w:szCs w:val="28"/>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8"/>
          <w:szCs w:val="28"/>
          <w:highlight w:val="none"/>
        </w:rPr>
        <w:t>并保证投标产品停产后10年的备件供应</w:t>
      </w:r>
      <w:r>
        <w:rPr>
          <w:rFonts w:ascii="仿宋" w:hAnsi="仿宋" w:eastAsia="仿宋"/>
          <w:bCs/>
          <w:color w:val="auto"/>
          <w:sz w:val="28"/>
          <w:szCs w:val="28"/>
          <w:highlight w:val="none"/>
        </w:rPr>
        <w:t>。</w:t>
      </w:r>
    </w:p>
    <w:p w14:paraId="00338B38">
      <w:pPr>
        <w:adjustRightInd w:val="0"/>
        <w:snapToGrid w:val="0"/>
        <w:spacing w:line="360" w:lineRule="auto"/>
        <w:ind w:firstLine="490" w:firstLineChars="175"/>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2.2、投标人应保证提供投标货物专用的软件和相应数据库资料的终身免费升级服务。</w:t>
      </w:r>
    </w:p>
    <w:p w14:paraId="1BC59398">
      <w:pPr>
        <w:adjustRightInd w:val="0"/>
        <w:snapToGrid w:val="0"/>
        <w:spacing w:line="360" w:lineRule="auto"/>
        <w:ind w:firstLine="562" w:firstLineChars="200"/>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3、为落实政府采购政策需满足的要求；</w:t>
      </w:r>
    </w:p>
    <w:p w14:paraId="7C334E0E">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6D3972C">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37DFA110">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3B0D6EA5">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95E5E41">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0AE6C38F">
      <w:pPr>
        <w:adjustRightInd w:val="0"/>
        <w:snapToGrid w:val="0"/>
        <w:spacing w:line="360" w:lineRule="auto"/>
        <w:ind w:firstLine="560" w:firstLineChars="200"/>
        <w:rPr>
          <w:rFonts w:ascii="仿宋" w:hAnsi="仿宋" w:eastAsia="仿宋" w:cs="仿宋"/>
          <w:bCs/>
          <w:color w:val="auto"/>
          <w:sz w:val="28"/>
          <w:szCs w:val="28"/>
          <w:highlight w:val="none"/>
        </w:rPr>
      </w:pPr>
      <w:bookmarkStart w:id="10" w:name="OLE_LINK113"/>
      <w:r>
        <w:rPr>
          <w:rFonts w:hint="eastAsia" w:ascii="仿宋" w:hAnsi="仿宋" w:eastAsia="仿宋" w:cs="仿宋"/>
          <w:bCs/>
          <w:color w:val="auto"/>
          <w:sz w:val="28"/>
          <w:szCs w:val="28"/>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1" w:name="OLE_LINK56"/>
      <w:bookmarkStart w:id="12" w:name="OLE_LINK55"/>
      <w:r>
        <w:rPr>
          <w:rFonts w:hint="eastAsia" w:ascii="仿宋" w:hAnsi="仿宋" w:eastAsia="仿宋" w:cs="仿宋"/>
          <w:b/>
          <w:bCs/>
          <w:color w:val="auto"/>
          <w:sz w:val="28"/>
          <w:szCs w:val="28"/>
          <w:highlight w:val="none"/>
        </w:rPr>
        <w:t>投标人</w:t>
      </w:r>
      <w:bookmarkEnd w:id="11"/>
      <w:bookmarkEnd w:id="12"/>
      <w:r>
        <w:rPr>
          <w:rFonts w:hint="eastAsia" w:ascii="仿宋" w:hAnsi="仿宋" w:eastAsia="仿宋" w:cs="仿宋"/>
          <w:b/>
          <w:bCs/>
          <w:color w:val="auto"/>
          <w:sz w:val="28"/>
          <w:szCs w:val="28"/>
          <w:highlight w:val="none"/>
        </w:rPr>
        <w:t>应出具招标文件要求的证明材料给予证明，否则评标时不予认可。投标人应对提交的证明材料真实性负责，</w:t>
      </w:r>
      <w:r>
        <w:rPr>
          <w:rFonts w:hint="eastAsia" w:ascii="仿宋" w:hAnsi="仿宋" w:eastAsia="仿宋" w:cs="仿宋"/>
          <w:bCs/>
          <w:color w:val="auto"/>
          <w:sz w:val="28"/>
          <w:szCs w:val="28"/>
          <w:highlight w:val="none"/>
        </w:rPr>
        <w:t>提交证明材料不真实的，应承担相应的法律责任。</w:t>
      </w:r>
      <w:bookmarkEnd w:id="10"/>
    </w:p>
    <w:p w14:paraId="4342FEA6">
      <w:pPr>
        <w:adjustRightInd w:val="0"/>
        <w:snapToGrid w:val="0"/>
        <w:spacing w:line="360" w:lineRule="auto"/>
        <w:ind w:firstLine="562" w:firstLineChars="200"/>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4、采购标的的其他技术、服务等要求；</w:t>
      </w:r>
    </w:p>
    <w:p w14:paraId="24CC5A86">
      <w:pPr>
        <w:adjustRightInd w:val="0"/>
        <w:snapToGrid w:val="0"/>
        <w:spacing w:line="360" w:lineRule="auto"/>
        <w:ind w:firstLine="492" w:firstLineChars="175"/>
        <w:rPr>
          <w:rFonts w:ascii="仿宋" w:hAnsi="仿宋" w:eastAsia="仿宋"/>
          <w:b/>
          <w:color w:val="auto"/>
          <w:sz w:val="28"/>
          <w:szCs w:val="28"/>
          <w:highlight w:val="none"/>
        </w:rPr>
      </w:pPr>
      <w:r>
        <w:rPr>
          <w:rFonts w:hint="eastAsia" w:ascii="仿宋" w:hAnsi="仿宋" w:eastAsia="仿宋"/>
          <w:b/>
          <w:color w:val="auto"/>
          <w:sz w:val="28"/>
          <w:szCs w:val="28"/>
          <w:highlight w:val="none"/>
        </w:rPr>
        <w:t>4.1对于技术规格中标注“★”号的技术参数代表实质性指标，不满足该指标项将直接导致投标被拒绝。</w:t>
      </w:r>
    </w:p>
    <w:p w14:paraId="3DFBE491">
      <w:pPr>
        <w:adjustRightInd w:val="0"/>
        <w:snapToGrid w:val="0"/>
        <w:spacing w:line="360" w:lineRule="auto"/>
        <w:ind w:firstLine="492" w:firstLineChars="175"/>
        <w:rPr>
          <w:rFonts w:ascii="仿宋" w:hAnsi="仿宋" w:eastAsia="仿宋"/>
          <w:b/>
          <w:color w:val="auto"/>
          <w:sz w:val="28"/>
          <w:szCs w:val="28"/>
          <w:highlight w:val="none"/>
        </w:rPr>
      </w:pPr>
      <w:r>
        <w:rPr>
          <w:rFonts w:hint="eastAsia" w:ascii="仿宋" w:hAnsi="仿宋" w:eastAsia="仿宋"/>
          <w:b/>
          <w:color w:val="auto"/>
          <w:sz w:val="28"/>
          <w:szCs w:val="28"/>
          <w:highlight w:val="none"/>
        </w:rPr>
        <w:t>4.2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07E44E8A">
      <w:pPr>
        <w:tabs>
          <w:tab w:val="left" w:pos="420"/>
        </w:tabs>
        <w:adjustRightInd w:val="0"/>
        <w:snapToGrid w:val="0"/>
        <w:spacing w:line="360" w:lineRule="auto"/>
        <w:ind w:firstLine="492" w:firstLineChars="175"/>
        <w:rPr>
          <w:rFonts w:ascii="仿宋" w:hAnsi="仿宋" w:eastAsia="仿宋"/>
          <w:b/>
          <w:color w:val="auto"/>
          <w:sz w:val="28"/>
          <w:szCs w:val="28"/>
          <w:highlight w:val="none"/>
        </w:rPr>
      </w:pPr>
      <w:r>
        <w:rPr>
          <w:rFonts w:hint="eastAsia" w:ascii="仿宋" w:hAnsi="仿宋" w:eastAsia="仿宋"/>
          <w:b/>
          <w:color w:val="auto"/>
          <w:sz w:val="28"/>
          <w:szCs w:val="28"/>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78818669">
      <w:pPr>
        <w:adjustRightInd w:val="0"/>
        <w:snapToGrid w:val="0"/>
        <w:spacing w:line="360" w:lineRule="auto"/>
        <w:ind w:firstLine="562" w:firstLineChars="200"/>
        <w:rPr>
          <w:rFonts w:ascii="仿宋" w:hAnsi="仿宋" w:eastAsia="仿宋"/>
          <w:b/>
          <w:color w:val="auto"/>
          <w:sz w:val="28"/>
          <w:szCs w:val="28"/>
          <w:highlight w:val="none"/>
        </w:rPr>
      </w:pPr>
      <w:r>
        <w:rPr>
          <w:rFonts w:hint="eastAsia" w:ascii="仿宋" w:hAnsi="仿宋" w:eastAsia="仿宋"/>
          <w:b/>
          <w:color w:val="auto"/>
          <w:sz w:val="28"/>
          <w:szCs w:val="28"/>
          <w:highlight w:val="none"/>
        </w:rPr>
        <w:t>4.3</w:t>
      </w:r>
      <w:r>
        <w:rPr>
          <w:rFonts w:hint="eastAsia" w:ascii="仿宋" w:hAnsi="仿宋" w:eastAsia="仿宋" w:cs="仿宋"/>
          <w:b/>
          <w:bCs/>
          <w:color w:val="auto"/>
          <w:sz w:val="28"/>
          <w:szCs w:val="28"/>
          <w:highlight w:val="none"/>
        </w:rPr>
        <w:t>供货及安装要求</w:t>
      </w:r>
      <w:r>
        <w:rPr>
          <w:rFonts w:hint="eastAsia" w:ascii="仿宋" w:hAnsi="仿宋" w:eastAsia="仿宋" w:cs="仿宋"/>
          <w:b/>
          <w:bCs/>
          <w:color w:val="auto"/>
          <w:sz w:val="28"/>
          <w:szCs w:val="28"/>
          <w:highlight w:val="none"/>
        </w:rPr>
        <w:tab/>
      </w:r>
    </w:p>
    <w:p w14:paraId="416EA0A3">
      <w:pPr>
        <w:adjustRightInd w:val="0"/>
        <w:snapToGrid w:val="0"/>
        <w:spacing w:line="360" w:lineRule="auto"/>
        <w:ind w:firstLine="560" w:firstLineChars="200"/>
        <w:rPr>
          <w:rFonts w:ascii="仿宋" w:hAnsi="仿宋" w:eastAsia="仿宋" w:cs="仿宋"/>
          <w:bCs/>
          <w:color w:val="auto"/>
          <w:sz w:val="28"/>
          <w:szCs w:val="28"/>
          <w:highlight w:val="none"/>
        </w:rPr>
      </w:pPr>
      <w:bookmarkStart w:id="13" w:name="OLE_LINK202"/>
      <w:bookmarkStart w:id="14" w:name="OLE_LINK203"/>
      <w:r>
        <w:rPr>
          <w:rFonts w:hint="eastAsia" w:ascii="仿宋" w:hAnsi="仿宋" w:eastAsia="仿宋" w:cs="仿宋"/>
          <w:bCs/>
          <w:color w:val="auto"/>
          <w:sz w:val="28"/>
          <w:szCs w:val="28"/>
          <w:highlight w:val="none"/>
        </w:rPr>
        <w:t>4.3.1、</w:t>
      </w:r>
      <w:bookmarkEnd w:id="13"/>
      <w:bookmarkEnd w:id="14"/>
      <w:r>
        <w:rPr>
          <w:rFonts w:hint="eastAsia" w:ascii="仿宋" w:hAnsi="仿宋" w:eastAsia="仿宋" w:cs="仿宋"/>
          <w:bCs/>
          <w:color w:val="auto"/>
          <w:sz w:val="28"/>
          <w:szCs w:val="28"/>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5321A40C">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07A7CA73">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4.3.3、投标人所提供的部件之间及设备之间的连线或接插件均视为设备内部部件，应包含在相应的配置中。</w:t>
      </w:r>
    </w:p>
    <w:p w14:paraId="4670355C">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4.3.4、工作条件：除了在技术规格中另有规定外，投标人提供的一切仪器、设备和系统，应符合下列条件：</w:t>
      </w:r>
    </w:p>
    <w:p w14:paraId="54458CC1">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1）仪器设备的插头要符合中国电工标准。如不符合，则应提供适合仪器插头的插座，必须要有接地。</w:t>
      </w:r>
    </w:p>
    <w:p w14:paraId="26204132">
      <w:pPr>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2）如果仪器设备需特殊的工作条件（如：水、电源、磁场强度、特殊温度、湿度、震动强度等），投标人应在有关投标文件中加以说明。</w:t>
      </w:r>
    </w:p>
    <w:p w14:paraId="3194342C">
      <w:pPr>
        <w:widowControl/>
        <w:adjustRightInd w:val="0"/>
        <w:snapToGrid w:val="0"/>
        <w:spacing w:line="360" w:lineRule="auto"/>
        <w:ind w:firstLine="560" w:firstLineChars="200"/>
        <w:jc w:val="left"/>
        <w:rPr>
          <w:rFonts w:ascii="仿宋" w:hAnsi="仿宋" w:eastAsia="仿宋"/>
          <w:color w:val="auto"/>
          <w:sz w:val="28"/>
          <w:szCs w:val="28"/>
          <w:highlight w:val="none"/>
        </w:rPr>
      </w:pPr>
      <w:r>
        <w:rPr>
          <w:rFonts w:hint="eastAsia" w:ascii="仿宋" w:hAnsi="仿宋" w:eastAsia="仿宋"/>
          <w:color w:val="auto"/>
          <w:sz w:val="28"/>
          <w:szCs w:val="28"/>
          <w:highlight w:val="none"/>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b/>
          <w:color w:val="auto"/>
          <w:sz w:val="28"/>
          <w:szCs w:val="28"/>
          <w:highlight w:val="none"/>
        </w:rPr>
        <w:t>应包括对培训内容、培训对象、培训时间做出计划，包括培训时间、地点、人次、方式、预计培训结果等</w:t>
      </w:r>
      <w:r>
        <w:rPr>
          <w:rFonts w:hint="eastAsia" w:ascii="仿宋" w:hAnsi="仿宋" w:eastAsia="仿宋"/>
          <w:color w:val="auto"/>
          <w:sz w:val="28"/>
          <w:szCs w:val="28"/>
          <w:highlight w:val="none"/>
        </w:rPr>
        <w:t>）。培训教员的差旅费、食宿费、培训教材等费用，应计入投标报价。</w:t>
      </w:r>
    </w:p>
    <w:p w14:paraId="11A1ED33">
      <w:pPr>
        <w:adjustRightInd w:val="0"/>
        <w:snapToGrid w:val="0"/>
        <w:spacing w:line="360" w:lineRule="auto"/>
        <w:ind w:firstLine="562" w:firstLineChars="200"/>
        <w:jc w:val="left"/>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5、需由投标人提供设计方案、解决方案或者组织方案的采购项目，应当说明采购标的的功能、应用场景、目标等基本要求</w:t>
      </w:r>
    </w:p>
    <w:p w14:paraId="39B2DB60">
      <w:pPr>
        <w:adjustRightInd w:val="0"/>
        <w:snapToGrid w:val="0"/>
        <w:spacing w:line="360" w:lineRule="auto"/>
        <w:ind w:firstLine="560" w:firstLineChars="200"/>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无</w:t>
      </w:r>
    </w:p>
    <w:p w14:paraId="71100936">
      <w:pPr>
        <w:adjustRightInd w:val="0"/>
        <w:snapToGrid w:val="0"/>
        <w:spacing w:line="360" w:lineRule="auto"/>
        <w:ind w:firstLine="562" w:firstLineChars="200"/>
        <w:jc w:val="lef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（三）验收标准</w:t>
      </w:r>
    </w:p>
    <w:p w14:paraId="755178D6">
      <w:pPr>
        <w:tabs>
          <w:tab w:val="left" w:pos="900"/>
        </w:tabs>
        <w:adjustRightInd w:val="0"/>
        <w:snapToGrid w:val="0"/>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33B9234F">
      <w:pPr>
        <w:tabs>
          <w:tab w:val="left" w:pos="900"/>
        </w:tabs>
        <w:adjustRightInd w:val="0"/>
        <w:snapToGrid w:val="0"/>
        <w:spacing w:line="360" w:lineRule="auto"/>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597A7B9C">
      <w:pPr>
        <w:tabs>
          <w:tab w:val="left" w:pos="900"/>
        </w:tabs>
        <w:adjustRightInd w:val="0"/>
        <w:snapToGrid w:val="0"/>
        <w:spacing w:line="360" w:lineRule="auto"/>
        <w:ind w:firstLine="560" w:firstLineChars="200"/>
        <w:rPr>
          <w:rFonts w:ascii="仿宋" w:hAnsi="仿宋" w:eastAsia="仿宋" w:cs="仿宋"/>
          <w:bCs/>
          <w:color w:val="auto"/>
          <w:sz w:val="28"/>
          <w:szCs w:val="28"/>
          <w:highlight w:val="none"/>
        </w:rPr>
      </w:pPr>
      <w:r>
        <w:rPr>
          <w:rFonts w:hint="eastAsia" w:ascii="仿宋" w:hAnsi="仿宋" w:eastAsia="仿宋"/>
          <w:color w:val="auto"/>
          <w:sz w:val="28"/>
          <w:szCs w:val="28"/>
          <w:highlight w:val="none"/>
        </w:rPr>
        <w:t>3、投标人应负责使所供计量仪器通过计量部门的验收，并承担相关费用（包括运费）。若需要，应在检测期间提供备用仪器，以便不影响采购人的使用。</w:t>
      </w:r>
    </w:p>
    <w:p w14:paraId="0F7739F9">
      <w:pPr>
        <w:numPr>
          <w:ilvl w:val="255"/>
          <w:numId w:val="0"/>
        </w:numPr>
        <w:adjustRightInd w:val="0"/>
        <w:snapToGrid w:val="0"/>
        <w:spacing w:line="360" w:lineRule="auto"/>
        <w:ind w:firstLine="562" w:firstLineChars="200"/>
        <w:jc w:val="left"/>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（四）其他要求</w:t>
      </w:r>
    </w:p>
    <w:p w14:paraId="45DE822F">
      <w:r>
        <w:rPr>
          <w:rFonts w:hint="eastAsia" w:ascii="仿宋" w:hAnsi="仿宋" w:eastAsia="仿宋" w:cs="仿宋"/>
          <w:bCs/>
          <w:color w:val="auto"/>
          <w:sz w:val="28"/>
          <w:szCs w:val="28"/>
          <w:highlight w:val="none"/>
        </w:rPr>
        <w:t>无</w:t>
      </w:r>
      <w:r>
        <w:rPr>
          <w:rFonts w:hint="eastAsia" w:ascii="仿宋" w:hAnsi="仿宋" w:eastAsia="仿宋"/>
          <w:color w:val="auto"/>
          <w:sz w:val="28"/>
          <w:szCs w:val="28"/>
          <w:highlight w:val="non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BF3F39"/>
    <w:rsid w:val="38BF3F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tabs>
        <w:tab w:val="left" w:pos="567"/>
      </w:tabs>
      <w:spacing w:before="120" w:line="22" w:lineRule="atLeast"/>
    </w:pPr>
    <w:rPr>
      <w:rFonts w:ascii="宋体" w:hAnsi="宋体"/>
      <w:sz w:val="24"/>
    </w:rPr>
  </w:style>
  <w:style w:type="paragraph" w:styleId="3">
    <w:name w:val="Intense Quote"/>
    <w:basedOn w:val="1"/>
    <w:next w:val="1"/>
    <w:qFormat/>
    <w:uiPriority w:val="30"/>
    <w:pPr>
      <w:pBdr>
        <w:bottom w:val="single" w:color="4F81BD" w:sz="4" w:space="4"/>
      </w:pBdr>
      <w:spacing w:before="200" w:after="280"/>
      <w:ind w:left="936" w:right="936"/>
    </w:pPr>
    <w:rPr>
      <w:rFonts w:eastAsiaTheme="minorEastAsia"/>
      <w:b/>
      <w:bCs/>
      <w:i/>
      <w:iCs/>
      <w:color w:val="4F81BD"/>
      <w:szCs w:val="22"/>
    </w:rPr>
  </w:style>
  <w:style w:type="paragraph" w:styleId="4">
    <w:name w:val="Normal Indent"/>
    <w:basedOn w:val="1"/>
    <w:qFormat/>
    <w:uiPriority w:val="99"/>
    <w:pPr>
      <w:autoSpaceDE w:val="0"/>
      <w:autoSpaceDN w:val="0"/>
      <w:adjustRightInd w:val="0"/>
      <w:ind w:firstLine="420"/>
      <w:jc w:val="left"/>
    </w:pPr>
    <w:rPr>
      <w:rFonts w:ascii="宋体"/>
      <w:sz w:val="24"/>
    </w:rPr>
  </w:style>
  <w:style w:type="paragraph" w:styleId="5">
    <w:name w:val="Body Text Indent"/>
    <w:basedOn w:val="1"/>
    <w:next w:val="6"/>
    <w:qFormat/>
    <w:uiPriority w:val="0"/>
    <w:pPr>
      <w:spacing w:line="360" w:lineRule="auto"/>
      <w:ind w:firstLine="570"/>
    </w:pPr>
    <w:rPr>
      <w:sz w:val="24"/>
    </w:rPr>
  </w:style>
  <w:style w:type="paragraph" w:styleId="6">
    <w:name w:val="envelope return"/>
    <w:basedOn w:val="1"/>
    <w:qFormat/>
    <w:uiPriority w:val="0"/>
    <w:pPr>
      <w:snapToGrid w:val="0"/>
    </w:pPr>
    <w:rPr>
      <w:rFonts w:ascii="Arial" w:hAnsi="Arial"/>
    </w:rPr>
  </w:style>
  <w:style w:type="paragraph" w:styleId="7">
    <w:name w:val="Body Text First Indent 2"/>
    <w:basedOn w:val="5"/>
    <w:next w:val="8"/>
    <w:qFormat/>
    <w:uiPriority w:val="99"/>
    <w:pPr>
      <w:spacing w:after="120" w:line="480" w:lineRule="exact"/>
      <w:ind w:left="420" w:leftChars="200" w:firstLine="420" w:firstLineChars="200"/>
    </w:pPr>
    <w:rPr>
      <w:szCs w:val="20"/>
    </w:rPr>
  </w:style>
  <w:style w:type="paragraph" w:customStyle="1" w:styleId="8">
    <w:name w:val="样式 正文首行缩进 2 + Arial"/>
    <w:basedOn w:val="1"/>
    <w:next w:val="1"/>
    <w:qFormat/>
    <w:uiPriority w:val="0"/>
    <w:pPr>
      <w:spacing w:after="120" w:line="320" w:lineRule="atLeast"/>
      <w:ind w:firstLine="200" w:firstLineChars="200"/>
    </w:pPr>
    <w:rPr>
      <w:rFonts w:ascii="Arial" w:hAnsi="Arial"/>
      <w:kern w:val="0"/>
    </w:rPr>
  </w:style>
  <w:style w:type="paragraph" w:customStyle="1" w:styleId="11">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12">
    <w:name w:val="null3"/>
    <w:hidden/>
    <w:qFormat/>
    <w:uiPriority w:val="0"/>
    <w:pPr>
      <w:spacing w:after="160" w:line="278" w:lineRule="auto"/>
    </w:pPr>
    <w:rPr>
      <w:rFonts w:hint="eastAsia" w:asciiTheme="minorHAnsi" w:hAnsiTheme="minorHAnsi" w:eastAsiaTheme="minorEastAsia" w:cstheme="minorBidi"/>
      <w:lang w:val="en-US" w:eastAsia="zh-CN" w:bidi="ar-SA"/>
    </w:rPr>
  </w:style>
  <w:style w:type="paragraph" w:styleId="13">
    <w:name w:val="List Paragraph"/>
    <w:basedOn w:val="1"/>
    <w:qFormat/>
    <w:uiPriority w:val="1"/>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2026-09-30T06:17:00Z</dcterms:created>
  <dc:creator>亚希Edison</dc:creator>
  <cp:lastModifiedBy>亚希Edison</cp:lastModifiedBy>
  <dcterms:modified xsi:type="dcterms:W3CDTF">2026-09-30T06:19:19Z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85C3683030774FF19A34CD52CD72DD16_11</vt:lpwstr>
  </property>
  <property fmtid="{D5CDD505-2E9C-101B-9397-08002B2CF9AE}" pid="4" name="KSOTemplateDocerSaveRecord">
    <vt:lpwstr>eyJoZGlkIjoiZGE2Mjg2YTZkZTMyMTYwY2M1OTQ5YzJlN2MyYmRjOGEiLCJ1c2VySWQiOiIyNjk3ODg1OTAifQ==</vt:lpwstr>
  </property>
</Properties>
</file>