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45BF8">
      <w:pPr>
        <w:widowControl w:val="0"/>
        <w:tabs>
          <w:tab w:val="left" w:pos="1630"/>
        </w:tabs>
        <w:autoSpaceDE w:val="0"/>
        <w:autoSpaceDN w:val="0"/>
        <w:spacing w:line="460" w:lineRule="exact"/>
        <w:ind w:left="8"/>
        <w:jc w:val="center"/>
        <w:outlineLvl w:val="0"/>
        <w:rPr>
          <w:rFonts w:ascii="宋体" w:hAnsi="宋体" w:eastAsia="宋体" w:cs="宋体"/>
          <w:b/>
          <w:bCs/>
          <w:color w:val="auto"/>
          <w:sz w:val="36"/>
          <w:szCs w:val="36"/>
          <w:highlight w:val="none"/>
          <w:lang w:val="en-US" w:eastAsia="en-US" w:bidi="ar-SA"/>
        </w:rPr>
      </w:pPr>
      <w:r>
        <w:rPr>
          <w:rFonts w:hint="eastAsia" w:ascii="宋体" w:hAnsi="宋体" w:eastAsia="宋体" w:cs="宋体"/>
          <w:b/>
          <w:bCs/>
          <w:color w:val="auto"/>
          <w:sz w:val="36"/>
          <w:szCs w:val="36"/>
          <w:highlight w:val="none"/>
          <w:lang w:val="en-US" w:eastAsia="en-US" w:bidi="ar-SA"/>
        </w:rPr>
        <w:t>采购需求</w:t>
      </w:r>
    </w:p>
    <w:p w14:paraId="5AB393BD">
      <w:pPr>
        <w:rPr>
          <w:rFonts w:ascii="宋体" w:hAnsi="宋体" w:eastAsia="宋体" w:cs="宋体"/>
          <w:color w:val="auto"/>
          <w:highlight w:val="none"/>
        </w:rPr>
      </w:pPr>
    </w:p>
    <w:p w14:paraId="2722924E">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01BA4D8F">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采购标的（货物需求一览表）</w:t>
      </w:r>
    </w:p>
    <w:tbl>
      <w:tblPr>
        <w:tblStyle w:val="8"/>
        <w:tblW w:w="795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3596"/>
        <w:gridCol w:w="1759"/>
        <w:gridCol w:w="1776"/>
      </w:tblGrid>
      <w:tr w14:paraId="0CF17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8EE8">
            <w:pPr>
              <w:widowControl w:val="0"/>
              <w:autoSpaceDE w:val="0"/>
              <w:autoSpaceDN w:val="0"/>
              <w:jc w:val="center"/>
              <w:rPr>
                <w:rFonts w:hint="eastAsia" w:ascii="宋体" w:hAnsi="宋体" w:eastAsia="宋体" w:cs="宋体"/>
                <w:b/>
                <w:bCs/>
                <w:color w:val="auto"/>
                <w:sz w:val="24"/>
                <w:szCs w:val="24"/>
                <w:highlight w:val="none"/>
                <w:lang w:val="en-US" w:eastAsia="zh-CN" w:bidi="ar-SA"/>
              </w:rPr>
            </w:pPr>
            <w:bookmarkStart w:id="0" w:name="RANGE!J9"/>
            <w:r>
              <w:rPr>
                <w:rFonts w:hint="eastAsia" w:ascii="宋体" w:hAnsi="宋体" w:eastAsia="宋体" w:cs="宋体"/>
                <w:b/>
                <w:bCs/>
                <w:color w:val="auto"/>
                <w:sz w:val="24"/>
                <w:szCs w:val="24"/>
                <w:highlight w:val="none"/>
                <w:lang w:val="en-US" w:eastAsia="zh-CN" w:bidi="ar-SA"/>
              </w:rPr>
              <w:t>包号</w:t>
            </w:r>
            <w:bookmarkEnd w:id="0"/>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EBDF">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98CB">
            <w:pPr>
              <w:widowControl w:val="0"/>
              <w:autoSpaceDE w:val="0"/>
              <w:autoSpaceDN w:val="0"/>
              <w:jc w:val="center"/>
              <w:rPr>
                <w:rFonts w:hint="eastAsia"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数量</w:t>
            </w:r>
          </w:p>
          <w:p w14:paraId="32DEE9F2">
            <w:pPr>
              <w:widowControl w:val="0"/>
              <w:autoSpaceDE w:val="0"/>
              <w:autoSpaceDN w:val="0"/>
              <w:jc w:val="center"/>
              <w:rPr>
                <w:rFonts w:hint="eastAsia"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（台/套）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DC25">
            <w:pPr>
              <w:widowControl w:val="0"/>
              <w:autoSpaceDE w:val="0"/>
              <w:autoSpaceDN w:val="0"/>
              <w:jc w:val="center"/>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是否允许采购进口产品</w:t>
            </w:r>
          </w:p>
        </w:tc>
      </w:tr>
      <w:tr w14:paraId="479F9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blHeader/>
          <w:jc w:val="center"/>
        </w:trPr>
        <w:tc>
          <w:tcPr>
            <w:tcW w:w="823" w:type="dxa"/>
            <w:tcBorders>
              <w:top w:val="single" w:color="000000" w:sz="4" w:space="0"/>
              <w:left w:val="single" w:color="000000" w:sz="4" w:space="0"/>
              <w:right w:val="single" w:color="000000" w:sz="4" w:space="0"/>
            </w:tcBorders>
            <w:shd w:val="clear" w:color="auto" w:fill="auto"/>
            <w:vAlign w:val="center"/>
          </w:tcPr>
          <w:p w14:paraId="6BA317BB">
            <w:pPr>
              <w:widowControl w:val="0"/>
              <w:autoSpaceDE w:val="0"/>
              <w:autoSpaceDN w:val="0"/>
              <w:jc w:val="center"/>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1</w:t>
            </w:r>
          </w:p>
        </w:tc>
        <w:tc>
          <w:tcPr>
            <w:tcW w:w="35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5B71">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lang w:eastAsia="zh-CN"/>
              </w:rPr>
            </w:pPr>
            <w:r>
              <w:rPr>
                <w:rFonts w:hint="eastAsia" w:ascii="宋体" w:hAnsi="宋体" w:eastAsia="宋体" w:cs="宋体"/>
                <w:i w:val="0"/>
                <w:iCs w:val="0"/>
                <w:color w:val="auto"/>
                <w:kern w:val="0"/>
                <w:sz w:val="24"/>
                <w:szCs w:val="24"/>
                <w:highlight w:val="none"/>
                <w:u w:val="none"/>
                <w:lang w:val="en-US" w:eastAsia="zh-CN" w:bidi="ar"/>
              </w:rPr>
              <w:t>分布式存储节点</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3385">
            <w:pPr>
              <w:keepNext w:val="0"/>
              <w:keepLines w:val="0"/>
              <w:widowControl/>
              <w:suppressLineNumbers w:val="0"/>
              <w:jc w:val="center"/>
              <w:textAlignment w:val="center"/>
              <w:rPr>
                <w:rFonts w:hint="eastAsia" w:ascii="宋体" w:hAnsi="宋体" w:eastAsia="宋体" w:cs="宋体"/>
                <w:b w:val="0"/>
                <w:bCs w:val="0"/>
                <w:color w:val="auto"/>
                <w:sz w:val="24"/>
                <w:szCs w:val="24"/>
                <w:highlight w:val="none"/>
              </w:rPr>
            </w:pPr>
            <w:r>
              <w:rPr>
                <w:rFonts w:hint="eastAsia" w:ascii="宋体" w:hAnsi="宋体" w:eastAsia="宋体" w:cs="宋体"/>
                <w:i w:val="0"/>
                <w:iCs w:val="0"/>
                <w:color w:val="auto"/>
                <w:kern w:val="0"/>
                <w:sz w:val="22"/>
                <w:szCs w:val="22"/>
                <w:highlight w:val="none"/>
                <w:u w:val="none"/>
                <w:lang w:val="en-US" w:eastAsia="zh-CN" w:bidi="ar"/>
              </w:rPr>
              <w:t>3</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8625">
            <w:pPr>
              <w:widowControl/>
              <w:jc w:val="center"/>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否</w:t>
            </w:r>
          </w:p>
        </w:tc>
      </w:tr>
    </w:tbl>
    <w:p w14:paraId="2955294E">
      <w:pPr>
        <w:widowControl w:val="0"/>
        <w:tabs>
          <w:tab w:val="left" w:pos="1197"/>
        </w:tabs>
        <w:autoSpaceDE w:val="0"/>
        <w:autoSpaceDN w:val="0"/>
        <w:spacing w:before="0" w:line="360" w:lineRule="auto"/>
        <w:ind w:left="0" w:right="233" w:firstLine="0"/>
        <w:jc w:val="both"/>
        <w:rPr>
          <w:rFonts w:hint="eastAsia" w:ascii="宋体" w:hAnsi="宋体" w:eastAsia="宋体" w:cs="宋体"/>
          <w:b/>
          <w:bCs/>
          <w:color w:val="auto"/>
          <w:sz w:val="24"/>
          <w:szCs w:val="22"/>
          <w:highlight w:val="none"/>
          <w:lang w:val="en-US" w:eastAsia="zh-CN" w:bidi="ar-SA"/>
        </w:rPr>
      </w:pPr>
    </w:p>
    <w:p w14:paraId="053CB107">
      <w:pPr>
        <w:widowControl w:val="0"/>
        <w:tabs>
          <w:tab w:val="left" w:pos="1197"/>
        </w:tabs>
        <w:autoSpaceDE w:val="0"/>
        <w:autoSpaceDN w:val="0"/>
        <w:spacing w:before="0" w:line="360" w:lineRule="auto"/>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4CCAC657">
      <w:pPr>
        <w:widowControl w:val="0"/>
        <w:tabs>
          <w:tab w:val="left" w:pos="1197"/>
        </w:tabs>
        <w:autoSpaceDE w:val="0"/>
        <w:autoSpaceDN w:val="0"/>
        <w:spacing w:before="0" w:line="360" w:lineRule="auto"/>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1.交货时间和地点：</w:t>
      </w:r>
    </w:p>
    <w:p w14:paraId="3F226552">
      <w:pPr>
        <w:widowControl w:val="0"/>
        <w:tabs>
          <w:tab w:val="left" w:pos="1197"/>
        </w:tabs>
        <w:autoSpaceDE w:val="0"/>
        <w:autoSpaceDN w:val="0"/>
        <w:spacing w:before="0" w:line="360" w:lineRule="auto"/>
        <w:ind w:left="0" w:right="233" w:firstLine="480" w:firstLineChars="200"/>
        <w:jc w:val="both"/>
        <w:rPr>
          <w:rFonts w:ascii="宋体" w:hAnsi="宋体" w:eastAsia="宋体" w:cs="宋体"/>
          <w:color w:val="auto"/>
          <w:sz w:val="24"/>
          <w:szCs w:val="24"/>
          <w:highlight w:val="none"/>
          <w:lang w:val="en-US" w:eastAsia="zh-CN" w:bidi="ar-SA"/>
        </w:rPr>
      </w:pPr>
      <w:bookmarkStart w:id="1" w:name="_Toc256196753"/>
      <w:bookmarkStart w:id="2" w:name="_Toc24278"/>
      <w:bookmarkStart w:id="3" w:name="_Toc8925"/>
      <w:bookmarkStart w:id="4" w:name="_Toc14802"/>
      <w:bookmarkStart w:id="5" w:name="_Toc23382"/>
      <w:r>
        <w:rPr>
          <w:rFonts w:hint="eastAsia" w:ascii="宋体" w:hAnsi="宋体" w:eastAsia="宋体" w:cs="宋体"/>
          <w:color w:val="auto"/>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color w:val="auto"/>
          <w:sz w:val="24"/>
          <w:szCs w:val="24"/>
          <w:highlight w:val="none"/>
          <w:lang w:val="en-US" w:eastAsia="zh-CN" w:bidi="ar-SA"/>
        </w:rPr>
        <w:t>设备交付时间合同签订之日起60天内；</w:t>
      </w:r>
    </w:p>
    <w:p w14:paraId="6A44AC95">
      <w:pPr>
        <w:widowControl w:val="0"/>
        <w:tabs>
          <w:tab w:val="left" w:pos="1197"/>
        </w:tabs>
        <w:autoSpaceDE w:val="0"/>
        <w:autoSpaceDN w:val="0"/>
        <w:spacing w:before="0" w:line="360" w:lineRule="auto"/>
        <w:ind w:left="0" w:right="233" w:firstLine="480" w:firstLineChars="200"/>
        <w:jc w:val="both"/>
        <w:rPr>
          <w:rFonts w:ascii="宋体" w:hAnsi="宋体" w:eastAsia="宋体" w:cs="宋体"/>
          <w:color w:val="auto"/>
          <w:sz w:val="24"/>
          <w:szCs w:val="24"/>
          <w:highlight w:val="none"/>
          <w:lang w:val="en-US" w:eastAsia="zh-CN" w:bidi="ar-SA"/>
        </w:rPr>
      </w:pPr>
      <w:bookmarkStart w:id="6" w:name="_Toc19535"/>
      <w:bookmarkStart w:id="7" w:name="_Toc8853"/>
      <w:bookmarkStart w:id="8" w:name="_Toc194115436"/>
      <w:bookmarkStart w:id="9" w:name="_Toc6107"/>
      <w:bookmarkStart w:id="10" w:name="_Toc30936"/>
      <w:r>
        <w:rPr>
          <w:rFonts w:hint="eastAsia" w:ascii="宋体" w:hAnsi="宋体" w:eastAsia="宋体" w:cs="宋体"/>
          <w:color w:val="auto"/>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color w:val="auto"/>
          <w:sz w:val="24"/>
          <w:szCs w:val="24"/>
          <w:highlight w:val="none"/>
          <w:lang w:val="en-US" w:eastAsia="zh-CN" w:bidi="ar-SA"/>
        </w:rPr>
        <w:t>采购人指定地点。</w:t>
      </w:r>
    </w:p>
    <w:p w14:paraId="1AA13C27">
      <w:pPr>
        <w:widowControl w:val="0"/>
        <w:tabs>
          <w:tab w:val="left" w:pos="1197"/>
        </w:tabs>
        <w:autoSpaceDE w:val="0"/>
        <w:autoSpaceDN w:val="0"/>
        <w:spacing w:before="0" w:line="360" w:lineRule="auto"/>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w:t>
      </w:r>
    </w:p>
    <w:p w14:paraId="603EB050">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详见“拟签订的合同文本”。</w:t>
      </w:r>
    </w:p>
    <w:p w14:paraId="17CC3F6D">
      <w:pPr>
        <w:widowControl w:val="0"/>
        <w:tabs>
          <w:tab w:val="left" w:pos="1197"/>
        </w:tabs>
        <w:autoSpaceDE w:val="0"/>
        <w:autoSpaceDN w:val="0"/>
        <w:spacing w:before="0" w:line="360" w:lineRule="auto"/>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3.包装和运输（如适用，须满足《关于印发〈商品包装政府采购需求标准（试行）〉、〈快递包装政府采购需求标准（试行）〉的通知》（财办库﹝2020﹞123号））</w:t>
      </w:r>
    </w:p>
    <w:p w14:paraId="0A4828AD">
      <w:pPr>
        <w:widowControl w:val="0"/>
        <w:tabs>
          <w:tab w:val="left" w:pos="1197"/>
        </w:tabs>
        <w:autoSpaceDE w:val="0"/>
        <w:autoSpaceDN w:val="0"/>
        <w:spacing w:before="0" w:line="360" w:lineRule="auto"/>
        <w:ind w:left="0" w:right="233" w:firstLine="0"/>
        <w:jc w:val="both"/>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4.质保服务：</w:t>
      </w:r>
      <w:r>
        <w:rPr>
          <w:rFonts w:hint="eastAsia" w:ascii="宋体" w:hAnsi="宋体" w:eastAsia="宋体" w:cs="宋体"/>
          <w:b w:val="0"/>
          <w:bCs w:val="0"/>
          <w:color w:val="auto"/>
          <w:sz w:val="24"/>
          <w:szCs w:val="24"/>
          <w:highlight w:val="none"/>
          <w:lang w:val="en-US" w:eastAsia="zh-CN" w:bidi="ar-SA"/>
        </w:rPr>
        <w:t>三年原厂维保、7*24小时售后电</w:t>
      </w:r>
      <w:bookmarkStart w:id="20" w:name="_GoBack"/>
      <w:bookmarkEnd w:id="20"/>
      <w:r>
        <w:rPr>
          <w:rFonts w:hint="eastAsia" w:ascii="宋体" w:hAnsi="宋体" w:eastAsia="宋体" w:cs="宋体"/>
          <w:b w:val="0"/>
          <w:bCs w:val="0"/>
          <w:color w:val="auto"/>
          <w:sz w:val="24"/>
          <w:szCs w:val="24"/>
          <w:highlight w:val="none"/>
          <w:lang w:val="en-US" w:eastAsia="zh-CN" w:bidi="ar-SA"/>
        </w:rPr>
        <w:t>话服务响应，2小时内到客户现场排除故障。</w:t>
      </w:r>
    </w:p>
    <w:p w14:paraId="219EEC9A">
      <w:pPr>
        <w:spacing w:line="360" w:lineRule="auto"/>
        <w:contextualSpacing/>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三、技术要求</w:t>
      </w:r>
    </w:p>
    <w:p w14:paraId="15E36628">
      <w:pPr>
        <w:spacing w:line="360" w:lineRule="auto"/>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 基本要求</w:t>
      </w:r>
    </w:p>
    <w:p w14:paraId="3902001B">
      <w:pPr>
        <w:spacing w:line="360" w:lineRule="auto"/>
        <w:ind w:firstLine="241" w:firstLineChars="100"/>
        <w:contextualSpacing/>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1.1 采购标的需实现的功能或者目标</w:t>
      </w:r>
    </w:p>
    <w:p w14:paraId="4EBF353C">
      <w:pPr>
        <w:adjustRightInd w:val="0"/>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本次招标采购是为</w:t>
      </w:r>
      <w:r>
        <w:rPr>
          <w:rFonts w:hint="eastAsia" w:ascii="宋体" w:hAnsi="宋体" w:eastAsia="宋体" w:cs="宋体"/>
          <w:color w:val="auto"/>
          <w:kern w:val="2"/>
          <w:sz w:val="24"/>
          <w:szCs w:val="24"/>
          <w:highlight w:val="none"/>
          <w:lang w:eastAsia="zh-CN"/>
        </w:rPr>
        <w:t>首都医科大学附属北京天坛医院</w:t>
      </w:r>
      <w:r>
        <w:rPr>
          <w:rFonts w:hint="eastAsia" w:ascii="宋体" w:hAnsi="宋体" w:eastAsia="宋体" w:cs="宋体"/>
          <w:color w:val="auto"/>
          <w:sz w:val="24"/>
          <w:highlight w:val="none"/>
          <w:lang w:eastAsia="zh-CN"/>
        </w:rPr>
        <w:t>配置</w:t>
      </w:r>
      <w:r>
        <w:rPr>
          <w:rFonts w:hint="eastAsia" w:ascii="宋体" w:hAnsi="宋体" w:eastAsia="宋体" w:cs="宋体"/>
          <w:i w:val="0"/>
          <w:iCs w:val="0"/>
          <w:color w:val="auto"/>
          <w:kern w:val="0"/>
          <w:sz w:val="24"/>
          <w:szCs w:val="24"/>
          <w:highlight w:val="none"/>
          <w:u w:val="none"/>
          <w:lang w:val="en-US" w:eastAsia="zh-CN" w:bidi="ar"/>
        </w:rPr>
        <w:t>分布式存储设备</w:t>
      </w:r>
      <w:r>
        <w:rPr>
          <w:rFonts w:hint="eastAsia" w:ascii="宋体" w:hAnsi="宋体" w:eastAsia="宋体" w:cs="宋体"/>
          <w:color w:val="auto"/>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11B6A180">
      <w:pPr>
        <w:spacing w:line="360" w:lineRule="auto"/>
        <w:ind w:firstLine="241" w:firstLineChars="100"/>
        <w:contextualSpacing/>
        <w:rPr>
          <w:rFonts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1.2 需执行的国家相关标准、行业标准、地方标准或者其他标准、规范</w:t>
      </w:r>
    </w:p>
    <w:p w14:paraId="262162F0">
      <w:pPr>
        <w:autoSpaceDE/>
        <w:autoSpaceDN/>
        <w:spacing w:line="360" w:lineRule="auto"/>
        <w:ind w:left="240" w:leftChars="109" w:firstLine="240" w:firstLineChars="1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6F941F5">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2.服务内容及要求/货物技术要求</w:t>
      </w:r>
    </w:p>
    <w:p w14:paraId="1F11F420">
      <w:pPr>
        <w:widowControl/>
        <w:spacing w:line="360" w:lineRule="auto"/>
        <w:ind w:left="-1" w:firstLine="241" w:firstLineChars="100"/>
        <w:contextualSpacing/>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2.1 采购标的需满足的性能、材料、结构、外观、质量、安全、技术规格、物理特性等要求；</w:t>
      </w:r>
    </w:p>
    <w:tbl>
      <w:tblPr>
        <w:tblStyle w:val="8"/>
        <w:tblW w:w="9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1696"/>
        <w:gridCol w:w="6258"/>
      </w:tblGrid>
      <w:tr w14:paraId="7C56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blHeader/>
          <w:jc w:val="center"/>
        </w:trPr>
        <w:tc>
          <w:tcPr>
            <w:tcW w:w="709" w:type="dxa"/>
            <w:vAlign w:val="center"/>
          </w:tcPr>
          <w:p w14:paraId="267CB532">
            <w:pPr>
              <w:spacing w:line="276" w:lineRule="auto"/>
              <w:jc w:val="center"/>
              <w:rPr>
                <w:rFonts w:ascii="宋体" w:hAnsi="宋体" w:eastAsia="宋体" w:cs="宋体"/>
                <w:bCs/>
                <w:sz w:val="24"/>
                <w:szCs w:val="24"/>
              </w:rPr>
            </w:pPr>
            <w:r>
              <w:rPr>
                <w:rFonts w:hint="eastAsia" w:ascii="宋体" w:hAnsi="宋体" w:eastAsia="宋体" w:cs="宋体"/>
                <w:bCs/>
                <w:sz w:val="24"/>
                <w:szCs w:val="24"/>
              </w:rPr>
              <w:t>序号</w:t>
            </w:r>
          </w:p>
        </w:tc>
        <w:tc>
          <w:tcPr>
            <w:tcW w:w="992" w:type="dxa"/>
            <w:vAlign w:val="center"/>
          </w:tcPr>
          <w:p w14:paraId="193FFB7C">
            <w:pPr>
              <w:spacing w:line="276" w:lineRule="auto"/>
              <w:jc w:val="center"/>
              <w:rPr>
                <w:rFonts w:ascii="宋体" w:hAnsi="宋体" w:eastAsia="宋体" w:cs="宋体"/>
                <w:bCs/>
                <w:sz w:val="24"/>
                <w:szCs w:val="24"/>
              </w:rPr>
            </w:pPr>
            <w:r>
              <w:rPr>
                <w:rFonts w:hint="eastAsia" w:ascii="宋体" w:hAnsi="宋体" w:eastAsia="宋体" w:cs="宋体"/>
                <w:bCs/>
                <w:sz w:val="24"/>
                <w:szCs w:val="24"/>
              </w:rPr>
              <w:t>重要性</w:t>
            </w:r>
          </w:p>
        </w:tc>
        <w:tc>
          <w:tcPr>
            <w:tcW w:w="1696" w:type="dxa"/>
            <w:vAlign w:val="center"/>
          </w:tcPr>
          <w:p w14:paraId="469F7FFD">
            <w:pPr>
              <w:spacing w:line="276" w:lineRule="auto"/>
              <w:jc w:val="center"/>
              <w:rPr>
                <w:rFonts w:ascii="宋体" w:hAnsi="宋体" w:eastAsia="宋体" w:cs="宋体"/>
                <w:bCs/>
                <w:sz w:val="24"/>
                <w:szCs w:val="24"/>
              </w:rPr>
            </w:pPr>
            <w:r>
              <w:rPr>
                <w:rFonts w:hint="eastAsia" w:ascii="宋体" w:hAnsi="宋体" w:eastAsia="宋体" w:cs="宋体"/>
                <w:bCs/>
                <w:sz w:val="24"/>
                <w:szCs w:val="24"/>
              </w:rPr>
              <w:t>功能项</w:t>
            </w:r>
          </w:p>
        </w:tc>
        <w:tc>
          <w:tcPr>
            <w:tcW w:w="6258" w:type="dxa"/>
            <w:vAlign w:val="center"/>
          </w:tcPr>
          <w:p w14:paraId="6FFDF2BC">
            <w:pPr>
              <w:spacing w:line="276" w:lineRule="auto"/>
              <w:jc w:val="center"/>
              <w:rPr>
                <w:rFonts w:ascii="宋体" w:hAnsi="宋体" w:eastAsia="宋体" w:cs="宋体"/>
                <w:bCs/>
                <w:sz w:val="24"/>
                <w:szCs w:val="24"/>
              </w:rPr>
            </w:pPr>
            <w:r>
              <w:rPr>
                <w:rFonts w:hint="eastAsia" w:ascii="宋体" w:hAnsi="宋体" w:eastAsia="宋体" w:cs="宋体"/>
                <w:bCs/>
                <w:sz w:val="24"/>
                <w:szCs w:val="24"/>
              </w:rPr>
              <w:t>指标要求</w:t>
            </w:r>
          </w:p>
        </w:tc>
      </w:tr>
      <w:tr w14:paraId="4660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0CCCA849">
            <w:pPr>
              <w:numPr>
                <w:ilvl w:val="0"/>
                <w:numId w:val="0"/>
              </w:numPr>
              <w:spacing w:line="276" w:lineRule="auto"/>
              <w:ind w:left="425" w:leftChars="0" w:hanging="425" w:firstLineChars="0"/>
              <w:jc w:val="center"/>
              <w:rPr>
                <w:rFonts w:ascii="宋体" w:hAnsi="宋体" w:eastAsia="宋体" w:cs="宋体"/>
                <w:bCs/>
                <w:sz w:val="24"/>
                <w:szCs w:val="24"/>
              </w:rPr>
            </w:pPr>
            <w:r>
              <w:rPr>
                <w:rFonts w:hint="default" w:ascii="宋体" w:hAnsi="宋体" w:eastAsia="宋体" w:cs="宋体"/>
                <w:bCs/>
                <w:sz w:val="24"/>
                <w:szCs w:val="24"/>
                <w:lang w:val="en-US" w:eastAsia="en-US" w:bidi="ar-SA"/>
              </w:rPr>
              <w:t>1.</w:t>
            </w:r>
          </w:p>
        </w:tc>
        <w:tc>
          <w:tcPr>
            <w:tcW w:w="992" w:type="dxa"/>
            <w:vAlign w:val="center"/>
          </w:tcPr>
          <w:p w14:paraId="22609D9C">
            <w:pPr>
              <w:spacing w:line="276" w:lineRule="auto"/>
              <w:jc w:val="center"/>
              <w:rPr>
                <w:rFonts w:ascii="宋体" w:hAnsi="宋体" w:eastAsia="宋体" w:cs="宋体"/>
                <w:bCs/>
                <w:sz w:val="24"/>
                <w:szCs w:val="24"/>
              </w:rPr>
            </w:pPr>
            <w:r>
              <w:rPr>
                <w:rFonts w:hint="eastAsia" w:ascii="宋体" w:hAnsi="宋体" w:eastAsia="宋体" w:cs="宋体"/>
                <w:sz w:val="24"/>
                <w:szCs w:val="24"/>
              </w:rPr>
              <w:t>★</w:t>
            </w:r>
          </w:p>
        </w:tc>
        <w:tc>
          <w:tcPr>
            <w:tcW w:w="1696" w:type="dxa"/>
            <w:vAlign w:val="center"/>
          </w:tcPr>
          <w:p w14:paraId="6F8B4023">
            <w:pPr>
              <w:spacing w:line="276" w:lineRule="auto"/>
              <w:jc w:val="center"/>
              <w:rPr>
                <w:rFonts w:ascii="宋体" w:hAnsi="宋体" w:eastAsia="宋体" w:cs="宋体"/>
                <w:bCs/>
                <w:sz w:val="24"/>
                <w:szCs w:val="24"/>
                <w:highlight w:val="yellow"/>
              </w:rPr>
            </w:pPr>
            <w:r>
              <w:rPr>
                <w:rFonts w:hint="eastAsia" w:ascii="宋体" w:hAnsi="宋体" w:eastAsia="宋体" w:cs="宋体"/>
                <w:kern w:val="0"/>
                <w:sz w:val="24"/>
                <w:szCs w:val="24"/>
              </w:rPr>
              <w:t>品牌要求</w:t>
            </w:r>
          </w:p>
        </w:tc>
        <w:tc>
          <w:tcPr>
            <w:tcW w:w="6258" w:type="dxa"/>
            <w:vAlign w:val="center"/>
          </w:tcPr>
          <w:p w14:paraId="4C287015">
            <w:pPr>
              <w:spacing w:line="276" w:lineRule="auto"/>
              <w:rPr>
                <w:rFonts w:ascii="宋体" w:hAnsi="宋体" w:eastAsia="宋体" w:cs="宋体"/>
                <w:bCs/>
                <w:sz w:val="24"/>
                <w:szCs w:val="24"/>
              </w:rPr>
            </w:pPr>
            <w:r>
              <w:rPr>
                <w:rFonts w:hint="eastAsia" w:ascii="宋体" w:hAnsi="宋体" w:eastAsia="宋体" w:cs="宋体"/>
                <w:color w:val="000000"/>
                <w:kern w:val="0"/>
                <w:sz w:val="24"/>
                <w:szCs w:val="24"/>
              </w:rPr>
              <w:t>分布式存储软件和分布式存储硬件设备统一品牌，提供分布式存储软件的自主知识产权证明。</w:t>
            </w:r>
          </w:p>
        </w:tc>
      </w:tr>
      <w:tr w14:paraId="2104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579C249F">
            <w:pPr>
              <w:numPr>
                <w:ilvl w:val="0"/>
                <w:numId w:val="0"/>
              </w:numPr>
              <w:spacing w:line="276" w:lineRule="auto"/>
              <w:ind w:left="425" w:leftChars="0" w:hanging="425" w:firstLineChars="0"/>
              <w:jc w:val="center"/>
              <w:rPr>
                <w:rFonts w:hint="eastAsia" w:ascii="宋体" w:hAnsi="宋体" w:eastAsia="宋体" w:cs="宋体"/>
                <w:bCs/>
                <w:sz w:val="24"/>
                <w:szCs w:val="24"/>
                <w:lang w:val="en-US" w:eastAsia="zh-CN"/>
              </w:rPr>
            </w:pPr>
            <w:r>
              <w:rPr>
                <w:rFonts w:hint="default" w:ascii="宋体" w:hAnsi="宋体" w:eastAsia="宋体" w:cs="宋体"/>
                <w:bCs/>
                <w:sz w:val="24"/>
                <w:szCs w:val="24"/>
                <w:lang w:val="en-US" w:eastAsia="zh-CN" w:bidi="ar-SA"/>
              </w:rPr>
              <w:t>2.</w:t>
            </w:r>
          </w:p>
        </w:tc>
        <w:tc>
          <w:tcPr>
            <w:tcW w:w="992" w:type="dxa"/>
            <w:vAlign w:val="center"/>
          </w:tcPr>
          <w:p w14:paraId="7B8DF825">
            <w:pPr>
              <w:spacing w:line="276" w:lineRule="auto"/>
              <w:jc w:val="center"/>
              <w:rPr>
                <w:rFonts w:hint="eastAsia" w:ascii="宋体" w:hAnsi="宋体" w:eastAsia="宋体" w:cs="宋体"/>
                <w:sz w:val="24"/>
                <w:szCs w:val="24"/>
              </w:rPr>
            </w:pPr>
            <w:r>
              <w:rPr>
                <w:rFonts w:hint="eastAsia" w:ascii="宋体" w:hAnsi="宋体" w:eastAsia="宋体" w:cs="宋体"/>
                <w:sz w:val="24"/>
                <w:szCs w:val="24"/>
              </w:rPr>
              <w:t>★</w:t>
            </w:r>
          </w:p>
        </w:tc>
        <w:tc>
          <w:tcPr>
            <w:tcW w:w="1696" w:type="dxa"/>
            <w:vAlign w:val="center"/>
          </w:tcPr>
          <w:p w14:paraId="28B269E8">
            <w:pPr>
              <w:spacing w:line="276" w:lineRule="auto"/>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扩容兼容性要求</w:t>
            </w:r>
          </w:p>
        </w:tc>
        <w:tc>
          <w:tcPr>
            <w:tcW w:w="6258" w:type="dxa"/>
            <w:vAlign w:val="center"/>
          </w:tcPr>
          <w:p w14:paraId="2D5D13A5">
            <w:pPr>
              <w:spacing w:line="276" w:lineRule="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此次扩容设备须与现有PACS分布式存储集群MC27000无缝兼容对接扩容，进行统一管理并构建统一资源池，满足前端业务系统的存储需求；若不满足与现有PACS分布式存储集群MC27000无缝兼容对接扩容，则需在提供本次扩容硬件的基础上额外提供一套配置及性能不低于现有PACS分布式存储集群MC27000的硬件设备以构建统一集群（现有分布式存储集群MC27000配置三节点，单节点配置为：192GB内存，2颗国产C86架构 CPU（单颗24C 2.2GHz），2块 480GB SSD 硬盘，2块 3.84TB NVMe SSD硬盘，9块16TB 7200转 SATA硬盘，4个10GE主机接口，2个GE接口），提供原厂承诺函；</w:t>
            </w:r>
          </w:p>
        </w:tc>
      </w:tr>
      <w:tr w14:paraId="0FD7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0535ABE9">
            <w:pPr>
              <w:numPr>
                <w:ilvl w:val="0"/>
                <w:numId w:val="0"/>
              </w:numPr>
              <w:spacing w:line="276" w:lineRule="auto"/>
              <w:ind w:left="425" w:leftChars="0" w:hanging="425" w:firstLineChars="0"/>
              <w:jc w:val="center"/>
              <w:rPr>
                <w:rFonts w:ascii="宋体" w:hAnsi="宋体" w:eastAsia="宋体" w:cs="宋体"/>
                <w:bCs/>
                <w:sz w:val="24"/>
                <w:szCs w:val="24"/>
                <w:lang w:bidi="ar"/>
              </w:rPr>
            </w:pPr>
            <w:r>
              <w:rPr>
                <w:rFonts w:hint="default" w:ascii="宋体" w:hAnsi="宋体" w:eastAsia="宋体" w:cs="宋体"/>
                <w:bCs/>
                <w:sz w:val="24"/>
                <w:szCs w:val="24"/>
                <w:lang w:val="en-US" w:eastAsia="en-US" w:bidi="ar"/>
              </w:rPr>
              <w:t>3.</w:t>
            </w:r>
          </w:p>
        </w:tc>
        <w:tc>
          <w:tcPr>
            <w:tcW w:w="992" w:type="dxa"/>
            <w:vAlign w:val="center"/>
          </w:tcPr>
          <w:p w14:paraId="7710AFEE">
            <w:pPr>
              <w:spacing w:line="276" w:lineRule="auto"/>
              <w:jc w:val="center"/>
              <w:rPr>
                <w:rFonts w:ascii="宋体" w:hAnsi="宋体" w:eastAsia="宋体" w:cs="宋体"/>
                <w:bCs/>
                <w:sz w:val="24"/>
                <w:szCs w:val="24"/>
                <w:lang w:bidi="ar"/>
              </w:rPr>
            </w:pPr>
            <w:r>
              <w:rPr>
                <w:rFonts w:hint="eastAsia" w:ascii="宋体" w:hAnsi="宋体" w:eastAsia="宋体" w:cs="宋体"/>
                <w:sz w:val="24"/>
                <w:szCs w:val="24"/>
              </w:rPr>
              <w:t>★</w:t>
            </w:r>
          </w:p>
        </w:tc>
        <w:tc>
          <w:tcPr>
            <w:tcW w:w="1696" w:type="dxa"/>
            <w:vAlign w:val="center"/>
          </w:tcPr>
          <w:p w14:paraId="563A36B2">
            <w:pPr>
              <w:spacing w:line="276" w:lineRule="auto"/>
              <w:jc w:val="center"/>
              <w:rPr>
                <w:rFonts w:ascii="宋体" w:hAnsi="宋体" w:eastAsia="宋体" w:cs="宋体"/>
                <w:bCs/>
                <w:sz w:val="24"/>
                <w:szCs w:val="24"/>
                <w:lang w:bidi="ar"/>
              </w:rPr>
            </w:pPr>
            <w:r>
              <w:rPr>
                <w:rFonts w:hint="eastAsia" w:ascii="宋体" w:hAnsi="宋体" w:eastAsia="宋体" w:cs="宋体"/>
                <w:kern w:val="0"/>
                <w:sz w:val="24"/>
                <w:szCs w:val="24"/>
              </w:rPr>
              <w:t>设备要求</w:t>
            </w:r>
          </w:p>
        </w:tc>
        <w:tc>
          <w:tcPr>
            <w:tcW w:w="6258" w:type="dxa"/>
            <w:vAlign w:val="center"/>
          </w:tcPr>
          <w:p w14:paraId="5EB61B7D">
            <w:pP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本次集群扩容3节点；</w:t>
            </w:r>
          </w:p>
          <w:p w14:paraId="4D5CC142">
            <w:pPr>
              <w:rPr>
                <w:rFonts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单节点CPU需求：</w:t>
            </w:r>
          </w:p>
          <w:p w14:paraId="7A6EF0D7">
            <w:pPr>
              <w:rPr>
                <w:rFonts w:ascii="宋体" w:hAnsi="宋体" w:eastAsia="宋体" w:cs="宋体"/>
                <w:kern w:val="0"/>
                <w:sz w:val="24"/>
                <w:szCs w:val="24"/>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rPr>
              <w:t>国产C86架构</w:t>
            </w:r>
            <w:r>
              <w:rPr>
                <w:rFonts w:hint="eastAsia" w:ascii="宋体" w:hAnsi="宋体" w:eastAsia="宋体" w:cs="宋体"/>
                <w:kern w:val="0"/>
                <w:sz w:val="24"/>
                <w:szCs w:val="24"/>
              </w:rPr>
              <w:t>CPU≥2颗</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单核心</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24核</w:t>
            </w:r>
            <w:r>
              <w:rPr>
                <w:rFonts w:hint="eastAsia" w:ascii="宋体" w:hAnsi="宋体" w:eastAsia="宋体" w:cs="宋体"/>
                <w:kern w:val="0"/>
                <w:sz w:val="24"/>
                <w:szCs w:val="24"/>
              </w:rPr>
              <w:t>；总核心≥</w:t>
            </w:r>
            <w:r>
              <w:rPr>
                <w:rFonts w:hint="eastAsia" w:ascii="宋体" w:hAnsi="宋体" w:eastAsia="宋体" w:cs="宋体"/>
                <w:kern w:val="0"/>
                <w:sz w:val="24"/>
                <w:szCs w:val="24"/>
                <w:lang w:val="en-US"/>
              </w:rPr>
              <w:t>48</w:t>
            </w:r>
            <w:r>
              <w:rPr>
                <w:rFonts w:hint="eastAsia" w:ascii="宋体" w:hAnsi="宋体" w:eastAsia="宋体" w:cs="宋体"/>
                <w:kern w:val="0"/>
                <w:sz w:val="24"/>
                <w:szCs w:val="24"/>
              </w:rPr>
              <w:t>核；基本频率≥2</w:t>
            </w:r>
            <w:r>
              <w:rPr>
                <w:rFonts w:ascii="宋体" w:hAnsi="宋体" w:eastAsia="宋体" w:cs="宋体"/>
                <w:kern w:val="0"/>
                <w:sz w:val="24"/>
                <w:szCs w:val="24"/>
              </w:rPr>
              <w:t>.</w:t>
            </w:r>
            <w:r>
              <w:rPr>
                <w:rFonts w:hint="eastAsia" w:ascii="宋体" w:hAnsi="宋体" w:eastAsia="宋体" w:cs="宋体"/>
                <w:kern w:val="0"/>
                <w:sz w:val="24"/>
                <w:szCs w:val="24"/>
                <w:lang w:val="en-US"/>
              </w:rPr>
              <w:t>2</w:t>
            </w:r>
            <w:r>
              <w:rPr>
                <w:rFonts w:hint="eastAsia" w:ascii="宋体" w:hAnsi="宋体" w:eastAsia="宋体" w:cs="宋体"/>
                <w:kern w:val="0"/>
                <w:sz w:val="24"/>
                <w:szCs w:val="24"/>
              </w:rPr>
              <w:t>GHz；</w:t>
            </w:r>
          </w:p>
          <w:p w14:paraId="0D1A6F94">
            <w:pPr>
              <w:rPr>
                <w:rFonts w:ascii="宋体" w:hAnsi="宋体" w:eastAsia="宋体" w:cs="宋体"/>
                <w:kern w:val="0"/>
                <w:sz w:val="24"/>
                <w:szCs w:val="24"/>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单节点内存需求：≥1</w:t>
            </w:r>
            <w:r>
              <w:rPr>
                <w:rFonts w:ascii="宋体" w:hAnsi="宋体" w:eastAsia="宋体" w:cs="宋体"/>
                <w:kern w:val="0"/>
                <w:sz w:val="24"/>
                <w:szCs w:val="24"/>
              </w:rPr>
              <w:t>92</w:t>
            </w:r>
            <w:r>
              <w:rPr>
                <w:rFonts w:hint="eastAsia" w:ascii="宋体" w:hAnsi="宋体" w:eastAsia="宋体" w:cs="宋体"/>
                <w:kern w:val="0"/>
                <w:sz w:val="24"/>
                <w:szCs w:val="24"/>
              </w:rPr>
              <w:t xml:space="preserve"> GB；</w:t>
            </w:r>
          </w:p>
          <w:p w14:paraId="66C9EC4B">
            <w:pPr>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单节点网口需求：万兆光口（含光模块）≥4个；千兆电口≥2个</w:t>
            </w:r>
            <w:r>
              <w:rPr>
                <w:rFonts w:hint="eastAsia" w:ascii="宋体" w:hAnsi="宋体" w:eastAsia="宋体" w:cs="宋体"/>
                <w:kern w:val="0"/>
                <w:sz w:val="24"/>
                <w:szCs w:val="24"/>
                <w:lang w:eastAsia="zh-CN"/>
              </w:rPr>
              <w:t>；</w:t>
            </w:r>
          </w:p>
          <w:p w14:paraId="4531E54C">
            <w:pPr>
              <w:rPr>
                <w:rFonts w:ascii="宋体" w:hAnsi="宋体" w:eastAsia="宋体" w:cs="宋体"/>
                <w:kern w:val="0"/>
                <w:sz w:val="24"/>
                <w:szCs w:val="24"/>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单节点硬盘：</w:t>
            </w:r>
          </w:p>
          <w:p w14:paraId="263660D0">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≥2块 480GB SSD；</w:t>
            </w:r>
          </w:p>
          <w:p w14:paraId="0F2CDAFD">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 xml:space="preserve">≥2块 </w:t>
            </w:r>
            <w:r>
              <w:rPr>
                <w:rFonts w:hint="eastAsia" w:ascii="宋体" w:hAnsi="宋体" w:eastAsia="宋体" w:cs="宋体"/>
                <w:kern w:val="0"/>
                <w:sz w:val="24"/>
                <w:szCs w:val="24"/>
                <w:lang w:val="en-US" w:eastAsia="zh-CN"/>
              </w:rPr>
              <w:t>3.84</w:t>
            </w:r>
            <w:r>
              <w:rPr>
                <w:rFonts w:hint="eastAsia" w:ascii="宋体" w:hAnsi="宋体" w:eastAsia="宋体" w:cs="宋体"/>
                <w:kern w:val="0"/>
                <w:sz w:val="24"/>
                <w:szCs w:val="24"/>
              </w:rPr>
              <w:t>TB NVMe SSD；</w:t>
            </w:r>
          </w:p>
          <w:p w14:paraId="46D9E411">
            <w:pPr>
              <w:ind w:firstLine="240" w:firstLineChars="100"/>
              <w:rPr>
                <w:rFonts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35</w:t>
            </w:r>
            <w:r>
              <w:rPr>
                <w:rFonts w:hint="eastAsia" w:ascii="宋体" w:hAnsi="宋体" w:eastAsia="宋体" w:cs="宋体"/>
                <w:kern w:val="0"/>
                <w:sz w:val="24"/>
                <w:szCs w:val="24"/>
              </w:rPr>
              <w:t>块</w:t>
            </w:r>
            <w:r>
              <w:rPr>
                <w:rFonts w:ascii="宋体" w:hAnsi="宋体" w:eastAsia="宋体" w:cs="宋体"/>
                <w:kern w:val="0"/>
                <w:sz w:val="24"/>
                <w:szCs w:val="24"/>
              </w:rPr>
              <w:t xml:space="preserve"> </w:t>
            </w:r>
            <w:r>
              <w:rPr>
                <w:rFonts w:hint="eastAsia" w:ascii="宋体" w:hAnsi="宋体" w:eastAsia="宋体" w:cs="宋体"/>
                <w:kern w:val="0"/>
                <w:sz w:val="24"/>
                <w:szCs w:val="24"/>
              </w:rPr>
              <w:t>16TB 7200转 SATA；</w:t>
            </w:r>
          </w:p>
          <w:p w14:paraId="1359DC26">
            <w:pP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本地硬盘槽位≥3</w:t>
            </w:r>
            <w:r>
              <w:rPr>
                <w:rFonts w:ascii="宋体" w:hAnsi="宋体" w:eastAsia="宋体" w:cs="宋体"/>
                <w:kern w:val="0"/>
                <w:sz w:val="24"/>
                <w:szCs w:val="24"/>
              </w:rPr>
              <w:t>6</w:t>
            </w:r>
            <w:r>
              <w:rPr>
                <w:rFonts w:hint="eastAsia" w:ascii="宋体" w:hAnsi="宋体" w:eastAsia="宋体" w:cs="宋体"/>
                <w:kern w:val="0"/>
                <w:sz w:val="24"/>
                <w:szCs w:val="24"/>
              </w:rPr>
              <w:t>个；3</w:t>
            </w:r>
            <w:r>
              <w:rPr>
                <w:rFonts w:ascii="宋体" w:hAnsi="宋体" w:eastAsia="宋体" w:cs="宋体"/>
                <w:kern w:val="0"/>
                <w:sz w:val="24"/>
                <w:szCs w:val="24"/>
              </w:rPr>
              <w:t>.5</w:t>
            </w:r>
            <w:r>
              <w:rPr>
                <w:rFonts w:hint="eastAsia" w:ascii="宋体" w:hAnsi="宋体" w:eastAsia="宋体" w:cs="宋体"/>
                <w:kern w:val="0"/>
                <w:sz w:val="24"/>
                <w:szCs w:val="24"/>
              </w:rPr>
              <w:t>英寸热插拔槽位；</w:t>
            </w:r>
          </w:p>
          <w:p w14:paraId="300F36F2">
            <w:pPr>
              <w:rPr>
                <w:rFonts w:ascii="宋体" w:hAnsi="宋体" w:eastAsia="宋体" w:cs="宋体"/>
                <w:kern w:val="0"/>
                <w:sz w:val="24"/>
                <w:szCs w:val="24"/>
              </w:rPr>
            </w:pP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冗余电源1</w:t>
            </w:r>
            <w:r>
              <w:rPr>
                <w:rFonts w:ascii="宋体" w:hAnsi="宋体" w:eastAsia="宋体" w:cs="宋体"/>
                <w:kern w:val="0"/>
                <w:sz w:val="24"/>
                <w:szCs w:val="24"/>
              </w:rPr>
              <w:t>+1</w:t>
            </w:r>
            <w:r>
              <w:rPr>
                <w:rFonts w:hint="eastAsia" w:ascii="宋体" w:hAnsi="宋体" w:eastAsia="宋体" w:cs="宋体"/>
                <w:kern w:val="0"/>
                <w:sz w:val="24"/>
                <w:szCs w:val="24"/>
              </w:rPr>
              <w:t>；</w:t>
            </w:r>
          </w:p>
          <w:p w14:paraId="25DFA55E">
            <w:pPr>
              <w:spacing w:line="276" w:lineRule="auto"/>
              <w:rPr>
                <w:rFonts w:ascii="宋体" w:hAnsi="宋体" w:eastAsia="宋体" w:cs="宋体"/>
                <w:bCs/>
                <w:sz w:val="24"/>
                <w:szCs w:val="24"/>
              </w:rPr>
            </w:pPr>
            <w:r>
              <w:rPr>
                <w:rFonts w:hint="eastAsia" w:ascii="宋体" w:hAnsi="宋体" w:eastAsia="宋体" w:cs="宋体"/>
                <w:kern w:val="0"/>
                <w:sz w:val="24"/>
                <w:szCs w:val="24"/>
                <w:lang w:val="en-US" w:eastAsia="zh-CN"/>
              </w:rPr>
              <w:t>9）</w:t>
            </w:r>
            <w:r>
              <w:rPr>
                <w:rFonts w:hint="eastAsia" w:ascii="宋体" w:hAnsi="宋体" w:eastAsia="宋体" w:cs="宋体"/>
                <w:kern w:val="0"/>
                <w:sz w:val="24"/>
                <w:szCs w:val="24"/>
              </w:rPr>
              <w:t>提供以按节点授权为方式的分布式存储软件。</w:t>
            </w:r>
          </w:p>
        </w:tc>
      </w:tr>
      <w:tr w14:paraId="49DA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09" w:type="dxa"/>
            <w:vAlign w:val="center"/>
          </w:tcPr>
          <w:p w14:paraId="6466FA8B">
            <w:pPr>
              <w:numPr>
                <w:ilvl w:val="0"/>
                <w:numId w:val="0"/>
              </w:numPr>
              <w:spacing w:line="276" w:lineRule="auto"/>
              <w:ind w:left="425" w:leftChars="0" w:hanging="425" w:firstLineChars="0"/>
              <w:jc w:val="center"/>
              <w:rPr>
                <w:rFonts w:ascii="宋体" w:hAnsi="宋体" w:eastAsia="宋体" w:cs="宋体"/>
                <w:bCs/>
                <w:sz w:val="24"/>
                <w:szCs w:val="24"/>
                <w:lang w:bidi="ar"/>
              </w:rPr>
            </w:pPr>
            <w:r>
              <w:rPr>
                <w:rFonts w:hint="default" w:ascii="宋体" w:hAnsi="宋体" w:eastAsia="宋体" w:cs="宋体"/>
                <w:bCs/>
                <w:sz w:val="24"/>
                <w:szCs w:val="24"/>
                <w:lang w:val="en-US" w:eastAsia="en-US" w:bidi="ar"/>
              </w:rPr>
              <w:t>4.</w:t>
            </w:r>
          </w:p>
        </w:tc>
        <w:tc>
          <w:tcPr>
            <w:tcW w:w="992" w:type="dxa"/>
            <w:vAlign w:val="center"/>
          </w:tcPr>
          <w:p w14:paraId="5DA6A499">
            <w:pPr>
              <w:spacing w:line="276" w:lineRule="auto"/>
              <w:jc w:val="center"/>
              <w:rPr>
                <w:rFonts w:ascii="宋体" w:hAnsi="宋体" w:eastAsia="宋体" w:cs="宋体"/>
                <w:bCs/>
                <w:sz w:val="24"/>
                <w:szCs w:val="24"/>
                <w:lang w:bidi="ar"/>
              </w:rPr>
            </w:pPr>
            <w:r>
              <w:rPr>
                <w:rFonts w:hint="eastAsia" w:ascii="宋体" w:hAnsi="宋体" w:eastAsia="宋体" w:cs="宋体"/>
                <w:bCs/>
                <w:sz w:val="24"/>
                <w:szCs w:val="24"/>
                <w:lang w:bidi="ar"/>
              </w:rPr>
              <w:t>▲</w:t>
            </w:r>
          </w:p>
        </w:tc>
        <w:tc>
          <w:tcPr>
            <w:tcW w:w="1696" w:type="dxa"/>
            <w:vAlign w:val="center"/>
          </w:tcPr>
          <w:p w14:paraId="5D057652">
            <w:pPr>
              <w:spacing w:line="276" w:lineRule="auto"/>
              <w:jc w:val="center"/>
              <w:rPr>
                <w:rFonts w:ascii="宋体" w:hAnsi="宋体" w:eastAsia="宋体" w:cs="宋体"/>
                <w:bCs/>
                <w:sz w:val="24"/>
                <w:szCs w:val="24"/>
                <w:lang w:bidi="ar"/>
              </w:rPr>
            </w:pPr>
            <w:r>
              <w:rPr>
                <w:rFonts w:hint="eastAsia" w:ascii="宋体" w:hAnsi="宋体" w:eastAsia="宋体" w:cs="宋体"/>
                <w:bCs/>
                <w:sz w:val="24"/>
                <w:szCs w:val="24"/>
                <w:lang w:bidi="ar"/>
              </w:rPr>
              <w:t>系统要求</w:t>
            </w:r>
          </w:p>
        </w:tc>
        <w:tc>
          <w:tcPr>
            <w:tcW w:w="6258" w:type="dxa"/>
            <w:vAlign w:val="center"/>
          </w:tcPr>
          <w:p w14:paraId="3599017B">
            <w:pPr>
              <w:spacing w:line="276" w:lineRule="auto"/>
              <w:rPr>
                <w:rFonts w:ascii="宋体" w:hAnsi="宋体" w:eastAsia="宋体" w:cs="宋体"/>
                <w:bCs/>
                <w:sz w:val="24"/>
                <w:szCs w:val="24"/>
                <w:lang w:bidi="ar"/>
              </w:rPr>
            </w:pPr>
            <w:r>
              <w:rPr>
                <w:rFonts w:hint="eastAsia" w:ascii="宋体" w:hAnsi="宋体" w:eastAsia="宋体" w:cs="宋体"/>
                <w:kern w:val="0"/>
                <w:sz w:val="24"/>
                <w:szCs w:val="24"/>
              </w:rPr>
              <w:t>本次扩容提供的分布式存储设备需满足信创要求，提供原厂承诺函；</w:t>
            </w:r>
          </w:p>
        </w:tc>
      </w:tr>
      <w:tr w14:paraId="6792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09" w:type="dxa"/>
            <w:vAlign w:val="center"/>
          </w:tcPr>
          <w:p w14:paraId="60BCDD80">
            <w:pPr>
              <w:numPr>
                <w:ilvl w:val="0"/>
                <w:numId w:val="0"/>
              </w:numPr>
              <w:spacing w:line="276" w:lineRule="auto"/>
              <w:ind w:left="425" w:leftChars="0" w:right="110" w:rightChars="50" w:hanging="425" w:firstLineChars="0"/>
              <w:jc w:val="center"/>
              <w:rPr>
                <w:rFonts w:ascii="宋体" w:hAnsi="宋体" w:eastAsia="宋体" w:cs="宋体"/>
                <w:bCs/>
                <w:sz w:val="24"/>
                <w:szCs w:val="24"/>
              </w:rPr>
            </w:pPr>
            <w:r>
              <w:rPr>
                <w:rFonts w:hint="default" w:ascii="宋体" w:hAnsi="宋体" w:eastAsia="宋体" w:cs="宋体"/>
                <w:bCs/>
                <w:sz w:val="24"/>
                <w:szCs w:val="24"/>
                <w:lang w:val="en-US" w:eastAsia="en-US" w:bidi="ar-SA"/>
              </w:rPr>
              <w:t>5.</w:t>
            </w:r>
          </w:p>
        </w:tc>
        <w:tc>
          <w:tcPr>
            <w:tcW w:w="992" w:type="dxa"/>
            <w:vAlign w:val="center"/>
          </w:tcPr>
          <w:p w14:paraId="488A6B57">
            <w:pPr>
              <w:spacing w:line="276" w:lineRule="auto"/>
              <w:ind w:right="110" w:rightChars="50"/>
              <w:jc w:val="center"/>
              <w:rPr>
                <w:rFonts w:ascii="宋体" w:hAnsi="宋体" w:eastAsia="宋体" w:cs="宋体"/>
                <w:bCs/>
                <w:sz w:val="24"/>
                <w:szCs w:val="24"/>
              </w:rPr>
            </w:pPr>
          </w:p>
        </w:tc>
        <w:tc>
          <w:tcPr>
            <w:tcW w:w="1696" w:type="dxa"/>
            <w:vAlign w:val="center"/>
          </w:tcPr>
          <w:p w14:paraId="0144BB68">
            <w:pPr>
              <w:spacing w:line="276" w:lineRule="auto"/>
              <w:ind w:right="110" w:rightChars="50"/>
              <w:jc w:val="center"/>
              <w:rPr>
                <w:rFonts w:ascii="宋体" w:hAnsi="宋体" w:eastAsia="宋体" w:cs="宋体"/>
                <w:bCs/>
                <w:sz w:val="24"/>
                <w:szCs w:val="24"/>
              </w:rPr>
            </w:pPr>
            <w:r>
              <w:rPr>
                <w:rFonts w:hint="eastAsia" w:ascii="宋体" w:hAnsi="宋体" w:eastAsia="宋体" w:cs="宋体"/>
                <w:kern w:val="0"/>
                <w:sz w:val="24"/>
                <w:szCs w:val="24"/>
              </w:rPr>
              <w:t>存储架构</w:t>
            </w:r>
          </w:p>
        </w:tc>
        <w:tc>
          <w:tcPr>
            <w:tcW w:w="6258" w:type="dxa"/>
            <w:vAlign w:val="center"/>
          </w:tcPr>
          <w:p w14:paraId="44D62D3E">
            <w:pPr>
              <w:spacing w:line="276" w:lineRule="auto"/>
              <w:ind w:right="110" w:rightChars="50"/>
              <w:rPr>
                <w:rFonts w:ascii="宋体" w:hAnsi="宋体" w:eastAsia="宋体" w:cs="宋体"/>
                <w:kern w:val="0"/>
                <w:sz w:val="24"/>
                <w:szCs w:val="24"/>
              </w:rPr>
            </w:pPr>
            <w:r>
              <w:rPr>
                <w:rFonts w:hint="eastAsia" w:ascii="宋体" w:hAnsi="宋体" w:eastAsia="宋体" w:cs="宋体"/>
                <w:color w:val="000000"/>
                <w:kern w:val="0"/>
                <w:sz w:val="24"/>
                <w:szCs w:val="24"/>
                <w:lang w:val="en-US"/>
              </w:rPr>
              <w:t>分布式</w:t>
            </w:r>
            <w:r>
              <w:rPr>
                <w:rFonts w:hint="eastAsia" w:ascii="宋体" w:hAnsi="宋体" w:eastAsia="宋体" w:cs="宋体"/>
                <w:kern w:val="0"/>
                <w:sz w:val="24"/>
                <w:szCs w:val="24"/>
                <w:lang w:val="en-US"/>
              </w:rPr>
              <w:t>并行存储体系架构，支持全对称和非全对称方式部署，支持元数据节点集群与存储节点集群分离或融合的方式构成单套系统，所有元数据节点和存储节点都同时在线提供服务。</w:t>
            </w:r>
          </w:p>
        </w:tc>
      </w:tr>
      <w:tr w14:paraId="6A81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7A5EB03A">
            <w:pPr>
              <w:numPr>
                <w:ilvl w:val="0"/>
                <w:numId w:val="0"/>
              </w:numPr>
              <w:spacing w:line="276" w:lineRule="auto"/>
              <w:ind w:left="425" w:leftChars="0" w:right="110" w:rightChars="50" w:hanging="425" w:firstLineChars="0"/>
              <w:jc w:val="center"/>
              <w:rPr>
                <w:rFonts w:ascii="宋体" w:hAnsi="宋体" w:eastAsia="宋体" w:cs="宋体"/>
                <w:bCs/>
                <w:sz w:val="24"/>
                <w:szCs w:val="24"/>
              </w:rPr>
            </w:pPr>
            <w:r>
              <w:rPr>
                <w:rFonts w:hint="default" w:ascii="宋体" w:hAnsi="宋体" w:eastAsia="宋体" w:cs="宋体"/>
                <w:bCs/>
                <w:sz w:val="24"/>
                <w:szCs w:val="24"/>
                <w:lang w:val="en-US" w:eastAsia="en-US" w:bidi="ar-SA"/>
              </w:rPr>
              <w:t>6.</w:t>
            </w:r>
          </w:p>
        </w:tc>
        <w:tc>
          <w:tcPr>
            <w:tcW w:w="992" w:type="dxa"/>
            <w:vAlign w:val="center"/>
          </w:tcPr>
          <w:p w14:paraId="1D9BA34C">
            <w:pPr>
              <w:spacing w:line="276" w:lineRule="auto"/>
              <w:ind w:right="110" w:rightChars="50"/>
              <w:jc w:val="center"/>
              <w:rPr>
                <w:rFonts w:ascii="宋体" w:hAnsi="宋体" w:eastAsia="宋体" w:cs="宋体"/>
                <w:bCs/>
                <w:sz w:val="24"/>
                <w:szCs w:val="24"/>
                <w:lang w:val="en-US"/>
              </w:rPr>
            </w:pPr>
          </w:p>
        </w:tc>
        <w:tc>
          <w:tcPr>
            <w:tcW w:w="1696" w:type="dxa"/>
            <w:vAlign w:val="center"/>
          </w:tcPr>
          <w:p w14:paraId="76D468C2">
            <w:pPr>
              <w:spacing w:line="276" w:lineRule="auto"/>
              <w:ind w:right="110" w:rightChars="50"/>
              <w:jc w:val="center"/>
              <w:rPr>
                <w:rFonts w:ascii="宋体" w:hAnsi="宋体" w:eastAsia="宋体" w:cs="宋体"/>
                <w:bCs/>
                <w:sz w:val="24"/>
                <w:szCs w:val="24"/>
              </w:rPr>
            </w:pPr>
            <w:r>
              <w:rPr>
                <w:rFonts w:hint="eastAsia" w:ascii="宋体" w:hAnsi="宋体" w:eastAsia="宋体" w:cs="宋体"/>
                <w:kern w:val="0"/>
                <w:sz w:val="24"/>
                <w:szCs w:val="24"/>
              </w:rPr>
              <w:t>存储规模</w:t>
            </w:r>
          </w:p>
        </w:tc>
        <w:tc>
          <w:tcPr>
            <w:tcW w:w="6258" w:type="dxa"/>
            <w:vAlign w:val="center"/>
          </w:tcPr>
          <w:p w14:paraId="4DC3C5A0">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分布式存储单目录支持文件数量≥1亿，单套存储集群支持文件数量≥1000亿</w:t>
            </w:r>
            <w:r>
              <w:rPr>
                <w:rFonts w:hint="eastAsia" w:ascii="宋体" w:hAnsi="宋体" w:eastAsia="宋体" w:cs="宋体"/>
                <w:kern w:val="0"/>
                <w:sz w:val="24"/>
                <w:szCs w:val="24"/>
              </w:rPr>
              <w:t>。</w:t>
            </w:r>
          </w:p>
        </w:tc>
      </w:tr>
      <w:tr w14:paraId="0F52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9" w:type="dxa"/>
            <w:vAlign w:val="center"/>
          </w:tcPr>
          <w:p w14:paraId="7F9B39F4">
            <w:pPr>
              <w:numPr>
                <w:ilvl w:val="0"/>
                <w:numId w:val="0"/>
              </w:numPr>
              <w:spacing w:line="276" w:lineRule="auto"/>
              <w:ind w:left="425" w:leftChars="0" w:right="110" w:rightChars="50" w:hanging="425" w:firstLineChars="0"/>
              <w:jc w:val="center"/>
              <w:rPr>
                <w:rFonts w:ascii="宋体" w:hAnsi="宋体" w:eastAsia="宋体" w:cs="Calibri"/>
                <w:bCs/>
                <w:kern w:val="0"/>
                <w:sz w:val="24"/>
                <w:szCs w:val="24"/>
                <w:lang w:bidi="ar"/>
              </w:rPr>
            </w:pPr>
            <w:r>
              <w:rPr>
                <w:rFonts w:hint="default" w:ascii="宋体" w:hAnsi="宋体" w:eastAsia="宋体" w:cs="Calibri"/>
                <w:bCs/>
                <w:kern w:val="0"/>
                <w:sz w:val="24"/>
                <w:szCs w:val="24"/>
                <w:lang w:val="en-US" w:eastAsia="en-US" w:bidi="ar"/>
              </w:rPr>
              <w:t>7.</w:t>
            </w:r>
          </w:p>
        </w:tc>
        <w:tc>
          <w:tcPr>
            <w:tcW w:w="992" w:type="dxa"/>
            <w:vAlign w:val="center"/>
          </w:tcPr>
          <w:p w14:paraId="010B3BCF">
            <w:pPr>
              <w:spacing w:line="276" w:lineRule="auto"/>
              <w:ind w:right="110" w:rightChars="50"/>
              <w:jc w:val="center"/>
              <w:rPr>
                <w:rFonts w:ascii="宋体" w:hAnsi="宋体" w:eastAsia="宋体" w:cs="Calibri"/>
                <w:bCs/>
                <w:kern w:val="0"/>
                <w:sz w:val="24"/>
                <w:szCs w:val="24"/>
                <w:lang w:val="en-US" w:bidi="ar"/>
              </w:rPr>
            </w:pPr>
            <w:r>
              <w:rPr>
                <w:rFonts w:hint="eastAsia" w:ascii="宋体" w:hAnsi="宋体" w:eastAsia="宋体" w:cs="Calibri"/>
                <w:bCs/>
                <w:kern w:val="0"/>
                <w:sz w:val="24"/>
                <w:szCs w:val="24"/>
                <w:lang w:val="en-US" w:bidi="ar"/>
              </w:rPr>
              <w:t>▲</w:t>
            </w:r>
          </w:p>
        </w:tc>
        <w:tc>
          <w:tcPr>
            <w:tcW w:w="1696" w:type="dxa"/>
            <w:vAlign w:val="center"/>
          </w:tcPr>
          <w:p w14:paraId="2702128C">
            <w:pPr>
              <w:spacing w:line="276" w:lineRule="auto"/>
              <w:ind w:right="110" w:rightChars="50"/>
              <w:jc w:val="center"/>
              <w:rPr>
                <w:rFonts w:ascii="宋体" w:hAnsi="宋体" w:eastAsia="宋体" w:cs="Calibri"/>
                <w:bCs/>
                <w:kern w:val="0"/>
                <w:sz w:val="24"/>
                <w:szCs w:val="24"/>
                <w:lang w:bidi="ar"/>
              </w:rPr>
            </w:pPr>
            <w:r>
              <w:rPr>
                <w:rFonts w:hint="eastAsia" w:ascii="宋体" w:hAnsi="宋体" w:eastAsia="宋体" w:cs="宋体"/>
                <w:kern w:val="0"/>
                <w:sz w:val="24"/>
                <w:szCs w:val="24"/>
              </w:rPr>
              <w:t>冗余策略</w:t>
            </w:r>
          </w:p>
        </w:tc>
        <w:tc>
          <w:tcPr>
            <w:tcW w:w="6258" w:type="dxa"/>
            <w:vAlign w:val="center"/>
          </w:tcPr>
          <w:p w14:paraId="158E4DFE">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以目录为单位设定数据保护策略，可同时对目录配置多副本、N+M纠删码及文件RAID冗余模式，可根据数据重要程度对各级目录和子目录灵活设置不同的目录冗余模式，目录深度不限</w:t>
            </w:r>
            <w:r>
              <w:rPr>
                <w:rFonts w:hint="eastAsia" w:ascii="宋体" w:hAnsi="宋体" w:eastAsia="宋体" w:cs="宋体"/>
                <w:kern w:val="0"/>
                <w:sz w:val="24"/>
                <w:szCs w:val="24"/>
              </w:rPr>
              <w:t>。（提供功能截图，并加盖原厂公章）</w:t>
            </w:r>
          </w:p>
        </w:tc>
      </w:tr>
      <w:tr w14:paraId="2252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9" w:type="dxa"/>
            <w:vAlign w:val="center"/>
          </w:tcPr>
          <w:p w14:paraId="77770CF2">
            <w:pPr>
              <w:numPr>
                <w:ilvl w:val="0"/>
                <w:numId w:val="0"/>
              </w:numPr>
              <w:spacing w:line="276" w:lineRule="auto"/>
              <w:ind w:left="425" w:leftChars="0" w:right="110" w:rightChars="50" w:hanging="425" w:firstLineChars="0"/>
              <w:jc w:val="center"/>
              <w:rPr>
                <w:rFonts w:ascii="宋体" w:hAnsi="宋体" w:eastAsia="宋体" w:cs="宋体"/>
                <w:kern w:val="0"/>
                <w:sz w:val="24"/>
                <w:szCs w:val="24"/>
              </w:rPr>
            </w:pPr>
            <w:r>
              <w:rPr>
                <w:rFonts w:hint="default" w:ascii="宋体" w:hAnsi="宋体" w:eastAsia="宋体" w:cs="宋体"/>
                <w:kern w:val="0"/>
                <w:sz w:val="24"/>
                <w:szCs w:val="24"/>
                <w:lang w:val="en-US" w:eastAsia="en-US" w:bidi="ar-SA"/>
              </w:rPr>
              <w:t>8.</w:t>
            </w:r>
          </w:p>
        </w:tc>
        <w:tc>
          <w:tcPr>
            <w:tcW w:w="992" w:type="dxa"/>
            <w:vAlign w:val="center"/>
          </w:tcPr>
          <w:p w14:paraId="2D388E19">
            <w:pPr>
              <w:spacing w:line="276" w:lineRule="auto"/>
              <w:ind w:right="110" w:rightChars="50"/>
              <w:jc w:val="center"/>
              <w:rPr>
                <w:rFonts w:ascii="宋体" w:hAnsi="宋体" w:eastAsia="宋体" w:cs="宋体"/>
                <w:kern w:val="0"/>
                <w:sz w:val="24"/>
                <w:szCs w:val="24"/>
              </w:rPr>
            </w:pPr>
          </w:p>
        </w:tc>
        <w:tc>
          <w:tcPr>
            <w:tcW w:w="1696" w:type="dxa"/>
            <w:vAlign w:val="center"/>
          </w:tcPr>
          <w:p w14:paraId="6DB01FC8">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快照策略</w:t>
            </w:r>
          </w:p>
        </w:tc>
        <w:tc>
          <w:tcPr>
            <w:tcW w:w="6258" w:type="dxa"/>
            <w:vAlign w:val="center"/>
          </w:tcPr>
          <w:p w14:paraId="18C03F88">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同时具备文件级和块级快照功能，快照采用增量快照，快照数量可达到十万级；支持定时快照</w:t>
            </w:r>
            <w:r>
              <w:rPr>
                <w:rFonts w:hint="eastAsia" w:ascii="宋体" w:hAnsi="宋体" w:eastAsia="宋体" w:cs="宋体"/>
                <w:kern w:val="0"/>
                <w:sz w:val="24"/>
                <w:szCs w:val="24"/>
              </w:rPr>
              <w:t>。</w:t>
            </w:r>
          </w:p>
        </w:tc>
      </w:tr>
      <w:tr w14:paraId="3F80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41933D40">
            <w:pPr>
              <w:numPr>
                <w:ilvl w:val="0"/>
                <w:numId w:val="0"/>
              </w:numPr>
              <w:spacing w:line="276" w:lineRule="auto"/>
              <w:ind w:left="425" w:leftChars="0" w:right="110" w:rightChars="50" w:hanging="425" w:firstLineChars="0"/>
              <w:jc w:val="center"/>
              <w:rPr>
                <w:rFonts w:ascii="宋体" w:hAnsi="宋体" w:eastAsia="宋体" w:cs="宋体"/>
                <w:bCs/>
                <w:sz w:val="24"/>
                <w:szCs w:val="24"/>
              </w:rPr>
            </w:pPr>
            <w:r>
              <w:rPr>
                <w:rFonts w:hint="default" w:ascii="宋体" w:hAnsi="宋体" w:eastAsia="宋体" w:cs="宋体"/>
                <w:bCs/>
                <w:sz w:val="24"/>
                <w:szCs w:val="24"/>
                <w:lang w:val="en-US" w:eastAsia="en-US" w:bidi="ar-SA"/>
              </w:rPr>
              <w:t>9.</w:t>
            </w:r>
          </w:p>
        </w:tc>
        <w:tc>
          <w:tcPr>
            <w:tcW w:w="992" w:type="dxa"/>
            <w:vAlign w:val="center"/>
          </w:tcPr>
          <w:p w14:paraId="48A1A0D5">
            <w:pPr>
              <w:spacing w:line="276" w:lineRule="auto"/>
              <w:ind w:right="110" w:rightChars="50"/>
              <w:jc w:val="center"/>
              <w:rPr>
                <w:rFonts w:ascii="宋体" w:hAnsi="宋体" w:eastAsia="宋体" w:cs="宋体"/>
                <w:bCs/>
                <w:sz w:val="24"/>
                <w:szCs w:val="24"/>
              </w:rPr>
            </w:pPr>
          </w:p>
        </w:tc>
        <w:tc>
          <w:tcPr>
            <w:tcW w:w="1696" w:type="dxa"/>
            <w:vAlign w:val="center"/>
          </w:tcPr>
          <w:p w14:paraId="7BA3EA62">
            <w:pPr>
              <w:spacing w:line="276" w:lineRule="auto"/>
              <w:ind w:right="110" w:rightChars="50"/>
              <w:jc w:val="center"/>
              <w:rPr>
                <w:rFonts w:ascii="宋体" w:hAnsi="宋体" w:eastAsia="宋体" w:cs="宋体"/>
                <w:bCs/>
                <w:sz w:val="24"/>
                <w:szCs w:val="24"/>
              </w:rPr>
            </w:pPr>
            <w:r>
              <w:rPr>
                <w:rFonts w:hint="eastAsia" w:ascii="宋体" w:hAnsi="宋体" w:eastAsia="宋体" w:cs="宋体"/>
                <w:kern w:val="0"/>
                <w:sz w:val="24"/>
                <w:szCs w:val="24"/>
              </w:rPr>
              <w:t>数据加密</w:t>
            </w:r>
          </w:p>
        </w:tc>
        <w:tc>
          <w:tcPr>
            <w:tcW w:w="6258" w:type="dxa"/>
            <w:vAlign w:val="center"/>
          </w:tcPr>
          <w:p w14:paraId="5A63BE17">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具备分布式并行协议的目录级文件加密</w:t>
            </w:r>
            <w:r>
              <w:rPr>
                <w:rFonts w:hint="eastAsia" w:ascii="宋体" w:hAnsi="宋体" w:eastAsia="宋体" w:cs="宋体"/>
                <w:kern w:val="0"/>
                <w:sz w:val="24"/>
                <w:szCs w:val="24"/>
              </w:rPr>
              <w:t>。</w:t>
            </w:r>
          </w:p>
        </w:tc>
      </w:tr>
      <w:tr w14:paraId="29BE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3C30F38E">
            <w:pPr>
              <w:numPr>
                <w:ilvl w:val="0"/>
                <w:numId w:val="0"/>
              </w:numPr>
              <w:spacing w:line="276" w:lineRule="auto"/>
              <w:ind w:left="425" w:leftChars="0" w:right="110" w:rightChars="50" w:hanging="425" w:firstLineChars="0"/>
              <w:jc w:val="center"/>
              <w:rPr>
                <w:rFonts w:ascii="宋体" w:hAnsi="宋体" w:eastAsia="宋体" w:cs="宋体"/>
                <w:bCs/>
                <w:sz w:val="24"/>
                <w:szCs w:val="24"/>
              </w:rPr>
            </w:pPr>
            <w:r>
              <w:rPr>
                <w:rFonts w:hint="default" w:ascii="宋体" w:hAnsi="宋体" w:eastAsia="宋体" w:cs="宋体"/>
                <w:bCs/>
                <w:sz w:val="24"/>
                <w:szCs w:val="24"/>
                <w:lang w:val="en-US" w:eastAsia="en-US" w:bidi="ar-SA"/>
              </w:rPr>
              <w:t>10.</w:t>
            </w:r>
          </w:p>
        </w:tc>
        <w:tc>
          <w:tcPr>
            <w:tcW w:w="992" w:type="dxa"/>
            <w:vAlign w:val="center"/>
          </w:tcPr>
          <w:p w14:paraId="3CFC6FC5">
            <w:pPr>
              <w:spacing w:line="276" w:lineRule="auto"/>
              <w:ind w:right="110" w:rightChars="50"/>
              <w:jc w:val="center"/>
              <w:rPr>
                <w:rFonts w:ascii="宋体" w:hAnsi="宋体" w:eastAsia="宋体" w:cs="宋体"/>
                <w:sz w:val="24"/>
                <w:szCs w:val="24"/>
              </w:rPr>
            </w:pPr>
          </w:p>
        </w:tc>
        <w:tc>
          <w:tcPr>
            <w:tcW w:w="1696" w:type="dxa"/>
            <w:vAlign w:val="center"/>
          </w:tcPr>
          <w:p w14:paraId="3B58A299">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冷数据扫描</w:t>
            </w:r>
          </w:p>
        </w:tc>
        <w:tc>
          <w:tcPr>
            <w:tcW w:w="6258" w:type="dxa"/>
            <w:vAlign w:val="center"/>
          </w:tcPr>
          <w:p w14:paraId="52628CBD">
            <w:pPr>
              <w:spacing w:line="360" w:lineRule="auto"/>
              <w:rPr>
                <w:rFonts w:ascii="宋体" w:hAnsi="宋体" w:eastAsia="宋体" w:cs="宋体"/>
                <w:kern w:val="0"/>
                <w:sz w:val="24"/>
                <w:szCs w:val="24"/>
                <w:lang w:val="en-US"/>
              </w:rPr>
            </w:pPr>
            <w:r>
              <w:rPr>
                <w:rFonts w:hint="eastAsia" w:ascii="宋体" w:hAnsi="宋体" w:eastAsia="宋体" w:cs="宋体"/>
                <w:kern w:val="0"/>
                <w:sz w:val="24"/>
                <w:szCs w:val="24"/>
                <w:lang w:val="en-US"/>
              </w:rPr>
              <w:t>存储系统具备冷数据扫描功能，可设定周期性扫描。</w:t>
            </w:r>
          </w:p>
        </w:tc>
      </w:tr>
      <w:tr w14:paraId="15596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7E1BDCD8">
            <w:pPr>
              <w:numPr>
                <w:ilvl w:val="0"/>
                <w:numId w:val="0"/>
              </w:numPr>
              <w:spacing w:line="276" w:lineRule="auto"/>
              <w:ind w:left="425" w:leftChars="0" w:right="110" w:rightChars="50" w:hanging="425" w:firstLineChars="0"/>
              <w:jc w:val="center"/>
              <w:rPr>
                <w:rFonts w:ascii="宋体" w:hAnsi="宋体" w:eastAsia="宋体" w:cs="宋体"/>
                <w:kern w:val="0"/>
                <w:sz w:val="24"/>
                <w:szCs w:val="24"/>
                <w:lang w:val="en-US"/>
              </w:rPr>
            </w:pPr>
            <w:r>
              <w:rPr>
                <w:rFonts w:hint="default" w:ascii="宋体" w:hAnsi="宋体" w:eastAsia="宋体" w:cs="宋体"/>
                <w:kern w:val="0"/>
                <w:sz w:val="24"/>
                <w:szCs w:val="24"/>
                <w:lang w:val="en-US" w:eastAsia="en-US" w:bidi="ar-SA"/>
              </w:rPr>
              <w:t>11.</w:t>
            </w:r>
          </w:p>
        </w:tc>
        <w:tc>
          <w:tcPr>
            <w:tcW w:w="992" w:type="dxa"/>
            <w:vAlign w:val="center"/>
          </w:tcPr>
          <w:p w14:paraId="0DF44AC0">
            <w:pPr>
              <w:spacing w:line="276" w:lineRule="auto"/>
              <w:ind w:right="110" w:rightChars="50"/>
              <w:jc w:val="center"/>
              <w:rPr>
                <w:rFonts w:ascii="宋体" w:hAnsi="宋体" w:eastAsia="宋体" w:cs="宋体"/>
                <w:kern w:val="0"/>
                <w:sz w:val="24"/>
                <w:szCs w:val="24"/>
                <w:lang w:val="en-US"/>
              </w:rPr>
            </w:pPr>
            <w:r>
              <w:rPr>
                <w:rFonts w:hint="eastAsia" w:ascii="宋体" w:hAnsi="宋体" w:eastAsia="宋体" w:cs="宋体"/>
                <w:kern w:val="0"/>
                <w:sz w:val="24"/>
                <w:szCs w:val="24"/>
                <w:lang w:val="en-US"/>
              </w:rPr>
              <w:t>▲</w:t>
            </w:r>
          </w:p>
        </w:tc>
        <w:tc>
          <w:tcPr>
            <w:tcW w:w="1696" w:type="dxa"/>
            <w:vAlign w:val="center"/>
          </w:tcPr>
          <w:p w14:paraId="6FE45A06">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防病毒</w:t>
            </w:r>
          </w:p>
        </w:tc>
        <w:tc>
          <w:tcPr>
            <w:tcW w:w="6258" w:type="dxa"/>
            <w:vAlign w:val="center"/>
          </w:tcPr>
          <w:p w14:paraId="265E93D0">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具备防病毒扫描功能，防病毒功能支持标准的防病毒协议</w:t>
            </w:r>
            <w:r>
              <w:rPr>
                <w:rFonts w:hint="eastAsia" w:ascii="宋体" w:hAnsi="宋体" w:eastAsia="宋体" w:cs="宋体"/>
                <w:kern w:val="0"/>
                <w:sz w:val="24"/>
                <w:szCs w:val="24"/>
              </w:rPr>
              <w:t>。（提供软件功能截图并加盖原厂公章）</w:t>
            </w:r>
          </w:p>
        </w:tc>
      </w:tr>
      <w:tr w14:paraId="46A44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709" w:type="dxa"/>
            <w:vAlign w:val="center"/>
          </w:tcPr>
          <w:p w14:paraId="20F7103B">
            <w:pPr>
              <w:numPr>
                <w:ilvl w:val="0"/>
                <w:numId w:val="0"/>
              </w:numPr>
              <w:spacing w:line="276" w:lineRule="auto"/>
              <w:ind w:left="425" w:leftChars="0" w:right="110" w:rightChars="50" w:hanging="425" w:firstLineChars="0"/>
              <w:jc w:val="center"/>
              <w:rPr>
                <w:rFonts w:ascii="宋体" w:hAnsi="宋体" w:eastAsia="宋体" w:cs="宋体"/>
                <w:bCs/>
                <w:sz w:val="24"/>
                <w:szCs w:val="24"/>
                <w:lang w:val="en-US"/>
              </w:rPr>
            </w:pPr>
            <w:r>
              <w:rPr>
                <w:rFonts w:hint="default" w:ascii="宋体" w:hAnsi="宋体" w:eastAsia="宋体" w:cs="宋体"/>
                <w:bCs/>
                <w:sz w:val="24"/>
                <w:szCs w:val="24"/>
                <w:lang w:val="en-US" w:eastAsia="en-US" w:bidi="ar-SA"/>
              </w:rPr>
              <w:t>12.</w:t>
            </w:r>
          </w:p>
        </w:tc>
        <w:tc>
          <w:tcPr>
            <w:tcW w:w="992" w:type="dxa"/>
            <w:vAlign w:val="center"/>
          </w:tcPr>
          <w:p w14:paraId="41367CED">
            <w:pPr>
              <w:spacing w:line="276" w:lineRule="auto"/>
              <w:ind w:right="110" w:rightChars="50"/>
              <w:jc w:val="center"/>
              <w:rPr>
                <w:rFonts w:ascii="宋体" w:hAnsi="宋体" w:eastAsia="宋体" w:cs="宋体"/>
                <w:bCs/>
                <w:sz w:val="24"/>
                <w:szCs w:val="24"/>
              </w:rPr>
            </w:pPr>
          </w:p>
        </w:tc>
        <w:tc>
          <w:tcPr>
            <w:tcW w:w="1696" w:type="dxa"/>
            <w:vAlign w:val="center"/>
          </w:tcPr>
          <w:p w14:paraId="6263739A">
            <w:pPr>
              <w:spacing w:line="276" w:lineRule="auto"/>
              <w:ind w:right="110" w:rightChars="50"/>
              <w:jc w:val="center"/>
              <w:rPr>
                <w:rFonts w:ascii="宋体" w:hAnsi="宋体" w:eastAsia="宋体" w:cs="宋体"/>
                <w:bCs/>
                <w:sz w:val="24"/>
                <w:szCs w:val="24"/>
              </w:rPr>
            </w:pPr>
            <w:r>
              <w:rPr>
                <w:rFonts w:hint="eastAsia" w:ascii="宋体" w:hAnsi="宋体" w:eastAsia="宋体" w:cs="宋体"/>
                <w:kern w:val="0"/>
                <w:sz w:val="24"/>
                <w:szCs w:val="24"/>
              </w:rPr>
              <w:t>QoS</w:t>
            </w:r>
          </w:p>
        </w:tc>
        <w:tc>
          <w:tcPr>
            <w:tcW w:w="6258" w:type="dxa"/>
            <w:vAlign w:val="center"/>
          </w:tcPr>
          <w:p w14:paraId="1C56BD2E">
            <w:pPr>
              <w:spacing w:line="276" w:lineRule="auto"/>
              <w:ind w:right="110" w:rightChars="50"/>
              <w:rPr>
                <w:rFonts w:ascii="宋体" w:hAnsi="宋体" w:eastAsia="宋体" w:cs="宋体"/>
                <w:bCs/>
                <w:sz w:val="24"/>
                <w:szCs w:val="24"/>
              </w:rPr>
            </w:pPr>
            <w:r>
              <w:rPr>
                <w:rFonts w:hint="eastAsia" w:ascii="宋体" w:hAnsi="宋体" w:eastAsia="宋体" w:cs="宋体"/>
                <w:kern w:val="0"/>
                <w:sz w:val="24"/>
                <w:szCs w:val="24"/>
                <w:lang w:val="en-US"/>
              </w:rPr>
              <w:t>具备QoS限制每秒创建的文件个数、每秒删除的文件个数、每秒创建目录的个数、每秒删除目录的个数、每秒检索的次数、每秒使用readdir接口的个数</w:t>
            </w:r>
            <w:r>
              <w:rPr>
                <w:rFonts w:hint="eastAsia" w:ascii="宋体" w:hAnsi="宋体" w:eastAsia="宋体" w:cs="宋体"/>
                <w:kern w:val="0"/>
                <w:sz w:val="24"/>
                <w:szCs w:val="24"/>
              </w:rPr>
              <w:t>。</w:t>
            </w:r>
          </w:p>
        </w:tc>
      </w:tr>
      <w:tr w14:paraId="54AF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27263772">
            <w:pPr>
              <w:numPr>
                <w:ilvl w:val="0"/>
                <w:numId w:val="0"/>
              </w:numPr>
              <w:spacing w:line="276" w:lineRule="auto"/>
              <w:ind w:left="425" w:leftChars="0" w:right="110" w:rightChars="50" w:hanging="425" w:firstLineChars="0"/>
              <w:jc w:val="center"/>
              <w:rPr>
                <w:rFonts w:ascii="宋体" w:hAnsi="宋体" w:eastAsia="宋体" w:cs="宋体"/>
                <w:bCs/>
                <w:sz w:val="24"/>
                <w:szCs w:val="24"/>
                <w:lang w:val="en-US"/>
              </w:rPr>
            </w:pPr>
            <w:r>
              <w:rPr>
                <w:rFonts w:hint="default" w:ascii="宋体" w:hAnsi="宋体" w:eastAsia="宋体" w:cs="宋体"/>
                <w:bCs/>
                <w:sz w:val="24"/>
                <w:szCs w:val="24"/>
                <w:lang w:val="en-US" w:eastAsia="en-US" w:bidi="ar-SA"/>
              </w:rPr>
              <w:t>13.</w:t>
            </w:r>
          </w:p>
        </w:tc>
        <w:tc>
          <w:tcPr>
            <w:tcW w:w="992" w:type="dxa"/>
            <w:vAlign w:val="center"/>
          </w:tcPr>
          <w:p w14:paraId="0029E23D">
            <w:pPr>
              <w:spacing w:line="276" w:lineRule="auto"/>
              <w:ind w:right="110" w:rightChars="50"/>
              <w:jc w:val="center"/>
              <w:rPr>
                <w:rFonts w:ascii="宋体" w:hAnsi="宋体" w:eastAsia="宋体" w:cs="宋体"/>
                <w:bCs/>
                <w:sz w:val="24"/>
                <w:szCs w:val="24"/>
                <w:lang w:val="en-US"/>
              </w:rPr>
            </w:pPr>
            <w:r>
              <w:rPr>
                <w:rFonts w:hint="eastAsia" w:ascii="宋体" w:hAnsi="宋体" w:eastAsia="宋体" w:cs="宋体"/>
                <w:bCs/>
                <w:sz w:val="24"/>
                <w:szCs w:val="24"/>
                <w:lang w:val="en-US"/>
              </w:rPr>
              <w:t>▲</w:t>
            </w:r>
          </w:p>
        </w:tc>
        <w:tc>
          <w:tcPr>
            <w:tcW w:w="1696" w:type="dxa"/>
            <w:vAlign w:val="center"/>
          </w:tcPr>
          <w:p w14:paraId="61D8FF1F">
            <w:pPr>
              <w:spacing w:line="276" w:lineRule="auto"/>
              <w:ind w:right="110" w:rightChars="50"/>
              <w:jc w:val="center"/>
              <w:rPr>
                <w:rFonts w:ascii="宋体" w:hAnsi="宋体" w:eastAsia="宋体" w:cs="宋体"/>
                <w:bCs/>
                <w:sz w:val="24"/>
                <w:szCs w:val="24"/>
              </w:rPr>
            </w:pPr>
            <w:r>
              <w:rPr>
                <w:rFonts w:hint="eastAsia" w:ascii="宋体" w:hAnsi="宋体" w:eastAsia="宋体" w:cs="宋体"/>
                <w:kern w:val="0"/>
                <w:sz w:val="24"/>
                <w:szCs w:val="24"/>
              </w:rPr>
              <w:t>应用访问接口</w:t>
            </w:r>
          </w:p>
        </w:tc>
        <w:tc>
          <w:tcPr>
            <w:tcW w:w="6258" w:type="dxa"/>
            <w:vAlign w:val="center"/>
          </w:tcPr>
          <w:p w14:paraId="5CC0349C">
            <w:pPr>
              <w:rPr>
                <w:rFonts w:ascii="宋体" w:hAnsi="宋体" w:eastAsia="宋体" w:cs="宋体"/>
                <w:kern w:val="0"/>
                <w:sz w:val="24"/>
                <w:szCs w:val="24"/>
              </w:rPr>
            </w:pPr>
            <w:r>
              <w:rPr>
                <w:rFonts w:hint="eastAsia" w:ascii="宋体" w:hAnsi="宋体" w:eastAsia="宋体" w:cs="宋体"/>
                <w:kern w:val="0"/>
                <w:sz w:val="24"/>
                <w:szCs w:val="24"/>
                <w:lang w:val="en-US"/>
              </w:rPr>
              <w:t>具备对含相同前缀的临时 URL 的批量处理功能并提供相应 API 接口，满足大量文件、文件夹同时上传、下载需求</w:t>
            </w:r>
            <w:r>
              <w:rPr>
                <w:rFonts w:hint="eastAsia" w:ascii="宋体" w:hAnsi="宋体" w:eastAsia="宋体" w:cs="宋体"/>
                <w:kern w:val="0"/>
                <w:sz w:val="24"/>
                <w:szCs w:val="24"/>
              </w:rPr>
              <w:t>（提供软件功能截图并加盖原厂公章）</w:t>
            </w:r>
          </w:p>
        </w:tc>
      </w:tr>
      <w:tr w14:paraId="538A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5D5A9773">
            <w:pPr>
              <w:numPr>
                <w:ilvl w:val="0"/>
                <w:numId w:val="0"/>
              </w:numPr>
              <w:spacing w:line="276" w:lineRule="auto"/>
              <w:ind w:left="425" w:leftChars="0" w:right="110" w:rightChars="50" w:hanging="425" w:firstLineChars="0"/>
              <w:jc w:val="center"/>
              <w:rPr>
                <w:rFonts w:ascii="宋体" w:hAnsi="宋体" w:eastAsia="宋体" w:cs="宋体"/>
                <w:bCs/>
                <w:sz w:val="24"/>
                <w:szCs w:val="24"/>
                <w:lang w:val="en-US"/>
              </w:rPr>
            </w:pPr>
            <w:r>
              <w:rPr>
                <w:rFonts w:hint="default" w:ascii="宋体" w:hAnsi="宋体" w:eastAsia="宋体" w:cs="宋体"/>
                <w:bCs/>
                <w:sz w:val="24"/>
                <w:szCs w:val="24"/>
                <w:lang w:val="en-US" w:eastAsia="en-US" w:bidi="ar-SA"/>
              </w:rPr>
              <w:t>14.</w:t>
            </w:r>
          </w:p>
        </w:tc>
        <w:tc>
          <w:tcPr>
            <w:tcW w:w="992" w:type="dxa"/>
            <w:vAlign w:val="center"/>
          </w:tcPr>
          <w:p w14:paraId="77710332">
            <w:pPr>
              <w:spacing w:line="276" w:lineRule="auto"/>
              <w:ind w:right="110" w:rightChars="50"/>
              <w:jc w:val="center"/>
              <w:rPr>
                <w:rFonts w:ascii="宋体" w:hAnsi="宋体" w:eastAsia="宋体" w:cs="宋体"/>
                <w:bCs/>
                <w:sz w:val="24"/>
                <w:szCs w:val="24"/>
                <w:lang w:val="en-US"/>
              </w:rPr>
            </w:pPr>
          </w:p>
        </w:tc>
        <w:tc>
          <w:tcPr>
            <w:tcW w:w="1696" w:type="dxa"/>
            <w:vAlign w:val="center"/>
          </w:tcPr>
          <w:p w14:paraId="45948EFF">
            <w:pPr>
              <w:spacing w:line="276" w:lineRule="auto"/>
              <w:ind w:right="110" w:rightChars="50"/>
              <w:jc w:val="center"/>
              <w:rPr>
                <w:rFonts w:ascii="宋体" w:hAnsi="宋体" w:eastAsia="宋体" w:cs="宋体"/>
                <w:kern w:val="0"/>
                <w:sz w:val="24"/>
                <w:szCs w:val="24"/>
              </w:rPr>
            </w:pPr>
            <w:r>
              <w:rPr>
                <w:rFonts w:hint="eastAsia" w:ascii="宋体" w:hAnsi="宋体" w:eastAsia="宋体" w:cs="宋体"/>
                <w:color w:val="000000"/>
                <w:kern w:val="0"/>
                <w:sz w:val="24"/>
                <w:szCs w:val="24"/>
                <w:lang w:val="en-US"/>
              </w:rPr>
              <w:t>在线解压缩</w:t>
            </w:r>
          </w:p>
        </w:tc>
        <w:tc>
          <w:tcPr>
            <w:tcW w:w="6258" w:type="dxa"/>
            <w:vAlign w:val="center"/>
          </w:tcPr>
          <w:p w14:paraId="6F3EB3F6">
            <w:pPr>
              <w:rPr>
                <w:rFonts w:ascii="宋体" w:hAnsi="宋体" w:eastAsia="宋体" w:cs="宋体"/>
                <w:kern w:val="0"/>
                <w:sz w:val="24"/>
                <w:szCs w:val="24"/>
                <w:lang w:val="en-US"/>
              </w:rPr>
            </w:pPr>
            <w:r>
              <w:rPr>
                <w:rFonts w:hint="eastAsia" w:ascii="宋体" w:hAnsi="宋体" w:eastAsia="宋体" w:cs="宋体"/>
                <w:color w:val="000000"/>
                <w:kern w:val="0"/>
                <w:sz w:val="24"/>
                <w:szCs w:val="24"/>
                <w:lang w:val="en-US"/>
              </w:rPr>
              <w:t>具备文件在线压缩、多选文件夹压缩，具备zip文件在线解压，并保持原始的目录结构，提供直接阅览压缩包中的文件。</w:t>
            </w:r>
          </w:p>
        </w:tc>
      </w:tr>
      <w:tr w14:paraId="3D6F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09" w:type="dxa"/>
            <w:vAlign w:val="center"/>
          </w:tcPr>
          <w:p w14:paraId="0F75C923">
            <w:pPr>
              <w:numPr>
                <w:ilvl w:val="0"/>
                <w:numId w:val="0"/>
              </w:numPr>
              <w:spacing w:line="276" w:lineRule="auto"/>
              <w:ind w:left="425" w:leftChars="0" w:right="110" w:rightChars="50" w:hanging="425" w:firstLineChars="0"/>
              <w:jc w:val="center"/>
              <w:rPr>
                <w:rFonts w:ascii="宋体" w:hAnsi="宋体" w:eastAsia="宋体" w:cs="Calibri"/>
                <w:bCs/>
                <w:kern w:val="0"/>
                <w:sz w:val="24"/>
                <w:szCs w:val="24"/>
                <w:lang w:val="en-US" w:bidi="ar"/>
              </w:rPr>
            </w:pPr>
            <w:r>
              <w:rPr>
                <w:rFonts w:hint="default" w:ascii="宋体" w:hAnsi="宋体" w:eastAsia="宋体" w:cs="Calibri"/>
                <w:bCs/>
                <w:kern w:val="0"/>
                <w:sz w:val="24"/>
                <w:szCs w:val="24"/>
                <w:lang w:val="en-US" w:eastAsia="en-US" w:bidi="ar"/>
              </w:rPr>
              <w:t>15.</w:t>
            </w:r>
          </w:p>
        </w:tc>
        <w:tc>
          <w:tcPr>
            <w:tcW w:w="992" w:type="dxa"/>
            <w:vAlign w:val="center"/>
          </w:tcPr>
          <w:p w14:paraId="34B1F039">
            <w:pPr>
              <w:spacing w:line="276" w:lineRule="auto"/>
              <w:ind w:right="110" w:rightChars="50"/>
              <w:jc w:val="center"/>
              <w:rPr>
                <w:rFonts w:ascii="宋体" w:hAnsi="宋体" w:eastAsia="宋体" w:cs="Calibri"/>
                <w:bCs/>
                <w:kern w:val="0"/>
                <w:sz w:val="24"/>
                <w:szCs w:val="24"/>
                <w:lang w:bidi="ar"/>
              </w:rPr>
            </w:pPr>
          </w:p>
        </w:tc>
        <w:tc>
          <w:tcPr>
            <w:tcW w:w="1696" w:type="dxa"/>
            <w:vAlign w:val="center"/>
          </w:tcPr>
          <w:p w14:paraId="29599080">
            <w:pPr>
              <w:spacing w:line="276" w:lineRule="auto"/>
              <w:ind w:right="110" w:rightChars="50"/>
              <w:jc w:val="center"/>
              <w:rPr>
                <w:rFonts w:ascii="宋体" w:hAnsi="宋体" w:eastAsia="宋体" w:cs="Calibri"/>
                <w:bCs/>
                <w:kern w:val="0"/>
                <w:sz w:val="24"/>
                <w:szCs w:val="24"/>
                <w:lang w:bidi="ar"/>
              </w:rPr>
            </w:pPr>
            <w:r>
              <w:rPr>
                <w:rFonts w:hint="eastAsia" w:ascii="宋体" w:hAnsi="宋体" w:eastAsia="宋体" w:cs="Calibri"/>
                <w:bCs/>
                <w:kern w:val="0"/>
                <w:sz w:val="24"/>
                <w:szCs w:val="24"/>
                <w:lang w:bidi="ar"/>
              </w:rPr>
              <w:t>协议</w:t>
            </w:r>
          </w:p>
        </w:tc>
        <w:tc>
          <w:tcPr>
            <w:tcW w:w="6258" w:type="dxa"/>
            <w:vAlign w:val="center"/>
          </w:tcPr>
          <w:p w14:paraId="6C095783">
            <w:pPr>
              <w:rPr>
                <w:rFonts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rPr>
              <w:t>支持NFS协议、CIFS协议、Swift协议与S3协议互通访问；</w:t>
            </w:r>
          </w:p>
        </w:tc>
      </w:tr>
      <w:tr w14:paraId="06E65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09" w:type="dxa"/>
            <w:vAlign w:val="center"/>
          </w:tcPr>
          <w:p w14:paraId="37102498">
            <w:pPr>
              <w:numPr>
                <w:ilvl w:val="0"/>
                <w:numId w:val="0"/>
              </w:numPr>
              <w:spacing w:line="276" w:lineRule="auto"/>
              <w:ind w:leftChars="0" w:right="110" w:rightChars="50"/>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w:t>
            </w:r>
          </w:p>
        </w:tc>
        <w:tc>
          <w:tcPr>
            <w:tcW w:w="992" w:type="dxa"/>
            <w:vAlign w:val="center"/>
          </w:tcPr>
          <w:p w14:paraId="01589A76">
            <w:pPr>
              <w:spacing w:line="276" w:lineRule="auto"/>
              <w:ind w:right="110" w:rightChars="50"/>
              <w:jc w:val="center"/>
              <w:rPr>
                <w:rFonts w:ascii="宋体" w:hAnsi="宋体" w:eastAsia="宋体" w:cs="宋体"/>
                <w:kern w:val="0"/>
                <w:sz w:val="24"/>
                <w:szCs w:val="24"/>
              </w:rPr>
            </w:pPr>
            <w:r>
              <w:rPr>
                <w:rFonts w:hint="eastAsia" w:ascii="宋体" w:hAnsi="宋体" w:eastAsia="宋体" w:cs="宋体"/>
                <w:bCs/>
                <w:sz w:val="24"/>
                <w:szCs w:val="24"/>
                <w:lang w:val="en-US"/>
              </w:rPr>
              <w:t>▲</w:t>
            </w:r>
          </w:p>
        </w:tc>
        <w:tc>
          <w:tcPr>
            <w:tcW w:w="1696" w:type="dxa"/>
            <w:vAlign w:val="center"/>
          </w:tcPr>
          <w:p w14:paraId="3F2A6008">
            <w:pPr>
              <w:spacing w:line="276" w:lineRule="auto"/>
              <w:ind w:right="110" w:rightChars="50"/>
              <w:jc w:val="center"/>
              <w:rPr>
                <w:rFonts w:ascii="宋体" w:hAnsi="宋体" w:eastAsia="宋体" w:cs="宋体"/>
                <w:kern w:val="0"/>
                <w:sz w:val="24"/>
                <w:szCs w:val="24"/>
              </w:rPr>
            </w:pPr>
            <w:r>
              <w:rPr>
                <w:rFonts w:hint="eastAsia" w:ascii="宋体" w:hAnsi="宋体" w:eastAsia="宋体" w:cs="宋体"/>
                <w:kern w:val="0"/>
                <w:sz w:val="24"/>
                <w:szCs w:val="24"/>
              </w:rPr>
              <w:t>维保服务</w:t>
            </w:r>
          </w:p>
        </w:tc>
        <w:tc>
          <w:tcPr>
            <w:tcW w:w="6258" w:type="dxa"/>
            <w:vAlign w:val="center"/>
          </w:tcPr>
          <w:p w14:paraId="57B2F177">
            <w:pPr>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rPr>
              <w:t>提供3年7x24原厂软硬件保修与技术支持、原厂上门安装，承诺每年续保金额不超设备采购金额5%；提供原厂出具的售后服务承诺函，并加盖原厂公章</w:t>
            </w:r>
            <w:r>
              <w:rPr>
                <w:rFonts w:hint="eastAsia" w:ascii="宋体" w:hAnsi="宋体" w:eastAsia="宋体" w:cs="宋体"/>
                <w:color w:val="000000"/>
                <w:kern w:val="0"/>
                <w:sz w:val="24"/>
                <w:szCs w:val="24"/>
                <w:lang w:val="en-US" w:eastAsia="zh-CN"/>
              </w:rPr>
              <w:t>。</w:t>
            </w:r>
          </w:p>
        </w:tc>
      </w:tr>
    </w:tbl>
    <w:p w14:paraId="67E396AA">
      <w:pPr>
        <w:widowControl w:val="0"/>
        <w:autoSpaceDE w:val="0"/>
        <w:autoSpaceDN w:val="0"/>
        <w:rPr>
          <w:rFonts w:hint="default" w:ascii="宋体" w:hAnsi="宋体" w:eastAsia="宋体" w:cs="宋体"/>
          <w:color w:val="auto"/>
          <w:sz w:val="24"/>
          <w:szCs w:val="24"/>
          <w:lang w:val="en-US" w:eastAsia="zh-CN" w:bidi="ar-SA"/>
        </w:rPr>
      </w:pPr>
    </w:p>
    <w:p w14:paraId="4DB3494A">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2.2 采购标的需满足的服务标准、期限、效率等要求；</w:t>
      </w:r>
    </w:p>
    <w:p w14:paraId="25C16504">
      <w:pPr>
        <w:tabs>
          <w:tab w:val="left" w:pos="900"/>
        </w:tabs>
        <w:autoSpaceDE/>
        <w:autoSpaceDN/>
        <w:spacing w:line="360" w:lineRule="auto"/>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（1）采购标的需满足的服务标准、效率要求</w:t>
      </w:r>
    </w:p>
    <w:p w14:paraId="5584ABCA">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1DB536AF">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4A53F3AA">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4126B992">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15C6447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6B88AA0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632DC15C">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1CB3E5B8">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6D2B4B55">
      <w:pPr>
        <w:widowControl w:val="0"/>
        <w:autoSpaceDE w:val="0"/>
        <w:autoSpaceDN w:val="0"/>
        <w:spacing w:before="50"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6949A114">
      <w:pPr>
        <w:widowControl w:val="0"/>
        <w:autoSpaceDE w:val="0"/>
        <w:autoSpaceDN w:val="0"/>
        <w:spacing w:before="50" w:line="360" w:lineRule="auto"/>
        <w:ind w:firstLine="480" w:firstLineChars="200"/>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（2）采购标的需满足的服务期限要求</w:t>
      </w:r>
    </w:p>
    <w:p w14:paraId="1150F9B2">
      <w:pPr>
        <w:widowControl w:val="0"/>
        <w:autoSpaceDE w:val="0"/>
        <w:autoSpaceDN w:val="0"/>
        <w:spacing w:line="360" w:lineRule="auto"/>
        <w:ind w:firstLine="480" w:firstLineChars="200"/>
        <w:rPr>
          <w:rFonts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 质量保证期（保修期）及服务要求：详见本章“采购需求中商务要求4.质保服务”。</w:t>
      </w:r>
    </w:p>
    <w:p w14:paraId="321C6D0F">
      <w:pPr>
        <w:tabs>
          <w:tab w:val="left" w:pos="900"/>
        </w:tabs>
        <w:spacing w:before="156" w:beforeLines="50" w:line="360" w:lineRule="auto"/>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2.3为落实政府采购政策需满足的要求；</w:t>
      </w:r>
    </w:p>
    <w:p w14:paraId="62635688">
      <w:pPr>
        <w:tabs>
          <w:tab w:val="left" w:pos="900"/>
        </w:tabs>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296062B1">
      <w:pPr>
        <w:tabs>
          <w:tab w:val="left" w:pos="900"/>
        </w:tabs>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color w:val="auto"/>
          <w:sz w:val="24"/>
          <w:szCs w:val="24"/>
          <w:highlight w:val="none"/>
          <w:lang w:eastAsia="zh-CN"/>
        </w:rPr>
        <w:t>。（专门面向中小企业采购或预留份额的情况不适用）</w:t>
      </w:r>
    </w:p>
    <w:p w14:paraId="572F2AE9">
      <w:pPr>
        <w:tabs>
          <w:tab w:val="left" w:pos="900"/>
        </w:tabs>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41A9C3">
      <w:pPr>
        <w:autoSpaceDE/>
        <w:autoSpaceDN/>
        <w:spacing w:line="360" w:lineRule="auto"/>
        <w:ind w:firstLine="480" w:firstLineChars="200"/>
        <w:rPr>
          <w:rFonts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7F75BC5D">
      <w:pPr>
        <w:autoSpaceDE/>
        <w:autoSpaceDN/>
        <w:spacing w:before="20" w:line="360" w:lineRule="auto"/>
        <w:ind w:firstLine="480"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5）实施本国产品标准及相关政策：依据《</w:t>
      </w:r>
      <w:r>
        <w:rPr>
          <w:rFonts w:hint="eastAsia" w:ascii="宋体" w:hAnsi="宋体" w:eastAsia="宋体" w:cs="宋体"/>
          <w:i w:val="0"/>
          <w:iCs w:val="0"/>
          <w:caps w:val="0"/>
          <w:color w:val="auto"/>
          <w:spacing w:val="0"/>
          <w:sz w:val="24"/>
          <w:szCs w:val="24"/>
          <w:highlight w:val="none"/>
          <w:shd w:val="clear" w:fill="FFFFFF"/>
        </w:rPr>
        <w:t>国务院办公厅关于在政府采购中实施本国产品标准及相关政策的通知</w:t>
      </w:r>
      <w:r>
        <w:rPr>
          <w:rFonts w:hint="eastAsia" w:ascii="宋体" w:hAnsi="宋体" w:eastAsia="宋体" w:cs="宋体"/>
          <w:color w:val="auto"/>
          <w:sz w:val="24"/>
          <w:szCs w:val="24"/>
          <w:highlight w:val="none"/>
          <w:lang w:val="en-US" w:eastAsia="zh-CN"/>
        </w:rPr>
        <w:t>》（国办发〔2025〕34号）规定，</w:t>
      </w:r>
      <w:r>
        <w:rPr>
          <w:rFonts w:hint="eastAsia" w:ascii="宋体" w:hAnsi="宋体" w:eastAsia="宋体" w:cs="宋体"/>
          <w:color w:val="auto"/>
          <w:sz w:val="24"/>
          <w:szCs w:val="24"/>
          <w:highlight w:val="none"/>
        </w:rPr>
        <w:t>本项目供应商所投产品</w:t>
      </w:r>
      <w:r>
        <w:rPr>
          <w:rFonts w:hint="eastAsia" w:ascii="宋体" w:hAnsi="宋体" w:eastAsia="宋体" w:cs="宋体"/>
          <w:i w:val="0"/>
          <w:iCs w:val="0"/>
          <w:caps w:val="0"/>
          <w:color w:val="auto"/>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auto"/>
          <w:spacing w:val="0"/>
          <w:sz w:val="24"/>
          <w:szCs w:val="24"/>
          <w:highlight w:val="none"/>
          <w:shd w:val="clear" w:fill="FFFFFF"/>
          <w:lang w:val="en-US" w:eastAsia="zh-CN"/>
        </w:rPr>
        <w:t>且</w:t>
      </w:r>
      <w:r>
        <w:rPr>
          <w:rFonts w:hint="eastAsia" w:ascii="宋体" w:hAnsi="宋体" w:eastAsia="宋体" w:cs="宋体"/>
          <w:i w:val="0"/>
          <w:iCs w:val="0"/>
          <w:caps w:val="0"/>
          <w:color w:val="auto"/>
          <w:spacing w:val="0"/>
          <w:sz w:val="24"/>
          <w:szCs w:val="24"/>
          <w:highlight w:val="none"/>
          <w:shd w:val="clear" w:fill="FFFFFF"/>
        </w:rPr>
        <w:t>在中国境内生产的组件成本占比应当达到规定比例</w:t>
      </w:r>
      <w:r>
        <w:rPr>
          <w:rFonts w:hint="eastAsia" w:ascii="宋体" w:hAnsi="宋体" w:eastAsia="宋体" w:cs="宋体"/>
          <w:color w:val="auto"/>
          <w:sz w:val="24"/>
          <w:szCs w:val="24"/>
          <w:highlight w:val="none"/>
        </w:rPr>
        <w:t>，</w:t>
      </w:r>
      <w:r>
        <w:rPr>
          <w:rFonts w:hint="eastAsia" w:ascii="宋体" w:hAnsi="宋体" w:eastAsia="宋体" w:cs="宋体"/>
          <w:i w:val="0"/>
          <w:iCs w:val="0"/>
          <w:caps w:val="0"/>
          <w:color w:val="auto"/>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color w:val="auto"/>
          <w:sz w:val="24"/>
          <w:szCs w:val="24"/>
          <w:highlight w:val="none"/>
        </w:rPr>
        <w:t>供应商应出具招标文件要求的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给予证明，否则评标时不予认可</w:t>
      </w: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rPr>
        <w:t>供应商应对提交的</w:t>
      </w:r>
      <w:r>
        <w:rPr>
          <w:rFonts w:hint="eastAsia" w:ascii="宋体" w:hAnsi="宋体" w:eastAsia="宋体" w:cs="宋体"/>
          <w:b/>
          <w:bCs/>
          <w:color w:val="auto"/>
          <w:sz w:val="24"/>
          <w:szCs w:val="24"/>
          <w:highlight w:val="none"/>
          <w:lang w:val="en-US" w:eastAsia="zh-CN"/>
        </w:rPr>
        <w:t>证明材料</w:t>
      </w:r>
      <w:r>
        <w:rPr>
          <w:rFonts w:hint="eastAsia" w:ascii="宋体" w:hAnsi="宋体" w:eastAsia="宋体" w:cs="宋体"/>
          <w:b/>
          <w:bCs/>
          <w:color w:val="auto"/>
          <w:sz w:val="24"/>
          <w:szCs w:val="24"/>
          <w:highlight w:val="none"/>
        </w:rPr>
        <w:t>真实性负责，</w:t>
      </w:r>
      <w:r>
        <w:rPr>
          <w:rFonts w:hint="eastAsia" w:ascii="宋体" w:hAnsi="宋体" w:eastAsia="宋体" w:cs="宋体"/>
          <w:color w:val="auto"/>
          <w:sz w:val="24"/>
          <w:szCs w:val="24"/>
          <w:highlight w:val="none"/>
        </w:rPr>
        <w:t>提交</w:t>
      </w:r>
      <w:r>
        <w:rPr>
          <w:rFonts w:hint="eastAsia" w:ascii="宋体" w:hAnsi="宋体" w:eastAsia="宋体" w:cs="宋体"/>
          <w:color w:val="auto"/>
          <w:sz w:val="24"/>
          <w:szCs w:val="24"/>
          <w:highlight w:val="none"/>
          <w:lang w:val="en-US" w:eastAsia="zh-CN"/>
        </w:rPr>
        <w:t>证明材料</w:t>
      </w:r>
      <w:r>
        <w:rPr>
          <w:rFonts w:hint="eastAsia" w:ascii="宋体" w:hAnsi="宋体" w:eastAsia="宋体" w:cs="宋体"/>
          <w:color w:val="auto"/>
          <w:sz w:val="24"/>
          <w:szCs w:val="24"/>
          <w:highlight w:val="none"/>
        </w:rPr>
        <w:t>不真实的，应承担相应的法律责任。</w:t>
      </w:r>
    </w:p>
    <w:p w14:paraId="18B37A42">
      <w:pPr>
        <w:autoSpaceDE/>
        <w:autoSpaceDN/>
        <w:spacing w:before="20" w:line="360" w:lineRule="auto"/>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2.4采购标的的其他技术、服务等要求；</w:t>
      </w:r>
    </w:p>
    <w:p w14:paraId="2B1C9053">
      <w:pPr>
        <w:tabs>
          <w:tab w:val="left" w:pos="900"/>
        </w:tabs>
        <w:spacing w:line="360" w:lineRule="auto"/>
        <w:ind w:firstLine="482" w:firstLineChars="200"/>
        <w:rPr>
          <w:rFonts w:ascii="宋体" w:hAnsi="宋体" w:eastAsia="宋体" w:cs="宋体"/>
          <w:b/>
          <w:bCs/>
          <w:iCs/>
          <w:color w:val="auto"/>
          <w:sz w:val="24"/>
          <w:szCs w:val="24"/>
          <w:highlight w:val="none"/>
          <w:lang w:eastAsia="zh-CN"/>
        </w:rPr>
      </w:pPr>
      <w:bookmarkStart w:id="11" w:name="_Toc7340"/>
      <w:r>
        <w:rPr>
          <w:rFonts w:hint="eastAsia" w:ascii="宋体" w:hAnsi="宋体" w:eastAsia="宋体" w:cs="宋体"/>
          <w:b/>
          <w:bCs/>
          <w:color w:val="auto"/>
          <w:sz w:val="24"/>
          <w:szCs w:val="24"/>
          <w:highlight w:val="none"/>
          <w:lang w:eastAsia="zh-CN"/>
        </w:rPr>
        <w:t>（1）对于技术规格中标注“★”号的技术参数代表实质性指标，不满足该指标项将直接导致投标被拒绝。</w:t>
      </w:r>
    </w:p>
    <w:p w14:paraId="5ECCE213">
      <w:pPr>
        <w:tabs>
          <w:tab w:val="left" w:pos="900"/>
        </w:tabs>
        <w:spacing w:line="360" w:lineRule="auto"/>
        <w:ind w:firstLine="482" w:firstLineChars="200"/>
        <w:rPr>
          <w:rFonts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（2）须在投标文件中提供所投设备油印彩页并加盖公章。</w:t>
      </w:r>
    </w:p>
    <w:p w14:paraId="26CB60A6">
      <w:pPr>
        <w:tabs>
          <w:tab w:val="left" w:pos="900"/>
        </w:tabs>
        <w:spacing w:line="360" w:lineRule="auto"/>
        <w:ind w:firstLine="482" w:firstLineChars="200"/>
        <w:rPr>
          <w:rFonts w:ascii="宋体" w:hAnsi="宋体" w:eastAsia="宋体" w:cs="宋体"/>
          <w:b/>
          <w:bCs/>
          <w:iCs/>
          <w:color w:val="auto"/>
          <w:sz w:val="24"/>
          <w:szCs w:val="24"/>
          <w:highlight w:val="none"/>
          <w:lang w:eastAsia="zh-CN"/>
        </w:rPr>
      </w:pPr>
      <w:r>
        <w:rPr>
          <w:rFonts w:hint="eastAsia" w:ascii="宋体" w:hAnsi="宋体" w:eastAsia="宋体" w:cs="宋体"/>
          <w:b/>
          <w:bCs/>
          <w:color w:val="auto"/>
          <w:sz w:val="24"/>
          <w:szCs w:val="24"/>
          <w:highlight w:val="none"/>
          <w:lang w:eastAsia="zh-CN"/>
        </w:rPr>
        <w:t>（3）投标人需要提供投标产品技术支持资料（或证明材料），并需要同时加盖投标人和生产厂家（或境内总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公章的，评标委员会可不予承认，并可认为该技术应答不符合招标文件要求。由此产生的评标风险，由投标人承担</w:t>
      </w:r>
      <w:r>
        <w:rPr>
          <w:rFonts w:hint="eastAsia" w:ascii="宋体" w:hAnsi="宋体" w:eastAsia="宋体" w:cs="宋体"/>
          <w:b/>
          <w:bCs/>
          <w:iCs/>
          <w:color w:val="auto"/>
          <w:sz w:val="24"/>
          <w:szCs w:val="24"/>
          <w:highlight w:val="none"/>
          <w:lang w:eastAsia="zh-CN"/>
        </w:rPr>
        <w:t xml:space="preserve">。 </w:t>
      </w:r>
    </w:p>
    <w:p w14:paraId="20672CBC">
      <w:pPr>
        <w:tabs>
          <w:tab w:val="left" w:pos="900"/>
        </w:tabs>
        <w:spacing w:line="360" w:lineRule="auto"/>
        <w:ind w:firstLine="480" w:firstLineChars="200"/>
        <w:rPr>
          <w:rFonts w:ascii="宋体" w:hAnsi="宋体" w:eastAsia="宋体" w:cs="宋体"/>
          <w:iCs/>
          <w:color w:val="auto"/>
          <w:sz w:val="24"/>
          <w:szCs w:val="24"/>
          <w:highlight w:val="none"/>
          <w:lang w:eastAsia="zh-CN"/>
        </w:rPr>
      </w:pPr>
      <w:r>
        <w:rPr>
          <w:rFonts w:hint="eastAsia" w:ascii="宋体" w:hAnsi="宋体" w:eastAsia="宋体" w:cs="宋体"/>
          <w:color w:val="auto"/>
          <w:sz w:val="24"/>
          <w:szCs w:val="24"/>
          <w:highlight w:val="none"/>
          <w:lang w:eastAsia="zh-CN"/>
        </w:rPr>
        <w:t>（4）</w:t>
      </w:r>
      <w:r>
        <w:rPr>
          <w:rFonts w:hint="eastAsia" w:ascii="宋体" w:hAnsi="宋体" w:eastAsia="宋体" w:cs="宋体"/>
          <w:iCs/>
          <w:color w:val="auto"/>
          <w:sz w:val="24"/>
          <w:szCs w:val="24"/>
          <w:highlight w:val="none"/>
          <w:lang w:eastAsia="zh-CN"/>
        </w:rPr>
        <w:t>投标人所提供的部件之间及设备之间的连线或接插件均视为设备内部部件，应包含在相应的配置中。</w:t>
      </w:r>
    </w:p>
    <w:p w14:paraId="60A82D0D">
      <w:pPr>
        <w:tabs>
          <w:tab w:val="left" w:pos="900"/>
        </w:tabs>
        <w:spacing w:line="360" w:lineRule="auto"/>
        <w:ind w:firstLine="480" w:firstLineChars="200"/>
        <w:rPr>
          <w:rFonts w:ascii="宋体" w:hAnsi="宋体" w:eastAsia="宋体" w:cs="宋体"/>
          <w:iCs/>
          <w:color w:val="auto"/>
          <w:sz w:val="24"/>
          <w:szCs w:val="24"/>
          <w:highlight w:val="none"/>
          <w:lang w:eastAsia="zh-CN"/>
        </w:rPr>
      </w:pPr>
      <w:r>
        <w:rPr>
          <w:rFonts w:hint="eastAsia" w:ascii="宋体" w:hAnsi="宋体" w:eastAsia="宋体" w:cs="宋体"/>
          <w:color w:val="auto"/>
          <w:sz w:val="24"/>
          <w:szCs w:val="24"/>
          <w:highlight w:val="none"/>
          <w:lang w:eastAsia="zh-CN"/>
        </w:rPr>
        <w:t>（5）</w:t>
      </w:r>
      <w:r>
        <w:rPr>
          <w:rFonts w:hint="eastAsia" w:ascii="宋体" w:hAnsi="宋体" w:eastAsia="宋体" w:cs="宋体"/>
          <w:iCs/>
          <w:color w:val="auto"/>
          <w:sz w:val="24"/>
          <w:szCs w:val="24"/>
          <w:highlight w:val="none"/>
          <w:lang w:eastAsia="zh-CN"/>
        </w:rPr>
        <w:t>工作条件：除了在技术规格中另有规定外，投标人提供的一切仪器、设备和系统，应符合下列条件：</w:t>
      </w:r>
    </w:p>
    <w:p w14:paraId="51A4FCF9">
      <w:pPr>
        <w:tabs>
          <w:tab w:val="left" w:pos="900"/>
        </w:tabs>
        <w:spacing w:line="360" w:lineRule="auto"/>
        <w:ind w:firstLine="480" w:firstLineChars="200"/>
        <w:rPr>
          <w:rFonts w:ascii="宋体" w:hAnsi="宋体" w:eastAsia="宋体" w:cs="宋体"/>
          <w:iCs/>
          <w:color w:val="auto"/>
          <w:sz w:val="24"/>
          <w:szCs w:val="24"/>
          <w:highlight w:val="none"/>
          <w:lang w:eastAsia="zh-CN"/>
        </w:rPr>
      </w:pPr>
      <w:r>
        <w:rPr>
          <w:rFonts w:hint="eastAsia" w:ascii="宋体" w:hAnsi="宋体" w:eastAsia="宋体" w:cs="宋体"/>
          <w:iCs/>
          <w:color w:val="auto"/>
          <w:sz w:val="24"/>
          <w:szCs w:val="24"/>
          <w:highlight w:val="none"/>
          <w:lang w:eastAsia="zh-CN"/>
        </w:rPr>
        <w:t>1）仪器设备的插头要符合中国电工标准。如不符合，则应提供适合仪器插头的插座，必须要有接地。</w:t>
      </w:r>
    </w:p>
    <w:p w14:paraId="6CE6BD77">
      <w:pPr>
        <w:tabs>
          <w:tab w:val="left" w:pos="900"/>
        </w:tabs>
        <w:spacing w:line="360" w:lineRule="auto"/>
        <w:ind w:firstLine="480" w:firstLineChars="200"/>
        <w:rPr>
          <w:rFonts w:ascii="宋体" w:hAnsi="宋体" w:eastAsia="宋体" w:cs="宋体"/>
          <w:iCs/>
          <w:color w:val="auto"/>
          <w:sz w:val="24"/>
          <w:szCs w:val="24"/>
          <w:highlight w:val="none"/>
          <w:lang w:eastAsia="zh-CN"/>
        </w:rPr>
      </w:pPr>
      <w:r>
        <w:rPr>
          <w:rFonts w:hint="eastAsia" w:ascii="宋体" w:hAnsi="宋体" w:eastAsia="宋体" w:cs="宋体"/>
          <w:iCs/>
          <w:color w:val="auto"/>
          <w:sz w:val="24"/>
          <w:szCs w:val="24"/>
          <w:highlight w:val="none"/>
          <w:lang w:eastAsia="zh-CN"/>
        </w:rPr>
        <w:t>2）如果仪器设备需特殊的工作条件（如：水、电源、磁场强度、特殊温度、湿度、震动强度等），投标人应在有关投标文件中加以说明。</w:t>
      </w:r>
    </w:p>
    <w:p w14:paraId="7CA04C66">
      <w:pPr>
        <w:tabs>
          <w:tab w:val="left" w:pos="900"/>
        </w:tabs>
        <w:spacing w:line="360" w:lineRule="auto"/>
        <w:ind w:firstLine="480" w:firstLineChars="200"/>
        <w:rPr>
          <w:rFonts w:ascii="宋体" w:hAnsi="宋体" w:eastAsia="宋体" w:cs="宋体"/>
          <w:iCs/>
          <w:color w:val="auto"/>
          <w:sz w:val="24"/>
          <w:szCs w:val="24"/>
          <w:highlight w:val="none"/>
          <w:lang w:eastAsia="zh-CN"/>
        </w:rPr>
      </w:pPr>
      <w:r>
        <w:rPr>
          <w:rFonts w:hint="eastAsia" w:ascii="宋体" w:hAnsi="宋体" w:eastAsia="宋体" w:cs="宋体"/>
          <w:iCs/>
          <w:color w:val="auto"/>
          <w:sz w:val="24"/>
          <w:szCs w:val="24"/>
          <w:highlight w:val="none"/>
          <w:lang w:eastAsia="zh-CN"/>
        </w:rPr>
        <w:t>（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w:t>
      </w:r>
    </w:p>
    <w:bookmarkEnd w:id="11"/>
    <w:p w14:paraId="188F749C">
      <w:pPr>
        <w:tabs>
          <w:tab w:val="left" w:pos="900"/>
        </w:tabs>
        <w:spacing w:before="156" w:beforeLines="50" w:line="360" w:lineRule="auto"/>
        <w:ind w:firstLine="482" w:firstLineChars="200"/>
        <w:rPr>
          <w:rFonts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lang w:eastAsia="zh-CN"/>
        </w:rPr>
        <w:t>3.采购标的的验收标准</w:t>
      </w:r>
    </w:p>
    <w:p w14:paraId="5DA8B02F">
      <w:pPr>
        <w:autoSpaceDE/>
        <w:autoSpaceDN/>
        <w:spacing w:line="360" w:lineRule="auto"/>
        <w:ind w:firstLine="480" w:firstLineChars="200"/>
        <w:rPr>
          <w:rFonts w:hint="eastAsia" w:ascii="宋体" w:hAnsi="宋体" w:eastAsia="宋体" w:cs="宋体"/>
          <w:b w:val="0"/>
          <w:bCs/>
          <w:color w:val="auto"/>
          <w:sz w:val="24"/>
          <w:szCs w:val="21"/>
          <w:highlight w:val="none"/>
          <w:lang w:eastAsia="zh-CN"/>
        </w:rPr>
      </w:pPr>
      <w:r>
        <w:rPr>
          <w:rFonts w:hint="eastAsia" w:ascii="宋体" w:hAnsi="宋体" w:eastAsia="宋体" w:cs="宋体"/>
          <w:b w:val="0"/>
          <w:bCs/>
          <w:color w:val="auto"/>
          <w:sz w:val="24"/>
          <w:szCs w:val="21"/>
          <w:highlight w:val="none"/>
          <w:lang w:val="en-US" w:eastAsia="zh-CN"/>
        </w:rPr>
        <w:t>3.</w:t>
      </w:r>
      <w:r>
        <w:rPr>
          <w:rFonts w:hint="eastAsia" w:ascii="宋体" w:hAnsi="宋体" w:eastAsia="宋体" w:cs="宋体"/>
          <w:b w:val="0"/>
          <w:bCs/>
          <w:color w:val="auto"/>
          <w:sz w:val="24"/>
          <w:szCs w:val="21"/>
          <w:highlight w:val="none"/>
          <w:lang w:eastAsia="zh-CN"/>
        </w:rPr>
        <w:t>1、采购标的的验收标准</w:t>
      </w:r>
    </w:p>
    <w:p w14:paraId="159DE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6DDB6B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验收备忘录并签署验收意见。</w:t>
      </w:r>
      <w:bookmarkStart w:id="12" w:name="_Toc13153"/>
      <w:bookmarkStart w:id="13" w:name="_Toc746423714"/>
      <w:bookmarkStart w:id="14" w:name="_Toc26384"/>
      <w:bookmarkStart w:id="15" w:name="_Toc24181"/>
    </w:p>
    <w:p w14:paraId="0A9B18A5">
      <w:pPr>
        <w:tabs>
          <w:tab w:val="left" w:pos="900"/>
        </w:tabs>
        <w:spacing w:line="360" w:lineRule="auto"/>
        <w:ind w:firstLine="480" w:firstLineChars="200"/>
      </w:pPr>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2"/>
      <w:bookmarkEnd w:id="13"/>
      <w:bookmarkEnd w:id="14"/>
      <w:bookmarkStart w:id="16" w:name="_Toc1691379071"/>
      <w:bookmarkStart w:id="17" w:name="_Toc20392"/>
      <w:bookmarkStart w:id="18" w:name="_Toc14846"/>
      <w:r>
        <w:rPr>
          <w:rFonts w:hint="eastAsia" w:ascii="宋体" w:hAnsi="宋体" w:eastAsia="宋体" w:cs="宋体"/>
          <w:color w:val="auto"/>
          <w:kern w:val="0"/>
          <w:sz w:val="24"/>
          <w:szCs w:val="24"/>
          <w:highlight w:val="none"/>
          <w:lang w:val="en-US" w:eastAsia="zh-CN"/>
        </w:rPr>
        <w:t>费）。若</w:t>
      </w:r>
      <w:bookmarkEnd w:id="15"/>
      <w:bookmarkStart w:id="19"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6"/>
      <w:bookmarkEnd w:id="17"/>
      <w:bookmarkEnd w:id="18"/>
      <w:bookmarkEnd w:id="19"/>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Regular">
    <w:altName w:val="Arial"/>
    <w:panose1 w:val="00000000000000000000"/>
    <w:charset w:val="00"/>
    <w:family w:val="auto"/>
    <w:pitch w:val="default"/>
    <w:sig w:usb0="00000000" w:usb1="00000000" w:usb2="00000000" w:usb3="00000000" w:csb0="00000000" w:csb1="00000000"/>
  </w:font>
  <w:font w:name="Songti SC Regular">
    <w:altName w:val="宋体"/>
    <w:panose1 w:val="02010800040101010101"/>
    <w:charset w:val="86"/>
    <w:family w:val="auto"/>
    <w:pitch w:val="default"/>
    <w:sig w:usb0="00000000" w:usb1="00000000" w:usb2="00000000" w:usb3="00000000" w:csb0="00040000" w:csb1="00000000"/>
  </w:font>
  <w:font w:name="微软雅黑 Light">
    <w:panose1 w:val="020B0502040204020203"/>
    <w:charset w:val="86"/>
    <w:family w:val="swiss"/>
    <w:pitch w:val="default"/>
    <w:sig w:usb0="80000287" w:usb1="2ACF001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044E3675"/>
    <w:rsid w:val="25D043BC"/>
    <w:rsid w:val="36B80769"/>
    <w:rsid w:val="38444C26"/>
    <w:rsid w:val="3E530FD1"/>
    <w:rsid w:val="57D05FA1"/>
    <w:rsid w:val="590B09AE"/>
    <w:rsid w:val="692844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11035</Words>
  <Characters>12718</Characters>
  <Lines>0</Lines>
  <Paragraphs>0</Paragraphs>
  <TotalTime>0</TotalTime>
  <ScaleCrop>false</ScaleCrop>
  <LinksUpToDate>false</LinksUpToDate>
  <CharactersWithSpaces>12920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2026-09-21T09:39:15Z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