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07C2A2">
      <w:pPr>
        <w:spacing w:line="360" w:lineRule="auto"/>
        <w:jc w:val="center"/>
        <w:outlineLvl w:val="0"/>
        <w:rPr>
          <w:b/>
          <w:sz w:val="36"/>
          <w:szCs w:val="36"/>
        </w:rPr>
      </w:pPr>
      <w:bookmarkStart w:id="1" w:name="_GoBack"/>
      <w:bookmarkEnd w:id="1"/>
      <w:bookmarkStart w:id="0" w:name="_Toc20096"/>
      <w:r>
        <w:rPr>
          <w:rFonts w:hint="eastAsia"/>
          <w:b/>
          <w:sz w:val="36"/>
          <w:szCs w:val="36"/>
        </w:rPr>
        <w:t xml:space="preserve">  </w:t>
      </w:r>
      <w:r>
        <w:rPr>
          <w:b/>
          <w:sz w:val="36"/>
          <w:szCs w:val="36"/>
        </w:rPr>
        <w:t>采购需求</w:t>
      </w:r>
      <w:bookmarkEnd w:id="0"/>
    </w:p>
    <w:p w14:paraId="79C2906C">
      <w:pPr>
        <w:pStyle w:val="3"/>
      </w:pPr>
    </w:p>
    <w:p w14:paraId="382B7BB1">
      <w:pPr>
        <w:pStyle w:val="7"/>
        <w:numPr>
          <w:ilvl w:val="0"/>
          <w:numId w:val="1"/>
        </w:numPr>
        <w:spacing w:line="360" w:lineRule="auto"/>
        <w:ind w:firstLineChars="0"/>
        <w:contextualSpacing/>
        <w:rPr>
          <w:rFonts w:hint="eastAsia" w:ascii="宋体" w:hAnsi="宋体" w:cs="宋体"/>
          <w:b/>
          <w:sz w:val="24"/>
          <w:szCs w:val="24"/>
        </w:rPr>
      </w:pPr>
      <w:r>
        <w:rPr>
          <w:rFonts w:hint="eastAsia" w:ascii="宋体" w:hAnsi="宋体" w:cs="宋体"/>
          <w:b/>
          <w:sz w:val="24"/>
          <w:szCs w:val="24"/>
        </w:rPr>
        <w:t>采购标的</w:t>
      </w:r>
    </w:p>
    <w:tbl>
      <w:tblPr>
        <w:tblStyle w:val="5"/>
        <w:tblW w:w="911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0"/>
        <w:gridCol w:w="2674"/>
        <w:gridCol w:w="1371"/>
        <w:gridCol w:w="1611"/>
        <w:gridCol w:w="1264"/>
        <w:gridCol w:w="1248"/>
      </w:tblGrid>
      <w:tr w14:paraId="625FD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trPr>
        <w:tc>
          <w:tcPr>
            <w:tcW w:w="950" w:type="dxa"/>
            <w:vAlign w:val="center"/>
          </w:tcPr>
          <w:p w14:paraId="773503E6">
            <w:pPr>
              <w:jc w:val="center"/>
              <w:rPr>
                <w:rFonts w:hint="eastAsia" w:ascii="宋体" w:hAnsi="宋体" w:cs="宋体"/>
                <w:b/>
                <w:bCs/>
                <w:sz w:val="24"/>
              </w:rPr>
            </w:pPr>
            <w:r>
              <w:rPr>
                <w:rFonts w:hint="eastAsia" w:ascii="宋体" w:hAnsi="宋体" w:cs="宋体"/>
                <w:b/>
                <w:bCs/>
                <w:sz w:val="24"/>
              </w:rPr>
              <w:t>序号</w:t>
            </w:r>
          </w:p>
        </w:tc>
        <w:tc>
          <w:tcPr>
            <w:tcW w:w="2674" w:type="dxa"/>
            <w:vAlign w:val="center"/>
          </w:tcPr>
          <w:p w14:paraId="47E37D26">
            <w:pPr>
              <w:jc w:val="center"/>
              <w:rPr>
                <w:rFonts w:hint="eastAsia" w:ascii="宋体" w:hAnsi="宋体" w:cs="宋体"/>
                <w:b/>
                <w:bCs/>
                <w:sz w:val="24"/>
              </w:rPr>
            </w:pPr>
            <w:r>
              <w:rPr>
                <w:rFonts w:hint="eastAsia" w:ascii="宋体" w:hAnsi="宋体" w:cs="宋体"/>
                <w:b/>
                <w:bCs/>
                <w:sz w:val="24"/>
              </w:rPr>
              <w:t>标的名称</w:t>
            </w:r>
          </w:p>
        </w:tc>
        <w:tc>
          <w:tcPr>
            <w:tcW w:w="1371" w:type="dxa"/>
            <w:vAlign w:val="center"/>
          </w:tcPr>
          <w:p w14:paraId="7D44F889">
            <w:pPr>
              <w:jc w:val="center"/>
              <w:rPr>
                <w:rFonts w:hint="eastAsia" w:ascii="宋体" w:hAnsi="宋体" w:cs="宋体"/>
                <w:b/>
                <w:bCs/>
                <w:sz w:val="24"/>
              </w:rPr>
            </w:pPr>
            <w:r>
              <w:rPr>
                <w:rFonts w:hint="eastAsia" w:ascii="宋体" w:hAnsi="宋体" w:cs="宋体"/>
                <w:b/>
                <w:bCs/>
                <w:sz w:val="24"/>
              </w:rPr>
              <w:t>数量</w:t>
            </w:r>
          </w:p>
          <w:p w14:paraId="59FFA8E3">
            <w:pPr>
              <w:jc w:val="center"/>
              <w:rPr>
                <w:rFonts w:hint="eastAsia" w:ascii="宋体" w:hAnsi="宋体" w:cs="宋体"/>
                <w:b/>
                <w:bCs/>
                <w:sz w:val="24"/>
              </w:rPr>
            </w:pPr>
            <w:r>
              <w:rPr>
                <w:rFonts w:hint="eastAsia" w:ascii="宋体" w:hAnsi="宋体" w:cs="宋体"/>
                <w:b/>
                <w:bCs/>
                <w:sz w:val="24"/>
              </w:rPr>
              <w:t>（台/套）</w:t>
            </w:r>
          </w:p>
        </w:tc>
        <w:tc>
          <w:tcPr>
            <w:tcW w:w="1611" w:type="dxa"/>
            <w:vAlign w:val="center"/>
          </w:tcPr>
          <w:p w14:paraId="3FFEF5E4">
            <w:pPr>
              <w:jc w:val="center"/>
              <w:rPr>
                <w:rFonts w:hint="eastAsia" w:ascii="宋体" w:hAnsi="宋体" w:cs="宋体"/>
                <w:b/>
                <w:bCs/>
                <w:sz w:val="24"/>
              </w:rPr>
            </w:pPr>
            <w:r>
              <w:rPr>
                <w:rFonts w:hint="eastAsia" w:ascii="宋体" w:hAnsi="宋体" w:cs="宋体"/>
                <w:b/>
                <w:bCs/>
                <w:sz w:val="24"/>
              </w:rPr>
              <w:t>单价最高限价（万元）</w:t>
            </w:r>
          </w:p>
        </w:tc>
        <w:tc>
          <w:tcPr>
            <w:tcW w:w="1264" w:type="dxa"/>
            <w:vAlign w:val="center"/>
          </w:tcPr>
          <w:p w14:paraId="332BF51C">
            <w:pPr>
              <w:jc w:val="center"/>
              <w:rPr>
                <w:rFonts w:hint="eastAsia" w:ascii="宋体" w:hAnsi="宋体" w:cs="宋体"/>
                <w:b/>
                <w:bCs/>
                <w:sz w:val="24"/>
              </w:rPr>
            </w:pPr>
            <w:r>
              <w:rPr>
                <w:rFonts w:hint="eastAsia" w:ascii="宋体" w:hAnsi="宋体" w:cs="宋体"/>
                <w:b/>
                <w:bCs/>
                <w:sz w:val="24"/>
              </w:rPr>
              <w:t>是否允许进口</w:t>
            </w:r>
          </w:p>
        </w:tc>
        <w:tc>
          <w:tcPr>
            <w:tcW w:w="1248" w:type="dxa"/>
            <w:vAlign w:val="center"/>
          </w:tcPr>
          <w:p w14:paraId="3866FF60">
            <w:pPr>
              <w:jc w:val="center"/>
              <w:rPr>
                <w:rFonts w:hint="eastAsia" w:ascii="宋体" w:hAnsi="宋体" w:cs="宋体"/>
                <w:b/>
                <w:bCs/>
                <w:sz w:val="24"/>
              </w:rPr>
            </w:pPr>
            <w:r>
              <w:rPr>
                <w:rFonts w:hint="eastAsia" w:ascii="宋体" w:hAnsi="宋体" w:cs="宋体"/>
                <w:b/>
                <w:bCs/>
                <w:sz w:val="24"/>
              </w:rPr>
              <w:t>是否为核心产品</w:t>
            </w:r>
          </w:p>
        </w:tc>
      </w:tr>
      <w:tr w14:paraId="6E206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trPr>
        <w:tc>
          <w:tcPr>
            <w:tcW w:w="950" w:type="dxa"/>
            <w:vAlign w:val="center"/>
          </w:tcPr>
          <w:p w14:paraId="1186B322">
            <w:pPr>
              <w:widowControl/>
              <w:jc w:val="center"/>
              <w:textAlignment w:val="center"/>
              <w:rPr>
                <w:rFonts w:hint="eastAsia" w:ascii="宋体" w:hAnsi="宋体" w:cs="宋体"/>
                <w:bCs/>
                <w:sz w:val="24"/>
              </w:rPr>
            </w:pPr>
            <w:r>
              <w:rPr>
                <w:rFonts w:hint="eastAsia" w:ascii="宋体" w:hAnsi="宋体" w:cs="宋体"/>
                <w:bCs/>
                <w:sz w:val="24"/>
              </w:rPr>
              <w:t>1</w:t>
            </w:r>
          </w:p>
        </w:tc>
        <w:tc>
          <w:tcPr>
            <w:tcW w:w="2674" w:type="dxa"/>
            <w:vAlign w:val="center"/>
          </w:tcPr>
          <w:p w14:paraId="7792CFC1">
            <w:pPr>
              <w:widowControl/>
              <w:jc w:val="center"/>
              <w:textAlignment w:val="center"/>
              <w:rPr>
                <w:rFonts w:hint="eastAsia" w:ascii="宋体" w:hAnsi="宋体" w:cs="宋体"/>
                <w:bCs/>
                <w:sz w:val="24"/>
              </w:rPr>
            </w:pPr>
            <w:r>
              <w:rPr>
                <w:rFonts w:hint="eastAsia" w:ascii="宋体" w:hAnsi="宋体" w:cs="宋体"/>
                <w:bCs/>
                <w:sz w:val="24"/>
              </w:rPr>
              <w:t>自动化数字式蛋白质分析系统</w:t>
            </w:r>
          </w:p>
        </w:tc>
        <w:tc>
          <w:tcPr>
            <w:tcW w:w="1371" w:type="dxa"/>
            <w:vAlign w:val="center"/>
          </w:tcPr>
          <w:p w14:paraId="563905FD">
            <w:pPr>
              <w:widowControl/>
              <w:jc w:val="center"/>
              <w:textAlignment w:val="center"/>
              <w:rPr>
                <w:rFonts w:hint="eastAsia" w:ascii="宋体" w:hAnsi="宋体" w:cs="宋体"/>
                <w:bCs/>
                <w:sz w:val="24"/>
              </w:rPr>
            </w:pPr>
            <w:r>
              <w:rPr>
                <w:rFonts w:hint="eastAsia" w:ascii="宋体" w:hAnsi="宋体" w:cs="宋体"/>
                <w:bCs/>
                <w:sz w:val="24"/>
              </w:rPr>
              <w:t>1</w:t>
            </w:r>
          </w:p>
        </w:tc>
        <w:tc>
          <w:tcPr>
            <w:tcW w:w="1611" w:type="dxa"/>
            <w:vAlign w:val="center"/>
          </w:tcPr>
          <w:p w14:paraId="64A7A3E2">
            <w:pPr>
              <w:widowControl/>
              <w:jc w:val="center"/>
              <w:textAlignment w:val="center"/>
              <w:rPr>
                <w:rFonts w:hint="eastAsia" w:ascii="宋体" w:hAnsi="宋体" w:cs="宋体"/>
                <w:bCs/>
                <w:sz w:val="24"/>
              </w:rPr>
            </w:pPr>
            <w:r>
              <w:rPr>
                <w:rFonts w:hint="eastAsia" w:ascii="宋体" w:hAnsi="宋体" w:cs="宋体"/>
                <w:bCs/>
                <w:sz w:val="24"/>
              </w:rPr>
              <w:t>150</w:t>
            </w:r>
          </w:p>
        </w:tc>
        <w:tc>
          <w:tcPr>
            <w:tcW w:w="1264" w:type="dxa"/>
            <w:vAlign w:val="center"/>
          </w:tcPr>
          <w:p w14:paraId="0E47014D">
            <w:pPr>
              <w:widowControl/>
              <w:jc w:val="center"/>
              <w:textAlignment w:val="center"/>
              <w:rPr>
                <w:rFonts w:hint="eastAsia" w:ascii="宋体" w:hAnsi="宋体" w:cs="宋体"/>
                <w:bCs/>
                <w:sz w:val="24"/>
              </w:rPr>
            </w:pPr>
            <w:r>
              <w:rPr>
                <w:rFonts w:hint="eastAsia" w:ascii="宋体" w:hAnsi="宋体" w:cs="宋体"/>
                <w:bCs/>
                <w:sz w:val="24"/>
              </w:rPr>
              <w:t>是</w:t>
            </w:r>
          </w:p>
        </w:tc>
        <w:tc>
          <w:tcPr>
            <w:tcW w:w="1248" w:type="dxa"/>
            <w:vAlign w:val="center"/>
          </w:tcPr>
          <w:p w14:paraId="5509A589">
            <w:pPr>
              <w:widowControl/>
              <w:jc w:val="center"/>
              <w:textAlignment w:val="center"/>
              <w:rPr>
                <w:rFonts w:hint="eastAsia" w:ascii="宋体" w:hAnsi="宋体" w:eastAsia="宋体" w:cs="宋体"/>
                <w:bCs/>
                <w:sz w:val="24"/>
                <w:lang w:val="en-US" w:eastAsia="zh-CN"/>
              </w:rPr>
            </w:pPr>
            <w:r>
              <w:rPr>
                <w:rFonts w:hint="eastAsia" w:ascii="宋体" w:hAnsi="宋体" w:cs="宋体"/>
                <w:bCs/>
                <w:sz w:val="24"/>
              </w:rPr>
              <w:t>单一产品采购</w:t>
            </w:r>
            <w:r>
              <w:rPr>
                <w:rFonts w:hint="eastAsia" w:ascii="宋体" w:hAnsi="宋体" w:cs="宋体"/>
                <w:bCs/>
                <w:sz w:val="24"/>
                <w:lang w:val="en-US" w:eastAsia="zh-CN"/>
              </w:rPr>
              <w:t>项目</w:t>
            </w:r>
          </w:p>
        </w:tc>
      </w:tr>
    </w:tbl>
    <w:p w14:paraId="6CE7EFFC">
      <w:pPr>
        <w:pStyle w:val="4"/>
        <w:spacing w:line="360" w:lineRule="auto"/>
        <w:rPr>
          <w:rFonts w:hint="eastAsia" w:ascii="宋体" w:hAnsi="宋体" w:cs="宋体"/>
          <w:b/>
          <w:sz w:val="24"/>
        </w:rPr>
      </w:pPr>
      <w:r>
        <w:rPr>
          <w:rFonts w:hint="eastAsia" w:ascii="宋体" w:hAnsi="宋体" w:cs="宋体"/>
          <w:bCs/>
          <w:sz w:val="24"/>
        </w:rPr>
        <w:t>二、</w:t>
      </w:r>
      <w:r>
        <w:rPr>
          <w:rFonts w:hint="eastAsia" w:ascii="宋体" w:hAnsi="宋体" w:cs="宋体"/>
          <w:b/>
          <w:sz w:val="24"/>
        </w:rPr>
        <w:t>商务要求</w:t>
      </w:r>
    </w:p>
    <w:p w14:paraId="18EE75EF">
      <w:pPr>
        <w:spacing w:line="360" w:lineRule="auto"/>
        <w:ind w:firstLine="482" w:firstLineChars="200"/>
        <w:contextualSpacing/>
        <w:jc w:val="left"/>
        <w:rPr>
          <w:rFonts w:hint="eastAsia" w:ascii="宋体" w:hAnsi="宋体" w:cs="宋体"/>
          <w:b/>
          <w:sz w:val="24"/>
        </w:rPr>
      </w:pPr>
      <w:r>
        <w:rPr>
          <w:rFonts w:hint="eastAsia" w:ascii="宋体" w:hAnsi="宋体" w:cs="宋体"/>
          <w:b/>
          <w:sz w:val="24"/>
        </w:rPr>
        <w:t>（一）交货时间和地点：</w:t>
      </w:r>
    </w:p>
    <w:p w14:paraId="0F2F0E25">
      <w:pPr>
        <w:pStyle w:val="2"/>
        <w:spacing w:line="360" w:lineRule="auto"/>
        <w:ind w:firstLine="480" w:firstLineChars="200"/>
        <w:rPr>
          <w:rFonts w:hint="eastAsia" w:hAnsi="宋体" w:cs="宋体"/>
          <w:bCs/>
        </w:rPr>
      </w:pPr>
      <w:r>
        <w:rPr>
          <w:rFonts w:hint="eastAsia" w:hAnsi="宋体" w:cs="宋体"/>
          <w:bCs/>
        </w:rPr>
        <w:t>1.交货时间：合同签订后60日内完成交货。</w:t>
      </w:r>
    </w:p>
    <w:p w14:paraId="1B3E5D63">
      <w:pPr>
        <w:pStyle w:val="2"/>
        <w:spacing w:line="360" w:lineRule="auto"/>
        <w:ind w:firstLine="480" w:firstLineChars="200"/>
        <w:rPr>
          <w:rFonts w:hint="eastAsia" w:hAnsi="宋体" w:cs="宋体"/>
          <w:bCs/>
        </w:rPr>
      </w:pPr>
      <w:r>
        <w:rPr>
          <w:rFonts w:hint="eastAsia" w:hAnsi="宋体" w:cs="宋体"/>
          <w:bCs/>
        </w:rPr>
        <w:t>2.交货地点：采购人指定地点</w:t>
      </w:r>
    </w:p>
    <w:p w14:paraId="42915E6E">
      <w:pPr>
        <w:spacing w:line="360" w:lineRule="auto"/>
        <w:ind w:firstLine="482" w:firstLineChars="200"/>
        <w:contextualSpacing/>
        <w:jc w:val="left"/>
        <w:rPr>
          <w:rFonts w:hint="eastAsia" w:ascii="宋体" w:hAnsi="宋体" w:cs="宋体"/>
          <w:sz w:val="24"/>
        </w:rPr>
      </w:pPr>
      <w:r>
        <w:rPr>
          <w:rFonts w:hint="eastAsia" w:ascii="宋体" w:hAnsi="宋体" w:cs="宋体"/>
          <w:b/>
          <w:sz w:val="24"/>
        </w:rPr>
        <w:t>（二）付款条件（进度和方式）：</w:t>
      </w:r>
      <w:r>
        <w:rPr>
          <w:rFonts w:hint="eastAsia" w:ascii="宋体" w:hAnsi="宋体" w:cs="宋体"/>
          <w:bCs/>
          <w:sz w:val="24"/>
        </w:rPr>
        <w:t>见第六章拟签订的合同文本</w:t>
      </w:r>
    </w:p>
    <w:p w14:paraId="5DE07607">
      <w:pPr>
        <w:pStyle w:val="3"/>
        <w:spacing w:line="360" w:lineRule="auto"/>
        <w:ind w:left="0" w:leftChars="0" w:firstLine="482" w:firstLineChars="200"/>
        <w:jc w:val="left"/>
        <w:rPr>
          <w:rFonts w:hint="eastAsia" w:ascii="宋体" w:hAnsi="宋体" w:cs="宋体"/>
          <w:sz w:val="24"/>
        </w:rPr>
      </w:pPr>
      <w:r>
        <w:rPr>
          <w:rFonts w:hint="eastAsia" w:ascii="宋体" w:hAnsi="宋体" w:cs="宋体"/>
          <w:b/>
          <w:bCs/>
          <w:sz w:val="24"/>
        </w:rPr>
        <w:t>（三）包装和运输</w:t>
      </w:r>
      <w:r>
        <w:rPr>
          <w:rFonts w:hint="eastAsia" w:ascii="宋体" w:hAnsi="宋体" w:cs="宋体"/>
          <w:sz w:val="24"/>
        </w:rPr>
        <w:t>（如适用，须满足《关于印发〈商品包装政府采购需求标准（试行）〉、〈快递包装政府采购需求标准（试行）〉的通知》（财办库﹝2020﹞123号））</w:t>
      </w:r>
    </w:p>
    <w:p w14:paraId="071CE31B">
      <w:pPr>
        <w:spacing w:line="360" w:lineRule="auto"/>
        <w:ind w:firstLine="482" w:firstLineChars="200"/>
        <w:outlineLvl w:val="1"/>
        <w:rPr>
          <w:rFonts w:hint="eastAsia" w:ascii="宋体" w:hAnsi="宋体" w:cs="宋体"/>
          <w:b/>
          <w:bCs/>
          <w:sz w:val="24"/>
        </w:rPr>
      </w:pPr>
      <w:r>
        <w:rPr>
          <w:rFonts w:hint="eastAsia" w:ascii="宋体" w:hAnsi="宋体" w:cs="宋体"/>
          <w:b/>
          <w:bCs/>
          <w:sz w:val="24"/>
        </w:rPr>
        <w:t>三、技术要求</w:t>
      </w:r>
    </w:p>
    <w:p w14:paraId="7A41403F">
      <w:pPr>
        <w:spacing w:line="360" w:lineRule="auto"/>
        <w:ind w:firstLine="482" w:firstLineChars="200"/>
        <w:contextualSpacing/>
        <w:outlineLvl w:val="1"/>
        <w:rPr>
          <w:rFonts w:hint="eastAsia" w:ascii="宋体" w:hAnsi="宋体" w:cs="宋体"/>
          <w:b/>
          <w:bCs/>
          <w:sz w:val="24"/>
        </w:rPr>
      </w:pPr>
      <w:r>
        <w:rPr>
          <w:rFonts w:hint="eastAsia" w:ascii="宋体" w:hAnsi="宋体" w:cs="宋体"/>
          <w:b/>
          <w:bCs/>
          <w:sz w:val="24"/>
        </w:rPr>
        <w:t>（一）基本要求</w:t>
      </w:r>
    </w:p>
    <w:p w14:paraId="344AAEFE">
      <w:pPr>
        <w:spacing w:line="360" w:lineRule="auto"/>
        <w:ind w:firstLine="482" w:firstLineChars="200"/>
        <w:contextualSpacing/>
        <w:rPr>
          <w:rFonts w:hint="eastAsia" w:ascii="宋体" w:hAnsi="宋体" w:cs="宋体"/>
          <w:b/>
          <w:bCs/>
          <w:sz w:val="24"/>
        </w:rPr>
      </w:pPr>
      <w:r>
        <w:rPr>
          <w:rFonts w:hint="eastAsia" w:ascii="宋体" w:hAnsi="宋体" w:cs="宋体"/>
          <w:b/>
          <w:bCs/>
          <w:sz w:val="24"/>
        </w:rPr>
        <w:t>1.采购标的需实现的功能或者目标</w:t>
      </w:r>
    </w:p>
    <w:p w14:paraId="302814BA">
      <w:pPr>
        <w:spacing w:line="360" w:lineRule="auto"/>
        <w:ind w:firstLine="480" w:firstLineChars="200"/>
        <w:contextualSpacing/>
        <w:rPr>
          <w:rFonts w:hint="eastAsia" w:ascii="宋体" w:hAnsi="宋体" w:cs="宋体"/>
          <w:b/>
          <w:bCs/>
          <w:sz w:val="24"/>
        </w:rPr>
      </w:pPr>
      <w:r>
        <w:rPr>
          <w:rFonts w:hint="eastAsia" w:ascii="宋体" w:hAnsi="宋体"/>
          <w:sz w:val="24"/>
        </w:rPr>
        <w:t>本次采购是“首都医科大学附属北京安定医院科研实验室设备购置项目</w:t>
      </w:r>
      <w:r>
        <w:rPr>
          <w:rFonts w:hint="eastAsia" w:ascii="宋体" w:hAnsi="宋体"/>
          <w:sz w:val="24"/>
          <w:lang w:eastAsia="zh-CN"/>
        </w:rPr>
        <w:t>（第二批）</w:t>
      </w:r>
      <w:r>
        <w:rPr>
          <w:rFonts w:hint="eastAsia" w:ascii="宋体" w:hAnsi="宋体"/>
          <w:sz w:val="24"/>
        </w:rPr>
        <w:t>-自动化数字式蛋白质分析系统”，供应商应根据招标文件所提出的设备技术规格和服务要求，以满足招标文件要求的产品、优良的货物和优惠的价格，充分显示自己的竞争实力。</w:t>
      </w:r>
    </w:p>
    <w:p w14:paraId="0CAFDDDE">
      <w:pPr>
        <w:spacing w:line="360" w:lineRule="auto"/>
        <w:ind w:firstLine="482" w:firstLineChars="200"/>
        <w:contextualSpacing/>
        <w:rPr>
          <w:rFonts w:hint="eastAsia" w:ascii="宋体" w:hAnsi="宋体" w:cs="宋体"/>
          <w:b/>
          <w:bCs/>
          <w:sz w:val="24"/>
        </w:rPr>
      </w:pPr>
      <w:r>
        <w:rPr>
          <w:rFonts w:hint="eastAsia" w:ascii="宋体" w:hAnsi="宋体" w:cs="宋体"/>
          <w:b/>
          <w:bCs/>
          <w:sz w:val="24"/>
        </w:rPr>
        <w:t>2.需执行的国家相关标准、行业标准、地方标准或者其他标准、规范：</w:t>
      </w:r>
    </w:p>
    <w:p w14:paraId="51DF4D43">
      <w:pPr>
        <w:spacing w:line="360" w:lineRule="auto"/>
        <w:ind w:firstLine="480" w:firstLineChars="200"/>
        <w:jc w:val="left"/>
        <w:rPr>
          <w:rFonts w:hint="eastAsia" w:ascii="宋体" w:hAnsi="宋体" w:cs="宋体"/>
          <w:kern w:val="0"/>
          <w:sz w:val="24"/>
          <w:highlight w:val="none"/>
        </w:rPr>
      </w:pPr>
      <w:r>
        <w:rPr>
          <w:rFonts w:hint="eastAsia" w:ascii="宋体" w:hAnsi="宋体" w:cs="宋体"/>
          <w:kern w:val="0"/>
          <w:sz w:val="24"/>
          <w:highlight w:val="none"/>
        </w:rPr>
        <w:t>★2.1允许采购进口的产品，若有标人所投产品为进口产品，须提供制造厂商授权书。</w:t>
      </w:r>
    </w:p>
    <w:p w14:paraId="7EA3E558">
      <w:pPr>
        <w:spacing w:line="360" w:lineRule="auto"/>
        <w:ind w:firstLine="480" w:firstLineChars="200"/>
        <w:contextualSpacing/>
        <w:rPr>
          <w:rFonts w:hint="eastAsia" w:ascii="宋体" w:hAnsi="宋体" w:cs="宋体"/>
          <w:kern w:val="0"/>
          <w:sz w:val="24"/>
        </w:rPr>
      </w:pPr>
      <w:r>
        <w:rPr>
          <w:rFonts w:hint="eastAsia" w:ascii="宋体" w:hAnsi="宋体" w:cs="宋体"/>
          <w:kern w:val="0"/>
          <w:sz w:val="24"/>
        </w:rPr>
        <w:t>2.2投标产品及制造商应符合国家有关部门规定的相应技术法规及标准，如国家有关部门对投标产品或其制造商有强制性规定或要求的，投标产品或其制造商必须符合相应规定或要求。</w:t>
      </w:r>
    </w:p>
    <w:p w14:paraId="70A25149">
      <w:pPr>
        <w:spacing w:line="360" w:lineRule="auto"/>
        <w:ind w:firstLine="482" w:firstLineChars="200"/>
        <w:contextualSpacing/>
        <w:rPr>
          <w:rFonts w:hint="eastAsia" w:ascii="宋体" w:hAnsi="宋体" w:cs="宋体"/>
          <w:b/>
          <w:bCs/>
          <w:sz w:val="24"/>
        </w:rPr>
      </w:pPr>
      <w:r>
        <w:rPr>
          <w:rFonts w:hint="eastAsia" w:ascii="宋体" w:hAnsi="宋体" w:cs="宋体"/>
          <w:b/>
          <w:bCs/>
          <w:sz w:val="24"/>
        </w:rPr>
        <w:t>3.为落实政府采购政策需满足的要求</w:t>
      </w:r>
    </w:p>
    <w:p w14:paraId="1E154227">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3097838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3.2监狱企业扶持政策：投标人如为监狱企业将视同为小型或微型企业，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3F9E603C">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3.3促进残疾人就业政府采购政策：根据《三部门联合发布关于促进残疾人就业政府采购政策的通知》（财库〔2017〕141 号）规定，符合条件的残疾人福利性单位在参加本项目政府采购活动时，投标人应出具招标文件要求的《残疾人福利性单位声明函》，并对声明的真实性承担法律责任。中标、成交供应商为残疾人福利性单位的，采购代理机构将随中标结果同时公告其《残疾人福利性单位声明函》，接受社会监督。残疾人福利性单位视同小型、微型企业。不重复享受政策。</w:t>
      </w:r>
    </w:p>
    <w:p w14:paraId="39DEB77D">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3031FA26">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08563F14">
      <w:pPr>
        <w:spacing w:line="360" w:lineRule="auto"/>
        <w:ind w:firstLine="480" w:firstLineChars="200"/>
        <w:jc w:val="left"/>
        <w:rPr>
          <w:rFonts w:hint="eastAsia" w:ascii="宋体" w:hAnsi="宋体" w:cs="宋体"/>
          <w:kern w:val="0"/>
          <w:sz w:val="24"/>
        </w:rPr>
      </w:pPr>
      <w:r>
        <w:rPr>
          <w:rFonts w:hint="eastAsia" w:ascii="宋体" w:hAnsi="宋体" w:cs="宋体"/>
          <w:kern w:val="0"/>
          <w:sz w:val="24"/>
        </w:rPr>
        <w:t>3.6实施本国产品标准及相关政策：依据《国务院办公厅关于在政府采购中实施本国产品标准及相关政策的通知》（国办发〔2025〕34 号）规定，本项目</w:t>
      </w:r>
      <w:r>
        <w:rPr>
          <w:rFonts w:hint="eastAsia"/>
          <w:sz w:val="24"/>
        </w:rPr>
        <w:t>既有本国产品又有非本国产品参与竞争的，如</w:t>
      </w:r>
      <w:r>
        <w:rPr>
          <w:rFonts w:hint="eastAsia" w:ascii="宋体" w:hAnsi="宋体" w:cs="宋体"/>
          <w:kern w:val="0"/>
          <w:sz w:val="24"/>
        </w:rPr>
        <w:t>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投标人应出具招标文件要求的证明材料给予证明，否则评标时不予认可。投标人应对提交的证明材料真实性负责，提交证明材料不真实的，应承担相应的法律责任。</w:t>
      </w:r>
    </w:p>
    <w:p w14:paraId="6FBE8960">
      <w:pPr>
        <w:spacing w:line="360" w:lineRule="auto"/>
        <w:ind w:firstLine="482" w:firstLineChars="200"/>
        <w:jc w:val="left"/>
        <w:outlineLvl w:val="1"/>
        <w:rPr>
          <w:rFonts w:hint="eastAsia" w:ascii="宋体" w:hAnsi="宋体" w:cs="宋体"/>
          <w:sz w:val="24"/>
        </w:rPr>
      </w:pPr>
      <w:r>
        <w:rPr>
          <w:rFonts w:hint="eastAsia" w:ascii="宋体" w:hAnsi="宋体" w:cs="宋体"/>
          <w:b/>
          <w:bCs/>
          <w:sz w:val="24"/>
        </w:rPr>
        <w:t>（二）具体要求</w:t>
      </w:r>
    </w:p>
    <w:p w14:paraId="2BB95774">
      <w:pPr>
        <w:spacing w:line="360" w:lineRule="auto"/>
        <w:ind w:firstLine="480" w:firstLineChars="200"/>
        <w:rPr>
          <w:rFonts w:ascii="宋体" w:hAnsi="宋体" w:eastAsia="宋体" w:cs="宋体"/>
          <w:sz w:val="24"/>
        </w:rPr>
      </w:pPr>
      <w:r>
        <w:rPr>
          <w:rFonts w:hint="eastAsia" w:ascii="宋体" w:hAnsi="宋体" w:eastAsia="宋体" w:cs="宋体"/>
          <w:sz w:val="24"/>
        </w:rPr>
        <w:t>1.设备用途：自动进行各种蛋白质样品分离、免疫检测，定性和定量分析</w:t>
      </w:r>
    </w:p>
    <w:p w14:paraId="0307328F">
      <w:pPr>
        <w:spacing w:line="360" w:lineRule="auto"/>
        <w:ind w:firstLine="480" w:firstLineChars="200"/>
        <w:rPr>
          <w:rFonts w:ascii="宋体" w:hAnsi="宋体" w:eastAsia="宋体" w:cs="宋体"/>
          <w:sz w:val="24"/>
        </w:rPr>
      </w:pPr>
      <w:r>
        <w:rPr>
          <w:rFonts w:hint="eastAsia" w:ascii="宋体" w:hAnsi="宋体" w:eastAsia="宋体" w:cs="宋体"/>
          <w:sz w:val="24"/>
        </w:rPr>
        <w:t>2.技术规格：</w:t>
      </w:r>
    </w:p>
    <w:p w14:paraId="6D9B3EE7">
      <w:pPr>
        <w:spacing w:line="360" w:lineRule="auto"/>
        <w:ind w:firstLine="480" w:firstLineChars="200"/>
        <w:rPr>
          <w:rFonts w:ascii="宋体" w:hAnsi="宋体" w:eastAsia="宋体" w:cs="宋体"/>
          <w:sz w:val="24"/>
        </w:rPr>
      </w:pPr>
      <w:r>
        <w:rPr>
          <w:rFonts w:hint="eastAsia" w:ascii="宋体" w:hAnsi="宋体" w:eastAsia="宋体" w:cs="宋体"/>
          <w:sz w:val="24"/>
        </w:rPr>
        <w:t>2.1蛋白质分离原理：根据分子量大小分离，自动识别蛋白大小并完成分离</w:t>
      </w:r>
    </w:p>
    <w:p w14:paraId="31E12F5F">
      <w:pPr>
        <w:spacing w:line="360" w:lineRule="auto"/>
        <w:ind w:firstLine="480" w:firstLineChars="200"/>
        <w:rPr>
          <w:rFonts w:ascii="宋体" w:hAnsi="宋体" w:eastAsia="宋体" w:cs="宋体"/>
          <w:sz w:val="24"/>
        </w:rPr>
      </w:pPr>
      <w:r>
        <w:rPr>
          <w:rFonts w:hint="eastAsia" w:ascii="宋体" w:hAnsi="宋体" w:eastAsia="宋体" w:cs="宋体"/>
          <w:sz w:val="24"/>
        </w:rPr>
        <w:t>▲2.2系统无需制胶，无需转膜</w:t>
      </w:r>
    </w:p>
    <w:p w14:paraId="2B4F480A">
      <w:pPr>
        <w:spacing w:line="360" w:lineRule="auto"/>
        <w:ind w:firstLine="480" w:firstLineChars="200"/>
        <w:rPr>
          <w:rFonts w:ascii="宋体" w:hAnsi="宋体" w:eastAsia="宋体" w:cs="宋体"/>
          <w:sz w:val="24"/>
        </w:rPr>
      </w:pPr>
      <w:r>
        <w:rPr>
          <w:rFonts w:hint="eastAsia" w:ascii="宋体" w:hAnsi="宋体" w:eastAsia="宋体" w:cs="宋体"/>
          <w:sz w:val="24"/>
        </w:rPr>
        <w:t>2.3样本通量：具有≥20个样本通道，同时独立运行≥20个样本</w:t>
      </w:r>
    </w:p>
    <w:p w14:paraId="38C04037">
      <w:pPr>
        <w:spacing w:line="360" w:lineRule="auto"/>
        <w:ind w:firstLine="480" w:firstLineChars="200"/>
        <w:rPr>
          <w:rFonts w:ascii="宋体" w:hAnsi="宋体" w:eastAsia="宋体" w:cs="宋体"/>
          <w:sz w:val="24"/>
        </w:rPr>
      </w:pPr>
      <w:r>
        <w:rPr>
          <w:rFonts w:hint="eastAsia" w:ascii="宋体" w:hAnsi="宋体" w:eastAsia="宋体" w:cs="宋体"/>
          <w:sz w:val="24"/>
        </w:rPr>
        <w:t>▲2.4运行时间：一次Western运行时间≤3.5小时</w:t>
      </w:r>
    </w:p>
    <w:p w14:paraId="5C916A37">
      <w:pPr>
        <w:spacing w:line="360" w:lineRule="auto"/>
        <w:ind w:firstLine="480" w:firstLineChars="200"/>
        <w:rPr>
          <w:rFonts w:ascii="宋体" w:hAnsi="宋体" w:eastAsia="宋体" w:cs="宋体"/>
          <w:sz w:val="24"/>
        </w:rPr>
      </w:pPr>
      <w:r>
        <w:rPr>
          <w:rFonts w:hint="eastAsia" w:ascii="宋体" w:hAnsi="宋体" w:eastAsia="宋体" w:cs="宋体"/>
          <w:sz w:val="24"/>
        </w:rPr>
        <w:t>2.5分子量检测范围：5KD-440KD</w:t>
      </w:r>
    </w:p>
    <w:p w14:paraId="4B401272">
      <w:pPr>
        <w:spacing w:line="360" w:lineRule="auto"/>
        <w:ind w:firstLine="480" w:firstLineChars="200"/>
        <w:rPr>
          <w:rFonts w:ascii="宋体" w:hAnsi="宋体" w:eastAsia="宋体" w:cs="宋体"/>
          <w:sz w:val="24"/>
        </w:rPr>
      </w:pPr>
      <w:r>
        <w:rPr>
          <w:rFonts w:hint="eastAsia" w:ascii="宋体" w:hAnsi="宋体" w:eastAsia="宋体" w:cs="宋体"/>
          <w:sz w:val="24"/>
        </w:rPr>
        <w:t>▲2.6上样体积：≤3μL/孔</w:t>
      </w:r>
    </w:p>
    <w:p w14:paraId="2CC44EA1">
      <w:pPr>
        <w:spacing w:line="360" w:lineRule="auto"/>
        <w:ind w:firstLine="480" w:firstLineChars="200"/>
        <w:rPr>
          <w:rFonts w:ascii="宋体" w:hAnsi="宋体" w:eastAsia="宋体" w:cs="宋体"/>
          <w:sz w:val="24"/>
        </w:rPr>
      </w:pPr>
      <w:r>
        <w:rPr>
          <w:rFonts w:hint="eastAsia" w:ascii="宋体" w:hAnsi="宋体" w:eastAsia="宋体" w:cs="宋体"/>
          <w:sz w:val="24"/>
        </w:rPr>
        <w:t>▲2.7样本检测体积：≤100μl</w:t>
      </w:r>
    </w:p>
    <w:p w14:paraId="0D430831">
      <w:pPr>
        <w:spacing w:line="360" w:lineRule="auto"/>
        <w:ind w:firstLine="480" w:firstLineChars="200"/>
        <w:rPr>
          <w:rFonts w:ascii="宋体" w:hAnsi="宋体" w:eastAsia="宋体" w:cs="宋体"/>
          <w:sz w:val="24"/>
        </w:rPr>
      </w:pPr>
      <w:r>
        <w:rPr>
          <w:rFonts w:hint="eastAsia" w:ascii="宋体" w:hAnsi="宋体" w:eastAsia="宋体" w:cs="宋体"/>
          <w:sz w:val="24"/>
        </w:rPr>
        <w:t>▲2.8稀释后抗体体积≤10μl（1：50稀释或者1：100稀释）</w:t>
      </w:r>
    </w:p>
    <w:p w14:paraId="7F8808F0">
      <w:pPr>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rPr>
        <w:t>▲2.9系统需具备全流程自动化运行能力，可自动完成样本上样、蛋白质分离、一抗孵育及二抗孵育全过程，无需人工干预；同时需具备全自动检测功能，可实现化学发光检测、双色荧光检测、总蛋白检测中至少一种检测模式，实验结束后可自动完成数据采集与处理，数据准确、可追溯，满足实验定性与定量分析需求</w:t>
      </w:r>
    </w:p>
    <w:p w14:paraId="41E5545B">
      <w:pPr>
        <w:spacing w:line="360" w:lineRule="auto"/>
        <w:ind w:firstLine="480" w:firstLineChars="200"/>
        <w:rPr>
          <w:rFonts w:ascii="宋体" w:hAnsi="宋体" w:eastAsia="宋体" w:cs="宋体"/>
          <w:sz w:val="24"/>
        </w:rPr>
      </w:pPr>
      <w:r>
        <w:rPr>
          <w:rFonts w:hint="eastAsia" w:ascii="宋体" w:hAnsi="宋体" w:eastAsia="宋体" w:cs="宋体"/>
          <w:sz w:val="24"/>
        </w:rPr>
        <w:t>2.10实时监控：蛋白质分离过程实时监控，每秒≥10帧，并以影像的形式保存，支持实时回放该分离过程</w:t>
      </w:r>
    </w:p>
    <w:p w14:paraId="66F35FC2">
      <w:pPr>
        <w:spacing w:line="360" w:lineRule="auto"/>
        <w:ind w:firstLine="480" w:firstLineChars="200"/>
        <w:rPr>
          <w:rFonts w:ascii="宋体" w:hAnsi="宋体" w:eastAsia="宋体" w:cs="宋体"/>
          <w:sz w:val="24"/>
        </w:rPr>
      </w:pPr>
      <w:r>
        <w:rPr>
          <w:rFonts w:hint="eastAsia" w:ascii="宋体" w:hAnsi="宋体" w:eastAsia="宋体" w:cs="宋体"/>
          <w:sz w:val="24"/>
        </w:rPr>
        <w:t>▲2.11固定时间：≤200秒，蛋白分离后自动固定到样本管壁上</w:t>
      </w:r>
    </w:p>
    <w:p w14:paraId="1A92EADE">
      <w:pPr>
        <w:spacing w:line="360" w:lineRule="auto"/>
        <w:ind w:firstLine="480" w:firstLineChars="200"/>
        <w:rPr>
          <w:rFonts w:ascii="宋体" w:hAnsi="宋体" w:eastAsia="宋体" w:cs="宋体"/>
          <w:sz w:val="24"/>
        </w:rPr>
      </w:pPr>
      <w:r>
        <w:rPr>
          <w:rFonts w:hint="eastAsia" w:ascii="宋体" w:hAnsi="宋体" w:eastAsia="宋体" w:cs="宋体"/>
          <w:sz w:val="24"/>
        </w:rPr>
        <w:t>2.12信号检测方式至少包括：化学发光检测法，双色荧光检测法等</w:t>
      </w:r>
    </w:p>
    <w:p w14:paraId="174F6BC7">
      <w:pPr>
        <w:spacing w:line="360" w:lineRule="auto"/>
        <w:ind w:firstLine="480" w:firstLineChars="200"/>
        <w:rPr>
          <w:rFonts w:ascii="宋体" w:hAnsi="宋体" w:eastAsia="宋体" w:cs="宋体"/>
          <w:sz w:val="24"/>
        </w:rPr>
      </w:pPr>
      <w:r>
        <w:rPr>
          <w:rFonts w:hint="eastAsia" w:ascii="宋体" w:hAnsi="宋体" w:eastAsia="宋体" w:cs="宋体"/>
          <w:sz w:val="24"/>
        </w:rPr>
        <w:t>2.13系统具备洗脱杂交功能，同一根毛细管内免疫检测次数≥2次</w:t>
      </w:r>
    </w:p>
    <w:p w14:paraId="19490D70">
      <w:pPr>
        <w:spacing w:line="360" w:lineRule="auto"/>
        <w:ind w:firstLine="480" w:firstLineChars="200"/>
        <w:rPr>
          <w:rFonts w:ascii="宋体" w:hAnsi="宋体" w:eastAsia="宋体" w:cs="宋体"/>
          <w:sz w:val="24"/>
        </w:rPr>
      </w:pPr>
      <w:r>
        <w:rPr>
          <w:rFonts w:hint="eastAsia" w:ascii="宋体" w:hAnsi="宋体" w:eastAsia="宋体" w:cs="宋体"/>
          <w:sz w:val="24"/>
        </w:rPr>
        <w:t>2.14结果形式至少包括：影像视频结果，化学发光和荧光成像结果、峰型图和泳道图结果等</w:t>
      </w:r>
    </w:p>
    <w:p w14:paraId="24188A7F">
      <w:pPr>
        <w:spacing w:line="360" w:lineRule="auto"/>
        <w:ind w:firstLine="480" w:firstLineChars="200"/>
        <w:rPr>
          <w:rFonts w:ascii="宋体" w:hAnsi="宋体" w:eastAsia="宋体" w:cs="宋体"/>
          <w:sz w:val="24"/>
        </w:rPr>
      </w:pPr>
      <w:r>
        <w:rPr>
          <w:rFonts w:hint="eastAsia" w:ascii="宋体" w:hAnsi="宋体" w:eastAsia="宋体" w:cs="宋体"/>
          <w:sz w:val="24"/>
        </w:rPr>
        <w:t>2.15结果分析：实验结束后，软件自动完成数据处理至少包括蛋白分子量大小、信噪比、基线值、峰高、峰面积和百分比等</w:t>
      </w:r>
    </w:p>
    <w:p w14:paraId="5FC89AA4">
      <w:pPr>
        <w:spacing w:line="360" w:lineRule="auto"/>
        <w:ind w:firstLine="480" w:firstLineChars="200"/>
        <w:rPr>
          <w:rFonts w:ascii="宋体" w:hAnsi="宋体" w:eastAsia="宋体" w:cs="宋体"/>
          <w:sz w:val="24"/>
        </w:rPr>
      </w:pPr>
      <w:r>
        <w:rPr>
          <w:rFonts w:hint="eastAsia" w:ascii="宋体" w:hAnsi="宋体" w:eastAsia="宋体" w:cs="宋体"/>
          <w:sz w:val="24"/>
        </w:rPr>
        <w:t>2.16软件支持自定义样品名称，支持设置检测流程，整个系统可全流程自动化运行</w:t>
      </w:r>
    </w:p>
    <w:p w14:paraId="412053B3">
      <w:pPr>
        <w:spacing w:line="360" w:lineRule="auto"/>
        <w:ind w:firstLine="480" w:firstLineChars="200"/>
        <w:rPr>
          <w:rFonts w:ascii="宋体" w:hAnsi="宋体" w:eastAsia="宋体" w:cs="宋体"/>
          <w:sz w:val="24"/>
        </w:rPr>
      </w:pPr>
      <w:r>
        <w:rPr>
          <w:rFonts w:hint="eastAsia" w:ascii="宋体" w:hAnsi="宋体" w:eastAsia="宋体" w:cs="宋体"/>
          <w:sz w:val="24"/>
        </w:rPr>
        <w:t>2.17软件可自动给出标准曲线并进行绝对定量分析</w:t>
      </w:r>
    </w:p>
    <w:p w14:paraId="1A4DFEF2">
      <w:pPr>
        <w:spacing w:line="360" w:lineRule="auto"/>
        <w:ind w:firstLine="480" w:firstLineChars="200"/>
        <w:rPr>
          <w:rFonts w:ascii="宋体" w:hAnsi="宋体" w:eastAsia="宋体" w:cs="宋体"/>
          <w:sz w:val="24"/>
        </w:rPr>
      </w:pPr>
      <w:r>
        <w:rPr>
          <w:rFonts w:hint="eastAsia" w:ascii="宋体" w:hAnsi="宋体" w:eastAsia="宋体" w:cs="宋体"/>
          <w:sz w:val="24"/>
        </w:rPr>
        <w:t>2.18软件可对实验数据进行重复分析，提供全膜结果</w:t>
      </w:r>
    </w:p>
    <w:p w14:paraId="146AB1F7">
      <w:pPr>
        <w:spacing w:line="360" w:lineRule="auto"/>
        <w:ind w:firstLine="480" w:firstLineChars="200"/>
        <w:rPr>
          <w:rFonts w:ascii="宋体" w:hAnsi="宋体" w:eastAsia="宋体" w:cs="宋体"/>
          <w:sz w:val="24"/>
        </w:rPr>
      </w:pPr>
      <w:r>
        <w:rPr>
          <w:rFonts w:hint="eastAsia" w:ascii="宋体" w:hAnsi="宋体" w:eastAsia="宋体" w:cs="宋体"/>
          <w:sz w:val="24"/>
        </w:rPr>
        <w:t>2.19软件具有不同泳道结果自由组合排列统计分析功能</w:t>
      </w:r>
    </w:p>
    <w:p w14:paraId="41158886">
      <w:pPr>
        <w:spacing w:line="360" w:lineRule="auto"/>
        <w:ind w:firstLine="480" w:firstLineChars="200"/>
        <w:rPr>
          <w:rFonts w:ascii="宋体" w:hAnsi="宋体" w:eastAsia="宋体" w:cs="宋体"/>
          <w:sz w:val="24"/>
        </w:rPr>
      </w:pPr>
      <w:r>
        <w:rPr>
          <w:rFonts w:hint="eastAsia" w:ascii="宋体" w:hAnsi="宋体" w:eastAsia="宋体" w:cs="宋体"/>
          <w:sz w:val="24"/>
        </w:rPr>
        <w:t>2.20软件提供终身免费安装和升级</w:t>
      </w:r>
    </w:p>
    <w:p w14:paraId="5D868FF0">
      <w:pPr>
        <w:spacing w:line="360" w:lineRule="auto"/>
        <w:ind w:firstLine="480" w:firstLineChars="200"/>
        <w:rPr>
          <w:rFonts w:ascii="宋体" w:hAnsi="宋体" w:eastAsia="宋体" w:cs="宋体"/>
          <w:sz w:val="24"/>
        </w:rPr>
      </w:pPr>
      <w:r>
        <w:rPr>
          <w:rFonts w:hint="eastAsia" w:ascii="宋体" w:hAnsi="宋体" w:eastAsia="宋体" w:cs="宋体"/>
          <w:sz w:val="24"/>
        </w:rPr>
        <w:t>2.21软件符合CFR 21 Part 11认证</w:t>
      </w:r>
    </w:p>
    <w:p w14:paraId="309EAAAA">
      <w:pPr>
        <w:spacing w:line="360" w:lineRule="auto"/>
        <w:ind w:firstLine="480" w:firstLineChars="200"/>
        <w:rPr>
          <w:rFonts w:ascii="宋体" w:hAnsi="宋体" w:eastAsia="宋体" w:cs="宋体"/>
          <w:sz w:val="24"/>
        </w:rPr>
      </w:pPr>
      <w:r>
        <w:rPr>
          <w:rFonts w:hint="eastAsia" w:ascii="宋体" w:hAnsi="宋体" w:eastAsia="宋体" w:cs="宋体"/>
          <w:sz w:val="24"/>
        </w:rPr>
        <w:t>2.22分析工作站：固态硬盘≥128GB，运行内存≥8GB，HDMI接口，显示器尺寸≥24英寸</w:t>
      </w:r>
    </w:p>
    <w:p w14:paraId="45EF3384">
      <w:pPr>
        <w:spacing w:line="360" w:lineRule="auto"/>
        <w:ind w:firstLine="480" w:firstLineChars="200"/>
        <w:rPr>
          <w:rFonts w:ascii="宋体" w:hAnsi="宋体" w:eastAsia="宋体" w:cs="宋体"/>
          <w:sz w:val="24"/>
        </w:rPr>
      </w:pPr>
      <w:r>
        <w:rPr>
          <w:rFonts w:hint="eastAsia" w:ascii="宋体" w:hAnsi="宋体" w:eastAsia="宋体" w:cs="宋体"/>
          <w:sz w:val="24"/>
        </w:rPr>
        <w:t>3.配置：</w:t>
      </w:r>
    </w:p>
    <w:p w14:paraId="2494C203">
      <w:pPr>
        <w:spacing w:line="360" w:lineRule="auto"/>
        <w:ind w:firstLine="480" w:firstLineChars="200"/>
        <w:rPr>
          <w:rFonts w:ascii="宋体" w:hAnsi="宋体" w:eastAsia="宋体" w:cs="宋体"/>
          <w:sz w:val="24"/>
        </w:rPr>
      </w:pPr>
      <w:r>
        <w:rPr>
          <w:rFonts w:hint="eastAsia" w:ascii="宋体" w:hAnsi="宋体" w:eastAsia="宋体" w:cs="宋体"/>
          <w:sz w:val="24"/>
        </w:rPr>
        <w:t>3.1自动化数字式蛋白质分析系统主机：1台</w:t>
      </w:r>
    </w:p>
    <w:p w14:paraId="6D15388B">
      <w:pPr>
        <w:spacing w:line="360" w:lineRule="auto"/>
        <w:ind w:firstLine="480" w:firstLineChars="200"/>
        <w:rPr>
          <w:rFonts w:ascii="宋体" w:hAnsi="宋体" w:eastAsia="宋体" w:cs="宋体"/>
          <w:sz w:val="24"/>
        </w:rPr>
      </w:pPr>
      <w:r>
        <w:rPr>
          <w:rFonts w:hint="eastAsia" w:ascii="宋体" w:hAnsi="宋体" w:eastAsia="宋体" w:cs="宋体"/>
          <w:sz w:val="24"/>
        </w:rPr>
        <w:t>3.2配套软件：1套</w:t>
      </w:r>
    </w:p>
    <w:p w14:paraId="27192752">
      <w:pPr>
        <w:spacing w:line="360" w:lineRule="auto"/>
        <w:ind w:firstLine="480" w:firstLineChars="200"/>
        <w:rPr>
          <w:rFonts w:ascii="宋体" w:hAnsi="宋体" w:eastAsia="宋体" w:cs="宋体"/>
          <w:sz w:val="24"/>
        </w:rPr>
      </w:pPr>
      <w:r>
        <w:rPr>
          <w:rFonts w:hint="eastAsia" w:ascii="宋体" w:hAnsi="宋体" w:eastAsia="宋体" w:cs="宋体"/>
          <w:sz w:val="24"/>
        </w:rPr>
        <w:t>3.3分析工作站：1台</w:t>
      </w:r>
    </w:p>
    <w:p w14:paraId="1125E425">
      <w:pPr>
        <w:spacing w:line="360" w:lineRule="auto"/>
        <w:ind w:firstLine="480" w:firstLineChars="200"/>
        <w:rPr>
          <w:rFonts w:hint="eastAsia" w:ascii="宋体" w:hAnsi="宋体" w:cs="宋体"/>
          <w:sz w:val="24"/>
        </w:rPr>
      </w:pPr>
      <w:r>
        <w:rPr>
          <w:rFonts w:hint="eastAsia" w:ascii="宋体" w:hAnsi="宋体" w:eastAsia="宋体" w:cs="宋体"/>
          <w:sz w:val="24"/>
        </w:rPr>
        <w:t>3.4配套培训试剂盒：1套</w:t>
      </w:r>
    </w:p>
    <w:p w14:paraId="16FC60B3"/>
    <w:p w14:paraId="4DF207FE">
      <w:pPr>
        <w:widowControl/>
        <w:spacing w:line="360" w:lineRule="auto"/>
        <w:ind w:firstLine="482" w:firstLineChars="200"/>
        <w:contextualSpacing/>
        <w:jc w:val="left"/>
        <w:outlineLvl w:val="1"/>
        <w:rPr>
          <w:rFonts w:hint="eastAsia" w:ascii="宋体" w:hAnsi="宋体" w:cs="宋体"/>
          <w:b/>
          <w:bCs/>
          <w:sz w:val="24"/>
        </w:rPr>
      </w:pPr>
      <w:r>
        <w:rPr>
          <w:rFonts w:hint="eastAsia" w:ascii="宋体" w:hAnsi="宋体" w:cs="宋体"/>
          <w:b/>
          <w:bCs/>
          <w:sz w:val="24"/>
        </w:rPr>
        <w:t xml:space="preserve">（三）其他要求 </w:t>
      </w:r>
    </w:p>
    <w:p w14:paraId="59298093">
      <w:pPr>
        <w:spacing w:line="360" w:lineRule="auto"/>
        <w:ind w:firstLine="480" w:firstLineChars="200"/>
        <w:contextualSpacing/>
        <w:rPr>
          <w:rFonts w:hint="eastAsia" w:ascii="宋体" w:hAnsi="宋体"/>
          <w:sz w:val="24"/>
        </w:rPr>
      </w:pPr>
      <w:r>
        <w:rPr>
          <w:rFonts w:hint="eastAsia" w:ascii="宋体" w:hAnsi="宋体"/>
          <w:sz w:val="24"/>
        </w:rPr>
        <w:t>1.质保期：整机系统（最终验收合格后）质保期不少于5年。</w:t>
      </w:r>
    </w:p>
    <w:p w14:paraId="2836776C">
      <w:pPr>
        <w:spacing w:line="360" w:lineRule="auto"/>
        <w:ind w:firstLine="480" w:firstLineChars="200"/>
        <w:contextualSpacing/>
        <w:rPr>
          <w:rFonts w:hint="eastAsia" w:ascii="宋体" w:hAnsi="宋体"/>
          <w:sz w:val="24"/>
        </w:rPr>
      </w:pPr>
      <w:r>
        <w:rPr>
          <w:rFonts w:hint="eastAsia" w:ascii="宋体" w:hAnsi="宋体"/>
          <w:sz w:val="24"/>
        </w:rPr>
        <w:t>2.安装：供应商在交货后30天内到现场开箱验货，并完成安装、调试。</w:t>
      </w:r>
    </w:p>
    <w:p w14:paraId="4C9032EA">
      <w:pPr>
        <w:spacing w:line="360" w:lineRule="auto"/>
        <w:ind w:firstLine="480" w:firstLineChars="200"/>
        <w:contextualSpacing/>
        <w:rPr>
          <w:rFonts w:hint="eastAsia" w:ascii="宋体" w:hAnsi="宋体"/>
          <w:sz w:val="24"/>
        </w:rPr>
      </w:pPr>
      <w:r>
        <w:rPr>
          <w:rFonts w:hint="eastAsia" w:ascii="宋体" w:hAnsi="宋体"/>
          <w:sz w:val="24"/>
        </w:rPr>
        <w:t>3.培训：供应商免费提供设备到达现场后的安装、调试及应用培训，直至操作人员掌握为止。</w:t>
      </w:r>
    </w:p>
    <w:p w14:paraId="52FE1C30">
      <w:pPr>
        <w:spacing w:line="360" w:lineRule="auto"/>
        <w:ind w:firstLine="480" w:firstLineChars="200"/>
        <w:contextualSpacing/>
        <w:rPr>
          <w:rFonts w:hint="eastAsia" w:ascii="宋体" w:hAnsi="宋体"/>
          <w:sz w:val="24"/>
        </w:rPr>
      </w:pPr>
      <w:r>
        <w:rPr>
          <w:rFonts w:hint="eastAsia" w:ascii="宋体" w:hAnsi="宋体"/>
          <w:sz w:val="24"/>
        </w:rPr>
        <w:t>4.技术支持：供应商免费提供设备使用手册、培训教材、应用资料等；长期提供技术服务支持。</w:t>
      </w:r>
    </w:p>
    <w:p w14:paraId="798C4DD4">
      <w:pPr>
        <w:spacing w:line="360" w:lineRule="auto"/>
        <w:ind w:firstLine="480" w:firstLineChars="200"/>
        <w:contextualSpacing/>
        <w:rPr>
          <w:rFonts w:hint="eastAsia" w:ascii="宋体" w:hAnsi="宋体"/>
          <w:sz w:val="24"/>
        </w:rPr>
      </w:pPr>
      <w:r>
        <w:rPr>
          <w:rFonts w:hint="eastAsia" w:ascii="宋体" w:hAnsi="宋体"/>
          <w:sz w:val="24"/>
        </w:rPr>
        <w:t>5.维修要求：在设备整个使用期内，供应商应确保设备的正常使用。在接到用户维修要求后须在2小时内作出回应，并在48小时内派员到达采购人现场实施维修。</w:t>
      </w:r>
    </w:p>
    <w:p w14:paraId="1692A98A">
      <w:pPr>
        <w:pStyle w:val="2"/>
        <w:spacing w:line="360" w:lineRule="auto"/>
        <w:ind w:firstLine="480" w:firstLineChars="200"/>
        <w:rPr>
          <w:rFonts w:hint="eastAsia" w:hAnsi="宋体" w:cs="宋体"/>
          <w:bCs/>
        </w:rPr>
      </w:pPr>
      <w:r>
        <w:rPr>
          <w:rFonts w:hint="eastAsia" w:hAnsi="宋体" w:cs="宋体"/>
          <w:bCs/>
        </w:rPr>
        <w:t xml:space="preserve">6.验收：产品到货后，采购人使用单位进行开箱检查，对于出现的产品损坏、数量不全、产品不符等问题时，采购人有权要求中标供应商退货、更换货物、补充货物。按合同文件的技术指标对产品的性能、配置进行选择性测试检查。 </w:t>
      </w:r>
    </w:p>
    <w:p w14:paraId="137EDFCA">
      <w:pPr>
        <w:widowControl/>
        <w:spacing w:line="360" w:lineRule="auto"/>
        <w:ind w:firstLine="480" w:firstLineChars="200"/>
        <w:contextualSpacing/>
        <w:jc w:val="left"/>
        <w:rPr>
          <w:rFonts w:hint="eastAsia" w:ascii="宋体" w:hAnsi="宋体"/>
          <w:sz w:val="24"/>
        </w:rPr>
      </w:pPr>
      <w:r>
        <w:rPr>
          <w:rFonts w:hint="eastAsia" w:ascii="宋体" w:hAnsi="宋体"/>
          <w:sz w:val="24"/>
        </w:rPr>
        <w:t>7.投标人应在投标文件中提供：</w:t>
      </w:r>
    </w:p>
    <w:p w14:paraId="055BF4E5">
      <w:pPr>
        <w:widowControl/>
        <w:spacing w:line="360" w:lineRule="auto"/>
        <w:ind w:firstLine="480" w:firstLineChars="200"/>
        <w:contextualSpacing/>
        <w:jc w:val="left"/>
        <w:rPr>
          <w:rFonts w:hint="eastAsia" w:ascii="宋体" w:hAnsi="宋体"/>
          <w:sz w:val="24"/>
        </w:rPr>
      </w:pPr>
      <w:r>
        <w:rPr>
          <w:rFonts w:hint="eastAsia" w:ascii="宋体" w:hAnsi="宋体"/>
          <w:sz w:val="24"/>
        </w:rPr>
        <w:t>7.1供货、安装、验收方案，内容包括但不限于：</w:t>
      </w:r>
    </w:p>
    <w:p w14:paraId="33CEA49F">
      <w:pPr>
        <w:widowControl/>
        <w:spacing w:line="360" w:lineRule="auto"/>
        <w:ind w:firstLine="480" w:firstLineChars="200"/>
        <w:contextualSpacing/>
        <w:jc w:val="left"/>
        <w:rPr>
          <w:rFonts w:hint="eastAsia" w:ascii="宋体" w:hAnsi="宋体"/>
          <w:sz w:val="24"/>
        </w:rPr>
      </w:pPr>
      <w:r>
        <w:rPr>
          <w:rFonts w:hint="eastAsia" w:ascii="宋体" w:hAnsi="宋体"/>
          <w:sz w:val="24"/>
        </w:rPr>
        <w:t>7.1.1供货保障方案；</w:t>
      </w:r>
    </w:p>
    <w:p w14:paraId="198E40C7">
      <w:pPr>
        <w:widowControl/>
        <w:spacing w:line="360" w:lineRule="auto"/>
        <w:ind w:firstLine="480" w:firstLineChars="200"/>
        <w:contextualSpacing/>
        <w:jc w:val="left"/>
        <w:rPr>
          <w:rFonts w:hint="eastAsia" w:ascii="宋体" w:hAnsi="宋体"/>
          <w:sz w:val="24"/>
        </w:rPr>
      </w:pPr>
      <w:r>
        <w:rPr>
          <w:rFonts w:hint="eastAsia" w:ascii="宋体" w:hAnsi="宋体"/>
          <w:sz w:val="24"/>
        </w:rPr>
        <w:t>7.1.2安装实施方案；</w:t>
      </w:r>
    </w:p>
    <w:p w14:paraId="0157E40B">
      <w:pPr>
        <w:widowControl/>
        <w:spacing w:line="360" w:lineRule="auto"/>
        <w:ind w:firstLine="480" w:firstLineChars="200"/>
        <w:contextualSpacing/>
        <w:jc w:val="left"/>
        <w:rPr>
          <w:rFonts w:hint="eastAsia" w:ascii="宋体" w:hAnsi="宋体"/>
          <w:sz w:val="24"/>
        </w:rPr>
      </w:pPr>
      <w:r>
        <w:rPr>
          <w:rFonts w:hint="eastAsia" w:ascii="宋体" w:hAnsi="宋体"/>
          <w:sz w:val="24"/>
        </w:rPr>
        <w:t>7.1.3验收标准与流程方案；</w:t>
      </w:r>
    </w:p>
    <w:p w14:paraId="23D433FE">
      <w:pPr>
        <w:widowControl/>
        <w:spacing w:line="360" w:lineRule="auto"/>
        <w:ind w:firstLine="480" w:firstLineChars="200"/>
        <w:contextualSpacing/>
        <w:jc w:val="left"/>
        <w:rPr>
          <w:rFonts w:hint="eastAsia" w:ascii="宋体" w:hAnsi="宋体"/>
          <w:sz w:val="24"/>
          <w:highlight w:val="yellow"/>
        </w:rPr>
      </w:pPr>
      <w:r>
        <w:rPr>
          <w:rFonts w:hint="eastAsia" w:ascii="宋体" w:hAnsi="宋体"/>
          <w:sz w:val="24"/>
        </w:rPr>
        <w:t>7.1.4项目进度保障措施。</w:t>
      </w:r>
    </w:p>
    <w:p w14:paraId="1EDB6162">
      <w:pPr>
        <w:widowControl/>
        <w:spacing w:line="360" w:lineRule="auto"/>
        <w:ind w:firstLine="480" w:firstLineChars="200"/>
        <w:contextualSpacing/>
        <w:jc w:val="left"/>
        <w:rPr>
          <w:rFonts w:hint="eastAsia" w:ascii="宋体" w:hAnsi="宋体"/>
          <w:sz w:val="24"/>
        </w:rPr>
      </w:pPr>
      <w:r>
        <w:rPr>
          <w:rFonts w:hint="eastAsia" w:ascii="宋体" w:hAnsi="宋体"/>
          <w:sz w:val="24"/>
        </w:rPr>
        <w:t>7.2售后服务方案：内容包括但不限于：</w:t>
      </w:r>
    </w:p>
    <w:p w14:paraId="61339DDD">
      <w:pPr>
        <w:widowControl/>
        <w:spacing w:line="360" w:lineRule="auto"/>
        <w:ind w:firstLine="480" w:firstLineChars="200"/>
        <w:contextualSpacing/>
        <w:jc w:val="left"/>
        <w:rPr>
          <w:rFonts w:hint="eastAsia" w:ascii="宋体" w:hAnsi="宋体"/>
          <w:sz w:val="24"/>
        </w:rPr>
      </w:pPr>
      <w:r>
        <w:rPr>
          <w:rFonts w:hint="eastAsia" w:ascii="宋体" w:hAnsi="宋体"/>
          <w:sz w:val="24"/>
        </w:rPr>
        <w:t>7.2.1售后服务承诺（售后响应及处理周期等）及保障措施；</w:t>
      </w:r>
    </w:p>
    <w:p w14:paraId="143C24C1">
      <w:pPr>
        <w:widowControl/>
        <w:spacing w:line="360" w:lineRule="auto"/>
        <w:ind w:firstLine="480" w:firstLineChars="200"/>
        <w:contextualSpacing/>
        <w:jc w:val="left"/>
        <w:rPr>
          <w:rFonts w:hint="eastAsia" w:ascii="宋体" w:hAnsi="宋体"/>
          <w:sz w:val="24"/>
        </w:rPr>
      </w:pPr>
      <w:r>
        <w:rPr>
          <w:rFonts w:hint="eastAsia" w:ascii="宋体" w:hAnsi="宋体"/>
          <w:sz w:val="24"/>
        </w:rPr>
        <w:t>7.2.2售后备品备件情况；</w:t>
      </w:r>
    </w:p>
    <w:p w14:paraId="625ACCD7">
      <w:pPr>
        <w:widowControl/>
        <w:spacing w:line="360" w:lineRule="auto"/>
        <w:ind w:firstLine="480" w:firstLineChars="200"/>
        <w:contextualSpacing/>
        <w:jc w:val="left"/>
        <w:rPr>
          <w:rFonts w:hint="eastAsia" w:ascii="宋体" w:hAnsi="宋体"/>
          <w:sz w:val="24"/>
        </w:rPr>
      </w:pPr>
      <w:r>
        <w:rPr>
          <w:rFonts w:hint="eastAsia" w:ascii="宋体" w:hAnsi="宋体"/>
          <w:sz w:val="24"/>
        </w:rPr>
        <w:t>7.2.3售后人员配置及回访方案。</w:t>
      </w:r>
    </w:p>
    <w:p w14:paraId="50712DF2">
      <w:pPr>
        <w:widowControl/>
        <w:spacing w:line="360" w:lineRule="auto"/>
        <w:ind w:firstLine="480" w:firstLineChars="200"/>
        <w:contextualSpacing/>
        <w:jc w:val="left"/>
        <w:rPr>
          <w:rFonts w:hint="eastAsia" w:ascii="宋体" w:hAnsi="宋体"/>
          <w:sz w:val="24"/>
        </w:rPr>
      </w:pPr>
      <w:r>
        <w:rPr>
          <w:rFonts w:hint="eastAsia" w:ascii="宋体" w:hAnsi="宋体"/>
          <w:sz w:val="24"/>
        </w:rPr>
        <w:t>7.3培训方案：内容包括但不限于：</w:t>
      </w:r>
    </w:p>
    <w:p w14:paraId="20FC6E97">
      <w:pPr>
        <w:widowControl/>
        <w:spacing w:line="360" w:lineRule="auto"/>
        <w:ind w:firstLine="480" w:firstLineChars="200"/>
        <w:contextualSpacing/>
        <w:jc w:val="left"/>
        <w:rPr>
          <w:rFonts w:hint="eastAsia" w:ascii="宋体" w:hAnsi="宋体"/>
          <w:sz w:val="24"/>
        </w:rPr>
      </w:pPr>
      <w:r>
        <w:rPr>
          <w:rFonts w:hint="eastAsia" w:ascii="宋体" w:hAnsi="宋体"/>
          <w:sz w:val="24"/>
        </w:rPr>
        <w:t>7.3.1培训的时间、培训方式、培训内容；</w:t>
      </w:r>
    </w:p>
    <w:p w14:paraId="0F2B49E3">
      <w:pPr>
        <w:widowControl/>
        <w:spacing w:line="360" w:lineRule="auto"/>
        <w:ind w:firstLine="480" w:firstLineChars="200"/>
        <w:contextualSpacing/>
        <w:jc w:val="left"/>
        <w:rPr>
          <w:rFonts w:hint="eastAsia" w:ascii="宋体" w:hAnsi="宋体" w:cs="宋体"/>
          <w:b/>
          <w:bCs/>
          <w:sz w:val="24"/>
        </w:rPr>
      </w:pPr>
      <w:r>
        <w:rPr>
          <w:rFonts w:hint="eastAsia" w:ascii="宋体" w:hAnsi="宋体"/>
          <w:sz w:val="24"/>
        </w:rPr>
        <w:t>7.3.2培训师资与保障措施、培训效果评估及考核方案。</w:t>
      </w:r>
    </w:p>
    <w:p w14:paraId="69CF02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E6D2F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ind w:firstLine="420"/>
      <w:jc w:val="left"/>
    </w:pPr>
    <w:rPr>
      <w:rFonts w:ascii="宋体"/>
      <w:sz w:val="24"/>
    </w:rPr>
  </w:style>
  <w:style w:type="paragraph" w:styleId="3">
    <w:name w:val="toc 2"/>
    <w:basedOn w:val="1"/>
    <w:next w:val="1"/>
    <w:qFormat/>
    <w:uiPriority w:val="39"/>
    <w:pPr>
      <w:tabs>
        <w:tab w:val="right" w:leader="dot" w:pos="8937"/>
      </w:tabs>
      <w:spacing w:line="312" w:lineRule="auto"/>
      <w:ind w:left="420" w:leftChars="200"/>
    </w:pPr>
  </w:style>
  <w:style w:type="paragraph" w:styleId="4">
    <w:name w:val="Body Text 2"/>
    <w:basedOn w:val="1"/>
    <w:semiHidden/>
    <w:unhideWhenUsed/>
    <w:qFormat/>
    <w:uiPriority w:val="99"/>
    <w:pPr>
      <w:spacing w:after="120" w:line="480" w:lineRule="auto"/>
    </w:pPr>
  </w:style>
  <w:style w:type="paragraph" w:customStyle="1" w:styleId="7">
    <w:name w:val="列出段落1"/>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2026-09-29T07:10:44Z</dcterms:created>
  <dc:creator>zxhd2026</dc:creator>
  <cp:lastModifiedBy>用户</cp:lastModifiedBy>
  <dcterms:modified xsi:type="dcterms:W3CDTF">2026-09-29T07:10:52Z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eyJoZGlkIjoiNzdmODdjN2Y4NmFiNjdjZGFiMmRjZGU1NzVlN2NkYTMiLCJ1c2VySWQiOiIyOTI2NjUzMzQifQ==</vt:lpwstr>
  </property>
  <property fmtid="{D5CDD505-2E9C-101B-9397-08002B2CF9AE}" pid="4" name="ICV">
    <vt:lpwstr>50F0FDCCECB04A10BF55DFD7593E7177_12</vt:lpwstr>
  </property>
</Properties>
</file>