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C9583">
      <w:pPr>
        <w:widowControl/>
        <w:adjustRightInd w:val="0"/>
        <w:spacing w:line="360" w:lineRule="auto"/>
        <w:contextualSpacing/>
        <w:jc w:val="center"/>
        <w:rPr>
          <w:rFonts w:hint="eastAsia"/>
          <w:b/>
          <w:bCs/>
          <w:sz w:val="28"/>
          <w:szCs w:val="24"/>
          <w:lang w:val="en-US" w:eastAsia="zh-CN"/>
        </w:rPr>
      </w:pPr>
      <w:r>
        <w:rPr>
          <w:rFonts w:hint="eastAsia"/>
          <w:b/>
          <w:bCs/>
          <w:sz w:val="28"/>
          <w:szCs w:val="24"/>
          <w:lang w:val="en-US" w:eastAsia="zh-CN"/>
        </w:rPr>
        <w:t>第1包</w:t>
      </w:r>
    </w:p>
    <w:p w14:paraId="6E1263BB">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第五章   采购需求</w:t>
      </w:r>
    </w:p>
    <w:p w14:paraId="4A534FC1">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743A845">
      <w:pPr>
        <w:snapToGrid w:val="0"/>
        <w:spacing w:line="360" w:lineRule="auto"/>
        <w:contextualSpacing/>
        <w:rPr>
          <w:rFonts w:ascii="仿宋" w:hAnsi="仿宋" w:eastAsia="仿宋" w:cs="仿宋"/>
          <w:color w:val="auto"/>
          <w:sz w:val="28"/>
          <w:szCs w:val="28"/>
          <w:highlight w:val="none"/>
        </w:rPr>
      </w:pPr>
      <w:bookmarkStart w:id="0"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598F58E2">
      <w:pPr>
        <w:snapToGrid w:val="0"/>
        <w:spacing w:line="360" w:lineRule="auto"/>
        <w:contextualSpacing/>
        <w:rPr>
          <w:rFonts w:ascii="仿宋" w:hAnsi="仿宋" w:eastAsia="仿宋" w:cs="仿宋"/>
          <w:color w:val="auto"/>
          <w:sz w:val="28"/>
          <w:szCs w:val="28"/>
          <w:highlight w:val="none"/>
        </w:rPr>
      </w:pPr>
      <w:bookmarkStart w:id="1"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3B07B621">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08B65103">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2FCD489C">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70E4F0B4">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582C04FB">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38F0FD20">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7674D66E">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33EE4DE5">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34CE8657">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5A5A2376">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1C85FC81">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0B09FAFF">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0"/>
      <w:bookmarkEnd w:id="1"/>
    </w:p>
    <w:p w14:paraId="2E604623">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67C6C4C8">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658B408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079"/>
        <w:gridCol w:w="3088"/>
        <w:gridCol w:w="1208"/>
        <w:gridCol w:w="2235"/>
      </w:tblGrid>
      <w:tr w14:paraId="52DF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shd w:val="clear" w:color="auto" w:fill="auto"/>
            <w:noWrap w:val="0"/>
            <w:vAlign w:val="center"/>
          </w:tcPr>
          <w:p w14:paraId="0D59B749">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包号</w:t>
            </w:r>
          </w:p>
        </w:tc>
        <w:tc>
          <w:tcPr>
            <w:tcW w:w="628" w:type="pct"/>
            <w:shd w:val="clear" w:color="auto" w:fill="auto"/>
            <w:noWrap w:val="0"/>
            <w:vAlign w:val="center"/>
          </w:tcPr>
          <w:p w14:paraId="7F3D584C">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品目号</w:t>
            </w:r>
          </w:p>
        </w:tc>
        <w:tc>
          <w:tcPr>
            <w:tcW w:w="1797" w:type="pct"/>
            <w:shd w:val="clear" w:color="000000" w:fill="FFFFFF"/>
            <w:noWrap w:val="0"/>
            <w:vAlign w:val="center"/>
          </w:tcPr>
          <w:p w14:paraId="36994715">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标的名称</w:t>
            </w:r>
          </w:p>
        </w:tc>
        <w:tc>
          <w:tcPr>
            <w:tcW w:w="703" w:type="pct"/>
            <w:shd w:val="clear" w:color="000000" w:fill="FFFFFF"/>
            <w:noWrap w:val="0"/>
            <w:vAlign w:val="center"/>
          </w:tcPr>
          <w:p w14:paraId="4E74B56D">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default" w:ascii="仿宋" w:hAnsi="仿宋" w:eastAsia="仿宋"/>
                <w:b/>
                <w:color w:val="auto"/>
                <w:sz w:val="24"/>
                <w:highlight w:val="none"/>
              </w:rPr>
              <w:t>数量</w:t>
            </w:r>
          </w:p>
        </w:tc>
        <w:tc>
          <w:tcPr>
            <w:tcW w:w="1301" w:type="pct"/>
            <w:shd w:val="clear" w:color="000000" w:fill="FFFFFF"/>
            <w:noWrap w:val="0"/>
            <w:vAlign w:val="center"/>
          </w:tcPr>
          <w:p w14:paraId="04245968">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0D30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568" w:type="pct"/>
            <w:shd w:val="clear" w:color="auto" w:fill="auto"/>
            <w:noWrap w:val="0"/>
            <w:vAlign w:val="center"/>
          </w:tcPr>
          <w:p w14:paraId="2E2B74E9">
            <w:pPr>
              <w:keepNext w:val="0"/>
              <w:keepLines w:val="0"/>
              <w:suppressLineNumbers w:val="0"/>
              <w:spacing w:before="120" w:beforeAutospacing="0" w:after="0" w:afterAutospacing="0" w:line="360" w:lineRule="auto"/>
              <w:ind w:left="0" w:right="0"/>
              <w:contextualSpacing/>
              <w:jc w:val="center"/>
              <w:rPr>
                <w:rFonts w:hint="default" w:ascii="仿宋" w:hAnsi="仿宋" w:eastAsia="仿宋"/>
                <w:color w:val="auto"/>
                <w:sz w:val="24"/>
                <w:highlight w:val="none"/>
              </w:rPr>
            </w:pPr>
            <w:r>
              <w:rPr>
                <w:rFonts w:hint="eastAsia" w:ascii="仿宋" w:hAnsi="仿宋" w:eastAsia="仿宋"/>
                <w:color w:val="auto"/>
                <w:sz w:val="24"/>
                <w:highlight w:val="none"/>
              </w:rPr>
              <w:t>1</w:t>
            </w:r>
          </w:p>
        </w:tc>
        <w:tc>
          <w:tcPr>
            <w:tcW w:w="628" w:type="pct"/>
            <w:shd w:val="clear" w:color="auto" w:fill="auto"/>
            <w:noWrap w:val="0"/>
            <w:vAlign w:val="center"/>
          </w:tcPr>
          <w:p w14:paraId="7B7D62D7">
            <w:pPr>
              <w:keepNext w:val="0"/>
              <w:keepLines w:val="0"/>
              <w:widowControl/>
              <w:suppressLineNumbers w:val="0"/>
              <w:spacing w:before="120" w:beforeAutospacing="0" w:after="0" w:afterAutospacing="0" w:line="360" w:lineRule="auto"/>
              <w:ind w:left="0" w:right="0"/>
              <w:contextualSpacing/>
              <w:jc w:val="center"/>
              <w:rPr>
                <w:rFonts w:hint="default"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797" w:type="pct"/>
            <w:shd w:val="clear" w:color="000000" w:fill="FFFFFF"/>
            <w:noWrap w:val="0"/>
            <w:vAlign w:val="center"/>
          </w:tcPr>
          <w:p w14:paraId="2A6368CB">
            <w:pPr>
              <w:keepNext w:val="0"/>
              <w:keepLines w:val="0"/>
              <w:widowControl/>
              <w:suppressLineNumbers w:val="0"/>
              <w:spacing w:before="120" w:beforeAutospacing="0" w:after="0" w:afterAutospacing="0" w:line="360" w:lineRule="auto"/>
              <w:ind w:left="0" w:right="0"/>
              <w:contextualSpacing/>
              <w:jc w:val="center"/>
              <w:rPr>
                <w:rFonts w:hint="default" w:ascii="仿宋" w:hAnsi="仿宋" w:eastAsia="仿宋" w:cs="宋体"/>
                <w:color w:val="auto"/>
                <w:kern w:val="0"/>
                <w:sz w:val="24"/>
                <w:highlight w:val="none"/>
              </w:rPr>
            </w:pPr>
            <w:r>
              <w:rPr>
                <w:rFonts w:hint="eastAsia" w:ascii="仿宋" w:hAnsi="仿宋" w:eastAsia="仿宋" w:cs="宋体"/>
                <w:color w:val="auto"/>
                <w:kern w:val="0"/>
                <w:sz w:val="24"/>
                <w:highlight w:val="none"/>
              </w:rPr>
              <w:t>新址宣教室灯光音响大屏项目采购项目</w:t>
            </w:r>
          </w:p>
        </w:tc>
        <w:tc>
          <w:tcPr>
            <w:tcW w:w="703" w:type="pct"/>
            <w:shd w:val="clear" w:color="000000" w:fill="FFFFFF"/>
            <w:noWrap w:val="0"/>
            <w:vAlign w:val="center"/>
          </w:tcPr>
          <w:p w14:paraId="28D30526">
            <w:pPr>
              <w:keepNext w:val="0"/>
              <w:keepLines w:val="0"/>
              <w:suppressLineNumbers w:val="0"/>
              <w:spacing w:before="120" w:beforeAutospacing="0" w:after="0" w:afterAutospacing="0"/>
              <w:ind w:left="0" w:right="0"/>
              <w:contextualSpacing/>
              <w:jc w:val="center"/>
              <w:rPr>
                <w:rFonts w:hint="default" w:ascii="仿宋" w:hAnsi="仿宋" w:eastAsia="仿宋"/>
                <w:color w:val="auto"/>
                <w:sz w:val="24"/>
                <w:highlight w:val="none"/>
              </w:rPr>
            </w:pPr>
            <w:r>
              <w:rPr>
                <w:rFonts w:hint="eastAsia" w:ascii="仿宋" w:hAnsi="仿宋" w:eastAsia="仿宋"/>
                <w:color w:val="auto"/>
                <w:sz w:val="24"/>
                <w:highlight w:val="none"/>
              </w:rPr>
              <w:t>1批</w:t>
            </w:r>
          </w:p>
        </w:tc>
        <w:tc>
          <w:tcPr>
            <w:tcW w:w="1301" w:type="pct"/>
            <w:shd w:val="clear" w:color="000000" w:fill="FFFFFF"/>
            <w:noWrap w:val="0"/>
            <w:vAlign w:val="center"/>
          </w:tcPr>
          <w:p w14:paraId="1CC6FF2D">
            <w:pPr>
              <w:keepNext w:val="0"/>
              <w:keepLines w:val="0"/>
              <w:suppressLineNumbers w:val="0"/>
              <w:spacing w:before="0" w:beforeAutospacing="0" w:after="0" w:afterAutospacing="0" w:line="360" w:lineRule="auto"/>
              <w:ind w:left="0" w:right="0"/>
              <w:jc w:val="center"/>
              <w:rPr>
                <w:rFonts w:hint="default" w:ascii="仿宋" w:hAnsi="仿宋" w:eastAsia="仿宋"/>
                <w:color w:val="auto"/>
                <w:sz w:val="24"/>
                <w:highlight w:val="none"/>
              </w:rPr>
            </w:pPr>
            <w:r>
              <w:rPr>
                <w:rFonts w:hint="eastAsia" w:ascii="仿宋" w:hAnsi="仿宋" w:eastAsia="仿宋"/>
                <w:color w:val="auto"/>
                <w:sz w:val="24"/>
                <w:highlight w:val="none"/>
              </w:rPr>
              <w:t>否</w:t>
            </w:r>
          </w:p>
        </w:tc>
      </w:tr>
    </w:tbl>
    <w:p w14:paraId="7D6060B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703B1A03">
      <w:pPr>
        <w:spacing w:line="360" w:lineRule="auto"/>
        <w:ind w:firstLine="720" w:firstLineChars="300"/>
        <w:rPr>
          <w:rFonts w:ascii="仿宋" w:hAnsi="仿宋" w:eastAsia="仿宋"/>
          <w:color w:val="auto"/>
          <w:sz w:val="24"/>
          <w:highlight w:val="none"/>
        </w:rPr>
      </w:pPr>
      <w:r>
        <w:rPr>
          <w:rFonts w:hint="eastAsia" w:ascii="仿宋" w:hAnsi="仿宋" w:eastAsia="仿宋"/>
          <w:color w:val="auto"/>
          <w:sz w:val="24"/>
          <w:highlight w:val="none"/>
        </w:rPr>
        <w:t>无。</w:t>
      </w:r>
    </w:p>
    <w:p w14:paraId="56642EB5">
      <w:pPr>
        <w:tabs>
          <w:tab w:val="left" w:pos="5456"/>
        </w:tabs>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075B2DD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422E219C">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4ABB66EF">
      <w:pPr>
        <w:spacing w:line="360" w:lineRule="auto"/>
        <w:ind w:firstLine="482" w:firstLineChars="200"/>
        <w:contextualSpacing/>
        <w:rPr>
          <w:rFonts w:ascii="仿宋" w:hAnsi="仿宋" w:eastAsia="仿宋" w:cs="仿宋"/>
          <w:bCs/>
          <w:color w:val="auto"/>
          <w:sz w:val="24"/>
          <w:highlight w:val="none"/>
        </w:rPr>
      </w:pPr>
      <w:r>
        <w:rPr>
          <w:rFonts w:hint="eastAsia" w:ascii="仿宋" w:hAnsi="仿宋" w:eastAsia="仿宋" w:cs="仿宋"/>
          <w:b/>
          <w:bCs/>
          <w:color w:val="auto"/>
          <w:sz w:val="24"/>
          <w:highlight w:val="none"/>
        </w:rPr>
        <w:t>第1包：</w:t>
      </w:r>
      <w:r>
        <w:rPr>
          <w:rFonts w:hint="eastAsia" w:ascii="仿宋" w:hAnsi="仿宋" w:eastAsia="仿宋"/>
          <w:color w:val="auto"/>
          <w:sz w:val="24"/>
          <w:highlight w:val="none"/>
        </w:rPr>
        <w:t>合同签订后</w:t>
      </w:r>
      <w:r>
        <w:rPr>
          <w:rFonts w:ascii="仿宋" w:hAnsi="仿宋" w:eastAsia="仿宋"/>
          <w:color w:val="auto"/>
          <w:sz w:val="24"/>
          <w:highlight w:val="none"/>
        </w:rPr>
        <w:t>45</w:t>
      </w:r>
      <w:r>
        <w:rPr>
          <w:rFonts w:hint="eastAsia" w:ascii="仿宋" w:hAnsi="仿宋" w:eastAsia="仿宋"/>
          <w:color w:val="auto"/>
          <w:sz w:val="24"/>
          <w:highlight w:val="none"/>
        </w:rPr>
        <w:t>个工作日内</w:t>
      </w:r>
      <w:r>
        <w:rPr>
          <w:rFonts w:hint="eastAsia" w:ascii="仿宋" w:hAnsi="仿宋" w:eastAsia="仿宋" w:cs="仿宋"/>
          <w:bCs/>
          <w:color w:val="auto"/>
          <w:sz w:val="24"/>
          <w:highlight w:val="none"/>
        </w:rPr>
        <w:t>。</w:t>
      </w:r>
    </w:p>
    <w:p w14:paraId="768B691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50F9B47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9BC3267">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6D8967B3">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52AF0316">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035918A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40D6DF7B">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第1包：</w:t>
      </w:r>
    </w:p>
    <w:p w14:paraId="018747BD">
      <w:pPr>
        <w:snapToGrid w:val="0"/>
        <w:spacing w:line="360" w:lineRule="auto"/>
        <w:ind w:firstLine="480" w:firstLineChars="200"/>
        <w:rPr>
          <w:rFonts w:ascii="仿宋" w:hAnsi="仿宋" w:eastAsia="仿宋" w:cs="仿宋"/>
          <w:bCs/>
          <w:color w:val="auto"/>
          <w:sz w:val="24"/>
          <w:highlight w:val="none"/>
        </w:rPr>
      </w:pPr>
      <w:bookmarkStart w:id="2" w:name="OLE_LINK15"/>
      <w:bookmarkStart w:id="3" w:name="OLE_LINK16"/>
      <w:r>
        <w:rPr>
          <w:rFonts w:hint="eastAsia" w:ascii="仿宋" w:hAnsi="仿宋" w:eastAsia="仿宋" w:cs="仿宋"/>
          <w:bCs/>
          <w:color w:val="auto"/>
          <w:sz w:val="24"/>
          <w:highlight w:val="none"/>
        </w:rPr>
        <w:t>本项目整体免费质保期为自项目验收之日起1年，免费质保期内所有的软件和硬件故障均由投标人负责解决，包括但不限于软件更新、硬件维修、硬件更换，直至项目内各系统和设备可以稳定运行。</w:t>
      </w:r>
    </w:p>
    <w:bookmarkEnd w:id="2"/>
    <w:bookmarkEnd w:id="3"/>
    <w:p w14:paraId="148DCA73">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0ADD6480">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24CBE04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15758A4B">
      <w:pPr>
        <w:spacing w:line="360" w:lineRule="auto"/>
        <w:ind w:firstLine="482" w:firstLineChars="200"/>
        <w:contextualSpacing/>
        <w:rPr>
          <w:rFonts w:ascii="方正仿宋_GB18030" w:hAnsi="方正仿宋_GB18030" w:eastAsia="方正仿宋_GB18030" w:cs="方正仿宋_GB18030"/>
          <w:b/>
          <w:color w:val="auto"/>
          <w:sz w:val="24"/>
          <w:highlight w:val="none"/>
        </w:rPr>
      </w:pPr>
      <w:bookmarkStart w:id="4" w:name="OLE_LINK180"/>
      <w:r>
        <w:rPr>
          <w:rFonts w:hint="eastAsia" w:ascii="方正仿宋_GB18030" w:hAnsi="方正仿宋_GB18030" w:eastAsia="方正仿宋_GB18030" w:cs="方正仿宋_GB18030"/>
          <w:b/>
          <w:color w:val="auto"/>
          <w:sz w:val="24"/>
          <w:highlight w:val="none"/>
        </w:rPr>
        <w:t>第1包</w:t>
      </w:r>
      <w:bookmarkEnd w:id="4"/>
      <w:r>
        <w:rPr>
          <w:rFonts w:hint="eastAsia" w:ascii="方正仿宋_GB18030" w:hAnsi="方正仿宋_GB18030" w:eastAsia="方正仿宋_GB18030" w:cs="方正仿宋_GB18030"/>
          <w:b/>
          <w:color w:val="auto"/>
          <w:sz w:val="24"/>
          <w:highlight w:val="none"/>
        </w:rPr>
        <w:t>：</w:t>
      </w:r>
    </w:p>
    <w:p w14:paraId="2EC9A5D1">
      <w:pPr>
        <w:spacing w:line="360" w:lineRule="auto"/>
        <w:ind w:firstLine="480" w:firstLineChars="200"/>
        <w:contextualSpacing/>
        <w:rPr>
          <w:rFonts w:ascii="仿宋" w:hAnsi="仿宋" w:eastAsia="仿宋"/>
          <w:color w:val="auto"/>
          <w:sz w:val="24"/>
          <w:highlight w:val="none"/>
        </w:rPr>
      </w:pPr>
      <w:r>
        <w:rPr>
          <w:rFonts w:hint="eastAsia" w:ascii="方正仿宋_GB18030" w:hAnsi="方正仿宋_GB18030" w:eastAsia="方正仿宋_GB18030" w:cs="方正仿宋_GB18030"/>
          <w:color w:val="auto"/>
          <w:sz w:val="24"/>
          <w:highlight w:val="none"/>
        </w:rPr>
        <w:t>本次招标采购是为北京市疾病防控中心宣教室配置基本设备，包括宣教室灯光、大屏、音响以及一些配套设备。用于中心录制科普视频、专家访谈、直播节目，召开新闻发布、媒体沟通会等，专业化的传播方式进行健康宣教、专家科普和信息发布，提升疾病防控工作的覆盖面和影响力。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496B461D">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681F9A4C">
      <w:pPr>
        <w:spacing w:line="360" w:lineRule="auto"/>
        <w:ind w:firstLine="480" w:firstLineChars="200"/>
        <w:contextualSpacing/>
        <w:rPr>
          <w:rFonts w:ascii="仿宋" w:hAnsi="仿宋" w:eastAsia="仿宋" w:cs="仿宋"/>
          <w:bCs/>
          <w:color w:val="auto"/>
          <w:sz w:val="24"/>
          <w:highlight w:val="none"/>
        </w:rPr>
      </w:pPr>
      <w:bookmarkStart w:id="5" w:name="OLE_LINK106"/>
      <w:r>
        <w:rPr>
          <w:rFonts w:hint="eastAsia" w:ascii="仿宋" w:hAnsi="仿宋" w:eastAsia="仿宋" w:cs="仿宋"/>
          <w:bCs/>
          <w:color w:val="auto"/>
          <w:sz w:val="24"/>
          <w:highlight w:val="none"/>
        </w:rPr>
        <w:t>所有设备的设计、制造、检验、包装、运输、安装及验收均须需满足国家、北京市及采购人各项最新标准及规范要求。注：以上均按最新标准执行。</w:t>
      </w:r>
    </w:p>
    <w:bookmarkEnd w:id="5"/>
    <w:p w14:paraId="523CAA95">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7467054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1FE62D52">
      <w:pPr>
        <w:widowControl/>
        <w:spacing w:line="360" w:lineRule="auto"/>
        <w:contextualSpacing/>
        <w:jc w:val="center"/>
        <w:rPr>
          <w:rFonts w:ascii="仿宋" w:hAnsi="仿宋" w:eastAsia="仿宋"/>
          <w:b/>
          <w:color w:val="auto"/>
          <w:szCs w:val="21"/>
          <w:highlight w:val="none"/>
        </w:rPr>
      </w:pPr>
      <w:bookmarkStart w:id="6" w:name="OLE_LINK23"/>
      <w:bookmarkStart w:id="7" w:name="OLE_LINK22"/>
      <w:r>
        <w:rPr>
          <w:rFonts w:hint="eastAsia" w:ascii="仿宋" w:hAnsi="仿宋" w:eastAsia="仿宋"/>
          <w:b/>
          <w:color w:val="auto"/>
          <w:szCs w:val="21"/>
          <w:highlight w:val="none"/>
        </w:rPr>
        <w:t>第1包 品目1-1新址宣教室灯光音响大屏项目采购项目</w:t>
      </w:r>
    </w:p>
    <w:p w14:paraId="334C2F6B">
      <w:pPr>
        <w:widowControl/>
        <w:spacing w:line="360" w:lineRule="auto"/>
        <w:jc w:val="left"/>
        <w:textAlignment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一、项目背景</w:t>
      </w:r>
    </w:p>
    <w:p w14:paraId="2B92312E">
      <w:pPr>
        <w:widowControl/>
        <w:spacing w:line="360" w:lineRule="auto"/>
        <w:ind w:firstLine="420" w:firstLineChars="200"/>
        <w:jc w:val="left"/>
        <w:textAlignment w:val="center"/>
        <w:rPr>
          <w:rFonts w:ascii="仿宋" w:hAnsi="仿宋" w:eastAsia="仿宋" w:cs="宋体"/>
          <w:color w:val="auto"/>
          <w:kern w:val="0"/>
          <w:szCs w:val="21"/>
          <w:highlight w:val="none"/>
        </w:rPr>
      </w:pPr>
      <w:bookmarkStart w:id="8" w:name="OLE_LINK11"/>
      <w:r>
        <w:rPr>
          <w:rFonts w:hint="eastAsia" w:ascii="仿宋" w:hAnsi="仿宋" w:eastAsia="仿宋"/>
          <w:color w:val="auto"/>
          <w:szCs w:val="21"/>
          <w:highlight w:val="none"/>
        </w:rPr>
        <w:t>北京疾病防控中心</w:t>
      </w:r>
      <w:r>
        <w:rPr>
          <w:rFonts w:hint="eastAsia" w:ascii="仿宋" w:hAnsi="仿宋" w:eastAsia="仿宋" w:cs="宋体"/>
          <w:color w:val="auto"/>
          <w:kern w:val="0"/>
          <w:szCs w:val="21"/>
          <w:highlight w:val="none"/>
        </w:rPr>
        <w:t>设备部分包括：宣教室一间。主要用于视频讲座、采访、教育与培训录制、单位文化展示宣传等场景。</w:t>
      </w:r>
      <w:bookmarkEnd w:id="8"/>
    </w:p>
    <w:p w14:paraId="79791F36">
      <w:pPr>
        <w:widowControl/>
        <w:spacing w:line="360" w:lineRule="auto"/>
        <w:jc w:val="left"/>
        <w:textAlignment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二、项目需求</w:t>
      </w:r>
    </w:p>
    <w:p w14:paraId="16E2648C">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1、总体说明：投标人对北京疾病防控中心的显示系统、扩声系统、灯光系统提供整体设计。</w:t>
      </w:r>
    </w:p>
    <w:p w14:paraId="48EDF4D3">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2、详细功能设计：宣教室部署：显示系统、扩声系统、灯光系统。</w:t>
      </w:r>
    </w:p>
    <w:p w14:paraId="7EFD7D40">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2.1宣教室的核心功能在于健康宣教。疾控中心可通过专业制作的科普视频、动画或直播节目，向公众普及传染病防控、慢性病管理等知识。借助灯光、大屏幕等设施，内容呈现更加生动直观，尤其适合突发公共卫生事件时的快速信息发布，减少谣言传播，增强公众科学防护意识。</w:t>
      </w:r>
    </w:p>
    <w:p w14:paraId="3B98E62E">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 xml:space="preserve">2.2宣教室为专家资源整合提供高效平台。流行病学专家、公共卫生学者可录制技术培训视频，用于基层疾控人员技能提升；或制作权威解读视频，回应社会关切。通过直播连线、远程会议等功能，还能实现跨区域协作，助力联防联控机制的落实。  </w:t>
      </w:r>
    </w:p>
    <w:p w14:paraId="255B2FB7">
      <w:pPr>
        <w:widowControl/>
        <w:spacing w:line="360" w:lineRule="auto"/>
        <w:jc w:val="left"/>
        <w:textAlignment w:val="center"/>
        <w:rPr>
          <w:rFonts w:ascii="仿宋" w:hAnsi="仿宋" w:eastAsia="仿宋" w:cs="宋体"/>
          <w:color w:val="auto"/>
          <w:kern w:val="0"/>
          <w:szCs w:val="21"/>
          <w:highlight w:val="none"/>
        </w:rPr>
      </w:pPr>
      <w:r>
        <w:rPr>
          <w:rFonts w:ascii="仿宋" w:hAnsi="仿宋" w:eastAsia="仿宋" w:cs="宋体"/>
          <w:color w:val="auto"/>
          <w:kern w:val="0"/>
          <w:szCs w:val="21"/>
          <w:highlight w:val="none"/>
        </w:rPr>
        <w:t>2.3</w:t>
      </w:r>
      <w:r>
        <w:rPr>
          <w:rFonts w:hint="eastAsia" w:ascii="仿宋" w:hAnsi="仿宋" w:eastAsia="仿宋" w:cs="宋体"/>
          <w:color w:val="auto"/>
          <w:kern w:val="0"/>
          <w:szCs w:val="21"/>
          <w:highlight w:val="none"/>
        </w:rPr>
        <w:t>宣教室的标准化设施可提升疾控中心的品牌公信力。高质量的视听呈现能强化官方信息的权威性，尤其在危机沟通中，专业化的传播方式有助于稳定社会情绪，引导公众行为。</w:t>
      </w:r>
    </w:p>
    <w:p w14:paraId="4788801F">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综上，疾控中心宣教室是现代化公共卫生体系的重要工具，既能增强科普效能，又能优化应急响应能力，对推动“以预防为主”的健康战略具有重要意义。</w:t>
      </w:r>
    </w:p>
    <w:p w14:paraId="7D88C8C6">
      <w:pPr>
        <w:widowControl/>
        <w:spacing w:line="360" w:lineRule="auto"/>
        <w:jc w:val="left"/>
        <w:textAlignment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三、具体技术要求</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296"/>
        <w:gridCol w:w="4943"/>
        <w:gridCol w:w="797"/>
        <w:gridCol w:w="694"/>
      </w:tblGrid>
      <w:tr w14:paraId="18E4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68" w:type="pct"/>
            <w:noWrap/>
            <w:vAlign w:val="center"/>
          </w:tcPr>
          <w:p w14:paraId="20DDA1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序号</w:t>
            </w:r>
          </w:p>
        </w:tc>
        <w:tc>
          <w:tcPr>
            <w:tcW w:w="760" w:type="pct"/>
            <w:noWrap/>
            <w:vAlign w:val="center"/>
          </w:tcPr>
          <w:p w14:paraId="27484D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项目名称</w:t>
            </w:r>
          </w:p>
        </w:tc>
        <w:tc>
          <w:tcPr>
            <w:tcW w:w="2898" w:type="pct"/>
            <w:noWrap/>
            <w:vAlign w:val="center"/>
          </w:tcPr>
          <w:p w14:paraId="5199FE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具体参数</w:t>
            </w:r>
          </w:p>
        </w:tc>
        <w:tc>
          <w:tcPr>
            <w:tcW w:w="467" w:type="pct"/>
            <w:noWrap w:val="0"/>
            <w:vAlign w:val="center"/>
          </w:tcPr>
          <w:p w14:paraId="4EADB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计量单位</w:t>
            </w:r>
          </w:p>
        </w:tc>
        <w:tc>
          <w:tcPr>
            <w:tcW w:w="408" w:type="pct"/>
            <w:noWrap/>
            <w:vAlign w:val="center"/>
          </w:tcPr>
          <w:p w14:paraId="3C528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r>
      <w:tr w14:paraId="4881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04957E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一</w:t>
            </w:r>
          </w:p>
        </w:tc>
        <w:tc>
          <w:tcPr>
            <w:tcW w:w="760" w:type="pct"/>
            <w:noWrap w:val="0"/>
            <w:vAlign w:val="center"/>
          </w:tcPr>
          <w:p w14:paraId="4A6655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宣教室</w:t>
            </w:r>
          </w:p>
        </w:tc>
        <w:tc>
          <w:tcPr>
            <w:tcW w:w="2898" w:type="pct"/>
            <w:noWrap w:val="0"/>
            <w:vAlign w:val="center"/>
          </w:tcPr>
          <w:p w14:paraId="35923C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67" w:type="pct"/>
            <w:noWrap w:val="0"/>
            <w:vAlign w:val="center"/>
          </w:tcPr>
          <w:p w14:paraId="7E2A1A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08" w:type="pct"/>
            <w:noWrap w:val="0"/>
            <w:vAlign w:val="center"/>
          </w:tcPr>
          <w:p w14:paraId="0E5CDF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p>
        </w:tc>
      </w:tr>
      <w:tr w14:paraId="022E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3E7B1D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p>
        </w:tc>
        <w:tc>
          <w:tcPr>
            <w:tcW w:w="760" w:type="pct"/>
            <w:noWrap w:val="0"/>
            <w:vAlign w:val="center"/>
          </w:tcPr>
          <w:p w14:paraId="4143F1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标的名称</w:t>
            </w:r>
          </w:p>
        </w:tc>
        <w:tc>
          <w:tcPr>
            <w:tcW w:w="2898" w:type="pct"/>
            <w:noWrap w:val="0"/>
            <w:vAlign w:val="center"/>
          </w:tcPr>
          <w:p w14:paraId="300331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67" w:type="pct"/>
            <w:noWrap w:val="0"/>
            <w:vAlign w:val="center"/>
          </w:tcPr>
          <w:p w14:paraId="108FBE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08" w:type="pct"/>
            <w:noWrap w:val="0"/>
            <w:vAlign w:val="center"/>
          </w:tcPr>
          <w:p w14:paraId="0CB0C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p>
        </w:tc>
      </w:tr>
      <w:tr w14:paraId="228A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468" w:type="pct"/>
            <w:noWrap w:val="0"/>
            <w:vAlign w:val="center"/>
          </w:tcPr>
          <w:p w14:paraId="6F72D8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760" w:type="pct"/>
            <w:noWrap w:val="0"/>
            <w:vAlign w:val="center"/>
          </w:tcPr>
          <w:p w14:paraId="48ACC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▲音响</w:t>
            </w:r>
          </w:p>
        </w:tc>
        <w:tc>
          <w:tcPr>
            <w:tcW w:w="2898" w:type="pct"/>
            <w:noWrap w:val="0"/>
            <w:vAlign w:val="center"/>
          </w:tcPr>
          <w:p w14:paraId="11081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1.系统类型：≥12英寸全频音箱；</w:t>
            </w:r>
          </w:p>
          <w:p w14:paraId="102571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2.频率范围：覆盖45Hz-20kHz；</w:t>
            </w:r>
          </w:p>
          <w:p w14:paraId="556B00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3.频率响应：覆盖50Hz-18kHz(±3dB)；</w:t>
            </w:r>
          </w:p>
          <w:p w14:paraId="296BFB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4.灵敏度：≥97db，SPL 1w/1m；</w:t>
            </w:r>
          </w:p>
          <w:p w14:paraId="2C47F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5.输入阻抗：8 ohms；</w:t>
            </w:r>
          </w:p>
          <w:p w14:paraId="4D7D84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6.额定功率：≥350W，连续功率：≥700W，峰值功率：≥1400W；                                                                  </w:t>
            </w:r>
          </w:p>
          <w:p w14:paraId="472A15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7.配置：高音:34-44mm音圈,低音:150-170mm磁钢/50-65mm音圈；</w:t>
            </w:r>
          </w:p>
          <w:p w14:paraId="50DA7A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8.最大声压级： ≥123dB SPL；                                                  </w:t>
            </w:r>
          </w:p>
          <w:p w14:paraId="400A35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9.声场辐射范围：≥90°x 60°；</w:t>
            </w:r>
          </w:p>
          <w:p w14:paraId="0DDB91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10.输入接口：2×专业四芯音箱接口；</w:t>
            </w:r>
          </w:p>
        </w:tc>
        <w:tc>
          <w:tcPr>
            <w:tcW w:w="467" w:type="pct"/>
            <w:noWrap w:val="0"/>
            <w:vAlign w:val="center"/>
          </w:tcPr>
          <w:p w14:paraId="295F8D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只</w:t>
            </w:r>
          </w:p>
        </w:tc>
        <w:tc>
          <w:tcPr>
            <w:tcW w:w="408" w:type="pct"/>
            <w:noWrap w:val="0"/>
            <w:vAlign w:val="center"/>
          </w:tcPr>
          <w:p w14:paraId="34BE1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2B55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42B40D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760" w:type="pct"/>
            <w:noWrap w:val="0"/>
            <w:vAlign w:val="center"/>
          </w:tcPr>
          <w:p w14:paraId="1E0CA8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▲功放</w:t>
            </w:r>
          </w:p>
        </w:tc>
        <w:tc>
          <w:tcPr>
            <w:tcW w:w="2898" w:type="pct"/>
            <w:noWrap w:val="0"/>
            <w:vAlign w:val="center"/>
          </w:tcPr>
          <w:p w14:paraId="24C79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1、前面板指示:包括但不限于：保护指示灯、削波指示灯、信号指示灯、工作温度显示、输出音量显示、工作模式显示；</w:t>
            </w:r>
          </w:p>
          <w:p w14:paraId="567B8263">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功放保护：包括但不限于：具有直流保护、过载保护、短路保护、过热保护、压限保护、软启动保护等；</w:t>
            </w:r>
          </w:p>
          <w:p w14:paraId="76E2220D">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8Ω立体声功率：</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500 W x 2；</w:t>
            </w:r>
          </w:p>
          <w:p w14:paraId="709A9F69">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4Ω立体声功率：</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850 W x 2；</w:t>
            </w:r>
          </w:p>
          <w:p w14:paraId="76617036">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8Ω桥接功率：</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1250 W；</w:t>
            </w:r>
          </w:p>
          <w:p w14:paraId="458D7C2D">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频率响应：20 Hz-20 kHz，±0.5dB；</w:t>
            </w:r>
          </w:p>
          <w:p w14:paraId="167E8B4B">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总谐波失真：≤0.12 %；</w:t>
            </w:r>
          </w:p>
          <w:p w14:paraId="3F47BD6F">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信噪比：≥98 dB；</w:t>
            </w:r>
          </w:p>
          <w:p w14:paraId="2221C0D5">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阻尼系数：≥60；</w:t>
            </w:r>
          </w:p>
          <w:p w14:paraId="729E6D05">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输入灵敏度：1 v；</w:t>
            </w:r>
          </w:p>
          <w:p w14:paraId="270A7D3C">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输入阻抗(不平衡/平衡)：20kΩ/10kΩ；</w:t>
            </w:r>
          </w:p>
          <w:p w14:paraId="580078D4">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电压增益（8Ω 时）：</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38dB；</w:t>
            </w:r>
          </w:p>
          <w:p w14:paraId="30D03522">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bidi="ar"/>
              </w:rPr>
              <w:t>冷却：吸风；</w:t>
            </w:r>
          </w:p>
        </w:tc>
        <w:tc>
          <w:tcPr>
            <w:tcW w:w="467" w:type="pct"/>
            <w:noWrap w:val="0"/>
            <w:vAlign w:val="center"/>
          </w:tcPr>
          <w:p w14:paraId="781F24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5FF9B4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675E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shd w:val="clear" w:color="auto" w:fill="auto"/>
            <w:noWrap w:val="0"/>
            <w:vAlign w:val="center"/>
          </w:tcPr>
          <w:p w14:paraId="6BBFD6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760" w:type="pct"/>
            <w:shd w:val="clear" w:color="auto" w:fill="auto"/>
            <w:noWrap w:val="0"/>
            <w:vAlign w:val="center"/>
          </w:tcPr>
          <w:p w14:paraId="7885A2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▲均衡话筒效果器+数字音频处理器</w:t>
            </w:r>
          </w:p>
        </w:tc>
        <w:tc>
          <w:tcPr>
            <w:tcW w:w="2898" w:type="pct"/>
            <w:shd w:val="clear" w:color="auto" w:fill="FFFFFF"/>
            <w:noWrap w:val="0"/>
            <w:vAlign w:val="center"/>
          </w:tcPr>
          <w:p w14:paraId="76746C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1.具备音箱处理器功能，各项处理功能独立可调。</w:t>
            </w:r>
          </w:p>
          <w:p w14:paraId="3478D7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2.支持 PC 端软件调试，具备 USB、蓝牙调试连接方式。</w:t>
            </w:r>
          </w:p>
          <w:p w14:paraId="35060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3.话筒通道分为 A/B 两组，两组通道支持独立EQ调节。</w:t>
            </w:r>
          </w:p>
          <w:p w14:paraId="62EC3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4.采用至少24Bit 数据总线和32Bit DSP处理。</w:t>
            </w:r>
          </w:p>
          <w:p w14:paraId="38B33D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5.话筒输入通道设有≥15 段参量均衡，A/B 通道可独立调节，具备压缩限幅、静噪门控制功能。</w:t>
            </w:r>
          </w:p>
          <w:p w14:paraId="7ABDAA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6.主输出通道设有≥7 段参量均衡；中置、后置输出通道设有≥5 段参量均衡；超低输出通道具备专业滤波处理功能。</w:t>
            </w:r>
          </w:p>
          <w:p w14:paraId="7A57F3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7.设备支持音箱曲线测量功能，自带 48V 测试话筒接口，可通过PC调试软件查看音箱测量曲线、输入输出通道声谱频响。</w:t>
            </w:r>
          </w:p>
          <w:p w14:paraId="6D493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8.麦克风具备≥6 级反馈抑制功能，可设定自动模式，产生啸叫时自动提升级别，不啸叫时回复设定级别；内置≥7 种FBE模式。</w:t>
            </w:r>
          </w:p>
          <w:p w14:paraId="066232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9.所有输出通道均具备压限、延时处理功能，通道预延时调节范围 0～500ms。</w:t>
            </w:r>
          </w:p>
          <w:p w14:paraId="7938A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10.支持高通、低通滤波器，支持 Butterworth、Bessel、Link Riley 滤波模式，滤波斜率支持 12dB/oct、24dB/oct 可调。</w:t>
            </w:r>
          </w:p>
          <w:p w14:paraId="69410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11.可存储≥10 组场景模式，支持≥4 组快捷模式随意切换。</w:t>
            </w:r>
          </w:p>
          <w:p w14:paraId="3D0D5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12.具备管理员模式、用户模式管理，支持工程密码锁定，支持中英文界面切换。</w:t>
            </w:r>
          </w:p>
          <w:p w14:paraId="1C43E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13.支持USB播放、蓝牙无损播放。</w:t>
            </w:r>
          </w:p>
          <w:p w14:paraId="06A159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14.音频输入端口：支持蓝牙、USB、光纤、同轴数字输入；≥2组RCA模拟信号输入，≥1 组XLR模拟信号输入。</w:t>
            </w:r>
          </w:p>
          <w:p w14:paraId="33E504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15.音乐输入增益： 12dB～0dB。</w:t>
            </w:r>
            <w:r>
              <w:rPr>
                <w:rFonts w:hint="eastAsia" w:ascii="仿宋" w:hAnsi="仿宋" w:eastAsia="仿宋" w:cs="仿宋"/>
                <w:color w:val="auto"/>
                <w:sz w:val="21"/>
                <w:szCs w:val="21"/>
                <w:highlight w:val="none"/>
              </w:rPr>
              <w:t xml:space="preserve"> </w:t>
            </w:r>
          </w:p>
        </w:tc>
        <w:tc>
          <w:tcPr>
            <w:tcW w:w="467" w:type="pct"/>
            <w:noWrap w:val="0"/>
            <w:vAlign w:val="center"/>
          </w:tcPr>
          <w:p w14:paraId="4C2B32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012E19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4954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7F5468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760" w:type="pct"/>
            <w:noWrap w:val="0"/>
            <w:vAlign w:val="center"/>
          </w:tcPr>
          <w:p w14:paraId="776F79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▲话筒</w:t>
            </w:r>
          </w:p>
        </w:tc>
        <w:tc>
          <w:tcPr>
            <w:tcW w:w="2898" w:type="pct"/>
            <w:noWrap w:val="0"/>
            <w:vAlign w:val="center"/>
          </w:tcPr>
          <w:p w14:paraId="1F5BEC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1.类型：动圈式心形指向人声话筒。</w:t>
            </w:r>
          </w:p>
          <w:p w14:paraId="1A96A6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2.频率响应：覆盖50Hz-15kHz。</w:t>
            </w:r>
          </w:p>
          <w:p w14:paraId="714338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3.特性：内置球形防风罩；金属构造。</w:t>
            </w:r>
          </w:p>
        </w:tc>
        <w:tc>
          <w:tcPr>
            <w:tcW w:w="467" w:type="pct"/>
            <w:noWrap w:val="0"/>
            <w:vAlign w:val="center"/>
          </w:tcPr>
          <w:p w14:paraId="56CC1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408" w:type="pct"/>
            <w:noWrap w:val="0"/>
            <w:vAlign w:val="center"/>
          </w:tcPr>
          <w:p w14:paraId="22B498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74D4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68" w:type="pct"/>
            <w:noWrap w:val="0"/>
            <w:vAlign w:val="center"/>
          </w:tcPr>
          <w:p w14:paraId="69B799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c>
          <w:tcPr>
            <w:tcW w:w="760" w:type="pct"/>
            <w:noWrap w:val="0"/>
            <w:vAlign w:val="center"/>
          </w:tcPr>
          <w:p w14:paraId="54D905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▲电源</w:t>
            </w:r>
          </w:p>
        </w:tc>
        <w:tc>
          <w:tcPr>
            <w:tcW w:w="2898" w:type="pct"/>
            <w:noWrap w:val="0"/>
            <w:vAlign w:val="center"/>
          </w:tcPr>
          <w:p w14:paraId="1E254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1.类型：电源时序器。</w:t>
            </w:r>
          </w:p>
          <w:p w14:paraId="65AB60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2.通道数：≥8路电源输出。</w:t>
            </w:r>
          </w:p>
          <w:p w14:paraId="0CD2A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3.输入电压：AC 220V/50Hz。</w:t>
            </w:r>
          </w:p>
          <w:p w14:paraId="37FFD2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4.每路输出电流：≥10A。</w:t>
            </w:r>
          </w:p>
          <w:p w14:paraId="4927CD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5.功能：支持按顺序开启/关闭设备电源，保护设备免受电流冲击；智能电源时序管理器。</w:t>
            </w:r>
          </w:p>
          <w:p w14:paraId="7B867D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配备≥2.2英寸彩色TFT-LCD触摸显示屏，可实时显示当前电压，日期时间，通道开关状态；内置时钟芯片，可根据日期时间定时设置自动开启/关闭每一通道；欠压、过压保护，可自定义设置保护值；配置RS232和RS485接口，支持级联、中央设备控制可链接软件控制和调节设备参数。</w:t>
            </w:r>
          </w:p>
        </w:tc>
        <w:tc>
          <w:tcPr>
            <w:tcW w:w="467" w:type="pct"/>
            <w:noWrap w:val="0"/>
            <w:vAlign w:val="center"/>
          </w:tcPr>
          <w:p w14:paraId="7EE03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0B187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01CA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75B28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c>
          <w:tcPr>
            <w:tcW w:w="760" w:type="pct"/>
            <w:noWrap w:val="0"/>
            <w:vAlign w:val="center"/>
          </w:tcPr>
          <w:p w14:paraId="30E67A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▲调音台</w:t>
            </w:r>
          </w:p>
        </w:tc>
        <w:tc>
          <w:tcPr>
            <w:tcW w:w="2898" w:type="pct"/>
            <w:noWrap w:val="0"/>
            <w:vAlign w:val="center"/>
          </w:tcPr>
          <w:p w14:paraId="2F0F3F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1.通道数：≥12路输入通道。</w:t>
            </w:r>
          </w:p>
          <w:p w14:paraId="30975B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2.话筒输入：支持XLR接口，带幻像电源（+48V）。</w:t>
            </w:r>
          </w:p>
          <w:p w14:paraId="0DD029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3.均衡器：每通道3段或4段均衡调节。</w:t>
            </w:r>
          </w:p>
          <w:p w14:paraId="0AB846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4.效果器：内置数字效果器（混响、延迟等）。</w:t>
            </w:r>
          </w:p>
          <w:p w14:paraId="7BEB5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5.输出：主输出、辅助输出等，支持平衡输出。</w:t>
            </w:r>
          </w:p>
          <w:p w14:paraId="30B0C0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6.频率响应：覆盖20Hz-20kHz（±1dB）。</w:t>
            </w:r>
          </w:p>
        </w:tc>
        <w:tc>
          <w:tcPr>
            <w:tcW w:w="467" w:type="pct"/>
            <w:noWrap w:val="0"/>
            <w:vAlign w:val="center"/>
          </w:tcPr>
          <w:p w14:paraId="4804F1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37E70F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12E6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755290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w:t>
            </w:r>
          </w:p>
        </w:tc>
        <w:tc>
          <w:tcPr>
            <w:tcW w:w="760" w:type="pct"/>
            <w:noWrap w:val="0"/>
            <w:vAlign w:val="center"/>
          </w:tcPr>
          <w:p w14:paraId="47BE97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安装调试费</w:t>
            </w:r>
          </w:p>
        </w:tc>
        <w:tc>
          <w:tcPr>
            <w:tcW w:w="2898" w:type="pct"/>
            <w:noWrap w:val="0"/>
            <w:vAlign w:val="center"/>
          </w:tcPr>
          <w:p w14:paraId="71F41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音响安装调试</w:t>
            </w:r>
          </w:p>
        </w:tc>
        <w:tc>
          <w:tcPr>
            <w:tcW w:w="467" w:type="pct"/>
            <w:noWrap w:val="0"/>
            <w:vAlign w:val="center"/>
          </w:tcPr>
          <w:p w14:paraId="2B188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w:t>
            </w:r>
          </w:p>
        </w:tc>
        <w:tc>
          <w:tcPr>
            <w:tcW w:w="408" w:type="pct"/>
            <w:noWrap w:val="0"/>
            <w:vAlign w:val="center"/>
          </w:tcPr>
          <w:p w14:paraId="26AEE5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7918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7D5A6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w:t>
            </w:r>
          </w:p>
        </w:tc>
        <w:tc>
          <w:tcPr>
            <w:tcW w:w="760" w:type="pct"/>
            <w:noWrap w:val="0"/>
            <w:vAlign w:val="center"/>
          </w:tcPr>
          <w:p w14:paraId="71D873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背景板</w:t>
            </w:r>
          </w:p>
        </w:tc>
        <w:tc>
          <w:tcPr>
            <w:tcW w:w="2898" w:type="pct"/>
            <w:noWrap w:val="0"/>
            <w:vAlign w:val="center"/>
          </w:tcPr>
          <w:p w14:paraId="76D0D9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发光灯箱 </w:t>
            </w:r>
          </w:p>
        </w:tc>
        <w:tc>
          <w:tcPr>
            <w:tcW w:w="467" w:type="pct"/>
            <w:noWrap w:val="0"/>
            <w:vAlign w:val="center"/>
          </w:tcPr>
          <w:p w14:paraId="0F811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平米</w:t>
            </w:r>
          </w:p>
        </w:tc>
        <w:tc>
          <w:tcPr>
            <w:tcW w:w="408" w:type="pct"/>
            <w:noWrap w:val="0"/>
            <w:vAlign w:val="center"/>
          </w:tcPr>
          <w:p w14:paraId="34C2E4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14.6</w:t>
            </w:r>
          </w:p>
        </w:tc>
      </w:tr>
      <w:tr w14:paraId="36EB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68" w:type="pct"/>
            <w:noWrap w:val="0"/>
            <w:vAlign w:val="center"/>
          </w:tcPr>
          <w:p w14:paraId="555ADD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c>
          <w:tcPr>
            <w:tcW w:w="760" w:type="pct"/>
            <w:noWrap w:val="0"/>
            <w:vAlign w:val="center"/>
          </w:tcPr>
          <w:p w14:paraId="12012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显示屏</w:t>
            </w:r>
          </w:p>
        </w:tc>
        <w:tc>
          <w:tcPr>
            <w:tcW w:w="2898" w:type="pct"/>
            <w:noWrap w:val="0"/>
            <w:vAlign w:val="center"/>
          </w:tcPr>
          <w:p w14:paraId="32E581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1.像素封装。</w:t>
            </w:r>
          </w:p>
          <w:p w14:paraId="7E85A1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2.SMD1515。</w:t>
            </w:r>
          </w:p>
          <w:p w14:paraId="0F726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3.像素间距（mm）≤1.86。</w:t>
            </w:r>
          </w:p>
          <w:p w14:paraId="14F6FB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4.模组分辨率（W×H）≥172X86=14792像素。</w:t>
            </w:r>
          </w:p>
          <w:p w14:paraId="214DCC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5.模组尺寸（mm）≥320（W）×160（H）×16.2（D）。</w:t>
            </w:r>
          </w:p>
          <w:p w14:paraId="5AD0F4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6.模组最大功耗（W）≤14。</w:t>
            </w:r>
          </w:p>
          <w:p w14:paraId="6661A0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7.电源带载量（40A）≥6块。</w:t>
            </w:r>
          </w:p>
          <w:p w14:paraId="6CF904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9.光学参数</w:t>
            </w:r>
          </w:p>
          <w:p w14:paraId="5D03CD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9.1支持逐点色度、亮度校正技术。</w:t>
            </w:r>
          </w:p>
          <w:p w14:paraId="5639FE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9.2白平衡亮度（nits）≥450。</w:t>
            </w:r>
          </w:p>
          <w:p w14:paraId="2D9889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9.3标准色温（K）：6500～25000K可调。</w:t>
            </w:r>
          </w:p>
        </w:tc>
        <w:tc>
          <w:tcPr>
            <w:tcW w:w="467" w:type="pct"/>
            <w:noWrap w:val="0"/>
            <w:vAlign w:val="center"/>
          </w:tcPr>
          <w:p w14:paraId="72C86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平米</w:t>
            </w:r>
          </w:p>
        </w:tc>
        <w:tc>
          <w:tcPr>
            <w:tcW w:w="408" w:type="pct"/>
            <w:noWrap w:val="0"/>
            <w:vAlign w:val="center"/>
          </w:tcPr>
          <w:p w14:paraId="2281CB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14.6</w:t>
            </w:r>
          </w:p>
        </w:tc>
      </w:tr>
      <w:tr w14:paraId="6D6A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68" w:type="pct"/>
            <w:noWrap w:val="0"/>
            <w:vAlign w:val="center"/>
          </w:tcPr>
          <w:p w14:paraId="481B83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760" w:type="pct"/>
            <w:noWrap w:val="0"/>
            <w:vAlign w:val="center"/>
          </w:tcPr>
          <w:p w14:paraId="5A688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▲LED 数字聚光灯</w:t>
            </w:r>
          </w:p>
        </w:tc>
        <w:tc>
          <w:tcPr>
            <w:tcW w:w="2898" w:type="pct"/>
            <w:noWrap w:val="0"/>
            <w:vAlign w:val="center"/>
          </w:tcPr>
          <w:p w14:paraId="1FFC2C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1.电压：AC90V-240v,50/60HZ。</w:t>
            </w:r>
          </w:p>
          <w:p w14:paraId="46FB7F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2.功率：≥230W。</w:t>
            </w:r>
          </w:p>
          <w:p w14:paraId="494047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3.光源：≥200W COB灯珠。</w:t>
            </w:r>
          </w:p>
          <w:p w14:paraId="2CCDD2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4.通道：≥6CH。</w:t>
            </w:r>
          </w:p>
          <w:p w14:paraId="3C1717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5.功能：声控，自走，支持DMX512标准。</w:t>
            </w:r>
          </w:p>
        </w:tc>
        <w:tc>
          <w:tcPr>
            <w:tcW w:w="467" w:type="pct"/>
            <w:noWrap w:val="0"/>
            <w:vAlign w:val="center"/>
          </w:tcPr>
          <w:p w14:paraId="424104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7E8E38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r>
      <w:tr w14:paraId="52A7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47973E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760" w:type="pct"/>
            <w:noWrap w:val="0"/>
            <w:vAlign w:val="center"/>
          </w:tcPr>
          <w:p w14:paraId="470A6B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▲LED 平板柔性灯</w:t>
            </w:r>
          </w:p>
        </w:tc>
        <w:tc>
          <w:tcPr>
            <w:tcW w:w="2898" w:type="pct"/>
            <w:noWrap w:val="0"/>
            <w:vAlign w:val="center"/>
          </w:tcPr>
          <w:p w14:paraId="08857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1.电压：AC90V-240v,50/60HZ。</w:t>
            </w:r>
          </w:p>
          <w:p w14:paraId="6F32E2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2.功率：≥120W。</w:t>
            </w:r>
          </w:p>
          <w:p w14:paraId="08DEE1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3.光源：≥256颗5730灯珠。</w:t>
            </w:r>
          </w:p>
          <w:p w14:paraId="0C104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4.通道：≥6CH。</w:t>
            </w:r>
          </w:p>
          <w:p w14:paraId="678B48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5.颜色:正白、暖白、双色，控制方式：声控，自动。6.支持DMX512标准，联机。插头：手拉手。</w:t>
            </w:r>
          </w:p>
        </w:tc>
        <w:tc>
          <w:tcPr>
            <w:tcW w:w="467" w:type="pct"/>
            <w:noWrap w:val="0"/>
            <w:vAlign w:val="center"/>
          </w:tcPr>
          <w:p w14:paraId="1EAD75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1ED182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28</w:t>
            </w:r>
          </w:p>
        </w:tc>
      </w:tr>
      <w:tr w14:paraId="58FB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43DDDA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12</w:t>
            </w:r>
          </w:p>
        </w:tc>
        <w:tc>
          <w:tcPr>
            <w:tcW w:w="760" w:type="pct"/>
            <w:noWrap w:val="0"/>
            <w:vAlign w:val="center"/>
          </w:tcPr>
          <w:p w14:paraId="47E0B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▲信号放大器</w:t>
            </w:r>
          </w:p>
        </w:tc>
        <w:tc>
          <w:tcPr>
            <w:tcW w:w="2898" w:type="pct"/>
            <w:noWrap w:val="0"/>
            <w:vAlign w:val="center"/>
          </w:tcPr>
          <w:p w14:paraId="77FB9B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信号放大，电压输入AC220V，输出 AC220V。为换色器提供和分配电源。DMX512国际标准信号输出，放大信号驱动功率。</w:t>
            </w:r>
          </w:p>
        </w:tc>
        <w:tc>
          <w:tcPr>
            <w:tcW w:w="467" w:type="pct"/>
            <w:noWrap w:val="0"/>
            <w:vAlign w:val="center"/>
          </w:tcPr>
          <w:p w14:paraId="0BB87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15D9A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3222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53AC15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13</w:t>
            </w:r>
          </w:p>
        </w:tc>
        <w:tc>
          <w:tcPr>
            <w:tcW w:w="760" w:type="pct"/>
            <w:noWrap w:val="0"/>
            <w:vAlign w:val="center"/>
          </w:tcPr>
          <w:p w14:paraId="465C3B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▲数字1024控台</w:t>
            </w:r>
          </w:p>
        </w:tc>
        <w:tc>
          <w:tcPr>
            <w:tcW w:w="2898" w:type="pct"/>
            <w:noWrap w:val="0"/>
            <w:vAlign w:val="center"/>
          </w:tcPr>
          <w:p w14:paraId="78A08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1.兼容DMX512/1990标准，≥1024个DMX控制通道，光电隔离信号输出。</w:t>
            </w:r>
          </w:p>
          <w:p w14:paraId="6320A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2.控制≥96台电脑灯或96路调光，使用珍珠灯库。</w:t>
            </w:r>
          </w:p>
          <w:p w14:paraId="339D2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3.内置图形轨迹发生器，有≥135个内置图形，方便用户对电脑灯进行图形轨迹控制，如画圆、螺旋、彩虹、追逐等多种效果。图形参数（如：振幅、速度、间隔、波浪、方向）均可独立设置。</w:t>
            </w:r>
          </w:p>
          <w:p w14:paraId="44285A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4.≥60个重演场景，用于储存多步场景和单步场景。多步场景多可储存≥600步。</w:t>
            </w:r>
          </w:p>
          <w:p w14:paraId="097145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5.带背光的LCD显示屏，中英文显示。</w:t>
            </w:r>
          </w:p>
          <w:p w14:paraId="243FF8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6.关机数据保持。</w:t>
            </w:r>
          </w:p>
          <w:p w14:paraId="151DE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7.U盘备份和升级。</w:t>
            </w:r>
          </w:p>
          <w:p w14:paraId="1BD95D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8.专业鹅颈工作灯，适合室内外演出使用。</w:t>
            </w:r>
          </w:p>
        </w:tc>
        <w:tc>
          <w:tcPr>
            <w:tcW w:w="467" w:type="pct"/>
            <w:noWrap w:val="0"/>
            <w:vAlign w:val="center"/>
          </w:tcPr>
          <w:p w14:paraId="0C909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2C676F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0164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68" w:type="pct"/>
            <w:noWrap w:val="0"/>
            <w:vAlign w:val="center"/>
          </w:tcPr>
          <w:p w14:paraId="5AAFB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w:t>
            </w:r>
          </w:p>
        </w:tc>
        <w:tc>
          <w:tcPr>
            <w:tcW w:w="760" w:type="pct"/>
            <w:noWrap w:val="0"/>
            <w:vAlign w:val="center"/>
          </w:tcPr>
          <w:p w14:paraId="0ED32F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电源直通箱</w:t>
            </w:r>
          </w:p>
        </w:tc>
        <w:tc>
          <w:tcPr>
            <w:tcW w:w="2898" w:type="pct"/>
            <w:noWrap w:val="0"/>
            <w:vAlign w:val="center"/>
          </w:tcPr>
          <w:p w14:paraId="2E681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1.供电:三相五线制AC380V+10%,频率50Hz士5%。</w:t>
            </w:r>
          </w:p>
          <w:p w14:paraId="69B70E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2.额定功率:12路x≥4KW。</w:t>
            </w:r>
          </w:p>
        </w:tc>
        <w:tc>
          <w:tcPr>
            <w:tcW w:w="467" w:type="pct"/>
            <w:noWrap w:val="0"/>
            <w:vAlign w:val="center"/>
          </w:tcPr>
          <w:p w14:paraId="3D42EE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1319E0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3B27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68" w:type="pct"/>
            <w:noWrap w:val="0"/>
            <w:vAlign w:val="center"/>
          </w:tcPr>
          <w:p w14:paraId="3616B2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760" w:type="pct"/>
            <w:noWrap w:val="0"/>
            <w:vAlign w:val="center"/>
          </w:tcPr>
          <w:p w14:paraId="5884C7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航空机箱</w:t>
            </w:r>
          </w:p>
        </w:tc>
        <w:tc>
          <w:tcPr>
            <w:tcW w:w="2898" w:type="pct"/>
            <w:noWrap w:val="0"/>
            <w:vAlign w:val="center"/>
          </w:tcPr>
          <w:p w14:paraId="7CAEB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带脚轮,600mmx600mmx1000mm</w:t>
            </w:r>
          </w:p>
        </w:tc>
        <w:tc>
          <w:tcPr>
            <w:tcW w:w="467" w:type="pct"/>
            <w:noWrap w:val="0"/>
            <w:vAlign w:val="center"/>
          </w:tcPr>
          <w:p w14:paraId="55FB57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411816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76CE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5FC23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16</w:t>
            </w:r>
          </w:p>
        </w:tc>
        <w:tc>
          <w:tcPr>
            <w:tcW w:w="760" w:type="pct"/>
            <w:noWrap w:val="0"/>
            <w:vAlign w:val="center"/>
          </w:tcPr>
          <w:p w14:paraId="60639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电源分线盒</w:t>
            </w:r>
          </w:p>
        </w:tc>
        <w:tc>
          <w:tcPr>
            <w:tcW w:w="2898" w:type="pct"/>
            <w:noWrap w:val="0"/>
            <w:vAlign w:val="center"/>
          </w:tcPr>
          <w:p w14:paraId="03E032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电源信号分线盒4*16A+2*512</w:t>
            </w:r>
          </w:p>
        </w:tc>
        <w:tc>
          <w:tcPr>
            <w:tcW w:w="467" w:type="pct"/>
            <w:noWrap w:val="0"/>
            <w:vAlign w:val="center"/>
          </w:tcPr>
          <w:p w14:paraId="743219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个</w:t>
            </w:r>
          </w:p>
        </w:tc>
        <w:tc>
          <w:tcPr>
            <w:tcW w:w="408" w:type="pct"/>
            <w:noWrap w:val="0"/>
            <w:vAlign w:val="center"/>
          </w:tcPr>
          <w:p w14:paraId="67E26B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r>
      <w:tr w14:paraId="0B3A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4780E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17</w:t>
            </w:r>
          </w:p>
        </w:tc>
        <w:tc>
          <w:tcPr>
            <w:tcW w:w="760" w:type="pct"/>
            <w:noWrap w:val="0"/>
            <w:vAlign w:val="center"/>
          </w:tcPr>
          <w:p w14:paraId="52709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电缆桥架</w:t>
            </w:r>
          </w:p>
        </w:tc>
        <w:tc>
          <w:tcPr>
            <w:tcW w:w="2898" w:type="pct"/>
            <w:noWrap w:val="0"/>
            <w:vAlign w:val="center"/>
          </w:tcPr>
          <w:p w14:paraId="3E20F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国标50*100mm 防火桥架</w:t>
            </w:r>
          </w:p>
        </w:tc>
        <w:tc>
          <w:tcPr>
            <w:tcW w:w="467" w:type="pct"/>
            <w:noWrap w:val="0"/>
            <w:vAlign w:val="center"/>
          </w:tcPr>
          <w:p w14:paraId="4DB122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米</w:t>
            </w:r>
          </w:p>
        </w:tc>
        <w:tc>
          <w:tcPr>
            <w:tcW w:w="408" w:type="pct"/>
            <w:noWrap w:val="0"/>
            <w:vAlign w:val="center"/>
          </w:tcPr>
          <w:p w14:paraId="43EDB1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r>
      <w:tr w14:paraId="58F1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380253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18</w:t>
            </w:r>
          </w:p>
        </w:tc>
        <w:tc>
          <w:tcPr>
            <w:tcW w:w="760" w:type="pct"/>
            <w:noWrap w:val="0"/>
            <w:vAlign w:val="center"/>
          </w:tcPr>
          <w:p w14:paraId="67686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桥架支架</w:t>
            </w:r>
          </w:p>
        </w:tc>
        <w:tc>
          <w:tcPr>
            <w:tcW w:w="2898" w:type="pct"/>
            <w:noWrap w:val="0"/>
            <w:vAlign w:val="center"/>
          </w:tcPr>
          <w:p w14:paraId="4B2CF6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配套使用</w:t>
            </w:r>
          </w:p>
        </w:tc>
        <w:tc>
          <w:tcPr>
            <w:tcW w:w="467" w:type="pct"/>
            <w:noWrap w:val="0"/>
            <w:vAlign w:val="center"/>
          </w:tcPr>
          <w:p w14:paraId="22C2A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408" w:type="pct"/>
            <w:noWrap w:val="0"/>
            <w:vAlign w:val="center"/>
          </w:tcPr>
          <w:p w14:paraId="3D6BA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r>
      <w:tr w14:paraId="6752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2B3AB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19</w:t>
            </w:r>
          </w:p>
        </w:tc>
        <w:tc>
          <w:tcPr>
            <w:tcW w:w="760" w:type="pct"/>
            <w:noWrap w:val="0"/>
            <w:vAlign w:val="center"/>
          </w:tcPr>
          <w:p w14:paraId="1D0D57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灯具号码牌</w:t>
            </w:r>
          </w:p>
        </w:tc>
        <w:tc>
          <w:tcPr>
            <w:tcW w:w="2898" w:type="pct"/>
            <w:noWrap w:val="0"/>
            <w:vAlign w:val="center"/>
          </w:tcPr>
          <w:p w14:paraId="1D0DB5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黑底白字</w:t>
            </w:r>
          </w:p>
        </w:tc>
        <w:tc>
          <w:tcPr>
            <w:tcW w:w="467" w:type="pct"/>
            <w:noWrap w:val="0"/>
            <w:vAlign w:val="center"/>
          </w:tcPr>
          <w:p w14:paraId="7B049A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片</w:t>
            </w:r>
          </w:p>
        </w:tc>
        <w:tc>
          <w:tcPr>
            <w:tcW w:w="408" w:type="pct"/>
            <w:noWrap w:val="0"/>
            <w:vAlign w:val="center"/>
          </w:tcPr>
          <w:p w14:paraId="06E840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w:t>
            </w:r>
          </w:p>
        </w:tc>
      </w:tr>
      <w:tr w14:paraId="12C7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7EC45F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20</w:t>
            </w:r>
          </w:p>
        </w:tc>
        <w:tc>
          <w:tcPr>
            <w:tcW w:w="760" w:type="pct"/>
            <w:noWrap w:val="0"/>
            <w:vAlign w:val="center"/>
          </w:tcPr>
          <w:p w14:paraId="0836FF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灯具保险链</w:t>
            </w:r>
          </w:p>
        </w:tc>
        <w:tc>
          <w:tcPr>
            <w:tcW w:w="2898" w:type="pct"/>
            <w:noWrap w:val="0"/>
            <w:vAlign w:val="center"/>
          </w:tcPr>
          <w:p w14:paraId="29073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保护灯具脱落</w:t>
            </w:r>
          </w:p>
        </w:tc>
        <w:tc>
          <w:tcPr>
            <w:tcW w:w="467" w:type="pct"/>
            <w:noWrap w:val="0"/>
            <w:vAlign w:val="center"/>
          </w:tcPr>
          <w:p w14:paraId="58C2B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条</w:t>
            </w:r>
          </w:p>
        </w:tc>
        <w:tc>
          <w:tcPr>
            <w:tcW w:w="408" w:type="pct"/>
            <w:noWrap w:val="0"/>
            <w:vAlign w:val="center"/>
          </w:tcPr>
          <w:p w14:paraId="25C6C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w:t>
            </w:r>
          </w:p>
        </w:tc>
      </w:tr>
      <w:tr w14:paraId="1199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2163DD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21</w:t>
            </w:r>
          </w:p>
        </w:tc>
        <w:tc>
          <w:tcPr>
            <w:tcW w:w="760" w:type="pct"/>
            <w:noWrap w:val="0"/>
            <w:vAlign w:val="center"/>
          </w:tcPr>
          <w:p w14:paraId="6995F7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灯光电缆</w:t>
            </w:r>
          </w:p>
        </w:tc>
        <w:tc>
          <w:tcPr>
            <w:tcW w:w="2898" w:type="pct"/>
            <w:noWrap w:val="0"/>
            <w:vAlign w:val="center"/>
          </w:tcPr>
          <w:p w14:paraId="2B2A7D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阻燃国标2X2.5平方毫米78/0.2BS电源控制线 OD:9.5mm</w:t>
            </w:r>
          </w:p>
        </w:tc>
        <w:tc>
          <w:tcPr>
            <w:tcW w:w="467" w:type="pct"/>
            <w:noWrap w:val="0"/>
            <w:vAlign w:val="center"/>
          </w:tcPr>
          <w:p w14:paraId="2E977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米</w:t>
            </w:r>
          </w:p>
        </w:tc>
        <w:tc>
          <w:tcPr>
            <w:tcW w:w="408" w:type="pct"/>
            <w:noWrap w:val="0"/>
            <w:vAlign w:val="center"/>
          </w:tcPr>
          <w:p w14:paraId="3FEA8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400</w:t>
            </w:r>
          </w:p>
        </w:tc>
      </w:tr>
      <w:tr w14:paraId="1B0B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4565F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22</w:t>
            </w:r>
          </w:p>
        </w:tc>
        <w:tc>
          <w:tcPr>
            <w:tcW w:w="760" w:type="pct"/>
            <w:noWrap w:val="0"/>
            <w:vAlign w:val="center"/>
          </w:tcPr>
          <w:p w14:paraId="735A26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信号电缆</w:t>
            </w:r>
          </w:p>
        </w:tc>
        <w:tc>
          <w:tcPr>
            <w:tcW w:w="2898" w:type="pct"/>
            <w:noWrap w:val="0"/>
            <w:vAlign w:val="center"/>
          </w:tcPr>
          <w:p w14:paraId="7089B4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话筒线40/0.10BS+1#铜箔丝编织128/0.10BCOD:6.2</w:t>
            </w:r>
          </w:p>
        </w:tc>
        <w:tc>
          <w:tcPr>
            <w:tcW w:w="467" w:type="pct"/>
            <w:noWrap w:val="0"/>
            <w:vAlign w:val="center"/>
          </w:tcPr>
          <w:p w14:paraId="352068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米</w:t>
            </w:r>
          </w:p>
        </w:tc>
        <w:tc>
          <w:tcPr>
            <w:tcW w:w="408" w:type="pct"/>
            <w:noWrap w:val="0"/>
            <w:vAlign w:val="center"/>
          </w:tcPr>
          <w:p w14:paraId="72ABB7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400</w:t>
            </w:r>
          </w:p>
        </w:tc>
      </w:tr>
      <w:tr w14:paraId="34010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27C576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23</w:t>
            </w:r>
          </w:p>
        </w:tc>
        <w:tc>
          <w:tcPr>
            <w:tcW w:w="760" w:type="pct"/>
            <w:noWrap w:val="0"/>
            <w:vAlign w:val="center"/>
          </w:tcPr>
          <w:p w14:paraId="0928FB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安装辅材</w:t>
            </w:r>
          </w:p>
        </w:tc>
        <w:tc>
          <w:tcPr>
            <w:tcW w:w="2898" w:type="pct"/>
            <w:noWrap w:val="0"/>
            <w:vAlign w:val="center"/>
          </w:tcPr>
          <w:p w14:paraId="0E29D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膨胀螺丝、焊条、焊丝、平垫、弹垫、角磨机片、喷涂油漆、线卡、扎带、卡侬公头、卡侬母头、钻头、开孔器、手套、记号笔、音响挂件等五金配件</w:t>
            </w:r>
          </w:p>
        </w:tc>
        <w:tc>
          <w:tcPr>
            <w:tcW w:w="467" w:type="pct"/>
            <w:noWrap w:val="0"/>
            <w:vAlign w:val="center"/>
          </w:tcPr>
          <w:p w14:paraId="6CD0B1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批</w:t>
            </w:r>
          </w:p>
        </w:tc>
        <w:tc>
          <w:tcPr>
            <w:tcW w:w="408" w:type="pct"/>
            <w:noWrap w:val="0"/>
            <w:vAlign w:val="center"/>
          </w:tcPr>
          <w:p w14:paraId="5C687E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bookmarkEnd w:id="6"/>
      <w:bookmarkEnd w:id="7"/>
    </w:tbl>
    <w:p w14:paraId="42D4BD95">
      <w:pPr>
        <w:snapToGrid w:val="0"/>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注：1）投标人所报数量不能低于上述表格中列明的数量，否则按废标处理。</w:t>
      </w:r>
    </w:p>
    <w:p w14:paraId="1837FA6B">
      <w:pPr>
        <w:snapToGrid w:val="0"/>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2）如涉及中小企业声明函填报，应包含上述表格中1-2</w:t>
      </w:r>
      <w:r>
        <w:rPr>
          <w:rFonts w:ascii="仿宋" w:hAnsi="仿宋" w:eastAsia="仿宋" w:cs="仿宋"/>
          <w:b/>
          <w:bCs/>
          <w:color w:val="auto"/>
          <w:sz w:val="24"/>
          <w:highlight w:val="none"/>
        </w:rPr>
        <w:t>2</w:t>
      </w:r>
      <w:r>
        <w:rPr>
          <w:rFonts w:hint="eastAsia" w:ascii="仿宋" w:hAnsi="仿宋" w:eastAsia="仿宋" w:cs="仿宋"/>
          <w:b/>
          <w:bCs/>
          <w:color w:val="auto"/>
          <w:sz w:val="24"/>
          <w:highlight w:val="none"/>
        </w:rPr>
        <w:t>标的。</w:t>
      </w:r>
    </w:p>
    <w:p w14:paraId="4972B49F">
      <w:pPr>
        <w:spacing w:line="360" w:lineRule="auto"/>
        <w:ind w:firstLine="480" w:firstLineChars="200"/>
        <w:contextualSpacing/>
        <w:rPr>
          <w:rFonts w:ascii="仿宋" w:hAnsi="仿宋" w:eastAsia="仿宋" w:cs="仿宋"/>
          <w:bCs/>
          <w:color w:val="auto"/>
          <w:sz w:val="24"/>
          <w:highlight w:val="none"/>
        </w:rPr>
      </w:pPr>
    </w:p>
    <w:p w14:paraId="2E769D59">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2E415CD5">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第1包：</w:t>
      </w:r>
    </w:p>
    <w:p w14:paraId="1994663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1、本项目整体免费质保期为自项目验收之日起1年，免费质保期内所有的软件和硬件故障均由投标人负责解决，包括但不限于软件更新、硬件维修、硬件更换，直至项目内各系统和设备可以稳定运行。</w:t>
      </w:r>
    </w:p>
    <w:p w14:paraId="0555960D">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2、</w:t>
      </w:r>
      <w:r>
        <w:rPr>
          <w:rFonts w:hint="eastAsia" w:ascii="仿宋" w:hAnsi="仿宋" w:eastAsia="仿宋" w:cs="仿宋"/>
          <w:bCs/>
          <w:color w:val="auto"/>
          <w:sz w:val="24"/>
          <w:highlight w:val="none"/>
          <w:lang w:val="en-US" w:eastAsia="zh-CN"/>
        </w:rPr>
        <w:t>验收使用后</w:t>
      </w:r>
      <w:r>
        <w:rPr>
          <w:rFonts w:hint="eastAsia" w:ascii="仿宋" w:hAnsi="仿宋" w:eastAsia="仿宋" w:cs="仿宋"/>
          <w:bCs/>
          <w:color w:val="auto"/>
          <w:sz w:val="24"/>
          <w:highlight w:val="none"/>
        </w:rPr>
        <w:t>厂家不得加入维修密匙或免费提供。</w:t>
      </w:r>
    </w:p>
    <w:p w14:paraId="26D768A6">
      <w:pPr>
        <w:pStyle w:val="2"/>
        <w:rPr>
          <w:rFonts w:hint="eastAsia"/>
          <w:color w:val="auto"/>
          <w:highlight w:val="none"/>
        </w:rPr>
      </w:pPr>
    </w:p>
    <w:p w14:paraId="1087558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、为落实政府采购政策需满足的要求；</w:t>
      </w:r>
    </w:p>
    <w:p w14:paraId="422B507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1AA62B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329A2F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F569A0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DC9DC3E">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E3F17A2">
      <w:pPr>
        <w:snapToGrid w:val="0"/>
        <w:spacing w:line="360" w:lineRule="auto"/>
        <w:ind w:firstLine="480" w:firstLineChars="200"/>
        <w:rPr>
          <w:rFonts w:ascii="仿宋" w:hAnsi="仿宋" w:eastAsia="仿宋" w:cs="仿宋"/>
          <w:bCs/>
          <w:color w:val="auto"/>
          <w:sz w:val="24"/>
          <w:highlight w:val="none"/>
        </w:rPr>
      </w:pPr>
      <w:bookmarkStart w:id="9" w:name="OLE_LINK113"/>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0" w:name="OLE_LINK55"/>
      <w:bookmarkStart w:id="11" w:name="OLE_LINK56"/>
      <w:r>
        <w:rPr>
          <w:rFonts w:hint="eastAsia" w:ascii="仿宋" w:hAnsi="仿宋" w:eastAsia="仿宋" w:cs="仿宋"/>
          <w:b/>
          <w:bCs/>
          <w:color w:val="auto"/>
          <w:sz w:val="24"/>
          <w:highlight w:val="none"/>
        </w:rPr>
        <w:t>投标人</w:t>
      </w:r>
      <w:bookmarkEnd w:id="10"/>
      <w:bookmarkEnd w:id="1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9"/>
    </w:p>
    <w:p w14:paraId="4B1C4C9A">
      <w:pPr>
        <w:pStyle w:val="7"/>
        <w:rPr>
          <w:color w:val="auto"/>
          <w:highlight w:val="none"/>
        </w:rPr>
      </w:pPr>
    </w:p>
    <w:p w14:paraId="633003FF">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、采购标的的其他技术、服务等要求；</w:t>
      </w:r>
    </w:p>
    <w:p w14:paraId="3D7823E1">
      <w:pPr>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4</w:t>
      </w:r>
      <w:r>
        <w:rPr>
          <w:rFonts w:hint="eastAsia" w:ascii="仿宋" w:hAnsi="仿宋" w:eastAsia="仿宋" w:cs="仿宋"/>
          <w:b/>
          <w:bCs w:val="0"/>
          <w:color w:val="auto"/>
          <w:sz w:val="24"/>
          <w:szCs w:val="24"/>
          <w:highlight w:val="none"/>
        </w:rPr>
        <w:t>.1、供货、安装</w:t>
      </w:r>
      <w:r>
        <w:rPr>
          <w:rFonts w:hint="eastAsia" w:ascii="仿宋" w:hAnsi="仿宋" w:eastAsia="仿宋" w:cs="仿宋"/>
          <w:b/>
          <w:bCs w:val="0"/>
          <w:color w:val="auto"/>
          <w:sz w:val="24"/>
          <w:szCs w:val="24"/>
          <w:highlight w:val="none"/>
          <w:lang w:val="en-US" w:eastAsia="zh-CN"/>
        </w:rPr>
        <w:t>调试</w:t>
      </w:r>
      <w:r>
        <w:rPr>
          <w:rFonts w:hint="eastAsia" w:ascii="仿宋" w:hAnsi="仿宋" w:eastAsia="仿宋" w:cs="仿宋"/>
          <w:b/>
          <w:bCs w:val="0"/>
          <w:color w:val="auto"/>
          <w:sz w:val="24"/>
          <w:szCs w:val="24"/>
          <w:highlight w:val="none"/>
        </w:rPr>
        <w:t>要求：</w:t>
      </w:r>
    </w:p>
    <w:p w14:paraId="477BD533">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.1.1、投标人需提供针对本项目的供货方案和安装</w:t>
      </w:r>
      <w:r>
        <w:rPr>
          <w:rFonts w:hint="eastAsia" w:ascii="仿宋" w:hAnsi="仿宋" w:eastAsia="仿宋" w:cs="仿宋"/>
          <w:bCs/>
          <w:color w:val="auto"/>
          <w:sz w:val="24"/>
          <w:szCs w:val="24"/>
          <w:highlight w:val="none"/>
          <w:lang w:val="en-US" w:eastAsia="zh-CN"/>
        </w:rPr>
        <w:t>调试</w:t>
      </w:r>
      <w:r>
        <w:rPr>
          <w:rFonts w:hint="eastAsia" w:ascii="仿宋" w:hAnsi="仿宋" w:eastAsia="仿宋" w:cs="仿宋"/>
          <w:bCs/>
          <w:color w:val="auto"/>
          <w:sz w:val="24"/>
          <w:szCs w:val="24"/>
          <w:highlight w:val="none"/>
        </w:rPr>
        <w:t>方案，同时严格按照采购人及合同要求的工期完成安装调试工作。</w:t>
      </w:r>
    </w:p>
    <w:p w14:paraId="2E8E1EAD">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.1.2、到货后厂家需在15日之内安排工程师完成安装任务。安装内容包括：根据采购人提供的图纸对设备所需线缆敷设，设备安装及调试。对设备的使用和维护进行现场培训，确保使用者的正常操作和使用。</w:t>
      </w:r>
    </w:p>
    <w:p w14:paraId="0C5CF1E5">
      <w:pPr>
        <w:pStyle w:val="7"/>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.1.3、投标人应当做好安全管理工作，负责货物安装及施工现场的安全。</w:t>
      </w:r>
    </w:p>
    <w:p w14:paraId="37D8CA35">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.1.4、投标人必须保证提供的货物是全新的未经使用的产品，投标人必须提供满足技术要求的设备。投标人免费提供全套、完整的中文书面技术资料，包括操作手册等。</w:t>
      </w:r>
    </w:p>
    <w:p w14:paraId="610DEF78">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.1.5、投标人负责货物的运输及全部保险，包括但不限于购买或者要求承运人购买货运保险及其他第三者责任险，并对其在项目现场提供服务、培训的人员进行保险。运输费和保险费包含在合同总价款中。</w:t>
      </w:r>
    </w:p>
    <w:p w14:paraId="5C71774D">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.1.6、投标人所提供的部件之间及设备之间的连线或接插件均视为设备内部部件，应包含在相应的配置中。</w:t>
      </w:r>
    </w:p>
    <w:p w14:paraId="04CD0A73">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.1.7、工作条件：除了在技术规格中另有规定外，投标人提供的一切仪器、设备和系统，应符合下列条件：</w:t>
      </w:r>
    </w:p>
    <w:p w14:paraId="4B26C667">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1）仪器设备的插头要符合中国国家标准。如不符合，则应提供适合仪器插头的插座，必须要有接地。</w:t>
      </w:r>
    </w:p>
    <w:p w14:paraId="55BCE1BC">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2）如果仪器设备需特殊的工作条件（如：水、电源、磁场强度、特殊温度、湿度、震动强度等），投标人应在有关投标文件中加以说明。</w:t>
      </w:r>
    </w:p>
    <w:p w14:paraId="38925200">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b/>
          <w:bCs/>
          <w:color w:val="auto"/>
          <w:kern w:val="2"/>
          <w:sz w:val="24"/>
          <w:szCs w:val="24"/>
          <w:highlight w:val="none"/>
          <w:lang w:val="en-US" w:eastAsia="zh-CN" w:bidi="ar-SA"/>
        </w:rPr>
      </w:pPr>
      <w:r>
        <w:rPr>
          <w:rFonts w:hint="eastAsia" w:cs="仿宋"/>
          <w:b/>
          <w:bCs/>
          <w:color w:val="auto"/>
          <w:kern w:val="2"/>
          <w:sz w:val="24"/>
          <w:szCs w:val="24"/>
          <w:highlight w:val="none"/>
          <w:lang w:val="en-US" w:eastAsia="zh-CN" w:bidi="ar-SA"/>
        </w:rPr>
        <w:t>4</w:t>
      </w:r>
      <w:r>
        <w:rPr>
          <w:rFonts w:hint="eastAsia" w:ascii="仿宋" w:hAnsi="仿宋" w:eastAsia="仿宋" w:cs="仿宋"/>
          <w:b/>
          <w:bCs/>
          <w:color w:val="auto"/>
          <w:kern w:val="2"/>
          <w:sz w:val="24"/>
          <w:szCs w:val="24"/>
          <w:highlight w:val="none"/>
          <w:lang w:val="en-US" w:eastAsia="zh-CN" w:bidi="ar-SA"/>
        </w:rPr>
        <w:t>.2、售后服务方案及应急服务方案</w:t>
      </w:r>
    </w:p>
    <w:p w14:paraId="3C469AC3">
      <w:pPr>
        <w:pStyle w:val="7"/>
        <w:keepNext w:val="0"/>
        <w:keepLines w:val="0"/>
        <w:pageBreakBefore w:val="0"/>
        <w:widowControl w:val="0"/>
        <w:kinsoku/>
        <w:wordWrap/>
        <w:overflowPunct/>
        <w:topLinePunct w:val="0"/>
        <w:bidi w:val="0"/>
        <w:snapToGrid/>
        <w:spacing w:line="360" w:lineRule="auto"/>
        <w:ind w:left="0" w:leftChars="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投标人须针对本项目所有设备、控制系统、配套辅材提供完善、稳定、规范的售后服务体系，全程保障设备安全、稳定、长效运行，具体要求如下：</w:t>
      </w:r>
    </w:p>
    <w:p w14:paraId="5F9071A8">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4.2.1、质保期服务要求</w:t>
      </w:r>
    </w:p>
    <w:p w14:paraId="339C503C">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所有设备整体质保期不少于招标文件约定年限，质保期自项目整体竣工验收合格之日起计算。质保期内，所有设备出现质量问题、运行故障、零部件损坏、功能异常等情况，投标人须免费维修、免费更换零部件、免费调试恢复，不得收取任何人工费、材料费、差旅费。</w:t>
      </w:r>
    </w:p>
    <w:p w14:paraId="3902B0B1">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4.2.2、技术支持服务</w:t>
      </w:r>
    </w:p>
    <w:p w14:paraId="63F53C52">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项目交付使用后，投标人须提供7×24小时远程技术咨询服务，随时解答使用方设备操作、日常保养、简单故障排查等技术问题，保障设备日常正常使用。</w:t>
      </w:r>
    </w:p>
    <w:p w14:paraId="3E9134CE">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4.2.3、备品备件保障</w:t>
      </w:r>
    </w:p>
    <w:p w14:paraId="47A9D305">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投标人须承诺本项目所有设备核心配件、易损件长期库存保障，质保期内外均可及时提供原厂配套备件，确保设备长期可维修、可替换、不停机运行。</w:t>
      </w:r>
    </w:p>
    <w:p w14:paraId="183322A0">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4.2.4、终身维护服务</w:t>
      </w:r>
    </w:p>
    <w:p w14:paraId="68802F27">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质保期满后，投标人须提供终身成本价维护服务，仅收取合理材料成本及人工成本，不得高于市场行情价格，保障采购人后期运维成本可控。</w:t>
      </w:r>
    </w:p>
    <w:p w14:paraId="294F1EC1">
      <w:pPr>
        <w:pStyle w:val="24"/>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4.3、应急服务保障要求</w:t>
      </w:r>
    </w:p>
    <w:p w14:paraId="0C86AD4D">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为保障采购人演出、活动投标人须建立完善的突发故障应急处置机制，具体应急服务要求如下：</w:t>
      </w:r>
    </w:p>
    <w:p w14:paraId="3127E6CE">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4.3.1、故障响应时效</w:t>
      </w:r>
    </w:p>
    <w:p w14:paraId="56BEDD34">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设备出现任何运行故障、卡滞、异响、报警、限位失效、制动异常、控制系统故障等问题，投标人需：</w:t>
      </w:r>
    </w:p>
    <w:p w14:paraId="6783FA76">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4.3.1.1、10分钟内远程响应，指导现场排查处置；</w:t>
      </w:r>
    </w:p>
    <w:p w14:paraId="614E9924">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4.3.1.2、市区2小时、周边4小时内到场应急抢修；</w:t>
      </w:r>
    </w:p>
    <w:p w14:paraId="5346E002">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4.3.1.3、重大活动、演出紧急故障优先处置、优先到场。</w:t>
      </w:r>
    </w:p>
    <w:p w14:paraId="5C6B087C">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4.3.2、重大活动保障服务</w:t>
      </w:r>
    </w:p>
    <w:p w14:paraId="0771945E">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采购人如有重大演出、大型会议、重要活动，可提前通知投标人，投标人须免费提供驻场技术保障服务，安排专业舞台技术人员现场值守，全程监护设备运行，随时处置突发问题，确保活动顺利完成。</w:t>
      </w:r>
    </w:p>
    <w:p w14:paraId="4495DDC4">
      <w:pPr>
        <w:pStyle w:val="24"/>
        <w:keepNext w:val="0"/>
        <w:keepLines w:val="0"/>
        <w:pageBreakBefore w:val="0"/>
        <w:widowControl w:val="0"/>
        <w:kinsoku/>
        <w:wordWrap/>
        <w:overflowPunct/>
        <w:topLinePunct w:val="0"/>
        <w:bidi w:val="0"/>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4.3.3、故障处置标准 </w:t>
      </w:r>
    </w:p>
    <w:p w14:paraId="67590E8D">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到场后须第一时间排查故障原因、排除设备隐患、恢复设备正常性能；无法当场修复的，须提供临时应急解决方案，最大限度降低设备停用影响，事后出具完整故障分析报告、整改报告。</w:t>
      </w:r>
    </w:p>
    <w:p w14:paraId="13FAB3C5">
      <w:pPr>
        <w:pStyle w:val="24"/>
        <w:keepNext w:val="0"/>
        <w:keepLines w:val="0"/>
        <w:pageBreakBefore w:val="0"/>
        <w:widowControl w:val="0"/>
        <w:kinsoku/>
        <w:wordWrap/>
        <w:overflowPunct/>
        <w:topLinePunct w:val="0"/>
        <w:bidi w:val="0"/>
        <w:snapToGrid/>
        <w:spacing w:line="360" w:lineRule="auto"/>
        <w:ind w:firstLine="241" w:firstLineChars="1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val="en-US" w:eastAsia="zh-CN"/>
        </w:rPr>
        <w:t>4.4</w:t>
      </w:r>
      <w:r>
        <w:rPr>
          <w:rFonts w:hint="eastAsia" w:ascii="仿宋" w:hAnsi="仿宋" w:eastAsia="仿宋" w:cs="仿宋"/>
          <w:b/>
          <w:bCs/>
          <w:color w:val="auto"/>
          <w:sz w:val="24"/>
          <w:szCs w:val="24"/>
          <w:highlight w:val="none"/>
        </w:rPr>
        <w:t>、培训要求：</w:t>
      </w:r>
    </w:p>
    <w:p w14:paraId="0627F0E8">
      <w:pPr>
        <w:pStyle w:val="7"/>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532F547C">
      <w:pPr>
        <w:keepNext w:val="0"/>
        <w:keepLines w:val="0"/>
        <w:pageBreakBefore w:val="0"/>
        <w:widowControl w:val="0"/>
        <w:kinsoku/>
        <w:wordWrap/>
        <w:overflowPunct/>
        <w:topLinePunct w:val="0"/>
        <w:bidi w:val="0"/>
        <w:snapToGrid/>
        <w:spacing w:line="360" w:lineRule="auto"/>
        <w:contextualSpacing/>
        <w:textAlignment w:val="auto"/>
        <w:rPr>
          <w:rFonts w:hint="eastAsia" w:ascii="仿宋" w:hAnsi="仿宋" w:eastAsia="仿宋" w:cs="仿宋"/>
          <w:bCs/>
          <w:color w:val="auto"/>
          <w:sz w:val="24"/>
          <w:szCs w:val="24"/>
          <w:highlight w:val="none"/>
        </w:rPr>
      </w:pPr>
    </w:p>
    <w:p w14:paraId="60156EE6">
      <w:pPr>
        <w:keepNext w:val="0"/>
        <w:keepLines w:val="0"/>
        <w:pageBreakBefore w:val="0"/>
        <w:widowControl w:val="0"/>
        <w:kinsoku/>
        <w:wordWrap/>
        <w:overflowPunct/>
        <w:topLinePunct w:val="0"/>
        <w:bidi w:val="0"/>
        <w:snapToGrid/>
        <w:spacing w:line="360" w:lineRule="auto"/>
        <w:ind w:firstLine="482" w:firstLineChars="200"/>
        <w:contextualSpacing/>
        <w:textAlignment w:val="auto"/>
        <w:rPr>
          <w:rFonts w:hint="eastAsia" w:ascii="仿宋" w:hAnsi="仿宋" w:eastAsia="仿宋" w:cs="仿宋"/>
          <w:b/>
          <w:bCs w:val="0"/>
          <w:color w:val="auto"/>
          <w:sz w:val="24"/>
          <w:szCs w:val="24"/>
          <w:highlight w:val="none"/>
          <w:lang w:eastAsia="zh-CN"/>
        </w:rPr>
      </w:pPr>
      <w:r>
        <w:rPr>
          <w:rFonts w:hint="eastAsia" w:ascii="仿宋" w:hAnsi="仿宋" w:eastAsia="仿宋" w:cs="仿宋"/>
          <w:b/>
          <w:bCs w:val="0"/>
          <w:color w:val="auto"/>
          <w:sz w:val="24"/>
          <w:szCs w:val="24"/>
          <w:highlight w:val="none"/>
          <w:lang w:val="en-US" w:eastAsia="zh-CN"/>
        </w:rPr>
        <w:t>5</w:t>
      </w:r>
      <w:r>
        <w:rPr>
          <w:rFonts w:hint="eastAsia" w:ascii="仿宋" w:hAnsi="仿宋" w:eastAsia="仿宋" w:cs="仿宋"/>
          <w:b/>
          <w:bCs w:val="0"/>
          <w:color w:val="auto"/>
          <w:sz w:val="24"/>
          <w:szCs w:val="24"/>
          <w:highlight w:val="none"/>
        </w:rPr>
        <w:t>、需由投标人提供设计方案、解决方案或者组织方案的采购项目。应当说明采购标的的功能、应用场景、目标等基本要求</w:t>
      </w:r>
      <w:r>
        <w:rPr>
          <w:rFonts w:hint="eastAsia" w:ascii="仿宋" w:hAnsi="仿宋" w:eastAsia="仿宋" w:cs="仿宋"/>
          <w:b/>
          <w:bCs w:val="0"/>
          <w:color w:val="auto"/>
          <w:sz w:val="24"/>
          <w:szCs w:val="24"/>
          <w:highlight w:val="none"/>
          <w:lang w:eastAsia="zh-CN"/>
        </w:rPr>
        <w:t>。</w:t>
      </w:r>
    </w:p>
    <w:p w14:paraId="0E1CEAF9">
      <w:pPr>
        <w:pStyle w:val="7"/>
        <w:rPr>
          <w:rFonts w:cs="仿宋"/>
          <w:color w:val="auto"/>
          <w:highlight w:val="none"/>
        </w:rPr>
      </w:pPr>
    </w:p>
    <w:p w14:paraId="63AA8C67">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3D26CD13">
      <w:pPr>
        <w:numPr>
          <w:ilvl w:val="0"/>
          <w:numId w:val="0"/>
        </w:num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第1包：</w:t>
      </w:r>
    </w:p>
    <w:p w14:paraId="13D2248B">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《扩声、会议系统安装工程施工及验收规范》GY5055-2008; 《厅堂扩声系统设计规范》GB/T50371-2006</w:t>
      </w:r>
      <w:r>
        <w:rPr>
          <w:rStyle w:val="72"/>
          <w:rFonts w:hint="eastAsia" w:ascii="仿宋" w:hAnsi="仿宋" w:eastAsia="仿宋" w:cs="仿宋"/>
          <w:color w:val="auto"/>
          <w:sz w:val="24"/>
          <w:szCs w:val="24"/>
          <w:highlight w:val="none"/>
        </w:rPr>
        <w:t>（2024版）</w:t>
      </w:r>
      <w:r>
        <w:rPr>
          <w:rFonts w:hint="eastAsia" w:ascii="仿宋" w:hAnsi="仿宋" w:eastAsia="仿宋" w:cs="仿宋"/>
          <w:color w:val="auto"/>
          <w:highlight w:val="none"/>
        </w:rPr>
        <w:t>。</w:t>
      </w:r>
    </w:p>
    <w:p w14:paraId="704D9D8E">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外观安装验收</w:t>
      </w:r>
    </w:p>
    <w:p w14:paraId="427A40E3">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所有设备接插件安装牢固、平整、规范；走线横平竖直，标识清晰，无破损、无裸露、无虚接，符合弱电施工工艺标准。</w:t>
      </w:r>
    </w:p>
    <w:p w14:paraId="30C7909E">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功能验收</w:t>
      </w:r>
    </w:p>
    <w:p w14:paraId="13D79EF3">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全系统通电正常、启动稳定、无断音、无干扰；</w:t>
      </w:r>
    </w:p>
    <w:p w14:paraId="17A5EAE9">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稳定性验收</w:t>
      </w:r>
    </w:p>
    <w:p w14:paraId="3C9C637B">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系统连续通电运行无死机、无重启、无故障报警；长时间工作温度正常、设备稳定，满足日常高频使用。</w:t>
      </w:r>
    </w:p>
    <w:p w14:paraId="7051B09C">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安全验收</w:t>
      </w:r>
    </w:p>
    <w:p w14:paraId="4422F82B">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接地规范、绝缘达标、线路安全、设备防护到位，无安全隐患，符合电气安全验收标准。</w:t>
      </w:r>
    </w:p>
    <w:p w14:paraId="5184514D">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5、竣工交付文档资料要求（完全按照业主要求细化、写全）</w:t>
      </w:r>
    </w:p>
    <w:p w14:paraId="7689B591">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投标人项目竣工验收前，必须向甲方完整提交全套竣工资料，资料齐全包含但不限于以下全部内容：</w:t>
      </w:r>
    </w:p>
    <w:p w14:paraId="4E21BD79">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（1）设备技术文件</w:t>
      </w:r>
    </w:p>
    <w:p w14:paraId="2B3B66D5">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全套设备技术说明书、原厂参数手册、设备原理图、系统拓扑图。</w:t>
      </w:r>
    </w:p>
    <w:p w14:paraId="1CCC8B6A">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（2）操作使用资料</w:t>
      </w:r>
    </w:p>
    <w:p w14:paraId="61BBCF30">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全套设备操作说明书、系统操作手册、日常使用操作规程、快捷键操作说明、简易故障自查手册。</w:t>
      </w:r>
    </w:p>
    <w:p w14:paraId="6D2414D5">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（3）培训资料</w:t>
      </w:r>
    </w:p>
    <w:p w14:paraId="67468027">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完整成套现场培训课件、培训大纲、操作实操教材、运维保养手册，满足甲方操作人员、管理人员长期学习使用。</w:t>
      </w:r>
    </w:p>
    <w:p w14:paraId="3F8528BB">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（4）项目全过程管理文档</w:t>
      </w:r>
    </w:p>
    <w:p w14:paraId="32649815">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项目实施方案、施工组织方案、设备进场报验资料、材料合格证、检测报告、设备出厂资料、隐蔽工程记录、调试记录、巡检记录、整改记录等全过程项目管理资料。</w:t>
      </w:r>
    </w:p>
    <w:p w14:paraId="2D601ABC">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（5）项目总结报告</w:t>
      </w:r>
    </w:p>
    <w:p w14:paraId="62C3175A">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必须单独出具本项目实施总结报告，包含项目概况、实施流程、设备清单、调试情况、指标达标情况、问题处理、最终验收结论、后期运维建议等完整内容。</w:t>
      </w:r>
    </w:p>
    <w:p w14:paraId="02DC9897">
      <w:pPr>
        <w:pStyle w:val="7"/>
        <w:spacing w:line="360" w:lineRule="auto"/>
        <w:ind w:firstLine="0"/>
        <w:jc w:val="both"/>
        <w:rPr>
          <w:rFonts w:hint="eastAsia" w:ascii="仿宋" w:hAnsi="仿宋" w:eastAsia="仿宋" w:cs="仿宋"/>
          <w:color w:val="auto"/>
          <w:highlight w:val="none"/>
        </w:rPr>
      </w:pPr>
    </w:p>
    <w:p w14:paraId="5556E9CD">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（6）最终验收结论</w:t>
      </w:r>
    </w:p>
    <w:p w14:paraId="1C0E32AD">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所有设备安装、系统调试、施工质量、资料归档全部达标，方可视为项目验收合格，准予竣工交付。</w:t>
      </w:r>
    </w:p>
    <w:p w14:paraId="699B3604">
      <w:pPr>
        <w:numPr>
          <w:ilvl w:val="0"/>
          <w:numId w:val="0"/>
        </w:numPr>
        <w:spacing w:line="360" w:lineRule="auto"/>
        <w:ind w:firstLine="482" w:firstLineChars="200"/>
        <w:contextualSpacing/>
        <w:rPr>
          <w:rFonts w:hint="eastAsia" w:ascii="仿宋" w:hAnsi="仿宋" w:eastAsia="仿宋" w:cs="仿宋"/>
          <w:b/>
          <w:bCs/>
          <w:color w:val="auto"/>
          <w:sz w:val="24"/>
          <w:highlight w:val="none"/>
        </w:rPr>
      </w:pPr>
    </w:p>
    <w:p w14:paraId="6BECCCDA">
      <w:pPr>
        <w:numPr>
          <w:ilvl w:val="0"/>
          <w:numId w:val="0"/>
        </w:num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3853A0B4">
      <w:pPr>
        <w:numPr>
          <w:ilvl w:val="0"/>
          <w:numId w:val="0"/>
        </w:numPr>
        <w:spacing w:line="360" w:lineRule="auto"/>
        <w:ind w:firstLine="480" w:firstLineChars="200"/>
        <w:contextualSpacing/>
        <w:rPr>
          <w:rFonts w:hint="default"/>
          <w:b/>
          <w:bCs/>
          <w:sz w:val="28"/>
          <w:szCs w:val="24"/>
          <w:lang w:val="en-US" w:eastAsia="zh-CN"/>
        </w:rPr>
      </w:pPr>
      <w:r>
        <w:rPr>
          <w:rFonts w:hint="eastAsia" w:ascii="仿宋" w:hAnsi="仿宋" w:eastAsia="仿宋" w:cs="仿宋"/>
          <w:bCs/>
          <w:color w:val="auto"/>
          <w:sz w:val="24"/>
          <w:highlight w:val="none"/>
        </w:rPr>
        <w:t>无。</w:t>
      </w:r>
      <w:bookmarkStart w:id="12" w:name="_GoBack"/>
      <w:bookmarkEnd w:id="12"/>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方正仿宋_GB2312">
    <w:altName w:val="仿宋"/>
    <w:panose1 w:val="00000000000000000000"/>
    <w:charset w:val="00"/>
    <w:family w:val="auto"/>
    <w:pitch w:val="default"/>
    <w:sig w:usb0="00000000" w:usb1="00000000" w:usb2="00000000" w:usb3="00000000" w:csb0="00040001" w:csb1="00000000"/>
  </w:font>
  <w:font w:name="方正仿宋_GB18030">
    <w:altName w:val="仿宋"/>
    <w:panose1 w:val="00000000000000000000"/>
    <w:charset w:val="86"/>
    <w:family w:val="auto"/>
    <w:pitch w:val="default"/>
    <w:sig w:usb0="00000000" w:usb1="00000000" w:usb2="00000010" w:usb3="00000000" w:csb0="00040000" w:csb1="00000000"/>
  </w:font>
  <w:font w:name="KSOFE8852770">
    <w:panose1 w:val="02010609060101010101"/>
    <w:charset w:val="86"/>
    <w:family w:val="auto"/>
    <w:pitch w:val="default"/>
    <w:sig w:usb0="00000001" w:usb1="00000000" w:usb2="00000000" w:usb3="00000000" w:csb0="00040001" w:csb1="00000000"/>
  </w:font>
  <w:font w:name="KSOFE9FE97F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8"/>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8"/>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16147"/>
    <w:multiLevelType w:val="singleLevel"/>
    <w:tmpl w:val="B2E16147"/>
    <w:lvl w:ilvl="0" w:tentative="0">
      <w:start w:val="1"/>
      <w:numFmt w:val="chineseCounting"/>
      <w:pStyle w:val="18"/>
      <w:suff w:val="nothing"/>
      <w:lvlText w:val="（%1）"/>
      <w:lvlJc w:val="left"/>
      <w:pPr>
        <w:ind w:left="0" w:firstLine="420"/>
      </w:pPr>
      <w:rPr>
        <w:rFonts w:hint="eastAsia"/>
        <w:sz w:val="20"/>
        <w:szCs w:val="20"/>
      </w:rPr>
    </w:lvl>
  </w:abstractNum>
  <w:abstractNum w:abstractNumId="1">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2">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6">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1">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5">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6">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7E478B8"/>
    <w:multiLevelType w:val="multilevel"/>
    <w:tmpl w:val="07E478B8"/>
    <w:lvl w:ilvl="0" w:tentative="0">
      <w:start w:val="1"/>
      <w:numFmt w:val="decimal"/>
      <w:pStyle w:val="32"/>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9">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55E6A8F"/>
    <w:multiLevelType w:val="multilevel"/>
    <w:tmpl w:val="155E6A8F"/>
    <w:lvl w:ilvl="0" w:tentative="0">
      <w:start w:val="1"/>
      <w:numFmt w:val="decimal"/>
      <w:pStyle w:val="29"/>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3">
    <w:nsid w:val="169815A9"/>
    <w:multiLevelType w:val="singleLevel"/>
    <w:tmpl w:val="169815A9"/>
    <w:lvl w:ilvl="0" w:tentative="0">
      <w:start w:val="2"/>
      <w:numFmt w:val="decimal"/>
      <w:suff w:val="nothing"/>
      <w:lvlText w:val="%1、"/>
      <w:lvlJc w:val="left"/>
    </w:lvl>
  </w:abstractNum>
  <w:abstractNum w:abstractNumId="24">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5">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6">
    <w:nsid w:val="22F1D15C"/>
    <w:multiLevelType w:val="singleLevel"/>
    <w:tmpl w:val="22F1D15C"/>
    <w:lvl w:ilvl="0" w:tentative="0">
      <w:start w:val="1"/>
      <w:numFmt w:val="chineseCounting"/>
      <w:pStyle w:val="20"/>
      <w:suff w:val="nothing"/>
      <w:lvlText w:val="（%1）"/>
      <w:lvlJc w:val="left"/>
      <w:pPr>
        <w:ind w:left="0" w:firstLine="420"/>
      </w:pPr>
      <w:rPr>
        <w:rFonts w:hint="eastAsia"/>
        <w:sz w:val="20"/>
        <w:szCs w:val="20"/>
      </w:rPr>
    </w:lvl>
  </w:abstractNum>
  <w:abstractNum w:abstractNumId="27">
    <w:nsid w:val="28A03C5E"/>
    <w:multiLevelType w:val="multilevel"/>
    <w:tmpl w:val="28A03C5E"/>
    <w:lvl w:ilvl="0" w:tentative="0">
      <w:start w:val="1"/>
      <w:numFmt w:val="decimal"/>
      <w:pStyle w:val="21"/>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1">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2">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3">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8">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0">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1">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2">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6">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7">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8">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9">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0">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1">
    <w:nsid w:val="5BAAED2F"/>
    <w:multiLevelType w:val="singleLevel"/>
    <w:tmpl w:val="5BAAED2F"/>
    <w:lvl w:ilvl="0" w:tentative="0">
      <w:start w:val="1"/>
      <w:numFmt w:val="chineseCounting"/>
      <w:pStyle w:val="16"/>
      <w:suff w:val="nothing"/>
      <w:lvlText w:val="（%1）"/>
      <w:lvlJc w:val="left"/>
      <w:pPr>
        <w:ind w:left="0" w:firstLine="420"/>
      </w:pPr>
      <w:rPr>
        <w:rFonts w:hint="eastAsia"/>
      </w:rPr>
    </w:lvl>
  </w:abstractNum>
  <w:abstractNum w:abstractNumId="52">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539752F"/>
    <w:multiLevelType w:val="multilevel"/>
    <w:tmpl w:val="6539752F"/>
    <w:lvl w:ilvl="0" w:tentative="0">
      <w:start w:val="1"/>
      <w:numFmt w:val="decimal"/>
      <w:pStyle w:val="27"/>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6">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7">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59">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0">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1">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2">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1"/>
  </w:num>
  <w:num w:numId="2">
    <w:abstractNumId w:val="0"/>
  </w:num>
  <w:num w:numId="3">
    <w:abstractNumId w:val="26"/>
  </w:num>
  <w:num w:numId="4">
    <w:abstractNumId w:val="27"/>
  </w:num>
  <w:num w:numId="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8"/>
  </w:num>
  <w:num w:numId="11">
    <w:abstractNumId w:val="3"/>
  </w:num>
  <w:num w:numId="12">
    <w:abstractNumId w:val="8"/>
  </w:num>
  <w:num w:numId="13">
    <w:abstractNumId w:val="4"/>
  </w:num>
  <w:num w:numId="14">
    <w:abstractNumId w:val="10"/>
  </w:num>
  <w:num w:numId="15">
    <w:abstractNumId w:val="30"/>
  </w:num>
  <w:num w:numId="16">
    <w:abstractNumId w:val="14"/>
  </w:num>
  <w:num w:numId="17">
    <w:abstractNumId w:val="19"/>
  </w:num>
  <w:num w:numId="18">
    <w:abstractNumId w:val="9"/>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8"/>
  </w:num>
  <w:num w:numId="28">
    <w:abstractNumId w:val="31"/>
  </w:num>
  <w:num w:numId="29">
    <w:abstractNumId w:val="1"/>
  </w:num>
  <w:num w:numId="30">
    <w:abstractNumId w:val="6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2"/>
  </w:num>
  <w:num w:numId="3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6"/>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47"/>
  </w:num>
  <w:num w:numId="47">
    <w:abstractNumId w:val="15"/>
  </w:num>
  <w:num w:numId="48">
    <w:abstractNumId w:val="57"/>
  </w:num>
  <w:num w:numId="49">
    <w:abstractNumId w:val="34"/>
  </w:num>
  <w:num w:numId="5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5"/>
  </w:num>
  <w:num w:numId="5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 w:numId="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11D94CCE"/>
    <w:rsid w:val="198F5295"/>
    <w:rsid w:val="44875A0E"/>
    <w:rsid w:val="5B511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5">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6">
    <w:name w:val="heading 2"/>
    <w:basedOn w:val="1"/>
    <w:next w:val="7"/>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8">
    <w:name w:val="heading 3"/>
    <w:basedOn w:val="1"/>
    <w:next w:val="7"/>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9">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10">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11">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2">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3">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4">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84"/>
    <w:unhideWhenUsed/>
    <w:qFormat/>
    <w:uiPriority w:val="0"/>
    <w:pPr>
      <w:ind w:firstLine="420" w:firstLineChars="200"/>
    </w:pPr>
    <w:rPr>
      <w:rFonts w:ascii="Calibri" w:hAnsi="Calibri" w:eastAsiaTheme="minorEastAsia" w:cstheme="minorBidi"/>
      <w:szCs w:val="22"/>
    </w:rPr>
  </w:style>
  <w:style w:type="paragraph" w:styleId="3">
    <w:name w:val="Body Text Indent"/>
    <w:basedOn w:val="1"/>
    <w:link w:val="85"/>
    <w:unhideWhenUsed/>
    <w:qFormat/>
    <w:uiPriority w:val="0"/>
    <w:pPr>
      <w:spacing w:after="120"/>
      <w:ind w:left="420" w:leftChars="200"/>
    </w:pPr>
  </w:style>
  <w:style w:type="paragraph" w:styleId="4">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7">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15">
    <w:name w:val="toc 7"/>
    <w:basedOn w:val="1"/>
    <w:next w:val="1"/>
    <w:qFormat/>
    <w:uiPriority w:val="1"/>
    <w:pPr>
      <w:ind w:left="2520" w:leftChars="1200"/>
    </w:pPr>
    <w:rPr>
      <w:rFonts w:ascii="Calibri" w:hAnsi="Calibri"/>
      <w:szCs w:val="24"/>
    </w:rPr>
  </w:style>
  <w:style w:type="paragraph" w:styleId="16">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7">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8">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9">
    <w:name w:val="caption"/>
    <w:basedOn w:val="1"/>
    <w:next w:val="1"/>
    <w:link w:val="997"/>
    <w:qFormat/>
    <w:uiPriority w:val="35"/>
    <w:pPr>
      <w:spacing w:line="480" w:lineRule="auto"/>
    </w:pPr>
    <w:rPr>
      <w:rFonts w:ascii="华文中宋" w:hAnsi="华文中宋" w:eastAsia="华文中宋"/>
      <w:sz w:val="36"/>
    </w:rPr>
  </w:style>
  <w:style w:type="paragraph" w:styleId="20">
    <w:name w:val="index 5"/>
    <w:basedOn w:val="1"/>
    <w:next w:val="1"/>
    <w:qFormat/>
    <w:uiPriority w:val="0"/>
    <w:pPr>
      <w:widowControl/>
      <w:numPr>
        <w:ilvl w:val="0"/>
        <w:numId w:val="3"/>
      </w:numPr>
      <w:ind w:left="800" w:leftChars="800" w:firstLine="0"/>
      <w:jc w:val="left"/>
    </w:pPr>
    <w:rPr>
      <w:szCs w:val="21"/>
    </w:rPr>
  </w:style>
  <w:style w:type="paragraph" w:styleId="21">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2">
    <w:name w:val="Document Map"/>
    <w:basedOn w:val="1"/>
    <w:link w:val="97"/>
    <w:qFormat/>
    <w:uiPriority w:val="0"/>
    <w:pPr>
      <w:shd w:val="clear" w:color="auto" w:fill="000080"/>
    </w:pPr>
    <w:rPr>
      <w:rFonts w:ascii="Calibri" w:hAnsi="Calibri"/>
      <w:szCs w:val="24"/>
    </w:rPr>
  </w:style>
  <w:style w:type="paragraph" w:styleId="23">
    <w:name w:val="toa heading"/>
    <w:basedOn w:val="1"/>
    <w:next w:val="1"/>
    <w:unhideWhenUsed/>
    <w:qFormat/>
    <w:uiPriority w:val="99"/>
    <w:pPr>
      <w:spacing w:before="120"/>
    </w:pPr>
    <w:rPr>
      <w:rFonts w:ascii="Arial" w:hAnsi="Arial"/>
      <w:sz w:val="24"/>
      <w:szCs w:val="24"/>
    </w:rPr>
  </w:style>
  <w:style w:type="paragraph" w:styleId="24">
    <w:name w:val="annotation text"/>
    <w:basedOn w:val="1"/>
    <w:link w:val="112"/>
    <w:qFormat/>
    <w:uiPriority w:val="99"/>
    <w:pPr>
      <w:jc w:val="left"/>
    </w:pPr>
    <w:rPr>
      <w:rFonts w:ascii="Calibri" w:hAnsi="Calibri"/>
      <w:szCs w:val="24"/>
    </w:rPr>
  </w:style>
  <w:style w:type="paragraph" w:styleId="25">
    <w:name w:val="Salutation"/>
    <w:basedOn w:val="1"/>
    <w:next w:val="1"/>
    <w:link w:val="652"/>
    <w:qFormat/>
    <w:uiPriority w:val="0"/>
    <w:rPr>
      <w:sz w:val="24"/>
    </w:rPr>
  </w:style>
  <w:style w:type="paragraph" w:styleId="26">
    <w:name w:val="Body Text 3"/>
    <w:basedOn w:val="1"/>
    <w:link w:val="99"/>
    <w:qFormat/>
    <w:uiPriority w:val="0"/>
    <w:pPr>
      <w:spacing w:after="120"/>
    </w:pPr>
    <w:rPr>
      <w:rFonts w:ascii="Calibri" w:hAnsi="Calibri"/>
      <w:sz w:val="16"/>
      <w:szCs w:val="16"/>
    </w:rPr>
  </w:style>
  <w:style w:type="paragraph" w:styleId="27">
    <w:name w:val="List Bullet 3"/>
    <w:basedOn w:val="1"/>
    <w:qFormat/>
    <w:uiPriority w:val="0"/>
    <w:pPr>
      <w:numPr>
        <w:ilvl w:val="0"/>
        <w:numId w:val="5"/>
      </w:numPr>
      <w:tabs>
        <w:tab w:val="left" w:pos="1200"/>
      </w:tabs>
      <w:spacing w:line="360" w:lineRule="auto"/>
    </w:pPr>
    <w:rPr>
      <w:sz w:val="24"/>
      <w:szCs w:val="21"/>
    </w:rPr>
  </w:style>
  <w:style w:type="paragraph" w:styleId="28">
    <w:name w:val="Body Text"/>
    <w:basedOn w:val="1"/>
    <w:link w:val="100"/>
    <w:qFormat/>
    <w:uiPriority w:val="0"/>
    <w:pPr>
      <w:tabs>
        <w:tab w:val="left" w:pos="567"/>
      </w:tabs>
      <w:spacing w:before="120" w:line="22" w:lineRule="atLeast"/>
    </w:pPr>
    <w:rPr>
      <w:rFonts w:ascii="宋体" w:hAnsi="宋体"/>
      <w:sz w:val="24"/>
      <w:szCs w:val="24"/>
    </w:rPr>
  </w:style>
  <w:style w:type="paragraph" w:styleId="29">
    <w:name w:val="List Number 3"/>
    <w:basedOn w:val="1"/>
    <w:qFormat/>
    <w:uiPriority w:val="0"/>
    <w:pPr>
      <w:numPr>
        <w:ilvl w:val="0"/>
        <w:numId w:val="6"/>
      </w:numPr>
      <w:spacing w:line="312" w:lineRule="auto"/>
    </w:pPr>
    <w:rPr>
      <w:szCs w:val="24"/>
    </w:rPr>
  </w:style>
  <w:style w:type="paragraph" w:styleId="30">
    <w:name w:val="List 2"/>
    <w:basedOn w:val="1"/>
    <w:qFormat/>
    <w:uiPriority w:val="0"/>
    <w:pPr>
      <w:ind w:left="100" w:leftChars="200" w:hanging="200" w:hangingChars="200"/>
    </w:pPr>
    <w:rPr>
      <w:rFonts w:ascii="Calibri" w:hAnsi="Calibri"/>
      <w:szCs w:val="24"/>
    </w:rPr>
  </w:style>
  <w:style w:type="paragraph" w:styleId="31">
    <w:name w:val="Block Text"/>
    <w:basedOn w:val="1"/>
    <w:link w:val="1065"/>
    <w:qFormat/>
    <w:uiPriority w:val="0"/>
    <w:pPr>
      <w:widowControl/>
      <w:ind w:left="480" w:right="-341" w:firstLine="513"/>
    </w:pPr>
    <w:rPr>
      <w:rFonts w:ascii="Calibri" w:hAnsi="Calibri"/>
      <w:kern w:val="0"/>
      <w:sz w:val="24"/>
    </w:rPr>
  </w:style>
  <w:style w:type="paragraph" w:styleId="32">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3">
    <w:name w:val="index 4"/>
    <w:basedOn w:val="1"/>
    <w:next w:val="1"/>
    <w:qFormat/>
    <w:uiPriority w:val="0"/>
    <w:pPr>
      <w:ind w:left="600" w:leftChars="600"/>
    </w:pPr>
    <w:rPr>
      <w:szCs w:val="24"/>
    </w:rPr>
  </w:style>
  <w:style w:type="paragraph" w:styleId="34">
    <w:name w:val="toc 5"/>
    <w:basedOn w:val="1"/>
    <w:next w:val="1"/>
    <w:qFormat/>
    <w:uiPriority w:val="1"/>
    <w:pPr>
      <w:ind w:left="1680" w:leftChars="800"/>
    </w:pPr>
    <w:rPr>
      <w:rFonts w:ascii="Calibri" w:hAnsi="Calibri"/>
      <w:szCs w:val="24"/>
    </w:rPr>
  </w:style>
  <w:style w:type="paragraph" w:styleId="35">
    <w:name w:val="toc 3"/>
    <w:basedOn w:val="1"/>
    <w:next w:val="1"/>
    <w:qFormat/>
    <w:uiPriority w:val="39"/>
    <w:pPr>
      <w:ind w:left="840" w:leftChars="400"/>
    </w:pPr>
    <w:rPr>
      <w:rFonts w:ascii="Calibri" w:hAnsi="Calibri"/>
      <w:szCs w:val="24"/>
    </w:rPr>
  </w:style>
  <w:style w:type="paragraph" w:styleId="36">
    <w:name w:val="Plain Text"/>
    <w:basedOn w:val="1"/>
    <w:link w:val="78"/>
    <w:qFormat/>
    <w:uiPriority w:val="0"/>
    <w:rPr>
      <w:rFonts w:ascii="宋体" w:hAnsi="Courier New" w:eastAsiaTheme="minorEastAsia" w:cstheme="minorBidi"/>
      <w:szCs w:val="22"/>
    </w:rPr>
  </w:style>
  <w:style w:type="paragraph" w:styleId="37">
    <w:name w:val="toc 8"/>
    <w:basedOn w:val="1"/>
    <w:next w:val="1"/>
    <w:qFormat/>
    <w:uiPriority w:val="1"/>
    <w:pPr>
      <w:ind w:left="2940" w:leftChars="1400"/>
    </w:pPr>
    <w:rPr>
      <w:rFonts w:ascii="Calibri" w:hAnsi="Calibri"/>
      <w:szCs w:val="24"/>
    </w:rPr>
  </w:style>
  <w:style w:type="paragraph" w:styleId="38">
    <w:name w:val="Date"/>
    <w:basedOn w:val="1"/>
    <w:next w:val="1"/>
    <w:link w:val="101"/>
    <w:qFormat/>
    <w:uiPriority w:val="0"/>
    <w:pPr>
      <w:ind w:left="100" w:leftChars="2500"/>
    </w:pPr>
    <w:rPr>
      <w:rFonts w:ascii="仿宋_GB2312" w:hAnsi="宋体" w:eastAsia="仿宋_GB2312"/>
      <w:color w:val="000000"/>
      <w:sz w:val="24"/>
      <w:szCs w:val="24"/>
    </w:rPr>
  </w:style>
  <w:style w:type="paragraph" w:styleId="39">
    <w:name w:val="Body Text Indent 2"/>
    <w:basedOn w:val="1"/>
    <w:link w:val="102"/>
    <w:qFormat/>
    <w:uiPriority w:val="0"/>
    <w:pPr>
      <w:ind w:firstLine="480" w:firstLineChars="200"/>
    </w:pPr>
    <w:rPr>
      <w:rFonts w:ascii="仿宋_GB2312" w:hAnsi="Calibri" w:eastAsia="仿宋_GB2312"/>
      <w:sz w:val="24"/>
      <w:szCs w:val="24"/>
    </w:rPr>
  </w:style>
  <w:style w:type="paragraph" w:styleId="40">
    <w:name w:val="Balloon Text"/>
    <w:basedOn w:val="1"/>
    <w:link w:val="103"/>
    <w:qFormat/>
    <w:uiPriority w:val="99"/>
    <w:rPr>
      <w:rFonts w:ascii="Calibri" w:hAnsi="Calibri"/>
      <w:sz w:val="18"/>
      <w:szCs w:val="18"/>
    </w:rPr>
  </w:style>
  <w:style w:type="paragraph" w:styleId="41">
    <w:name w:val="footer"/>
    <w:basedOn w:val="1"/>
    <w:link w:val="76"/>
    <w:unhideWhenUsed/>
    <w:qFormat/>
    <w:uiPriority w:val="99"/>
    <w:pPr>
      <w:tabs>
        <w:tab w:val="center" w:pos="4153"/>
        <w:tab w:val="right" w:pos="8306"/>
      </w:tabs>
      <w:snapToGrid w:val="0"/>
      <w:jc w:val="left"/>
    </w:pPr>
    <w:rPr>
      <w:sz w:val="18"/>
      <w:szCs w:val="18"/>
    </w:rPr>
  </w:style>
  <w:style w:type="paragraph" w:styleId="42">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3">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4">
    <w:name w:val="toc 4"/>
    <w:basedOn w:val="1"/>
    <w:next w:val="1"/>
    <w:qFormat/>
    <w:uiPriority w:val="1"/>
    <w:pPr>
      <w:ind w:left="1260" w:leftChars="600"/>
    </w:pPr>
    <w:rPr>
      <w:rFonts w:ascii="Calibri" w:hAnsi="Calibri"/>
      <w:szCs w:val="24"/>
    </w:rPr>
  </w:style>
  <w:style w:type="paragraph" w:styleId="45">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6">
    <w:name w:val="List Number 5"/>
    <w:basedOn w:val="1"/>
    <w:qFormat/>
    <w:uiPriority w:val="0"/>
    <w:pPr>
      <w:tabs>
        <w:tab w:val="left" w:pos="2040"/>
      </w:tabs>
      <w:ind w:left="2040" w:hanging="360"/>
    </w:pPr>
    <w:rPr>
      <w:rFonts w:ascii="Calibri" w:hAnsi="Calibri"/>
      <w:szCs w:val="24"/>
    </w:rPr>
  </w:style>
  <w:style w:type="paragraph" w:styleId="47">
    <w:name w:val="List"/>
    <w:basedOn w:val="1"/>
    <w:qFormat/>
    <w:uiPriority w:val="99"/>
    <w:pPr>
      <w:ind w:left="200" w:hanging="200" w:hangingChars="200"/>
      <w:contextualSpacing/>
    </w:pPr>
    <w:rPr>
      <w:szCs w:val="24"/>
    </w:rPr>
  </w:style>
  <w:style w:type="paragraph" w:styleId="48">
    <w:name w:val="footnote text"/>
    <w:basedOn w:val="1"/>
    <w:link w:val="653"/>
    <w:qFormat/>
    <w:uiPriority w:val="99"/>
    <w:pPr>
      <w:widowControl/>
      <w:jc w:val="left"/>
    </w:pPr>
    <w:rPr>
      <w:kern w:val="0"/>
      <w:sz w:val="20"/>
      <w:lang w:val="de-DE"/>
    </w:rPr>
  </w:style>
  <w:style w:type="paragraph" w:styleId="49">
    <w:name w:val="toc 6"/>
    <w:basedOn w:val="1"/>
    <w:next w:val="1"/>
    <w:qFormat/>
    <w:uiPriority w:val="1"/>
    <w:pPr>
      <w:ind w:left="2100" w:leftChars="1000"/>
    </w:pPr>
    <w:rPr>
      <w:rFonts w:ascii="Calibri" w:hAnsi="Calibri"/>
      <w:szCs w:val="24"/>
    </w:rPr>
  </w:style>
  <w:style w:type="paragraph" w:styleId="50">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1">
    <w:name w:val="table of figures"/>
    <w:basedOn w:val="1"/>
    <w:next w:val="1"/>
    <w:qFormat/>
    <w:uiPriority w:val="99"/>
    <w:pPr>
      <w:spacing w:line="360" w:lineRule="auto"/>
      <w:ind w:left="840" w:leftChars="200" w:hanging="420" w:hangingChars="200"/>
    </w:pPr>
    <w:rPr>
      <w:sz w:val="24"/>
      <w:szCs w:val="28"/>
    </w:rPr>
  </w:style>
  <w:style w:type="paragraph" w:styleId="52">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3">
    <w:name w:val="toc 9"/>
    <w:basedOn w:val="1"/>
    <w:next w:val="1"/>
    <w:qFormat/>
    <w:uiPriority w:val="1"/>
    <w:pPr>
      <w:ind w:left="3360" w:leftChars="1600"/>
    </w:pPr>
    <w:rPr>
      <w:rFonts w:ascii="Calibri" w:hAnsi="Calibri"/>
      <w:szCs w:val="24"/>
    </w:rPr>
  </w:style>
  <w:style w:type="paragraph" w:styleId="54">
    <w:name w:val="Body Text 2"/>
    <w:basedOn w:val="1"/>
    <w:link w:val="657"/>
    <w:qFormat/>
    <w:uiPriority w:val="0"/>
    <w:pPr>
      <w:jc w:val="center"/>
    </w:pPr>
    <w:rPr>
      <w:rFonts w:asciiTheme="minorHAnsi" w:hAnsiTheme="minorHAnsi" w:eastAsiaTheme="minorEastAsia" w:cstheme="minorBidi"/>
      <w:szCs w:val="24"/>
    </w:rPr>
  </w:style>
  <w:style w:type="paragraph" w:styleId="55">
    <w:name w:val="List Continue 2"/>
    <w:basedOn w:val="1"/>
    <w:unhideWhenUsed/>
    <w:qFormat/>
    <w:uiPriority w:val="99"/>
    <w:pPr>
      <w:spacing w:after="120" w:line="360" w:lineRule="auto"/>
      <w:ind w:left="840" w:leftChars="400"/>
      <w:contextualSpacing/>
    </w:pPr>
    <w:rPr>
      <w:sz w:val="24"/>
      <w:szCs w:val="21"/>
    </w:rPr>
  </w:style>
  <w:style w:type="paragraph" w:styleId="56">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8">
    <w:name w:val="index 1"/>
    <w:basedOn w:val="1"/>
    <w:next w:val="1"/>
    <w:qFormat/>
    <w:uiPriority w:val="0"/>
    <w:rPr>
      <w:rFonts w:ascii="Calibri" w:hAnsi="Calibri"/>
    </w:rPr>
  </w:style>
  <w:style w:type="paragraph" w:styleId="59">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60">
    <w:name w:val="annotation subject"/>
    <w:basedOn w:val="24"/>
    <w:next w:val="24"/>
    <w:link w:val="107"/>
    <w:qFormat/>
    <w:uiPriority w:val="0"/>
    <w:rPr>
      <w:b/>
      <w:bCs/>
    </w:rPr>
  </w:style>
  <w:style w:type="paragraph" w:styleId="61">
    <w:name w:val="Body Text First Indent"/>
    <w:basedOn w:val="28"/>
    <w:link w:val="355"/>
    <w:unhideWhenUsed/>
    <w:qFormat/>
    <w:uiPriority w:val="99"/>
    <w:pPr>
      <w:tabs>
        <w:tab w:val="clear" w:pos="567"/>
      </w:tabs>
      <w:spacing w:before="0" w:after="120" w:line="240" w:lineRule="auto"/>
      <w:ind w:firstLine="420" w:firstLineChars="100"/>
    </w:pPr>
    <w:rPr>
      <w:rFonts w:ascii="Times New Roman" w:hAnsi="Times New Roman"/>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2"/>
    <w:qFormat/>
    <w:uiPriority w:val="99"/>
    <w:rPr>
      <w:sz w:val="18"/>
      <w:szCs w:val="18"/>
    </w:rPr>
  </w:style>
  <w:style w:type="character" w:customStyle="1" w:styleId="76">
    <w:name w:val="页脚 Char"/>
    <w:basedOn w:val="66"/>
    <w:link w:val="41"/>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6"/>
    <w:qFormat/>
    <w:uiPriority w:val="0"/>
    <w:rPr>
      <w:rFonts w:ascii="宋体" w:hAnsi="Courier New"/>
    </w:rPr>
  </w:style>
  <w:style w:type="character" w:customStyle="1" w:styleId="79">
    <w:name w:val="标题 Char1"/>
    <w:link w:val="59"/>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2"/>
    <w:qFormat/>
    <w:uiPriority w:val="99"/>
    <w:rPr>
      <w:rFonts w:ascii="Calibri" w:hAnsi="Calibri"/>
    </w:rPr>
  </w:style>
  <w:style w:type="character" w:customStyle="1" w:styleId="85">
    <w:name w:val="正文文本缩进 Char"/>
    <w:basedOn w:val="66"/>
    <w:link w:val="3"/>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5"/>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9"/>
    <w:qFormat/>
    <w:uiPriority w:val="9"/>
    <w:rPr>
      <w:rFonts w:ascii="Arial" w:hAnsi="Arial" w:eastAsia="黑体" w:cs="Times New Roman"/>
      <w:b/>
      <w:kern w:val="0"/>
      <w:sz w:val="28"/>
      <w:szCs w:val="20"/>
    </w:rPr>
  </w:style>
  <w:style w:type="character" w:customStyle="1" w:styleId="92">
    <w:name w:val="标题 5 Char"/>
    <w:basedOn w:val="66"/>
    <w:link w:val="10"/>
    <w:qFormat/>
    <w:uiPriority w:val="9"/>
    <w:rPr>
      <w:rFonts w:ascii="Calibri" w:hAnsi="Calibri" w:eastAsia="宋体" w:cs="Times New Roman"/>
      <w:b/>
      <w:kern w:val="0"/>
      <w:sz w:val="28"/>
      <w:szCs w:val="20"/>
    </w:rPr>
  </w:style>
  <w:style w:type="character" w:customStyle="1" w:styleId="93">
    <w:name w:val="标题 6 Char"/>
    <w:basedOn w:val="66"/>
    <w:link w:val="11"/>
    <w:qFormat/>
    <w:uiPriority w:val="9"/>
    <w:rPr>
      <w:rFonts w:ascii="Arial" w:hAnsi="Arial" w:eastAsia="黑体" w:cs="Times New Roman"/>
      <w:b/>
      <w:kern w:val="0"/>
      <w:sz w:val="24"/>
      <w:szCs w:val="20"/>
    </w:rPr>
  </w:style>
  <w:style w:type="character" w:customStyle="1" w:styleId="94">
    <w:name w:val="标题 7 Char"/>
    <w:basedOn w:val="66"/>
    <w:link w:val="12"/>
    <w:qFormat/>
    <w:uiPriority w:val="9"/>
    <w:rPr>
      <w:rFonts w:ascii="Calibri" w:hAnsi="Calibri" w:eastAsia="宋体" w:cs="Times New Roman"/>
      <w:b/>
      <w:kern w:val="0"/>
      <w:sz w:val="24"/>
      <w:szCs w:val="20"/>
    </w:rPr>
  </w:style>
  <w:style w:type="character" w:customStyle="1" w:styleId="95">
    <w:name w:val="标题 8 Char"/>
    <w:basedOn w:val="66"/>
    <w:link w:val="13"/>
    <w:qFormat/>
    <w:uiPriority w:val="9"/>
    <w:rPr>
      <w:rFonts w:ascii="Arial" w:hAnsi="Arial" w:eastAsia="黑体" w:cs="Times New Roman"/>
      <w:kern w:val="0"/>
      <w:sz w:val="24"/>
      <w:szCs w:val="20"/>
    </w:rPr>
  </w:style>
  <w:style w:type="character" w:customStyle="1" w:styleId="96">
    <w:name w:val="标题 9 Char"/>
    <w:basedOn w:val="66"/>
    <w:link w:val="14"/>
    <w:qFormat/>
    <w:uiPriority w:val="0"/>
    <w:rPr>
      <w:rFonts w:ascii="Arial" w:hAnsi="Arial" w:eastAsia="黑体" w:cs="Times New Roman"/>
      <w:kern w:val="0"/>
      <w:szCs w:val="20"/>
    </w:rPr>
  </w:style>
  <w:style w:type="character" w:customStyle="1" w:styleId="97">
    <w:name w:val="文档结构图 Char"/>
    <w:basedOn w:val="66"/>
    <w:link w:val="22"/>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6"/>
    <w:qFormat/>
    <w:uiPriority w:val="0"/>
    <w:rPr>
      <w:rFonts w:ascii="Calibri" w:hAnsi="Calibri" w:eastAsia="宋体" w:cs="Times New Roman"/>
      <w:sz w:val="16"/>
      <w:szCs w:val="16"/>
    </w:rPr>
  </w:style>
  <w:style w:type="character" w:customStyle="1" w:styleId="100">
    <w:name w:val="正文文本 Char"/>
    <w:basedOn w:val="66"/>
    <w:link w:val="28"/>
    <w:qFormat/>
    <w:uiPriority w:val="0"/>
    <w:rPr>
      <w:rFonts w:ascii="宋体" w:hAnsi="宋体" w:eastAsia="宋体" w:cs="Times New Roman"/>
      <w:sz w:val="24"/>
      <w:szCs w:val="24"/>
    </w:rPr>
  </w:style>
  <w:style w:type="character" w:customStyle="1" w:styleId="101">
    <w:name w:val="日期 Char"/>
    <w:basedOn w:val="66"/>
    <w:link w:val="38"/>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9"/>
    <w:qFormat/>
    <w:uiPriority w:val="0"/>
    <w:rPr>
      <w:rFonts w:ascii="仿宋_GB2312" w:hAnsi="Calibri" w:eastAsia="仿宋_GB2312" w:cs="Times New Roman"/>
      <w:sz w:val="24"/>
      <w:szCs w:val="24"/>
    </w:rPr>
  </w:style>
  <w:style w:type="character" w:customStyle="1" w:styleId="103">
    <w:name w:val="批注框文本 Char"/>
    <w:basedOn w:val="66"/>
    <w:link w:val="40"/>
    <w:qFormat/>
    <w:uiPriority w:val="99"/>
    <w:rPr>
      <w:rFonts w:ascii="Calibri" w:hAnsi="Calibri" w:eastAsia="宋体" w:cs="Times New Roman"/>
      <w:sz w:val="18"/>
      <w:szCs w:val="18"/>
    </w:rPr>
  </w:style>
  <w:style w:type="character" w:customStyle="1" w:styleId="104">
    <w:name w:val="副标题 Char"/>
    <w:basedOn w:val="66"/>
    <w:link w:val="45"/>
    <w:qFormat/>
    <w:uiPriority w:val="99"/>
    <w:rPr>
      <w:rFonts w:ascii="Cambria" w:hAnsi="Cambria" w:cs="Times New Roman"/>
      <w:b/>
      <w:bCs/>
      <w:kern w:val="28"/>
      <w:sz w:val="32"/>
      <w:szCs w:val="32"/>
    </w:rPr>
  </w:style>
  <w:style w:type="character" w:customStyle="1" w:styleId="105">
    <w:name w:val="正文文本缩进 3 Char"/>
    <w:basedOn w:val="66"/>
    <w:link w:val="50"/>
    <w:qFormat/>
    <w:uiPriority w:val="0"/>
    <w:rPr>
      <w:rFonts w:ascii="宋体" w:hAnsi="Calibri" w:eastAsia="宋体" w:cs="Times New Roman"/>
      <w:kern w:val="0"/>
      <w:sz w:val="24"/>
      <w:szCs w:val="20"/>
    </w:rPr>
  </w:style>
  <w:style w:type="character" w:customStyle="1" w:styleId="106">
    <w:name w:val="HTML 预设格式 Char"/>
    <w:basedOn w:val="66"/>
    <w:link w:val="56"/>
    <w:qFormat/>
    <w:uiPriority w:val="99"/>
    <w:rPr>
      <w:rFonts w:ascii="宋体" w:hAnsi="宋体" w:eastAsia="宋体" w:cs="宋体"/>
      <w:kern w:val="0"/>
      <w:sz w:val="24"/>
      <w:szCs w:val="24"/>
    </w:rPr>
  </w:style>
  <w:style w:type="character" w:customStyle="1" w:styleId="107">
    <w:name w:val="批注主题 Char"/>
    <w:basedOn w:val="98"/>
    <w:link w:val="60"/>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7"/>
    <w:qFormat/>
    <w:uiPriority w:val="0"/>
    <w:rPr>
      <w:rFonts w:ascii="宋体" w:hAnsi="Calibri" w:eastAsia="宋体" w:cs="Times New Roman"/>
      <w:sz w:val="24"/>
      <w:szCs w:val="24"/>
    </w:rPr>
  </w:style>
  <w:style w:type="character" w:customStyle="1" w:styleId="110">
    <w:name w:val="标题 2 Char1"/>
    <w:link w:val="6"/>
    <w:qFormat/>
    <w:uiPriority w:val="9"/>
    <w:rPr>
      <w:rFonts w:ascii="Arial" w:hAnsi="Arial" w:eastAsia="黑体" w:cs="Times New Roman"/>
      <w:b/>
      <w:kern w:val="0"/>
      <w:sz w:val="30"/>
      <w:szCs w:val="20"/>
    </w:rPr>
  </w:style>
  <w:style w:type="character" w:customStyle="1" w:styleId="111">
    <w:name w:val="标题 3 Char1"/>
    <w:link w:val="8"/>
    <w:qFormat/>
    <w:uiPriority w:val="9"/>
    <w:rPr>
      <w:rFonts w:ascii="宋体" w:hAnsi="Calibri" w:eastAsia="宋体" w:cs="Times New Roman"/>
      <w:b/>
      <w:kern w:val="0"/>
      <w:sz w:val="24"/>
      <w:szCs w:val="20"/>
      <w:u w:val="single"/>
    </w:rPr>
  </w:style>
  <w:style w:type="character" w:customStyle="1" w:styleId="112">
    <w:name w:val="批注文字 Char1"/>
    <w:link w:val="24"/>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7"/>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7"/>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5"/>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8"/>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6"/>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3"/>
    <w:qFormat/>
    <w:uiPriority w:val="0"/>
    <w:pPr>
      <w:spacing w:before="20" w:after="20"/>
      <w:ind w:left="0" w:leftChars="0"/>
    </w:pPr>
    <w:rPr>
      <w:rFonts w:ascii="Century Gothic" w:hAnsi="Century Gothic"/>
      <w:sz w:val="20"/>
    </w:rPr>
  </w:style>
  <w:style w:type="paragraph" w:customStyle="1" w:styleId="263">
    <w:name w:val="Char Char1"/>
    <w:basedOn w:val="22"/>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6"/>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7"/>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2"/>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5"/>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1"/>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5"/>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8"/>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6"/>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3"/>
    <w:qFormat/>
    <w:uiPriority w:val="0"/>
    <w:pPr>
      <w:spacing w:before="20" w:after="20"/>
      <w:ind w:left="0" w:leftChars="0"/>
    </w:pPr>
    <w:rPr>
      <w:rFonts w:ascii="Century Gothic" w:hAnsi="Century Gothic"/>
      <w:sz w:val="20"/>
    </w:rPr>
  </w:style>
  <w:style w:type="paragraph" w:customStyle="1" w:styleId="543">
    <w:name w:val="Char Char12"/>
    <w:basedOn w:val="22"/>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7"/>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2"/>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5"/>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uiPriority w:val="99"/>
    <w:rPr>
      <w:rFonts w:ascii="宋体" w:eastAsia="宋体"/>
      <w:kern w:val="2"/>
      <w:sz w:val="18"/>
      <w:szCs w:val="18"/>
      <w:lang w:bidi="ar-SA"/>
    </w:rPr>
  </w:style>
  <w:style w:type="character" w:customStyle="1" w:styleId="648">
    <w:name w:val="页眉 字符2"/>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4"/>
    <w:qFormat/>
    <w:uiPriority w:val="99"/>
    <w:rPr>
      <w:rFonts w:ascii="Courier New" w:hAnsi="Courier New" w:eastAsia="宋体" w:cs="Times New Roman"/>
      <w:kern w:val="0"/>
      <w:sz w:val="24"/>
      <w:szCs w:val="24"/>
    </w:rPr>
  </w:style>
  <w:style w:type="character" w:customStyle="1" w:styleId="652">
    <w:name w:val="称呼 Char"/>
    <w:basedOn w:val="66"/>
    <w:link w:val="25"/>
    <w:qFormat/>
    <w:uiPriority w:val="0"/>
    <w:rPr>
      <w:rFonts w:ascii="Times New Roman" w:hAnsi="Times New Roman" w:eastAsia="宋体" w:cs="Times New Roman"/>
      <w:sz w:val="24"/>
      <w:szCs w:val="20"/>
    </w:rPr>
  </w:style>
  <w:style w:type="character" w:customStyle="1" w:styleId="653">
    <w:name w:val="脚注文本 Char"/>
    <w:basedOn w:val="66"/>
    <w:link w:val="48"/>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4"/>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6"/>
    <w:next w:val="33"/>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8"/>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6"/>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8"/>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1"/>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9"/>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7"/>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9"/>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8"/>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8"/>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9"/>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11"/>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9"/>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5"/>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8"/>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9"/>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9"/>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9"/>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6"/>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2"/>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7"/>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8"/>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1"/>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6"/>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4"/>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5"/>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2"/>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4"/>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8"/>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8"/>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2"/>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8"/>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1"/>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6"/>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6"/>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3"/>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9"/>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5"/>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3"/>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8"/>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8"/>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3"/>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1"/>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5"/>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8"/>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6"/>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8"/>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3"/>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6"/>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6"/>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6"/>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8"/>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2"/>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5"/>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3"/>
    <w:next w:val="2"/>
    <w:unhideWhenUsed/>
    <w:qFormat/>
    <w:uiPriority w:val="99"/>
    <w:pPr>
      <w:widowControl/>
      <w:ind w:firstLine="420" w:firstLineChars="200"/>
    </w:pPr>
    <w:rPr>
      <w:kern w:val="0"/>
    </w:rPr>
  </w:style>
  <w:style w:type="paragraph" w:customStyle="1" w:styleId="1314">
    <w:name w:val="A5"/>
    <w:basedOn w:val="10"/>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9"/>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3499</Words>
  <Characters>4239</Characters>
  <Lines>37</Lines>
  <Paragraphs>10</Paragraphs>
  <TotalTime>0</TotalTime>
  <ScaleCrop>false</ScaleCrop>
  <LinksUpToDate>false</LinksUpToDate>
  <CharactersWithSpaces>4312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2026-09-15T05:49:00Z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572B31D5DE7F45AD9CC7FCED779675D3_12</vt:lpwstr>
  </property>
</Properties>
</file>